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3628d8k.htm"/>
      <w:bookmarkStart w:id="1" w:name="ksd16362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WESCO International,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001-14989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25-1723342</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225 West Station Square Drive</w:t>
            </w:r>
          </w:p>
          <w:p>
            <w:pPr>
              <w:pStyle w:val="TableContents"/>
              <w:bidi w:val="0"/>
              <w:spacing w:before="0" w:after="20"/>
              <w:jc w:val="center"/>
              <w:rPr>
                <w:rFonts w:ascii="Times New Roman" w:hAnsi="Times New Roman"/>
                <w:b/>
                <w:sz w:val="20"/>
              </w:rPr>
            </w:pPr>
            <w:r>
              <w:rPr>
                <w:rFonts w:ascii="Times New Roman" w:hAnsi="Times New Roman"/>
                <w:b/>
                <w:sz w:val="20"/>
              </w:rPr>
              <w:t>Suite 700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Pittsburgh, Pennsylvania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15219</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(412) 454-2200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425" w:type="dxa"/>
        <w:jc w:val="left"/>
        <w:tblInd w:w="0" w:type="dxa"/>
        <w:tblLayout w:type="fixed"/>
        <w:tblCellMar>
          <w:top w:w="0" w:type="dxa"/>
          <w:left w:w="0" w:type="dxa"/>
          <w:bottom w:w="0" w:type="dxa"/>
          <w:right w:w="0" w:type="dxa"/>
        </w:tblCellMar>
      </w:tblPr>
      <w:tblGrid>
        <w:gridCol w:w="3905"/>
        <w:gridCol w:w="60"/>
        <w:gridCol w:w="740"/>
        <w:gridCol w:w="60"/>
        <w:gridCol w:w="2660"/>
      </w:tblGrid>
      <w:tr>
        <w:trPr/>
        <w:tc>
          <w:tcPr>
            <w:tcW w:w="3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905" w:type="dxa"/>
            <w:tcBorders/>
            <w:vAlign w:val="center"/>
          </w:tcPr>
          <w:p>
            <w:pPr>
              <w:pStyle w:val="TableContents"/>
              <w:bidi w:val="0"/>
              <w:spacing w:before="0" w:after="283"/>
              <w:jc w:val="center"/>
              <w:rPr/>
            </w:pPr>
            <w:r>
              <w:rPr/>
              <w:t>Common Stock, par value $.01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WCC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Credit Agreement Amendment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17, 2026, WESCO Distribution, Inc. (“Wesco Distribution”), a wholly owned subsidiary of WESCO International, Inc. (the “Company”), amended its revolving credit facility (the “ABL Facility”) pursuant to the terms and conditions of the Ninth Amendment to Fourth Amended and Restated Credit Agreement, dated as of September 17, 2026 (the “Credit Agreement Amendment”), by and among Wesco Distribution, the other U.S. borrowers party thereto, WESCO Distribution Canada LP, the other Canadian borrowers party thereto, the Company, the lenders party thereto and Barclays Bank PLC, as administrative agent, which amends the Fourth Amended and Restated Credit Agreement, dated as of June 22, 2020 (as amended, the “Credit Agreement”). The Credit Agreement Amendment, among other things, (i) extends the maturity date of the ABL Facility to September 17, 2031, (ii) increases the revolving commitments under the ABL Facility from $1,725 million to $1,850 million, (iii) decreases the interest rate spreads applicable to borrowings under the ABL Facility, (iv) increases certain negative covenant baskets and (v) makes certain other amendments to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Credit Agreement Amendment is filed as Exhibit 10.1 to this Current Report on Form 8-K and is incorporated herein by reference. The description above is a summary of the Credit Agreement Amendment, does not purport to be complete, and is qualified in its entirety by the complete text of the Credit Agreement Amendment.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Receivables Purchase Agreement Amendment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17, 2026, Wesco Distribution amended its receivables securitization facility (the “Receivables Facility”) pursuant to the terms and conditions of the Tenth Amendment to Fifth Amended and Restated Receivables Purchase Agreement, dated as of September 17, 2026 (the “Receivables Amendment”), by and among WESCO Receivables Corp., Wesco Distribution, the various purchasers and purchaser agents party thereto and PNC Bank, National Association, as administrator, which amends the Fifth Amended and Restated Receivables Purchase Agreement, dated as of June 22, 2020 (as amended, the “Receivables Purchase Agreement”). The Receivables Amendment, among other things, (i) extends the scheduled termination date of the Receivables Facility to September 17, 2029, (ii) increases the purchase limit under the Receivables Facility from $1,550 million to $1,750 million, (iii) decreases the drawn spread applicable to investments funded under the Receivables Facility and (iv) makes certain other amendments to the Receivables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Receivables Amendment is filed as Exhibit 10.2 to this Current Report on Form 8-K and is incorporated herein by reference. The description above is a summary of the Receivables Amendment, does not purport to be complete, and is qualified in its entirety by the complete text of the Receivables Amendment.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83"/>
              <w:jc w:val="left"/>
              <w:rPr>
                <w:b/>
              </w:rPr>
            </w:pPr>
            <w:r>
              <w:rPr>
                <w:b/>
              </w:rPr>
              <w:t>Item 2.03.</w:t>
            </w:r>
          </w:p>
        </w:tc>
        <w:tc>
          <w:tcPr>
            <w:tcW w:w="92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disclosure set forth in Item 1.01 above is incorporated by reference into this Item 2.03.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65"/>
        <w:gridCol w:w="120"/>
        <w:gridCol w:w="8520"/>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2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center"/>
              <w:rPr/>
            </w:pPr>
            <w:r>
              <w:rPr/>
              <w:t>Exhibit Number</w:t>
            </w:r>
          </w:p>
        </w:tc>
        <w:tc>
          <w:tcPr>
            <w:tcW w:w="120" w:type="dxa"/>
            <w:tcBorders/>
            <w:vAlign w:val="center"/>
          </w:tcPr>
          <w:p>
            <w:pPr>
              <w:pStyle w:val="TableContents"/>
              <w:bidi w:val="0"/>
              <w:spacing w:before="0" w:after="283"/>
              <w:jc w:val="left"/>
              <w:rPr/>
            </w:pPr>
            <w:r>
              <w:rPr/>
              <w:t>  </w:t>
            </w:r>
          </w:p>
        </w:tc>
        <w:tc>
          <w:tcPr>
            <w:tcW w:w="8520" w:type="dxa"/>
            <w:tcBorders/>
            <w:vAlign w:val="center"/>
          </w:tcPr>
          <w:p>
            <w:pPr>
              <w:pStyle w:val="TableContents"/>
              <w:bidi w:val="0"/>
              <w:spacing w:before="0" w:after="283"/>
              <w:jc w:val="center"/>
              <w:rPr/>
            </w:pPr>
            <w:r>
              <w:rPr/>
              <w:t>Description</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8640"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8520" w:type="dxa"/>
            <w:tcBorders/>
            <w:vAlign w:val="center"/>
          </w:tcPr>
          <w:p>
            <w:pPr>
              <w:pStyle w:val="TableContents"/>
              <w:bidi w:val="0"/>
              <w:spacing w:before="0" w:after="283"/>
              <w:jc w:val="left"/>
              <w:rPr/>
            </w:pPr>
            <w:hyperlink w:anchor="d163628dex101.htm">
              <w:r>
                <w:rPr>
                  <w:rStyle w:val="InternetLink"/>
                </w:rPr>
                <w:t>Ninth Amendment to Fourth Amended and Restated Credit Agreement, dated as of September 17, 2026, by and among Wesco Distribution, the other U.S. borrowers party thereto, WESCO Distribution Canada LP, the other Canadian borrowers party thereto, the Company, the lenders party thereto and Barclays Bank PLC, as administrative agent.</w:t>
              </w:r>
            </w:hyperlink>
          </w:p>
        </w:tc>
      </w:tr>
      <w:tr>
        <w:trPr/>
        <w:tc>
          <w:tcPr>
            <w:tcW w:w="1565" w:type="dxa"/>
            <w:tcBorders/>
            <w:vAlign w:val="center"/>
          </w:tcPr>
          <w:p>
            <w:pPr>
              <w:pStyle w:val="TableContents"/>
              <w:bidi w:val="0"/>
              <w:spacing w:before="0" w:after="283"/>
              <w:jc w:val="left"/>
              <w:rPr>
                <w:sz w:val="4"/>
                <w:szCs w:val="4"/>
              </w:rPr>
            </w:pPr>
            <w:r>
              <w:rPr>
                <w:sz w:val="4"/>
                <w:szCs w:val="4"/>
              </w:rPr>
            </w:r>
          </w:p>
        </w:tc>
        <w:tc>
          <w:tcPr>
            <w:tcW w:w="8640"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8520" w:type="dxa"/>
            <w:tcBorders/>
            <w:vAlign w:val="center"/>
          </w:tcPr>
          <w:p>
            <w:pPr>
              <w:pStyle w:val="TableContents"/>
              <w:bidi w:val="0"/>
              <w:spacing w:before="0" w:after="283"/>
              <w:jc w:val="left"/>
              <w:rPr/>
            </w:pPr>
            <w:hyperlink w:anchor="d163628dex102.htm">
              <w:r>
                <w:rPr>
                  <w:rStyle w:val="InternetLink"/>
                </w:rPr>
                <w:t>Tenth Amendment to Fifth Amended and Restated Receivables Purchase Agreement, dated as of September 17, 2026, by and among Wesco Distribution, WESCO Receivables Corp., the various purchasers and purchaser agents party thereto and PNC Bank, National Association, as administrator.</w:t>
              </w:r>
            </w:hyperlink>
          </w:p>
        </w:tc>
      </w:tr>
      <w:tr>
        <w:trPr/>
        <w:tc>
          <w:tcPr>
            <w:tcW w:w="1565" w:type="dxa"/>
            <w:tcBorders/>
            <w:vAlign w:val="center"/>
          </w:tcPr>
          <w:p>
            <w:pPr>
              <w:pStyle w:val="TableContents"/>
              <w:bidi w:val="0"/>
              <w:spacing w:before="0" w:after="283"/>
              <w:jc w:val="left"/>
              <w:rPr>
                <w:sz w:val="4"/>
                <w:szCs w:val="4"/>
              </w:rPr>
            </w:pPr>
            <w:r>
              <w:rPr>
                <w:sz w:val="4"/>
                <w:szCs w:val="4"/>
              </w:rPr>
            </w:r>
          </w:p>
        </w:tc>
        <w:tc>
          <w:tcPr>
            <w:tcW w:w="8640"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52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548" w:type="dxa"/>
        <w:jc w:val="left"/>
        <w:tblInd w:w="0" w:type="dxa"/>
        <w:tblLayout w:type="fixed"/>
        <w:tblCellMar>
          <w:top w:w="0" w:type="dxa"/>
          <w:left w:w="0" w:type="dxa"/>
          <w:bottom w:w="0" w:type="dxa"/>
          <w:right w:w="0" w:type="dxa"/>
        </w:tblCellMar>
      </w:tblPr>
      <w:tblGrid>
        <w:gridCol w:w="1655"/>
        <w:gridCol w:w="60"/>
        <w:gridCol w:w="23"/>
        <w:gridCol w:w="60"/>
        <w:gridCol w:w="365"/>
        <w:gridCol w:w="60"/>
        <w:gridCol w:w="4325"/>
      </w:tblGrid>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WESCO International, Inc.</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center"/>
              <w:rPr/>
            </w:pPr>
            <w:r>
              <w:rPr/>
              <w:t>(Registrant)</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85"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September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Indraneel Dev</w:t>
            </w:r>
          </w:p>
        </w:tc>
      </w:tr>
      <w:tr>
        <w:trPr/>
        <w:tc>
          <w:tcPr>
            <w:tcW w:w="1655" w:type="dxa"/>
            <w:tcBorders/>
            <w:vAlign w:val="center"/>
          </w:tcPr>
          <w:p>
            <w:pPr>
              <w:pStyle w:val="TableContents"/>
              <w:bidi w:val="0"/>
              <w:spacing w:before="0" w:after="283"/>
              <w:jc w:val="center"/>
              <w:rPr/>
            </w:pPr>
            <w:r>
              <w:rPr/>
              <w:t>(Date)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Indraneel Dev</w:t>
            </w:r>
          </w:p>
          <w:p>
            <w:pPr>
              <w:pStyle w:val="TableContents"/>
              <w:bidi w:val="0"/>
              <w:spacing w:before="0" w:after="20"/>
              <w:jc w:val="left"/>
              <w:rPr>
                <w:rFonts w:ascii="Times New Roman" w:hAnsi="Times New Roman"/>
                <w:sz w:val="20"/>
              </w:rPr>
            </w:pPr>
            <w:r>
              <w:rPr>
                <w:rFonts w:ascii="Times New Roman" w:hAnsi="Times New Roman"/>
                <w:sz w:val="20"/>
              </w:rPr>
              <w:t>Executive Vice President and Chief Financial Officer</w:t>
            </w:r>
          </w:p>
        </w:tc>
      </w:tr>
    </w:tbl>
    <w:p>
      <w:pPr>
        <w:pStyle w:val="TextBody"/>
        <w:bidi w:val="0"/>
        <w:spacing w:before="0" w:after="0"/>
        <w:jc w:val="right"/>
        <w:rPr>
          <w:rFonts w:ascii="Times New Roman" w:hAnsi="Times New Roman"/>
          <w:b/>
          <w:sz w:val="20"/>
        </w:rPr>
      </w:pPr>
      <w:bookmarkStart w:id="2" w:name="d163628dex101.htm"/>
      <w:bookmarkStart w:id="3" w:name="ksd163628dex101"/>
      <w:bookmarkEnd w:id="2"/>
      <w:bookmarkEnd w:id="3"/>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NINTH AMENDMENT TO FOURTH AMENDED AND RESTATED CREDIT AGREEMENT </w:t>
      </w:r>
    </w:p>
    <w:p>
      <w:pPr>
        <w:pStyle w:val="TextBody"/>
        <w:bidi w:val="0"/>
        <w:spacing w:before="240" w:after="0"/>
        <w:jc w:val="left"/>
        <w:rPr>
          <w:rFonts w:ascii="Times New Roman" w:hAnsi="Times New Roman"/>
          <w:sz w:val="20"/>
        </w:rPr>
      </w:pPr>
      <w:r>
        <w:rPr>
          <w:rFonts w:ascii="Times New Roman" w:hAnsi="Times New Roman"/>
          <w:sz w:val="20"/>
        </w:rPr>
        <w:t>THIS NINTH AMENDMENT TO FOURTH AMENDED AND RESTATED CREDIT AGREEMENT, dated as of September 17, 2026 (this “</w:t>
      </w:r>
      <w:r>
        <w:rPr>
          <w:rFonts w:ascii="Times New Roman" w:hAnsi="Times New Roman"/>
          <w:sz w:val="20"/>
          <w:u w:val="single"/>
        </w:rPr>
        <w:t>Amendment</w:t>
      </w:r>
      <w:r>
        <w:rPr>
          <w:rFonts w:ascii="Times New Roman" w:hAnsi="Times New Roman"/>
          <w:sz w:val="20"/>
        </w:rPr>
        <w:t>”), is by and among WESCO DISTRIBUTION, INC., a Delaware corporation (the “</w:t>
      </w:r>
      <w:r>
        <w:rPr>
          <w:rFonts w:ascii="Times New Roman" w:hAnsi="Times New Roman"/>
          <w:sz w:val="20"/>
          <w:u w:val="single"/>
        </w:rPr>
        <w:t>Borrower Representative</w:t>
      </w:r>
      <w:r>
        <w:rPr>
          <w:rFonts w:ascii="Times New Roman" w:hAnsi="Times New Roman"/>
          <w:sz w:val="20"/>
        </w:rPr>
        <w:t>”), the other U.S. Borrowers party hereto, WESCO DISTRIBUTION CANADA LP, an Ontario limited partnership (“</w:t>
      </w:r>
      <w:r>
        <w:rPr>
          <w:rFonts w:ascii="Times New Roman" w:hAnsi="Times New Roman"/>
          <w:sz w:val="20"/>
          <w:u w:val="single"/>
        </w:rPr>
        <w:t>WDC</w:t>
      </w:r>
      <w:r>
        <w:rPr>
          <w:rFonts w:ascii="Times New Roman" w:hAnsi="Times New Roman"/>
          <w:sz w:val="20"/>
        </w:rPr>
        <w:t>”), the other Canadian Borrowers party hereto (collectively with the Borrower Representative, the other U.S. Borrowers and WDC, the “</w:t>
      </w:r>
      <w:r>
        <w:rPr>
          <w:rFonts w:ascii="Times New Roman" w:hAnsi="Times New Roman"/>
          <w:sz w:val="20"/>
          <w:u w:val="single"/>
        </w:rPr>
        <w:t>Borrowers</w:t>
      </w:r>
      <w:r>
        <w:rPr>
          <w:rFonts w:ascii="Times New Roman" w:hAnsi="Times New Roman"/>
          <w:sz w:val="20"/>
        </w:rPr>
        <w:t>”), Holdings, the 2026 Incremental Revolving Lenders (as defined below), the Lenders (as defined below) party hereto (constituting all the Lenders party to the Credit Agreement (determined immediately prior to giving effect to this Amendment)) (collectively, the “</w:t>
      </w:r>
      <w:r>
        <w:rPr>
          <w:rFonts w:ascii="Times New Roman" w:hAnsi="Times New Roman"/>
          <w:sz w:val="20"/>
          <w:u w:val="single"/>
        </w:rPr>
        <w:t>Consenting Lenders</w:t>
      </w:r>
      <w:r>
        <w:rPr>
          <w:rFonts w:ascii="Times New Roman" w:hAnsi="Times New Roman"/>
          <w:sz w:val="20"/>
        </w:rPr>
        <w:t>” and each, a “</w:t>
      </w:r>
      <w:r>
        <w:rPr>
          <w:rFonts w:ascii="Times New Roman" w:hAnsi="Times New Roman"/>
          <w:sz w:val="20"/>
          <w:u w:val="single"/>
        </w:rPr>
        <w:t>Consenting Lender</w:t>
      </w:r>
      <w:r>
        <w:rPr>
          <w:rFonts w:ascii="Times New Roman" w:hAnsi="Times New Roman"/>
          <w:sz w:val="20"/>
        </w:rPr>
        <w:t>”) and BARCLAYS BANK PLC, as administrative agent (in such capacity,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the Borrowers, certain other Loan Parties from time to time party thereto, the financial institutions from time to time party thereto, as lenders (collectively, the “</w:t>
      </w:r>
      <w:r>
        <w:rPr>
          <w:rFonts w:ascii="Times New Roman" w:hAnsi="Times New Roman"/>
          <w:sz w:val="20"/>
          <w:u w:val="single"/>
        </w:rPr>
        <w:t>Lenders</w:t>
      </w:r>
      <w:r>
        <w:rPr>
          <w:rFonts w:ascii="Times New Roman" w:hAnsi="Times New Roman"/>
          <w:sz w:val="20"/>
        </w:rPr>
        <w:t>” and each, a “</w:t>
      </w:r>
      <w:r>
        <w:rPr>
          <w:rFonts w:ascii="Times New Roman" w:hAnsi="Times New Roman"/>
          <w:sz w:val="20"/>
          <w:u w:val="single"/>
        </w:rPr>
        <w:t>Lender</w:t>
      </w:r>
      <w:r>
        <w:rPr>
          <w:rFonts w:ascii="Times New Roman" w:hAnsi="Times New Roman"/>
          <w:sz w:val="20"/>
        </w:rPr>
        <w:t>”), and BARCLAYS BANK PLC, as Administrative Agent, Swingline Lender and as an Issuing Bank, are parties to that certain Fourth Amended and Restated Credit Agreement, dated as of June 22, 2020 (as amended, restated, amended and restated, supplemented or otherwise modified from time to time prior to the date hereof,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Borrowers have requested that (a) the Lenders set forth on </w:t>
      </w:r>
      <w:r>
        <w:rPr>
          <w:rFonts w:ascii="Times New Roman" w:hAnsi="Times New Roman"/>
          <w:sz w:val="20"/>
          <w:u w:val="single"/>
        </w:rPr>
        <w:t>Exhibit C</w:t>
      </w:r>
      <w:r>
        <w:rPr>
          <w:rFonts w:ascii="Times New Roman" w:hAnsi="Times New Roman"/>
          <w:sz w:val="20"/>
        </w:rPr>
        <w:t xml:space="preserve"> attached hereto (collectively, the “</w:t>
      </w:r>
      <w:r>
        <w:rPr>
          <w:rFonts w:ascii="Times New Roman" w:hAnsi="Times New Roman"/>
          <w:sz w:val="20"/>
          <w:u w:val="single"/>
        </w:rPr>
        <w:t>2026 Incremental Revolving Lenders</w:t>
      </w:r>
      <w:r>
        <w:rPr>
          <w:rFonts w:ascii="Times New Roman" w:hAnsi="Times New Roman"/>
          <w:sz w:val="20"/>
        </w:rPr>
        <w:t>” and each, a “</w:t>
      </w:r>
      <w:r>
        <w:rPr>
          <w:rFonts w:ascii="Times New Roman" w:hAnsi="Times New Roman"/>
          <w:sz w:val="20"/>
          <w:u w:val="single"/>
        </w:rPr>
        <w:t>2026 Incremental Revolving Lender</w:t>
      </w:r>
      <w:r>
        <w:rPr>
          <w:rFonts w:ascii="Times New Roman" w:hAnsi="Times New Roman"/>
          <w:sz w:val="20"/>
        </w:rPr>
        <w:t>”) make available to the Borrowers, on the Ninth Amendment Effective Date (as defined below), additional Revolving Commitments (the “</w:t>
      </w:r>
      <w:r>
        <w:rPr>
          <w:rFonts w:ascii="Times New Roman" w:hAnsi="Times New Roman"/>
          <w:sz w:val="20"/>
          <w:u w:val="single"/>
        </w:rPr>
        <w:t>2026 Incremental Revolving Commitments</w:t>
      </w:r>
      <w:r>
        <w:rPr>
          <w:rFonts w:ascii="Times New Roman" w:hAnsi="Times New Roman"/>
          <w:sz w:val="20"/>
        </w:rPr>
        <w:t xml:space="preserve">”) in an aggregate principal amount for all such 2026 Incremental Revolving Commitments of $125,000,000, all of which will be available as Revolving Commitments and U.S. Commitments, and (b) certain provisions of the Credit Agreement be amended as provided for 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Sections 2.09 and 9.02 of the Credit Agreement, the Borrowers and the Consenting Lenders agree to amend the Credit Agreement as set forth herein and as attached hereto as </w:t>
      </w:r>
      <w:r>
        <w:rPr>
          <w:rFonts w:ascii="Times New Roman" w:hAnsi="Times New Roman"/>
          <w:sz w:val="20"/>
          <w:u w:val="single"/>
        </w:rPr>
        <w:t>Exhibit A</w:t>
      </w:r>
      <w:r>
        <w:rPr>
          <w:rFonts w:ascii="Times New Roman" w:hAnsi="Times New Roman"/>
          <w:sz w:val="20"/>
        </w:rPr>
        <w:t xml:space="preserve"> (as so amended, the “</w:t>
      </w:r>
      <w:r>
        <w:rPr>
          <w:rFonts w:ascii="Times New Roman" w:hAnsi="Times New Roman"/>
          <w:sz w:val="20"/>
          <w:u w:val="single"/>
        </w:rPr>
        <w:t>Amended Credit Agreement</w:t>
      </w:r>
      <w:r>
        <w:rPr>
          <w:rFonts w:ascii="Times New Roman" w:hAnsi="Times New Roman"/>
          <w:sz w:val="20"/>
        </w:rPr>
        <w:t xml:space="preserve">”) and the 2026 Incremental Revolving Lenders have agreed to make available to the Borrowers the 2026 Incremental Revolving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and sufficiency of which are hereby acknowledged,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u w:val="single"/>
        </w:rPr>
        <w:t>SECTION ONE — DEFINED TERMS</w:t>
      </w:r>
      <w:r>
        <w:rPr>
          <w:rFonts w:ascii="Times New Roman" w:hAnsi="Times New Roman"/>
          <w:sz w:val="20"/>
        </w:rPr>
        <w:t xml:space="preserve">. Capitalized terms used herein (including in the foregoing recitals hereto) but not otherwise defined herein shall have the meanings assigned thereto in the Amended Credit Agreement. The provisions of Section 1.01 of the Amended Credit Agreement are hereby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TWO — 2026 Incremental Revolving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set forth herein, each 2026 Incremental Revolving Lender severally and not jointly agrees to provide its 2026 Incremental Revolving Commitment on the Ninth Amendment Effective Date in an aggregate principal amount not to exceed the amount set forth opposite such 2026 Incremental Revolving Lender’s name on </w:t>
      </w:r>
      <w:r>
        <w:rPr>
          <w:rFonts w:ascii="Times New Roman" w:hAnsi="Times New Roman"/>
          <w:sz w:val="20"/>
          <w:u w:val="single"/>
        </w:rPr>
        <w:t>Exhibit C</w:t>
      </w:r>
      <w:r>
        <w:rPr>
          <w:rFonts w:ascii="Times New Roman" w:hAnsi="Times New Roman"/>
          <w:sz w:val="20"/>
        </w:rPr>
        <w:t xml:space="preserve"> attached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2026 Incremental Revolving Lender shall be a “Revolving Lender”, the 2026 Incremental Revolving Commitments shall be part of the “Aggregate Revolving Commitments” and the “U.S. Commitments”, the Loans made pursuant to the 2026 Incremental Revolving Commitments shall be “Revolving Loans” and the 2026 Incremental Revolving Commitments shall be part of the “Revolver Facility”, in each case, for all purposes of the Amended Credit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Upon the occurrence of the Ninth Amendment Effective Date, the Administrative Agent shall reallocate the Revolving Exposure of each Revolving Lender to reflect its Applicable Percentage after giving effect to the 2026 Incremental Revolving Commitments. After giving effect to all such reallocations, the Revolving Commitments are as set forth on the Revolving Commitment Schedule attached hereto as </w:t>
      </w:r>
      <w:r>
        <w:rPr>
          <w:rFonts w:ascii="Times New Roman" w:hAnsi="Times New Roman"/>
          <w:sz w:val="20"/>
          <w:u w:val="single"/>
        </w:rPr>
        <w:t>Exhibit D</w:t>
      </w:r>
      <w:r>
        <w:rPr>
          <w:rFonts w:ascii="Times New Roman" w:hAnsi="Times New Roman"/>
          <w:sz w:val="20"/>
        </w:rPr>
        <w:t xml:space="preserve">. Each 2026 Incremental Revolving Lender hereby irrevocably designates and appoints the Administrative Agent as the agent of such Revolving Lender under the Loan Documents and each such 2026 Incremental Revolving Lender irrevocably authorizes the Administrative Agent, in such capacity, to take such action on its behalf under the provisions of the applicable Loan Documents and to exercise such powers and perform such duties as are expressly delegated to the Administrative Agent by the terms of the applicable Loan Documents, together with such other powers as are reasonably incidental thereto. By its signature below, Administrative Agent hereby accepts the appointment as Administrative Agent under the Loan Documents pursuant to the immediately preceding sentence. </w:t>
      </w:r>
    </w:p>
    <w:p>
      <w:pPr>
        <w:pStyle w:val="TextBody"/>
        <w:bidi w:val="0"/>
        <w:spacing w:before="240" w:after="0"/>
        <w:jc w:val="left"/>
        <w:rPr>
          <w:rFonts w:ascii="Times New Roman" w:hAnsi="Times New Roman"/>
          <w:sz w:val="20"/>
        </w:rPr>
      </w:pPr>
      <w:r>
        <w:rPr>
          <w:rFonts w:ascii="Times New Roman" w:hAnsi="Times New Roman"/>
          <w:sz w:val="20"/>
          <w:u w:val="single"/>
        </w:rPr>
        <w:t>SECTION THREE — AMENDMENTS</w:t>
      </w:r>
      <w:r>
        <w:rPr>
          <w:rFonts w:ascii="Times New Roman" w:hAnsi="Times New Roman"/>
          <w:sz w:val="20"/>
        </w:rPr>
        <w:t xml:space="preserve">. The Credit Agreement is, effective as of the Ninth Amendment Effective Date (as defined below), hereby amended to: </w:t>
      </w:r>
    </w:p>
    <w:p>
      <w:pPr>
        <w:pStyle w:val="TextBody"/>
        <w:bidi w:val="0"/>
        <w:spacing w:before="120" w:after="0"/>
        <w:jc w:val="left"/>
        <w:rPr>
          <w:rFonts w:ascii="Times New Roman" w:hAnsi="Times New Roman"/>
          <w:sz w:val="20"/>
        </w:rPr>
      </w:pPr>
      <w:r>
        <w:rPr>
          <w:rFonts w:ascii="Times New Roman" w:hAnsi="Times New Roman"/>
          <w:sz w:val="20"/>
        </w:rPr>
        <w:t xml:space="preserve">(a) delete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to add the double-underlined text (indicated textually in the same manner as the following example: </w:t>
      </w:r>
      <w:r>
        <w:rPr>
          <w:rFonts w:ascii="Times New Roman" w:hAnsi="Times New Roman"/>
          <w:color w:val="0000FF"/>
          <w:sz w:val="20"/>
          <w:u w:val="single"/>
          <w:bdr w:val="double" w:sz="2" w:space="1" w:color="000000"/>
        </w:rPr>
        <w:t>double-underlined text</w:t>
      </w:r>
      <w:r>
        <w:rPr>
          <w:rFonts w:ascii="Times New Roman" w:hAnsi="Times New Roman"/>
          <w:sz w:val="20"/>
        </w:rPr>
        <w:t xml:space="preserve">) as set forth in the pages of the Amended Credit Agreement attached hereto as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replace the Loan Party Schedule in its entirety with the Loan Party Schedule attached hereto as </w:t>
      </w:r>
      <w:r>
        <w:rPr>
          <w:rFonts w:ascii="Times New Roman" w:hAnsi="Times New Roman"/>
          <w:sz w:val="20"/>
          <w:u w:val="single"/>
        </w:rPr>
        <w:t>Exhibit B</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(c) replace the Revolving Commitment Schedule in its entirety with the Revolving Commitment Schedule attached hereto as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FOUR — CONDITIONS</w:t>
      </w:r>
      <w:r>
        <w:rPr>
          <w:rFonts w:ascii="Times New Roman" w:hAnsi="Times New Roman"/>
          <w:sz w:val="20"/>
        </w:rPr>
        <w:t>. This Amendment and the agreements herein of the 2026 Incremental Revolving Lenders and the Consenting Lenders shall become effective on the date (the “</w:t>
      </w:r>
      <w:r>
        <w:rPr>
          <w:rFonts w:ascii="Times New Roman" w:hAnsi="Times New Roman"/>
          <w:sz w:val="20"/>
          <w:u w:val="single"/>
        </w:rPr>
        <w:t>Ninth Amendment Effective Date</w:t>
      </w:r>
      <w:r>
        <w:rPr>
          <w:rFonts w:ascii="Times New Roman" w:hAnsi="Times New Roman"/>
          <w:sz w:val="20"/>
        </w:rPr>
        <w:t xml:space="preserve">”) when each of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Documents</w:t>
      </w:r>
      <w:r>
        <w:rPr>
          <w:rFonts w:ascii="Times New Roman" w:hAnsi="Times New Roman"/>
          <w:sz w:val="20"/>
        </w:rPr>
        <w:t>. Each of the Borrowers, Holdings, the 2026 Incremental Revolving Lenders, the Consenting Lenders, the Swingline Lender and Issuing Banks shall have signed a counterpart hereof (whether the same or different counterparts), the Borrower Representative shall have signed a counterpart of the fee letter, dated as of the Ninth Amendment Effective Date (the “</w:t>
      </w:r>
      <w:r>
        <w:rPr>
          <w:rFonts w:ascii="Times New Roman" w:hAnsi="Times New Roman"/>
          <w:sz w:val="20"/>
          <w:u w:val="single"/>
        </w:rPr>
        <w:t>Ninth Amendment Fee Letter</w:t>
      </w:r>
      <w:r>
        <w:rPr>
          <w:rFonts w:ascii="Times New Roman" w:hAnsi="Times New Roman"/>
          <w:sz w:val="20"/>
        </w:rPr>
        <w:t xml:space="preserve">”), and each of the U.S. Loan Guarantors and the Canadian Loan Guarantors shall have signed a counterpart (whether the same or different counterparts) to a reaffirmation, in form and substance consistent with the reaffirmations previously delivered to the Administrative Agent, and, in each case, shall have delivered (including by way of facsimile or other electronic transmission) the same to the Administrative Agent (or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Officer’s Certificate</w:t>
      </w:r>
      <w:r>
        <w:rPr>
          <w:rFonts w:ascii="Times New Roman" w:hAnsi="Times New Roman"/>
          <w:sz w:val="20"/>
        </w:rPr>
        <w:t xml:space="preserve">. The Administrative Agent shall have received a certificate, signed by a Financial Officer of the Borrower Representative, on behalf of the Borrowers, certifying that immediately before and after giving effect to this Amendment, (i) the representations and warranties contained in Article III of the Amended Credit Agreement and the other Loan Documents are true and correct in all material respects (except that such materiality qualifier shall not be applicable to any representations or warranties that are already qualified or modified by materiality in the text thereof or except to the extent such representation or warranty relates to an earlier date, in which case such representation and warranty shall be true and correct in all material respects as of such earlier date), and (ii) no Default or Event of Default exists.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Legal Opinions</w:t>
      </w:r>
      <w:r>
        <w:rPr>
          <w:rFonts w:ascii="Times New Roman" w:hAnsi="Times New Roman"/>
          <w:sz w:val="20"/>
        </w:rPr>
        <w:t xml:space="preserve">. The Administrative Agent (or its counsel) shall have received written opinions of counsel to the Loan Parties, addressed to the Administrative Agent and the Lenders party hereto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Certificates; Certified Certificate of Incorporation; Good Standing Certificates</w:t>
      </w:r>
      <w:r>
        <w:rPr>
          <w:rFonts w:ascii="Times New Roman" w:hAnsi="Times New Roman"/>
          <w:sz w:val="20"/>
        </w:rPr>
        <w:t xml:space="preserve">. The Administrative Agent shall have received (i) a certificate of each Loan Party, dated as of the Ninth Amendment Effective Date and executed by its Secretary, Assistant Secretary or other applicable officer of such Loan Party, which shall (A) certify the resolutions of its Board of Directors, members or other body authorizing the transactions contemplated by this Amendment and, if applicable, the execution, delivery and performance of this Amendment and the other Loan Documents to which it is a party, (B) identify by name and title and bear the signatures of the Officers and any other officers of such Loan Party authorized to sign this Amendment and the other Loan Documents to which it is a party, and (C) certify that there have been no changes to such Loan Party’s by-laws or operating, management or partnership agreement (or other equivalent governing documents) since the date such governing document was delivered to the Administrative Agent and certified by a duly appointed, qualified and acting officer of such Loan Party (or, alternatively, include as attachments thereto true and correct copies thereof), (ii) the certificate or articles of incorporation or organization (or other equivalent formation documents), to the extent applicable, for each Loan Party from its jurisdiction of organization and (iii) a good standing certificate, to the extent applicable, for each Loan Party from its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Fees and Expenses</w:t>
      </w:r>
      <w:r>
        <w:rPr>
          <w:rFonts w:ascii="Times New Roman" w:hAnsi="Times New Roman"/>
          <w:sz w:val="20"/>
        </w:rPr>
        <w:t xml:space="preserve">. The Administrative Agent shall have received, (a) for its own account, payment for all reasonable expenses for which invoices have been presented (including the reasonable fees and expenses of legal counsel), at least two (2) Business Days prior to the Ninth Amendment Effective Date and (b) for the account of each of the 2026 Incremental Revolving Lenders and Consenting Lenders, payment of all fees required to be paid to such 2026 Incremental Revolving Lenders and Consenting Lenders pursuant to the Ninth Amendment Fee Letter.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Representations and Warranties</w:t>
      </w:r>
      <w:r>
        <w:rPr>
          <w:rFonts w:ascii="Times New Roman" w:hAnsi="Times New Roman"/>
          <w:sz w:val="20"/>
        </w:rPr>
        <w:t xml:space="preserve">. The representations and warranties set forth in Section Five hereof shall be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Solvency</w:t>
      </w:r>
      <w:r>
        <w:rPr>
          <w:rFonts w:ascii="Times New Roman" w:hAnsi="Times New Roman"/>
          <w:sz w:val="20"/>
        </w:rPr>
        <w:t xml:space="preserve">. The Administrative Agent shall have received a solvency certificate from a Financial Officer of the Borrower Representative in form and substance consistent with the solvency certificates previously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USA PATRIOT Act, Etc</w:t>
      </w:r>
      <w:r>
        <w:rPr>
          <w:rFonts w:ascii="Times New Roman" w:hAnsi="Times New Roman"/>
          <w:sz w:val="20"/>
        </w:rPr>
        <w:t xml:space="preserve">. (i) Each Lender party hereto shall have received all documentation and other information required by bank regulatory authorities under applicable “know your customer” and anti-money laundering rules and regulations, including the USA PATRIOT Act or the Proceeds of Crime Act, for each Loan Party, to the extent requested in a written notice to the Borrower Representative at least three (3) Business Days prior to the Ninth Amendment Effective Date, and (ii) to the extent any Borrower qualifies as a “legal entity customer” under the Beneficial Ownership Regulation, any Lender party hereto that has requested, in a written notice to the Borrower Representative at least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(3) Business Days prior to the Ninth Amendment Effective Date, a Beneficial Ownership Certification in relation to each Borrower shall have received such Beneficial Ownership Certification (</w:t>
      </w:r>
      <w:r>
        <w:rPr>
          <w:rFonts w:ascii="Times New Roman" w:hAnsi="Times New Roman"/>
          <w:sz w:val="20"/>
          <w:u w:val="single"/>
        </w:rPr>
        <w:t>provided</w:t>
      </w:r>
      <w:r>
        <w:rPr>
          <w:rFonts w:ascii="Times New Roman" w:hAnsi="Times New Roman"/>
          <w:sz w:val="20"/>
        </w:rPr>
        <w:t xml:space="preserve"> that, upon the execution and delivery by such Lender of its signature page to this Amendment, the condition set forth in this clause (ii) shall be deemed to be satisfied). </w:t>
      </w:r>
    </w:p>
    <w:p>
      <w:pPr>
        <w:pStyle w:val="TextBody"/>
        <w:bidi w:val="0"/>
        <w:spacing w:before="240" w:after="0"/>
        <w:jc w:val="left"/>
        <w:rPr>
          <w:rFonts w:ascii="Times New Roman" w:hAnsi="Times New Roman"/>
          <w:sz w:val="20"/>
        </w:rPr>
      </w:pPr>
      <w:r>
        <w:rPr>
          <w:rFonts w:ascii="Times New Roman" w:hAnsi="Times New Roman"/>
          <w:sz w:val="20"/>
          <w:u w:val="single"/>
        </w:rPr>
        <w:t>SECTION FIVE — REPRESENTATIONS AND WARRANTIES; NO DEFAULTS</w:t>
      </w:r>
      <w:r>
        <w:rPr>
          <w:rFonts w:ascii="Times New Roman" w:hAnsi="Times New Roman"/>
          <w:sz w:val="20"/>
        </w:rPr>
        <w:t xml:space="preserve">. In order to induce the Lenders to enter into this Amendment, each of the Borrowers represents and warrants, on the Ninth Amendment Effective Date, to each of the Lenders party hereto and the Administrative Agent that: </w:t>
      </w:r>
    </w:p>
    <w:p>
      <w:pPr>
        <w:pStyle w:val="TextBody"/>
        <w:bidi w:val="0"/>
        <w:spacing w:before="120" w:after="0"/>
        <w:jc w:val="left"/>
        <w:rPr>
          <w:rFonts w:ascii="Times New Roman" w:hAnsi="Times New Roman"/>
          <w:sz w:val="20"/>
        </w:rPr>
      </w:pPr>
      <w:r>
        <w:rPr>
          <w:rFonts w:ascii="Times New Roman" w:hAnsi="Times New Roman"/>
          <w:sz w:val="20"/>
        </w:rPr>
        <w:t xml:space="preserve">(a) this Amendment and the Amended Credit Agreement each constitute a legal, valid and binding obligation of such Borrower, enforceable against such Borrower in accordance with its terms, except as enforceability may be limited by applicable bankruptcy, insolvency, reorganization, moratorium or similar laws affecting creditors’ rights generally and by general equitable principles (whether enforcement is sought by proceedings in equity or at law) and the implied covenants of good faith and fair dealing; </w:t>
      </w:r>
    </w:p>
    <w:p>
      <w:pPr>
        <w:pStyle w:val="TextBody"/>
        <w:bidi w:val="0"/>
        <w:spacing w:before="240" w:after="0"/>
        <w:jc w:val="left"/>
        <w:rPr>
          <w:rFonts w:ascii="Times New Roman" w:hAnsi="Times New Roman"/>
          <w:sz w:val="20"/>
        </w:rPr>
      </w:pPr>
      <w:r>
        <w:rPr>
          <w:rFonts w:ascii="Times New Roman" w:hAnsi="Times New Roman"/>
          <w:sz w:val="20"/>
        </w:rPr>
        <w:t xml:space="preserve">(b) all of the representations and warranties contained in Article III of the Amended Credit Agreement and in the other Loan Documents are true and correct in all material respects on the Ninth Amendment Effective Date as if made on and as of such date (unless such representation or warranty relates to a specific date, in which case such representation or warranty was true and correct in all material respects as of such specific date; provided, that any representation and warranty that is qualified as to “materiality”, “Material Adverse Effect” or similar language shall be true and correct (after giving effect to any qualification therein) in all respects on such respective dates); and </w:t>
      </w:r>
    </w:p>
    <w:p>
      <w:pPr>
        <w:pStyle w:val="TextBody"/>
        <w:bidi w:val="0"/>
        <w:spacing w:before="240" w:after="0"/>
        <w:jc w:val="left"/>
        <w:rPr>
          <w:rFonts w:ascii="Times New Roman" w:hAnsi="Times New Roman"/>
          <w:sz w:val="20"/>
        </w:rPr>
      </w:pPr>
      <w:r>
        <w:rPr>
          <w:rFonts w:ascii="Times New Roman" w:hAnsi="Times New Roman"/>
          <w:sz w:val="20"/>
        </w:rPr>
        <w:t xml:space="preserve">(c) no Default or Event of Default exists as of the Ninth Amendment Effective Date immediately prior to and after giving effect to this Amendment. </w:t>
      </w:r>
    </w:p>
    <w:p>
      <w:pPr>
        <w:pStyle w:val="TextBody"/>
        <w:bidi w:val="0"/>
        <w:spacing w:before="240" w:after="0"/>
        <w:jc w:val="left"/>
        <w:rPr>
          <w:rFonts w:ascii="Times New Roman" w:hAnsi="Times New Roman"/>
          <w:sz w:val="20"/>
        </w:rPr>
      </w:pPr>
      <w:r>
        <w:rPr>
          <w:rFonts w:ascii="Times New Roman" w:hAnsi="Times New Roman"/>
          <w:sz w:val="20"/>
          <w:u w:val="single"/>
        </w:rPr>
        <w:t>SECTION SIX — SECURITY</w:t>
      </w:r>
      <w:r>
        <w:rPr>
          <w:rFonts w:ascii="Times New Roman" w:hAnsi="Times New Roman"/>
          <w:sz w:val="20"/>
        </w:rPr>
        <w:t xml:space="preserve">. Holdings and each Borrower acknowledge that (a) the Loans made pursuant to the 2026 Incremental Revolving Commitments constitute Secured Obligations and (b) notwithstanding the effectiveness of this Amendment, (i) all other Loan Documents shall continue to be in full force and effect, (ii) the security interests granted by the Loan Parties pursuant to the Loan Documents are not impaired or affected and (iii) all guarantees made by the Loan Parties pursuant to the Loan Documents and all Liens granted by the Loan Parties as security for the Secured Obligations continue in full force and effect; and, further, confirm and raitfy their obligations under each of the Loan Documents to which they are a party, as amended hereby. </w:t>
      </w:r>
    </w:p>
    <w:p>
      <w:pPr>
        <w:pStyle w:val="TextBody"/>
        <w:bidi w:val="0"/>
        <w:spacing w:before="240" w:after="0"/>
        <w:jc w:val="left"/>
        <w:rPr>
          <w:rFonts w:ascii="Times New Roman" w:hAnsi="Times New Roman"/>
          <w:sz w:val="20"/>
        </w:rPr>
      </w:pPr>
      <w:r>
        <w:rPr>
          <w:rFonts w:ascii="Times New Roman" w:hAnsi="Times New Roman"/>
          <w:sz w:val="20"/>
          <w:u w:val="single"/>
        </w:rPr>
        <w:t>SECTION SEVEN — SEVERABILITY</w:t>
      </w:r>
      <w:r>
        <w:rPr>
          <w:rFonts w:ascii="Times New Roman" w:hAnsi="Times New Roman"/>
          <w:sz w:val="20"/>
        </w:rPr>
        <w:t xml:space="preserve">.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u w:val="single"/>
        </w:rPr>
        <w:t>SECTION EIGHT — CONTINUING EFFECT; NO OTHER WAIVERS OR AMENDMENTS</w:t>
      </w:r>
      <w:r>
        <w:rPr>
          <w:rFonts w:ascii="Times New Roman" w:hAnsi="Times New Roman"/>
          <w:sz w:val="20"/>
        </w:rPr>
        <w:t xml:space="preserve">. Except as expressly set forth herein, this Amendment shall not (i) constitute a substitution or novation, or a payment and reborrowing, or a termination, of the Secured Obligations outstanding under the Amended Credit Agreement or instruments guaranteeing or securing the same, which shall remain in full force and effect, except as modified hereby or (ii) by implication or otherwise limit, impair, constitute a waiver of, or otherwise affect the rights and remedies of the Lenders, the Administrative Agent or the Loan Parties under the Amended Credit Agreement, the Collateral Documents or any other Loan Document, and shall not alter, modify, amend or in any way affect any of the terms, conditions, obligations, covenants or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contained in the Amended Credit Agreement, the Collateral Documents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Amended Credit Agreement, any Collateral Document or any other Loan Document in similar or different circumstances. After the Ninth Amendment Effective Date, any reference in any Loan Document to the “Credit Agreement” shall mean the Amended Credit Agreement. This Amendment shall constitute a Loan Document for all purposes of the Amended Credit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u w:val="single"/>
        </w:rPr>
        <w:t>SECTION NINE — COUNTERPARTS</w:t>
      </w:r>
      <w:r>
        <w:rPr>
          <w:rFonts w:ascii="Times New Roman" w:hAnsi="Times New Roman"/>
          <w:sz w:val="20"/>
        </w:rPr>
        <w:t xml:space="preserve">. This Amendment may be executed by one or more of the parties to this Amendment on any number of separate counterparts, and all of said counterparts taken together shall be deemed to constitute one and the same instrument.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u w:val="single"/>
        </w:rPr>
        <w:t>SECTION TEN — GOVERNING LAW</w:t>
      </w:r>
      <w:r>
        <w:rPr>
          <w:rFonts w:ascii="Times New Roman" w:hAnsi="Times New Roman"/>
          <w:sz w:val="20"/>
        </w:rPr>
        <w:t xml:space="preserve">. THIS AMENDMENT AND THE RIGHTS AND OBLIGATIONS OF THE PARTIES UNDER THIS AMENDMENT SHALL BE GOVERNED BY, AND CONSTRUED AND INTERPRETED IN ACCORDANCE WITH, THE LAW OF THE STATE OF NEW YORK. The provisions of Sections 9.09 and 9.10 of the Credit Agreement are hereby incorporated by reference herein,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U.S. BORROWERS: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WESCO DISTRIBUTION,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Brian M. Begg</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Brian M. Begg</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Senior Vice President &amp; Treasurer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CALVERT WIRE &amp; CABLE CORPORATION,</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CARLTON-BATES COMPANY,</w:t>
            </w:r>
          </w:p>
          <w:p>
            <w:pPr>
              <w:pStyle w:val="TableContents"/>
              <w:bidi w:val="0"/>
              <w:spacing w:before="0" w:after="20"/>
              <w:jc w:val="left"/>
              <w:rPr>
                <w:rFonts w:ascii="Times New Roman" w:hAnsi="Times New Roman"/>
                <w:sz w:val="20"/>
              </w:rPr>
            </w:pPr>
            <w:r>
              <w:rPr>
                <w:rFonts w:ascii="Times New Roman" w:hAnsi="Times New Roman"/>
                <w:sz w:val="20"/>
              </w:rPr>
              <w:t>an Arkansas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COMMUNICATIONS SUPPLY CORPORATION,</w:t>
            </w:r>
          </w:p>
          <w:p>
            <w:pPr>
              <w:pStyle w:val="TableContents"/>
              <w:bidi w:val="0"/>
              <w:spacing w:before="0" w:after="20"/>
              <w:jc w:val="left"/>
              <w:rPr>
                <w:rFonts w:ascii="Times New Roman" w:hAnsi="Times New Roman"/>
                <w:sz w:val="20"/>
              </w:rPr>
            </w:pPr>
            <w:r>
              <w:rPr>
                <w:rFonts w:ascii="Times New Roman" w:hAnsi="Times New Roman"/>
                <w:sz w:val="20"/>
              </w:rPr>
              <w:t>a Connecticut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HI-LINE UTILITY SUPPLY COMPANY, LLC,</w:t>
            </w:r>
          </w:p>
          <w:p>
            <w:pPr>
              <w:pStyle w:val="TableContents"/>
              <w:bidi w:val="0"/>
              <w:spacing w:before="0" w:after="20"/>
              <w:jc w:val="left"/>
              <w:rPr>
                <w:rFonts w:ascii="Times New Roman" w:hAnsi="Times New Roman"/>
                <w:sz w:val="20"/>
              </w:rPr>
            </w:pPr>
            <w:r>
              <w:rPr>
                <w:rFonts w:ascii="Times New Roman" w:hAnsi="Times New Roman"/>
                <w:sz w:val="20"/>
              </w:rPr>
              <w:t>an Illinois limited liability company</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TVC COMMUNICATIONS, L.L.C.,</w:t>
            </w:r>
          </w:p>
          <w:p>
            <w:pPr>
              <w:pStyle w:val="TableContents"/>
              <w:bidi w:val="0"/>
              <w:spacing w:before="0" w:after="20"/>
              <w:jc w:val="left"/>
              <w:rPr>
                <w:rFonts w:ascii="Times New Roman" w:hAnsi="Times New Roman"/>
                <w:sz w:val="20"/>
              </w:rPr>
            </w:pPr>
            <w:r>
              <w:rPr>
                <w:rFonts w:ascii="Times New Roman" w:hAnsi="Times New Roman"/>
                <w:sz w:val="20"/>
              </w:rPr>
              <w:t>a Delaware limited liability company</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WESCO EQUITY CORPORATION,</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WESCO NEVADA, LTD.,</w:t>
            </w:r>
          </w:p>
          <w:p>
            <w:pPr>
              <w:pStyle w:val="TableContents"/>
              <w:bidi w:val="0"/>
              <w:spacing w:before="0" w:after="20"/>
              <w:jc w:val="left"/>
              <w:rPr>
                <w:rFonts w:ascii="Times New Roman" w:hAnsi="Times New Roman"/>
                <w:sz w:val="20"/>
              </w:rPr>
            </w:pPr>
            <w:r>
              <w:rPr>
                <w:rFonts w:ascii="Times New Roman" w:hAnsi="Times New Roman"/>
                <w:sz w:val="20"/>
              </w:rPr>
              <w:t>a Nevada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ANIXTER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Brian M. Begg</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Brian M. Begg</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HILL COUNTRY ELECTRIC SUPPLY, L.P., a Texas limited partnership</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TVC INTERNATIONAL HOLDING, L.L.C.,</w:t>
            </w:r>
          </w:p>
        </w:tc>
      </w:tr>
      <w:tr>
        <w:trPr/>
        <w:tc>
          <w:tcPr>
            <w:tcW w:w="6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its General Partner</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Brian M. Begg</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Brian M. Begg</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HOLDINGS: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WESCO INTERNATIONAL, INC.,</w:t>
            </w:r>
          </w:p>
        </w:tc>
      </w:tr>
      <w:tr>
        <w:trPr/>
        <w:tc>
          <w:tcPr>
            <w:tcW w:w="4082" w:type="dxa"/>
            <w:gridSpan w:val="3"/>
            <w:tcBorders/>
          </w:tcPr>
          <w:p>
            <w:pPr>
              <w:pStyle w:val="TableContents"/>
              <w:bidi w:val="0"/>
              <w:spacing w:before="0" w:after="283"/>
              <w:jc w:val="left"/>
              <w:rPr/>
            </w:pPr>
            <w:r>
              <w:rPr/>
              <w:t>a Delaware corporation</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Brian M. Begg</w:t>
            </w:r>
          </w:p>
        </w:tc>
      </w:tr>
      <w:tr>
        <w:trPr/>
        <w:tc>
          <w:tcPr>
            <w:tcW w:w="64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Brian M. Begg</w:t>
            </w:r>
          </w:p>
        </w:tc>
      </w:tr>
      <w:tr>
        <w:trPr/>
        <w:tc>
          <w:tcPr>
            <w:tcW w:w="64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vAlign w:val="bottom"/>
          </w:tcPr>
          <w:p>
            <w:pPr>
              <w:pStyle w:val="TableContents"/>
              <w:bidi w:val="0"/>
              <w:spacing w:before="0" w:after="283"/>
              <w:jc w:val="left"/>
              <w:rPr/>
            </w:pPr>
            <w:r>
              <w:rPr/>
              <w:t>Senior Vice President &amp;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31"/>
        <w:gridCol w:w="83"/>
        <w:gridCol w:w="3068"/>
      </w:tblGrid>
      <w:tr>
        <w:trPr/>
        <w:tc>
          <w:tcPr>
            <w:tcW w:w="931"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CANADIAN BORROWERS: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WESCO DISTRIBUTION CANADA LP</w:t>
            </w:r>
          </w:p>
        </w:tc>
      </w:tr>
      <w:tr>
        <w:trPr>
          <w:trHeight w:val="240" w:hRule="atLeast"/>
        </w:trPr>
        <w:tc>
          <w:tcPr>
            <w:tcW w:w="931" w:type="dxa"/>
            <w:tcBorders/>
            <w:vAlign w:val="center"/>
          </w:tcPr>
          <w:p>
            <w:pPr>
              <w:pStyle w:val="TableContents"/>
              <w:bidi w:val="0"/>
              <w:spacing w:before="0" w:after="283"/>
              <w:jc w:val="left"/>
              <w:rPr>
                <w:sz w:val="4"/>
                <w:szCs w:val="4"/>
              </w:rPr>
            </w:pPr>
            <w:r>
              <w:rPr>
                <w:sz w:val="4"/>
                <w:szCs w:val="4"/>
              </w:rPr>
            </w:r>
          </w:p>
        </w:tc>
        <w:tc>
          <w:tcPr>
            <w:tcW w:w="3151" w:type="dxa"/>
            <w:gridSpan w:val="2"/>
            <w:tcBorders/>
            <w:vAlign w:val="center"/>
          </w:tcPr>
          <w:p>
            <w:pPr>
              <w:pStyle w:val="TableContents"/>
              <w:bidi w:val="0"/>
              <w:spacing w:before="0" w:after="283"/>
              <w:jc w:val="left"/>
              <w:rPr>
                <w:sz w:val="4"/>
                <w:szCs w:val="4"/>
              </w:rPr>
            </w:pPr>
            <w:r>
              <w:rPr>
                <w:sz w:val="4"/>
                <w:szCs w:val="4"/>
              </w:rPr>
            </w:r>
          </w:p>
        </w:tc>
      </w:tr>
      <w:tr>
        <w:trPr/>
        <w:tc>
          <w:tcPr>
            <w:tcW w:w="931" w:type="dxa"/>
            <w:tcBorders/>
            <w:vAlign w:val="bottom"/>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068" w:type="dxa"/>
            <w:tcBorders/>
            <w:vAlign w:val="bottom"/>
          </w:tcPr>
          <w:p>
            <w:pPr>
              <w:pStyle w:val="TableContents"/>
              <w:bidi w:val="0"/>
              <w:spacing w:before="0" w:after="283"/>
              <w:jc w:val="left"/>
              <w:rPr/>
            </w:pPr>
            <w:r>
              <w:rPr/>
              <w:t>WESCO CANADA GP INC.,</w:t>
            </w:r>
          </w:p>
        </w:tc>
      </w:tr>
      <w:tr>
        <w:trPr/>
        <w:tc>
          <w:tcPr>
            <w:tcW w:w="931"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068" w:type="dxa"/>
            <w:tcBorders/>
          </w:tcPr>
          <w:p>
            <w:pPr>
              <w:pStyle w:val="TableContents"/>
              <w:bidi w:val="0"/>
              <w:spacing w:before="0" w:after="283"/>
              <w:jc w:val="left"/>
              <w:rPr/>
            </w:pPr>
            <w:r>
              <w:rPr/>
              <w:t>its General Partner</w:t>
            </w:r>
          </w:p>
        </w:tc>
      </w:tr>
      <w:tr>
        <w:trPr>
          <w:trHeight w:val="240" w:hRule="atLeast"/>
        </w:trPr>
        <w:tc>
          <w:tcPr>
            <w:tcW w:w="931" w:type="dxa"/>
            <w:tcBorders/>
            <w:vAlign w:val="center"/>
          </w:tcPr>
          <w:p>
            <w:pPr>
              <w:pStyle w:val="TableContents"/>
              <w:bidi w:val="0"/>
              <w:spacing w:before="0" w:after="283"/>
              <w:jc w:val="left"/>
              <w:rPr>
                <w:sz w:val="4"/>
                <w:szCs w:val="4"/>
              </w:rPr>
            </w:pPr>
            <w:r>
              <w:rPr>
                <w:sz w:val="4"/>
                <w:szCs w:val="4"/>
              </w:rPr>
            </w:r>
          </w:p>
        </w:tc>
        <w:tc>
          <w:tcPr>
            <w:tcW w:w="3151" w:type="dxa"/>
            <w:gridSpan w:val="2"/>
            <w:tcBorders/>
            <w:vAlign w:val="center"/>
          </w:tcPr>
          <w:p>
            <w:pPr>
              <w:pStyle w:val="TableContents"/>
              <w:bidi w:val="0"/>
              <w:spacing w:before="0" w:after="283"/>
              <w:jc w:val="left"/>
              <w:rPr>
                <w:sz w:val="4"/>
                <w:szCs w:val="4"/>
              </w:rPr>
            </w:pPr>
            <w:r>
              <w:rPr>
                <w:sz w:val="4"/>
                <w:szCs w:val="4"/>
              </w:rPr>
            </w:r>
          </w:p>
        </w:tc>
      </w:tr>
      <w:tr>
        <w:trPr/>
        <w:tc>
          <w:tcPr>
            <w:tcW w:w="931"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3068" w:type="dxa"/>
            <w:tcBorders>
              <w:bottom w:val="single" w:sz="2" w:space="0" w:color="000000"/>
            </w:tcBorders>
            <w:tcMar>
              <w:bottom w:w="28" w:type="dxa"/>
            </w:tcMar>
          </w:tcPr>
          <w:p>
            <w:pPr>
              <w:pStyle w:val="TableContents"/>
              <w:bidi w:val="0"/>
              <w:spacing w:before="0" w:after="283"/>
              <w:jc w:val="left"/>
              <w:rPr/>
            </w:pPr>
            <w:r>
              <w:rPr/>
              <w:t>/s/ Brian M. Begg</w:t>
            </w:r>
          </w:p>
        </w:tc>
      </w:tr>
      <w:tr>
        <w:trPr/>
        <w:tc>
          <w:tcPr>
            <w:tcW w:w="931" w:type="dxa"/>
            <w:tcBorders/>
            <w:vAlign w:val="bottom"/>
          </w:tcPr>
          <w:p>
            <w:pPr>
              <w:pStyle w:val="TableContents"/>
              <w:bidi w:val="0"/>
              <w:spacing w:before="0" w:after="283"/>
              <w:jc w:val="left"/>
              <w:rPr/>
            </w:pPr>
            <w:r>
              <w:rPr/>
              <w:t>Name:</w:t>
            </w:r>
          </w:p>
        </w:tc>
        <w:tc>
          <w:tcPr>
            <w:tcW w:w="83" w:type="dxa"/>
            <w:tcBorders/>
            <w:vAlign w:val="bottom"/>
          </w:tcPr>
          <w:p>
            <w:pPr>
              <w:pStyle w:val="TableContents"/>
              <w:bidi w:val="0"/>
              <w:spacing w:before="0" w:after="283"/>
              <w:jc w:val="left"/>
              <w:rPr/>
            </w:pPr>
            <w:r>
              <w:rPr/>
              <w:t> </w:t>
            </w:r>
          </w:p>
        </w:tc>
        <w:tc>
          <w:tcPr>
            <w:tcW w:w="3068" w:type="dxa"/>
            <w:tcBorders/>
            <w:vAlign w:val="bottom"/>
          </w:tcPr>
          <w:p>
            <w:pPr>
              <w:pStyle w:val="TableContents"/>
              <w:bidi w:val="0"/>
              <w:spacing w:before="0" w:after="283"/>
              <w:jc w:val="left"/>
              <w:rPr/>
            </w:pPr>
            <w:r>
              <w:rPr/>
              <w:t>Brian M. Begg</w:t>
            </w:r>
          </w:p>
        </w:tc>
      </w:tr>
      <w:tr>
        <w:trPr/>
        <w:tc>
          <w:tcPr>
            <w:tcW w:w="931" w:type="dxa"/>
            <w:tcBorders/>
            <w:vAlign w:val="bottom"/>
          </w:tcPr>
          <w:p>
            <w:pPr>
              <w:pStyle w:val="TableContents"/>
              <w:bidi w:val="0"/>
              <w:spacing w:before="0" w:after="283"/>
              <w:jc w:val="left"/>
              <w:rPr/>
            </w:pPr>
            <w:r>
              <w:rPr/>
              <w:t>Title:</w:t>
            </w:r>
          </w:p>
        </w:tc>
        <w:tc>
          <w:tcPr>
            <w:tcW w:w="83" w:type="dxa"/>
            <w:tcBorders/>
            <w:vAlign w:val="bottom"/>
          </w:tcPr>
          <w:p>
            <w:pPr>
              <w:pStyle w:val="TableContents"/>
              <w:bidi w:val="0"/>
              <w:spacing w:before="0" w:after="283"/>
              <w:jc w:val="left"/>
              <w:rPr/>
            </w:pPr>
            <w:r>
              <w:rPr/>
              <w:t> </w:t>
            </w:r>
          </w:p>
        </w:tc>
        <w:tc>
          <w:tcPr>
            <w:tcW w:w="3068" w:type="dxa"/>
            <w:tcBorders/>
            <w:vAlign w:val="bottom"/>
          </w:tcPr>
          <w:p>
            <w:pPr>
              <w:pStyle w:val="TableContents"/>
              <w:bidi w:val="0"/>
              <w:spacing w:before="0" w:after="283"/>
              <w:jc w:val="left"/>
              <w:rPr/>
            </w:pPr>
            <w:r>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EECOL ELECTRIC CORP.</w:t>
            </w:r>
          </w:p>
        </w:tc>
      </w:tr>
      <w:tr>
        <w:trPr/>
        <w:tc>
          <w:tcPr>
            <w:tcW w:w="4082" w:type="dxa"/>
            <w:gridSpan w:val="3"/>
            <w:tcBorders/>
          </w:tcPr>
          <w:p>
            <w:pPr>
              <w:pStyle w:val="TableContents"/>
              <w:bidi w:val="0"/>
              <w:spacing w:before="0" w:after="283"/>
              <w:jc w:val="left"/>
              <w:rPr/>
            </w:pPr>
            <w:r>
              <w:rPr/>
              <w:t>ANIXTER CANADA INC.</w:t>
            </w:r>
          </w:p>
        </w:tc>
      </w:tr>
      <w:tr>
        <w:trPr/>
        <w:tc>
          <w:tcPr>
            <w:tcW w:w="4082" w:type="dxa"/>
            <w:gridSpan w:val="3"/>
            <w:tcBorders/>
          </w:tcPr>
          <w:p>
            <w:pPr>
              <w:pStyle w:val="TableContents"/>
              <w:bidi w:val="0"/>
              <w:spacing w:before="0" w:after="283"/>
              <w:jc w:val="left"/>
              <w:rPr/>
            </w:pPr>
            <w:r>
              <w:rPr/>
              <w:t>ANIXTER POWER SOLUTIONS CANADA INC.</w:t>
            </w:r>
          </w:p>
        </w:tc>
      </w:tr>
      <w:tr>
        <w:trPr/>
        <w:tc>
          <w:tcPr>
            <w:tcW w:w="4082" w:type="dxa"/>
            <w:gridSpan w:val="3"/>
            <w:tcBorders/>
          </w:tcPr>
          <w:p>
            <w:pPr>
              <w:pStyle w:val="TableContents"/>
              <w:bidi w:val="0"/>
              <w:spacing w:before="0" w:after="283"/>
              <w:jc w:val="left"/>
              <w:rPr/>
            </w:pPr>
            <w:r>
              <w:rPr/>
              <w:t>XPRESSCONNECT SUPPLY CANADA, LTD.</w:t>
            </w:r>
          </w:p>
        </w:tc>
      </w:tr>
      <w:tr>
        <w:trPr>
          <w:trHeight w:val="240" w:hRule="atLeast"/>
        </w:trPr>
        <w:tc>
          <w:tcPr>
            <w:tcW w:w="931" w:type="dxa"/>
            <w:tcBorders/>
            <w:vAlign w:val="center"/>
          </w:tcPr>
          <w:p>
            <w:pPr>
              <w:pStyle w:val="TableContents"/>
              <w:bidi w:val="0"/>
              <w:spacing w:before="0" w:after="283"/>
              <w:jc w:val="left"/>
              <w:rPr>
                <w:sz w:val="4"/>
                <w:szCs w:val="4"/>
              </w:rPr>
            </w:pPr>
            <w:r>
              <w:rPr>
                <w:sz w:val="4"/>
                <w:szCs w:val="4"/>
              </w:rPr>
            </w:r>
          </w:p>
        </w:tc>
        <w:tc>
          <w:tcPr>
            <w:tcW w:w="3151" w:type="dxa"/>
            <w:gridSpan w:val="2"/>
            <w:tcBorders/>
            <w:vAlign w:val="center"/>
          </w:tcPr>
          <w:p>
            <w:pPr>
              <w:pStyle w:val="TableContents"/>
              <w:bidi w:val="0"/>
              <w:spacing w:before="0" w:after="283"/>
              <w:jc w:val="left"/>
              <w:rPr>
                <w:sz w:val="4"/>
                <w:szCs w:val="4"/>
              </w:rPr>
            </w:pPr>
            <w:r>
              <w:rPr>
                <w:sz w:val="4"/>
                <w:szCs w:val="4"/>
              </w:rPr>
            </w:r>
          </w:p>
        </w:tc>
      </w:tr>
      <w:tr>
        <w:trPr/>
        <w:tc>
          <w:tcPr>
            <w:tcW w:w="931"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3068" w:type="dxa"/>
            <w:tcBorders>
              <w:bottom w:val="single" w:sz="2" w:space="0" w:color="000000"/>
            </w:tcBorders>
            <w:tcMar>
              <w:bottom w:w="28" w:type="dxa"/>
            </w:tcMar>
          </w:tcPr>
          <w:p>
            <w:pPr>
              <w:pStyle w:val="TableContents"/>
              <w:bidi w:val="0"/>
              <w:spacing w:before="0" w:after="283"/>
              <w:jc w:val="left"/>
              <w:rPr/>
            </w:pPr>
            <w:r>
              <w:rPr/>
              <w:t>/s/ Brian M. Begg</w:t>
            </w:r>
          </w:p>
        </w:tc>
      </w:tr>
      <w:tr>
        <w:trPr/>
        <w:tc>
          <w:tcPr>
            <w:tcW w:w="931" w:type="dxa"/>
            <w:tcBorders/>
            <w:vAlign w:val="bottom"/>
          </w:tcPr>
          <w:p>
            <w:pPr>
              <w:pStyle w:val="TableContents"/>
              <w:bidi w:val="0"/>
              <w:spacing w:before="0" w:after="283"/>
              <w:jc w:val="left"/>
              <w:rPr/>
            </w:pPr>
            <w:r>
              <w:rPr/>
              <w:t>Name:</w:t>
            </w:r>
          </w:p>
        </w:tc>
        <w:tc>
          <w:tcPr>
            <w:tcW w:w="83" w:type="dxa"/>
            <w:tcBorders/>
            <w:vAlign w:val="bottom"/>
          </w:tcPr>
          <w:p>
            <w:pPr>
              <w:pStyle w:val="TableContents"/>
              <w:bidi w:val="0"/>
              <w:spacing w:before="0" w:after="283"/>
              <w:jc w:val="left"/>
              <w:rPr/>
            </w:pPr>
            <w:r>
              <w:rPr/>
              <w:t> </w:t>
            </w:r>
          </w:p>
        </w:tc>
        <w:tc>
          <w:tcPr>
            <w:tcW w:w="3068" w:type="dxa"/>
            <w:tcBorders/>
            <w:vAlign w:val="bottom"/>
          </w:tcPr>
          <w:p>
            <w:pPr>
              <w:pStyle w:val="TableContents"/>
              <w:bidi w:val="0"/>
              <w:spacing w:before="0" w:after="283"/>
              <w:jc w:val="left"/>
              <w:rPr/>
            </w:pPr>
            <w:r>
              <w:rPr/>
              <w:t>Brian M. Begg</w:t>
            </w:r>
          </w:p>
        </w:tc>
      </w:tr>
      <w:tr>
        <w:trPr/>
        <w:tc>
          <w:tcPr>
            <w:tcW w:w="931" w:type="dxa"/>
            <w:tcBorders/>
            <w:vAlign w:val="bottom"/>
          </w:tcPr>
          <w:p>
            <w:pPr>
              <w:pStyle w:val="TableContents"/>
              <w:bidi w:val="0"/>
              <w:spacing w:before="0" w:after="283"/>
              <w:jc w:val="left"/>
              <w:rPr/>
            </w:pPr>
            <w:r>
              <w:rPr/>
              <w:t>Title:</w:t>
            </w:r>
          </w:p>
        </w:tc>
        <w:tc>
          <w:tcPr>
            <w:tcW w:w="83" w:type="dxa"/>
            <w:tcBorders/>
            <w:vAlign w:val="bottom"/>
          </w:tcPr>
          <w:p>
            <w:pPr>
              <w:pStyle w:val="TableContents"/>
              <w:bidi w:val="0"/>
              <w:spacing w:before="0" w:after="283"/>
              <w:jc w:val="left"/>
              <w:rPr/>
            </w:pPr>
            <w:r>
              <w:rPr/>
              <w:t> </w:t>
            </w:r>
          </w:p>
        </w:tc>
        <w:tc>
          <w:tcPr>
            <w:tcW w:w="3068" w:type="dxa"/>
            <w:tcBorders/>
            <w:vAlign w:val="bottom"/>
          </w:tcPr>
          <w:p>
            <w:pPr>
              <w:pStyle w:val="TableContents"/>
              <w:bidi w:val="0"/>
              <w:spacing w:before="0" w:after="283"/>
              <w:jc w:val="left"/>
              <w:rPr/>
            </w:pPr>
            <w:r>
              <w:rPr/>
              <w:t>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ADMINISTRATIVE AGENT, 2026</w:t>
            </w:r>
          </w:p>
          <w:p>
            <w:pPr>
              <w:pStyle w:val="TableContents"/>
              <w:bidi w:val="0"/>
              <w:spacing w:before="0" w:after="0"/>
              <w:jc w:val="left"/>
              <w:rPr>
                <w:rFonts w:ascii="Times New Roman" w:hAnsi="Times New Roman"/>
                <w:b/>
                <w:sz w:val="20"/>
              </w:rPr>
            </w:pPr>
            <w:r>
              <w:rPr>
                <w:rFonts w:ascii="Times New Roman" w:hAnsi="Times New Roman"/>
                <w:b/>
                <w:sz w:val="20"/>
              </w:rPr>
              <w:t>INCREMENTAL REVOLVING LENDER,</w:t>
            </w:r>
          </w:p>
          <w:p>
            <w:pPr>
              <w:pStyle w:val="TableContents"/>
              <w:bidi w:val="0"/>
              <w:spacing w:before="0" w:after="0"/>
              <w:jc w:val="left"/>
              <w:rPr>
                <w:rFonts w:ascii="Times New Roman" w:hAnsi="Times New Roman"/>
                <w:b/>
                <w:sz w:val="20"/>
              </w:rPr>
            </w:pPr>
            <w:r>
              <w:rPr>
                <w:rFonts w:ascii="Times New Roman" w:hAnsi="Times New Roman"/>
                <w:b/>
                <w:sz w:val="20"/>
              </w:rPr>
              <w:t>CONSENTING LENDER, SWINGLINE LENDER</w:t>
            </w:r>
          </w:p>
          <w:p>
            <w:pPr>
              <w:pStyle w:val="TableContents"/>
              <w:bidi w:val="0"/>
              <w:spacing w:before="0" w:after="20"/>
              <w:jc w:val="left"/>
              <w:rPr>
                <w:rFonts w:ascii="Times New Roman" w:hAnsi="Times New Roman"/>
                <w:b/>
                <w:sz w:val="20"/>
              </w:rPr>
            </w:pPr>
            <w:r>
              <w:rPr>
                <w:rFonts w:ascii="Times New Roman" w:hAnsi="Times New Roman"/>
                <w:b/>
                <w:sz w:val="20"/>
              </w:rPr>
              <w:t>AND ISSUING BANK:</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BARCLAYS BANK PLC, individually, as a Consenting</w:t>
            </w:r>
          </w:p>
          <w:p>
            <w:pPr>
              <w:pStyle w:val="TableContents"/>
              <w:bidi w:val="0"/>
              <w:spacing w:before="0" w:after="0"/>
              <w:jc w:val="left"/>
              <w:rPr>
                <w:rFonts w:ascii="Times New Roman" w:hAnsi="Times New Roman"/>
                <w:sz w:val="20"/>
              </w:rPr>
            </w:pPr>
            <w:r>
              <w:rPr>
                <w:rFonts w:ascii="Times New Roman" w:hAnsi="Times New Roman"/>
                <w:sz w:val="20"/>
              </w:rPr>
              <w:t>Lender, a 2026 Incremental Revolving Lender,</w:t>
            </w:r>
          </w:p>
          <w:p>
            <w:pPr>
              <w:pStyle w:val="TableContents"/>
              <w:bidi w:val="0"/>
              <w:spacing w:before="0" w:after="0"/>
              <w:jc w:val="left"/>
              <w:rPr>
                <w:rFonts w:ascii="Times New Roman" w:hAnsi="Times New Roman"/>
                <w:sz w:val="20"/>
              </w:rPr>
            </w:pPr>
            <w:r>
              <w:rPr>
                <w:rFonts w:ascii="Times New Roman" w:hAnsi="Times New Roman"/>
                <w:sz w:val="20"/>
              </w:rPr>
              <w:t>Swingline Lender, an Issuing Bank and as the</w:t>
            </w:r>
          </w:p>
          <w:p>
            <w:pPr>
              <w:pStyle w:val="TableContents"/>
              <w:bidi w:val="0"/>
              <w:spacing w:before="0" w:after="20"/>
              <w:jc w:val="left"/>
              <w:rPr>
                <w:rFonts w:ascii="Times New Roman" w:hAnsi="Times New Roman"/>
                <w:sz w:val="20"/>
              </w:rPr>
            </w:pPr>
            <w:r>
              <w:rPr>
                <w:rFonts w:ascii="Times New Roman" w:hAnsi="Times New Roman"/>
                <w:sz w:val="20"/>
              </w:rPr>
              <w:t>Administrative Agent</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4" w:type="dxa"/>
            <w:tcBorders>
              <w:bottom w:val="single" w:sz="2" w:space="0" w:color="000000"/>
            </w:tcBorders>
            <w:tcMar>
              <w:bottom w:w="28" w:type="dxa"/>
            </w:tcMar>
          </w:tcPr>
          <w:p>
            <w:pPr>
              <w:pStyle w:val="TableContents"/>
              <w:bidi w:val="0"/>
              <w:spacing w:before="0" w:after="283"/>
              <w:jc w:val="left"/>
              <w:rPr/>
            </w:pPr>
            <w:r>
              <w:rPr/>
              <w:t>/s/ Ritam Bhalla</w:t>
            </w:r>
          </w:p>
        </w:tc>
      </w:tr>
      <w:tr>
        <w:trPr/>
        <w:tc>
          <w:tcPr>
            <w:tcW w:w="68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vAlign w:val="bottom"/>
          </w:tcPr>
          <w:p>
            <w:pPr>
              <w:pStyle w:val="TableContents"/>
              <w:bidi w:val="0"/>
              <w:spacing w:before="0" w:after="283"/>
              <w:jc w:val="left"/>
              <w:rPr/>
            </w:pPr>
            <w:r>
              <w:rPr/>
              <w:t>Ritam Bhalla</w:t>
            </w:r>
          </w:p>
        </w:tc>
      </w:tr>
      <w:tr>
        <w:trPr/>
        <w:tc>
          <w:tcPr>
            <w:tcW w:w="68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Canadian Imperial Bank of Commerce, New York Branch, as a Consenting Lender, a 2026 Incremental Revolving Lender and an Issuing Bank</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Kelly Petit de Mange</w:t>
            </w:r>
          </w:p>
        </w:tc>
      </w:tr>
      <w:tr>
        <w:trPr/>
        <w:tc>
          <w:tcPr>
            <w:tcW w:w="66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Kelly Petit de Mange</w:t>
            </w:r>
          </w:p>
        </w:tc>
      </w:tr>
      <w:tr>
        <w:trPr/>
        <w:tc>
          <w:tcPr>
            <w:tcW w:w="66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vAlign w:val="bottom"/>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TD Bank, N.A.,</w:t>
            </w:r>
          </w:p>
          <w:p>
            <w:pPr>
              <w:pStyle w:val="TableContents"/>
              <w:bidi w:val="0"/>
              <w:spacing w:before="0" w:after="0"/>
              <w:jc w:val="left"/>
              <w:rPr>
                <w:rFonts w:ascii="Times New Roman" w:hAnsi="Times New Roman"/>
                <w:sz w:val="20"/>
              </w:rPr>
            </w:pPr>
            <w:r>
              <w:rPr>
                <w:rFonts w:ascii="Times New Roman" w:hAnsi="Times New Roman"/>
                <w:sz w:val="20"/>
              </w:rPr>
              <w:t>as a Consenting Lender, and a 2026 Incremental</w:t>
            </w:r>
          </w:p>
          <w:p>
            <w:pPr>
              <w:pStyle w:val="TableContents"/>
              <w:bidi w:val="0"/>
              <w:spacing w:before="0" w:after="20"/>
              <w:jc w:val="left"/>
              <w:rPr>
                <w:rFonts w:ascii="Times New Roman" w:hAnsi="Times New Roman"/>
                <w:sz w:val="20"/>
              </w:rPr>
            </w:pPr>
            <w:r>
              <w:rPr>
                <w:rFonts w:ascii="Times New Roman" w:hAnsi="Times New Roman"/>
                <w:sz w:val="20"/>
              </w:rPr>
              <w:t>Revolving Lender and an Issuing Bank</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Antimo Barbieri</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Antimo Barbieri</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0"/>
              <w:jc w:val="left"/>
              <w:rPr>
                <w:rFonts w:ascii="Times New Roman" w:hAnsi="Times New Roman"/>
                <w:sz w:val="20"/>
              </w:rPr>
            </w:pPr>
            <w:r>
              <w:rPr>
                <w:rFonts w:ascii="Times New Roman" w:hAnsi="Times New Roman"/>
                <w:sz w:val="20"/>
              </w:rPr>
              <w:t>as a Consenting Lender, a 2026 Incremental Revolving</w:t>
            </w:r>
          </w:p>
          <w:p>
            <w:pPr>
              <w:pStyle w:val="TableContents"/>
              <w:bidi w:val="0"/>
              <w:spacing w:before="0" w:after="20"/>
              <w:jc w:val="left"/>
              <w:rPr>
                <w:rFonts w:ascii="Times New Roman" w:hAnsi="Times New Roman"/>
                <w:sz w:val="20"/>
              </w:rPr>
            </w:pPr>
            <w:r>
              <w:rPr>
                <w:rFonts w:ascii="Times New Roman" w:hAnsi="Times New Roman"/>
                <w:sz w:val="20"/>
              </w:rPr>
              <w:t>Lender, and an Issuing Bank</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David B. Keith</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David B. Keith</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a Consenting Lender and an Issuing Bank</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David L. Carey</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David L. Carey</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FIFTH THIRD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a Consenting Lender, a 2026 Incremental Revolving Lender and an Issuing Bank</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Zeb Gilliam</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Zeb Gilliam</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w:t>
              <w:br/>
              <w:t>as a Consenting Lender, a 2026 Incremental Revolving Lender and an Issuing Bank</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Mathew Fidler</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Mathew Fidler</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WELLS FARGO CAPITAL FINANCE CORPORATION CANADA,</w:t>
            </w:r>
          </w:p>
          <w:p>
            <w:pPr>
              <w:pStyle w:val="TableContents"/>
              <w:bidi w:val="0"/>
              <w:spacing w:before="0" w:after="20"/>
              <w:jc w:val="left"/>
              <w:rPr>
                <w:rFonts w:ascii="Times New Roman" w:hAnsi="Times New Roman"/>
                <w:sz w:val="20"/>
              </w:rPr>
            </w:pPr>
            <w:r>
              <w:rPr>
                <w:rFonts w:ascii="Times New Roman" w:hAnsi="Times New Roman"/>
                <w:sz w:val="20"/>
              </w:rPr>
              <w:t>as a Consenting Lender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Carmela Massari</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Carmela Massari</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BANK OF NOVA SCOTIA,</w:t>
            </w:r>
          </w:p>
          <w:p>
            <w:pPr>
              <w:pStyle w:val="TableContents"/>
              <w:bidi w:val="0"/>
              <w:spacing w:before="0" w:after="20"/>
              <w:jc w:val="left"/>
              <w:rPr>
                <w:rFonts w:ascii="Times New Roman" w:hAnsi="Times New Roman"/>
                <w:sz w:val="20"/>
              </w:rPr>
            </w:pPr>
            <w:r>
              <w:rPr>
                <w:rFonts w:ascii="Times New Roman" w:hAnsi="Times New Roman"/>
                <w:sz w:val="20"/>
              </w:rPr>
              <w:t>as a Consenting Lender, a 2026 Incremental Revolving Lender and an Issuing Bank</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Adnan Osman</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Adnan Osman</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HSBC Bank USA, National Association as a Consenting Lender, and a 2026 Incremental Revolving Lender and an Issuing Bank</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6" w:type="dxa"/>
            <w:tcBorders>
              <w:bottom w:val="single" w:sz="2" w:space="0" w:color="000000"/>
            </w:tcBorders>
            <w:tcMar>
              <w:bottom w:w="28" w:type="dxa"/>
            </w:tcMar>
          </w:tcPr>
          <w:p>
            <w:pPr>
              <w:pStyle w:val="TableContents"/>
              <w:bidi w:val="0"/>
              <w:spacing w:before="0" w:after="283"/>
              <w:jc w:val="left"/>
              <w:rPr/>
            </w:pPr>
            <w:r>
              <w:rPr/>
              <w:t>/s/ Andrew Brown</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Andrew Brown</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w:t>
              <w:br/>
              <w:t>as a Consenting Lender, a 2026 Incremental Revolving Lender and as an Issuing Bank</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Patrick Cornell</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Patrick Cornell</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Senior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w:t>
              <w:br/>
              <w:t>(acting through its Canadian Branch) as a Consenting Lender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Davood Asrafi</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Davood Asrafi</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Assistant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Citizens Bank, National Association, as a Consenting Lender,and a 2026 Incremental Revolving Lender and an Issuing Bank</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James Horn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James Horn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Bank USA, as a Consenting Lender, a 2026 Incremental Revolving Lender, and an Issuing Bank</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Jonathan Dworkin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Jonathan Dworkin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8"/>
        <w:gridCol w:w="60"/>
        <w:gridCol w:w="3374"/>
      </w:tblGrid>
      <w:tr>
        <w:trPr/>
        <w:tc>
          <w:tcPr>
            <w:tcW w:w="6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Citibank, N.A., as a Consenting Lender, and a 2026 Incremental Revolving Lender and an Issuing Bank</w:t>
            </w:r>
          </w:p>
        </w:tc>
      </w:tr>
      <w:tr>
        <w:trPr>
          <w:trHeight w:val="240" w:hRule="atLeast"/>
        </w:trPr>
        <w:tc>
          <w:tcPr>
            <w:tcW w:w="648" w:type="dxa"/>
            <w:tcBorders/>
            <w:vAlign w:val="center"/>
          </w:tcPr>
          <w:p>
            <w:pPr>
              <w:pStyle w:val="TableContents"/>
              <w:bidi w:val="0"/>
              <w:spacing w:before="0" w:after="283"/>
              <w:jc w:val="left"/>
              <w:rPr>
                <w:sz w:val="4"/>
                <w:szCs w:val="4"/>
              </w:rPr>
            </w:pPr>
            <w:r>
              <w:rPr>
                <w:sz w:val="4"/>
                <w:szCs w:val="4"/>
              </w:rPr>
            </w:r>
          </w:p>
        </w:tc>
        <w:tc>
          <w:tcPr>
            <w:tcW w:w="3434" w:type="dxa"/>
            <w:gridSpan w:val="2"/>
            <w:tcBorders/>
            <w:vAlign w:val="center"/>
          </w:tcPr>
          <w:p>
            <w:pPr>
              <w:pStyle w:val="TableContents"/>
              <w:bidi w:val="0"/>
              <w:spacing w:before="0" w:after="283"/>
              <w:jc w:val="left"/>
              <w:rPr>
                <w:sz w:val="4"/>
                <w:szCs w:val="4"/>
              </w:rPr>
            </w:pPr>
            <w:r>
              <w:rPr>
                <w:sz w:val="4"/>
                <w:szCs w:val="4"/>
              </w:rPr>
            </w:r>
          </w:p>
        </w:tc>
      </w:tr>
      <w:tr>
        <w:trPr/>
        <w:tc>
          <w:tcPr>
            <w:tcW w:w="64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4" w:type="dxa"/>
            <w:tcBorders>
              <w:bottom w:val="single" w:sz="2" w:space="0" w:color="000000"/>
            </w:tcBorders>
            <w:tcMar>
              <w:bottom w:w="28" w:type="dxa"/>
            </w:tcMar>
          </w:tcPr>
          <w:p>
            <w:pPr>
              <w:pStyle w:val="TableContents"/>
              <w:bidi w:val="0"/>
              <w:spacing w:before="0" w:after="283"/>
              <w:jc w:val="left"/>
              <w:rPr/>
            </w:pPr>
            <w:r>
              <w:rPr/>
              <w:t>/s/ Allister Chan</w:t>
            </w:r>
          </w:p>
        </w:tc>
      </w:tr>
      <w:tr>
        <w:trPr/>
        <w:tc>
          <w:tcPr>
            <w:tcW w:w="64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4" w:type="dxa"/>
            <w:tcBorders/>
          </w:tcPr>
          <w:p>
            <w:pPr>
              <w:pStyle w:val="TableContents"/>
              <w:bidi w:val="0"/>
              <w:spacing w:before="0" w:after="283"/>
              <w:jc w:val="left"/>
              <w:rPr/>
            </w:pPr>
            <w:r>
              <w:rPr/>
              <w:t>Allister Chan</w:t>
            </w:r>
          </w:p>
        </w:tc>
      </w:tr>
      <w:tr>
        <w:trPr/>
        <w:tc>
          <w:tcPr>
            <w:tcW w:w="64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4" w:type="dxa"/>
            <w:tcBorders/>
          </w:tcPr>
          <w:p>
            <w:pPr>
              <w:pStyle w:val="TableContents"/>
              <w:bidi w:val="0"/>
              <w:spacing w:before="0" w:after="283"/>
              <w:jc w:val="left"/>
              <w:rPr/>
            </w:pPr>
            <w:r>
              <w:rPr/>
              <w:t>Vice President &amp;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BANK, N.A., as a Consenting Lender, a 2026 Incremental Revolving Lender and an Issuing Bank</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Michael King</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Michael King</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Ninth Amendment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CREDIT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color w:val="0000FF"/>
          <w:sz w:val="20"/>
          <w:u w:val="single"/>
          <w:bdr w:val="double" w:sz="2" w:space="1" w:color="000000"/>
        </w:rPr>
        <w:t>Execution Version</w:t>
      </w:r>
      <w:r>
        <w:rPr>
          <w:rFonts w:ascii="Times New Roman" w:hAnsi="Times New Roman"/>
          <w:b/>
          <w:i/>
          <w:sz w:val="20"/>
        </w:rPr>
        <w:t xml:space="preserve"> </w:t>
      </w:r>
    </w:p>
    <w:p>
      <w:pPr>
        <w:pStyle w:val="TextBody"/>
        <w:bidi w:val="0"/>
        <w:spacing w:before="12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FOURTH AMENDED AND RESTATED 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June 22, 2020 </w:t>
      </w:r>
    </w:p>
    <w:p>
      <w:pPr>
        <w:pStyle w:val="TextBody"/>
        <w:bidi w:val="0"/>
        <w:spacing w:before="240" w:after="0"/>
        <w:jc w:val="center"/>
        <w:rPr>
          <w:rFonts w:ascii="Times New Roman" w:hAnsi="Times New Roman"/>
          <w:sz w:val="20"/>
        </w:rPr>
      </w:pPr>
      <w:r>
        <w:rPr>
          <w:rFonts w:ascii="Times New Roman" w:hAnsi="Times New Roman"/>
          <w:sz w:val="20"/>
        </w:rPr>
        <w:t xml:space="preserve">as amended by the First Amendment to Fourth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December 14, 2020, </w:t>
      </w:r>
    </w:p>
    <w:p>
      <w:pPr>
        <w:pStyle w:val="TextBody"/>
        <w:bidi w:val="0"/>
        <w:spacing w:before="0" w:after="0"/>
        <w:jc w:val="center"/>
        <w:rPr>
          <w:rFonts w:ascii="Times New Roman" w:hAnsi="Times New Roman"/>
          <w:sz w:val="20"/>
        </w:rPr>
      </w:pPr>
      <w:r>
        <w:rPr>
          <w:rFonts w:ascii="Times New Roman" w:hAnsi="Times New Roman"/>
          <w:sz w:val="20"/>
        </w:rPr>
        <w:t xml:space="preserve">as amended by the Second Amendment to Fourth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March 1, 2022, </w:t>
      </w:r>
    </w:p>
    <w:p>
      <w:pPr>
        <w:pStyle w:val="TextBody"/>
        <w:bidi w:val="0"/>
        <w:spacing w:before="0" w:after="0"/>
        <w:jc w:val="center"/>
        <w:rPr>
          <w:rFonts w:ascii="Times New Roman" w:hAnsi="Times New Roman"/>
          <w:sz w:val="20"/>
        </w:rPr>
      </w:pPr>
      <w:r>
        <w:rPr>
          <w:rFonts w:ascii="Times New Roman" w:hAnsi="Times New Roman"/>
          <w:sz w:val="20"/>
        </w:rPr>
        <w:t xml:space="preserve">as amended by the Third Amendment to Fourth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August 2, 2022, </w:t>
      </w:r>
    </w:p>
    <w:p>
      <w:pPr>
        <w:pStyle w:val="TextBody"/>
        <w:bidi w:val="0"/>
        <w:spacing w:before="0" w:after="0"/>
        <w:jc w:val="center"/>
        <w:rPr>
          <w:rFonts w:ascii="Times New Roman" w:hAnsi="Times New Roman"/>
          <w:sz w:val="20"/>
        </w:rPr>
      </w:pPr>
      <w:r>
        <w:rPr>
          <w:rFonts w:ascii="Times New Roman" w:hAnsi="Times New Roman"/>
          <w:sz w:val="20"/>
        </w:rPr>
        <w:t xml:space="preserve">as amended by the Fourth Amendment to Fourth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October 31, 2022, </w:t>
      </w:r>
    </w:p>
    <w:p>
      <w:pPr>
        <w:pStyle w:val="TextBody"/>
        <w:bidi w:val="0"/>
        <w:spacing w:before="0" w:after="0"/>
        <w:jc w:val="center"/>
        <w:rPr>
          <w:rFonts w:ascii="Times New Roman" w:hAnsi="Times New Roman"/>
          <w:sz w:val="20"/>
        </w:rPr>
      </w:pPr>
      <w:r>
        <w:rPr>
          <w:rFonts w:ascii="Times New Roman" w:hAnsi="Times New Roman"/>
          <w:sz w:val="20"/>
        </w:rPr>
        <w:t xml:space="preserve">as amended by the Fifth Amendment to Fourth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April 14, 2023, </w:t>
      </w:r>
    </w:p>
    <w:p>
      <w:pPr>
        <w:pStyle w:val="TextBody"/>
        <w:bidi w:val="0"/>
        <w:spacing w:before="0" w:after="0"/>
        <w:jc w:val="center"/>
        <w:rPr>
          <w:rFonts w:ascii="Times New Roman" w:hAnsi="Times New Roman"/>
          <w:sz w:val="20"/>
        </w:rPr>
      </w:pPr>
      <w:r>
        <w:rPr>
          <w:rFonts w:ascii="Times New Roman" w:hAnsi="Times New Roman"/>
          <w:sz w:val="20"/>
        </w:rPr>
        <w:t xml:space="preserve">as amended by the Sixth Amendment to Fourth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March 6, 2024, </w:t>
      </w:r>
    </w:p>
    <w:p>
      <w:pPr>
        <w:pStyle w:val="TextBody"/>
        <w:bidi w:val="0"/>
        <w:spacing w:before="0" w:after="0"/>
        <w:jc w:val="center"/>
        <w:rPr>
          <w:rFonts w:ascii="Times New Roman" w:hAnsi="Times New Roman"/>
          <w:sz w:val="20"/>
        </w:rPr>
      </w:pPr>
      <w:r>
        <w:rPr>
          <w:rFonts w:ascii="Times New Roman" w:hAnsi="Times New Roman"/>
          <w:sz w:val="20"/>
        </w:rPr>
        <w:t xml:space="preserve">as amended by the Seventh Amendment to Fourth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dated as of February 28, 2025,</w:t>
      </w:r>
      <w:r>
        <w:rPr>
          <w:rFonts w:ascii="Times New Roman" w:hAnsi="Times New Roman"/>
          <w:strike/>
          <w:color w:val="FF0000"/>
          <w:sz w:val="20"/>
        </w:rPr>
        <w:t xml:space="preserve"> and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amended by the Eighth Amendment to Fourth Amended and Restated Credit Agreement, </w:t>
      </w:r>
    </w:p>
    <w:p>
      <w:pPr>
        <w:pStyle w:val="TextBody"/>
        <w:bidi w:val="0"/>
        <w:spacing w:before="0" w:after="0"/>
        <w:jc w:val="center"/>
        <w:rPr>
          <w:rFonts w:ascii="Times New Roman" w:hAnsi="Times New Roman"/>
          <w:sz w:val="20"/>
        </w:rPr>
      </w:pPr>
      <w:r>
        <w:rPr>
          <w:rFonts w:ascii="Times New Roman" w:hAnsi="Times New Roman"/>
          <w:sz w:val="20"/>
        </w:rPr>
        <w:t>dated as of March 13, 2026,</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 xml:space="preserve">as amended by the Ninth </w:t>
      </w:r>
      <w:r>
        <w:rPr>
          <w:rFonts w:ascii="Times New Roman" w:hAnsi="Times New Roman"/>
          <w:color w:val="008000"/>
          <w:sz w:val="20"/>
          <w:u w:val="single"/>
          <w:bdr w:val="double" w:sz="2" w:space="1" w:color="000000"/>
        </w:rPr>
        <w:t>Amendment to Fourth Amended and Restated Credit Agreement,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dated as of September 17, 2026,</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WESCO DISTRIBUTION, INC., </w:t>
      </w:r>
    </w:p>
    <w:p>
      <w:pPr>
        <w:pStyle w:val="TextBody"/>
        <w:bidi w:val="0"/>
        <w:spacing w:before="0" w:after="0"/>
        <w:jc w:val="center"/>
        <w:rPr>
          <w:rFonts w:ascii="Times New Roman" w:hAnsi="Times New Roman"/>
          <w:sz w:val="20"/>
        </w:rPr>
      </w:pPr>
      <w:r>
        <w:rPr>
          <w:rFonts w:ascii="Times New Roman" w:hAnsi="Times New Roman"/>
          <w:sz w:val="20"/>
        </w:rPr>
        <w:t xml:space="preserve">the other U.S. Borrowers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WESCO DISTRIBUTION CANADA LP, </w:t>
      </w:r>
    </w:p>
    <w:p>
      <w:pPr>
        <w:pStyle w:val="TextBody"/>
        <w:bidi w:val="0"/>
        <w:spacing w:before="0" w:after="0"/>
        <w:jc w:val="center"/>
        <w:rPr>
          <w:rFonts w:ascii="Times New Roman" w:hAnsi="Times New Roman"/>
          <w:sz w:val="20"/>
        </w:rPr>
      </w:pPr>
      <w:r>
        <w:rPr>
          <w:rFonts w:ascii="Times New Roman" w:hAnsi="Times New Roman"/>
          <w:sz w:val="20"/>
        </w:rPr>
        <w:t xml:space="preserve">the other Canadian Borrowers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Other Loan Parties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and </w:t>
      </w:r>
    </w:p>
    <w:p>
      <w:pPr>
        <w:pStyle w:val="TextBody"/>
        <w:bidi w:val="0"/>
        <w:spacing w:before="240" w:after="0"/>
        <w:jc w:val="center"/>
        <w:rPr>
          <w:rFonts w:ascii="Times New Roman" w:hAnsi="Times New Roman"/>
          <w:sz w:val="20"/>
        </w:rPr>
      </w:pPr>
      <w:r>
        <w:rPr>
          <w:rFonts w:ascii="Times New Roman" w:hAnsi="Times New Roman"/>
          <w:sz w:val="20"/>
        </w:rPr>
        <w:t xml:space="preserve">BARCLAYS BANK PLC,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CANADIAN IMPERIAL BANK OF COMMERCE, NEW YORK BRANCH</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FIFTH THIRD BANK, NATIONAL ASSOCIATION</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PNC BANK, NATIONAL ASSOCIATION</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PNC CAPITAL MARKETS LLC</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TD BANK, N.A.</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color w:val="0000FF"/>
          <w:sz w:val="20"/>
          <w:u w:val="single"/>
          <w:bdr w:val="double" w:sz="2" w:space="1" w:color="000000"/>
        </w:rPr>
        <w:t>and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U.S.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Joint Bookrunners and Joint Lead Arrangers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88"/>
        <w:gridCol w:w="111"/>
        <w:gridCol w:w="7324"/>
        <w:gridCol w:w="133"/>
        <w:gridCol w:w="120"/>
        <w:gridCol w:w="565"/>
        <w:gridCol w:w="64"/>
      </w:tblGrid>
      <w:tr>
        <w:trPr/>
        <w:tc>
          <w:tcPr>
            <w:tcW w:w="1888"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732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8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324"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85" w:type="dxa"/>
            <w:gridSpan w:val="2"/>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323" w:type="dxa"/>
            <w:gridSpan w:val="3"/>
            <w:tcBorders/>
            <w:vAlign w:val="center"/>
          </w:tcPr>
          <w:p>
            <w:pPr>
              <w:pStyle w:val="TableContents"/>
              <w:bidi w:val="0"/>
              <w:spacing w:before="0" w:after="283"/>
              <w:jc w:val="left"/>
              <w:rPr>
                <w:sz w:val="4"/>
                <w:szCs w:val="4"/>
              </w:rPr>
            </w:pPr>
            <w:r>
              <w:rPr>
                <w:sz w:val="4"/>
                <w:szCs w:val="4"/>
              </w:rPr>
            </w:r>
          </w:p>
        </w:tc>
        <w:tc>
          <w:tcPr>
            <w:tcW w:w="882" w:type="dxa"/>
            <w:gridSpan w:val="4"/>
            <w:tcBorders/>
            <w:vAlign w:val="center"/>
          </w:tcPr>
          <w:p>
            <w:pPr>
              <w:pStyle w:val="TableContents"/>
              <w:bidi w:val="0"/>
              <w:spacing w:before="0" w:after="283"/>
              <w:jc w:val="left"/>
              <w:rPr>
                <w:sz w:val="4"/>
                <w:szCs w:val="4"/>
              </w:rPr>
            </w:pPr>
            <w:r>
              <w:rPr>
                <w:sz w:val="4"/>
                <w:szCs w:val="4"/>
              </w:rPr>
            </w:r>
          </w:p>
        </w:tc>
      </w:tr>
      <w:tr>
        <w:trPr/>
        <w:tc>
          <w:tcPr>
            <w:tcW w:w="9323" w:type="dxa"/>
            <w:gridSpan w:val="3"/>
            <w:tcBorders/>
          </w:tcPr>
          <w:p>
            <w:pPr>
              <w:pStyle w:val="TableContents"/>
              <w:bidi w:val="0"/>
              <w:spacing w:before="0" w:after="283"/>
              <w:jc w:val="left"/>
              <w:rPr/>
            </w:pPr>
            <w:r>
              <w:rPr/>
              <w:t>ARTICLE I.  DEFINITIONS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Classification of Loans and Borrowings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Terms Generally</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Terms; GAAP</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Currency Matters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Rates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Adjustments for Investments and Dispositions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Limited Condition Transactions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SECTION 1.09</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Divisions and Reclassifications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58</w:t>
            </w:r>
          </w:p>
        </w:tc>
        <w:tc>
          <w:tcPr>
            <w:tcW w:w="64" w:type="dxa"/>
            <w:tcBorders/>
            <w:vAlign w:val="bottom"/>
          </w:tcPr>
          <w:p>
            <w:pPr>
              <w:pStyle w:val="TableContents"/>
              <w:bidi w:val="0"/>
              <w:spacing w:before="0" w:after="283"/>
              <w:jc w:val="left"/>
              <w:rPr/>
            </w:pPr>
            <w:r>
              <w:rPr/>
              <w:t> </w:t>
            </w:r>
          </w:p>
        </w:tc>
      </w:tr>
      <w:tr>
        <w:trPr>
          <w:trHeight w:val="120" w:hRule="atLeast"/>
        </w:trPr>
        <w:tc>
          <w:tcPr>
            <w:tcW w:w="9323" w:type="dxa"/>
            <w:gridSpan w:val="3"/>
            <w:tcBorders/>
            <w:vAlign w:val="center"/>
          </w:tcPr>
          <w:p>
            <w:pPr>
              <w:pStyle w:val="TableContents"/>
              <w:bidi w:val="0"/>
              <w:spacing w:before="0" w:after="283"/>
              <w:jc w:val="left"/>
              <w:rPr>
                <w:sz w:val="4"/>
                <w:szCs w:val="4"/>
              </w:rPr>
            </w:pPr>
            <w:r>
              <w:rPr>
                <w:sz w:val="4"/>
                <w:szCs w:val="4"/>
              </w:rPr>
            </w:r>
          </w:p>
        </w:tc>
        <w:tc>
          <w:tcPr>
            <w:tcW w:w="882" w:type="dxa"/>
            <w:gridSpan w:val="4"/>
            <w:tcBorders/>
            <w:vAlign w:val="center"/>
          </w:tcPr>
          <w:p>
            <w:pPr>
              <w:pStyle w:val="TableContents"/>
              <w:bidi w:val="0"/>
              <w:spacing w:before="0" w:after="283"/>
              <w:jc w:val="left"/>
              <w:rPr>
                <w:sz w:val="4"/>
                <w:szCs w:val="4"/>
              </w:rPr>
            </w:pPr>
            <w:r>
              <w:rPr>
                <w:sz w:val="4"/>
                <w:szCs w:val="4"/>
              </w:rPr>
            </w:r>
          </w:p>
        </w:tc>
      </w:tr>
      <w:tr>
        <w:trPr/>
        <w:tc>
          <w:tcPr>
            <w:tcW w:w="9323" w:type="dxa"/>
            <w:gridSpan w:val="3"/>
            <w:tcBorders/>
          </w:tcPr>
          <w:p>
            <w:pPr>
              <w:pStyle w:val="TableContents"/>
              <w:bidi w:val="0"/>
              <w:spacing w:before="0" w:after="283"/>
              <w:jc w:val="left"/>
              <w:rPr/>
            </w:pPr>
            <w:r>
              <w:rPr/>
              <w:t>ARTICLE II.  THE CREDITS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Revolving Commitments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Loans and Borrowings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Requests for Revolving Borrowings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Protective Advances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Swingline Loans and Overadvances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Letters of Credit</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Funding of Borrowings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68</w:t>
            </w:r>
            <w:r>
              <w:rPr>
                <w:color w:val="0000FF"/>
                <w:u w:val="single"/>
                <w:bdr w:val="double" w:sz="2" w:space="1" w:color="000000"/>
              </w:rPr>
              <w:t>70</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Interest Elections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and Reduction of Commitments; Increase in Revolving Commitments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Repayment and Amortization of Loans; Evidence of Debt</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Prepayment of Loans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Fees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74</w:t>
            </w:r>
            <w:r>
              <w:rPr>
                <w:color w:val="0000FF"/>
                <w:u w:val="single"/>
                <w:bdr w:val="double" w:sz="2" w:space="1" w:color="000000"/>
              </w:rPr>
              <w:t>76</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Alternate Rate of Interest; Illegality</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Increased Costs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77</w:t>
            </w:r>
            <w:r>
              <w:rPr>
                <w:color w:val="0000FF"/>
                <w:u w:val="single"/>
                <w:bdr w:val="double" w:sz="2" w:space="1" w:color="000000"/>
              </w:rPr>
              <w:t>79</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Break Funding Payments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78</w:t>
            </w:r>
            <w:r>
              <w:rPr>
                <w:color w:val="0000FF"/>
                <w:u w:val="single"/>
                <w:bdr w:val="double" w:sz="2" w:space="1" w:color="000000"/>
              </w:rPr>
              <w:t>80</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Withholding of Taxes; Gross-Up</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Payments Generally; Allocation of Proceeds; Sharing of Set-offs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Mitigation Obligations; Replacement of Lenders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Defaulting Lenders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86</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Returned Payments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86</w:t>
            </w:r>
            <w:r>
              <w:rPr>
                <w:color w:val="0000FF"/>
                <w:u w:val="single"/>
                <w:bdr w:val="double" w:sz="2" w:space="1" w:color="000000"/>
              </w:rPr>
              <w:t>88</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Banking Services and Swap Agreements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86</w:t>
            </w:r>
            <w:r>
              <w:rPr>
                <w:color w:val="0000FF"/>
                <w:u w:val="single"/>
                <w:bdr w:val="double" w:sz="2" w:space="1" w:color="000000"/>
              </w:rPr>
              <w:t>88</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Excess Resulting From Exchange Rate Change</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rHeight w:val="120" w:hRule="atLeast"/>
        </w:trPr>
        <w:tc>
          <w:tcPr>
            <w:tcW w:w="9323" w:type="dxa"/>
            <w:gridSpan w:val="3"/>
            <w:tcBorders/>
            <w:vAlign w:val="center"/>
          </w:tcPr>
          <w:p>
            <w:pPr>
              <w:pStyle w:val="TableContents"/>
              <w:bidi w:val="0"/>
              <w:spacing w:before="0" w:after="283"/>
              <w:jc w:val="left"/>
              <w:rPr>
                <w:sz w:val="4"/>
                <w:szCs w:val="4"/>
              </w:rPr>
            </w:pPr>
            <w:r>
              <w:rPr>
                <w:sz w:val="4"/>
                <w:szCs w:val="4"/>
              </w:rPr>
            </w:r>
          </w:p>
        </w:tc>
        <w:tc>
          <w:tcPr>
            <w:tcW w:w="882" w:type="dxa"/>
            <w:gridSpan w:val="4"/>
            <w:tcBorders/>
            <w:vAlign w:val="center"/>
          </w:tcPr>
          <w:p>
            <w:pPr>
              <w:pStyle w:val="TableContents"/>
              <w:bidi w:val="0"/>
              <w:spacing w:before="0" w:after="283"/>
              <w:jc w:val="left"/>
              <w:rPr>
                <w:sz w:val="4"/>
                <w:szCs w:val="4"/>
              </w:rPr>
            </w:pPr>
            <w:r>
              <w:rPr>
                <w:sz w:val="4"/>
                <w:szCs w:val="4"/>
              </w:rPr>
            </w:r>
          </w:p>
        </w:tc>
      </w:tr>
      <w:tr>
        <w:trPr/>
        <w:tc>
          <w:tcPr>
            <w:tcW w:w="9323" w:type="dxa"/>
            <w:gridSpan w:val="3"/>
            <w:tcBorders/>
          </w:tcPr>
          <w:p>
            <w:pPr>
              <w:pStyle w:val="TableContents"/>
              <w:bidi w:val="0"/>
              <w:spacing w:before="0" w:after="283"/>
              <w:jc w:val="left"/>
              <w:rPr/>
            </w:pPr>
            <w:r>
              <w:rPr/>
              <w:t>ARTICLE III.  REPRESENTATIONS AND WARRANTIES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Powers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Enforceability</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 No Conflicts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Financial Condition; No Material Adverse Effect</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Properties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xml:space="preserve">  </w:t>
            </w:r>
          </w:p>
        </w:tc>
        <w:tc>
          <w:tcPr>
            <w:tcW w:w="565" w:type="dxa"/>
            <w:tcBorders/>
            <w:vAlign w:val="bottom"/>
          </w:tcPr>
          <w:p>
            <w:pPr>
              <w:pStyle w:val="TableContents"/>
              <w:bidi w:val="0"/>
              <w:spacing w:before="0" w:after="283"/>
              <w:jc w:val="right"/>
              <w:rPr/>
            </w:pPr>
            <w:r>
              <w:rPr>
                <w:strike/>
                <w:color w:val="FF0000"/>
              </w:rPr>
              <w:t>88</w:t>
            </w:r>
            <w:r>
              <w:rPr>
                <w:color w:val="0000FF"/>
                <w:u w:val="single"/>
                <w:bdr w:val="double" w:sz="2" w:space="1" w:color="000000"/>
              </w:rPr>
              <w:t xml:space="preserve">90 </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Litigation and Environmental Matters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and Agreements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Investment Company Status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89</w:t>
            </w:r>
            <w:r>
              <w:rPr>
                <w:color w:val="0000FF"/>
                <w:u w:val="single"/>
                <w:bdr w:val="double" w:sz="2" w:space="1" w:color="000000"/>
              </w:rPr>
              <w:t>91</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89</w:t>
            </w:r>
            <w:r>
              <w:rPr>
                <w:color w:val="0000FF"/>
                <w:u w:val="single"/>
                <w:bdr w:val="double" w:sz="2" w:space="1" w:color="000000"/>
              </w:rPr>
              <w:t>91</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ERISA; Canadian Pension Plans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89</w:t>
            </w:r>
            <w:r>
              <w:rPr>
                <w:color w:val="0000FF"/>
                <w:u w:val="single"/>
                <w:bdr w:val="double" w:sz="2" w:space="1" w:color="000000"/>
              </w:rPr>
              <w:t>91</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Disclosure</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90</w:t>
            </w:r>
            <w:r>
              <w:rPr>
                <w:color w:val="0000FF"/>
                <w:u w:val="single"/>
                <w:bdr w:val="double" w:sz="2" w:space="1" w:color="000000"/>
              </w:rPr>
              <w:t>92</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strike/>
                <w:color w:val="FF0000"/>
              </w:rPr>
              <w:t>90</w:t>
            </w:r>
            <w:r>
              <w:rPr>
                <w:color w:val="0000FF"/>
                <w:u w:val="single"/>
                <w:bdr w:val="double" w:sz="2" w:space="1" w:color="000000"/>
              </w:rPr>
              <w:t>92</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111" w:type="dxa"/>
            <w:tcBorders/>
            <w:vAlign w:val="bottom"/>
          </w:tcPr>
          <w:p>
            <w:pPr>
              <w:pStyle w:val="TableContents"/>
              <w:bidi w:val="0"/>
              <w:spacing w:before="0" w:after="283"/>
              <w:jc w:val="left"/>
              <w:rPr/>
            </w:pPr>
            <w:r>
              <w:rPr/>
              <w:t> </w:t>
            </w:r>
          </w:p>
        </w:tc>
        <w:tc>
          <w:tcPr>
            <w:tcW w:w="7324"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 and Subsidiaries</w:t>
            </w:r>
          </w:p>
        </w:tc>
        <w:tc>
          <w:tcPr>
            <w:tcW w:w="133"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85"/>
        <w:gridCol w:w="113"/>
        <w:gridCol w:w="7304"/>
        <w:gridCol w:w="137"/>
        <w:gridCol w:w="60"/>
        <w:gridCol w:w="742"/>
        <w:gridCol w:w="64"/>
      </w:tblGrid>
      <w:tr>
        <w:trPr/>
        <w:tc>
          <w:tcPr>
            <w:tcW w:w="178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7304"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Security Interest in Collateral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91</w:t>
            </w:r>
            <w:r>
              <w:rPr>
                <w:color w:val="0000FF"/>
                <w:u w:val="single"/>
                <w:bdr w:val="double" w:sz="2" w:space="1" w:color="000000"/>
              </w:rPr>
              <w:t>93</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Employment Matters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Other Indebtedness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Anti-Corruption Laws; Sanctions; USA PATRIOT ACT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Affected Financial Institutions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94</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Plan Assets; Prohibited Transactions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92</w:t>
            </w:r>
            <w:r>
              <w:rPr>
                <w:color w:val="0000FF"/>
                <w:u w:val="single"/>
                <w:bdr w:val="double" w:sz="2" w:space="1" w:color="000000"/>
              </w:rPr>
              <w:t>94</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Margin Regulations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Outbound Investment Rules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rHeight w:val="120" w:hRule="atLeast"/>
        </w:trPr>
        <w:tc>
          <w:tcPr>
            <w:tcW w:w="9202" w:type="dxa"/>
            <w:gridSpan w:val="3"/>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9202" w:type="dxa"/>
            <w:gridSpan w:val="3"/>
            <w:tcBorders/>
          </w:tcPr>
          <w:p>
            <w:pPr>
              <w:pStyle w:val="TableContents"/>
              <w:bidi w:val="0"/>
              <w:spacing w:before="0" w:after="283"/>
              <w:jc w:val="left"/>
              <w:rPr/>
            </w:pPr>
            <w:r>
              <w:rPr/>
              <w:t>ARTICLE IV.  CONDITIONS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Fourth Restatement Date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94</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Each Credit Event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97</w:t>
            </w:r>
          </w:p>
        </w:tc>
        <w:tc>
          <w:tcPr>
            <w:tcW w:w="64" w:type="dxa"/>
            <w:tcBorders/>
            <w:vAlign w:val="bottom"/>
          </w:tcPr>
          <w:p>
            <w:pPr>
              <w:pStyle w:val="TableContents"/>
              <w:bidi w:val="0"/>
              <w:spacing w:before="0" w:after="283"/>
              <w:jc w:val="left"/>
              <w:rPr/>
            </w:pPr>
            <w:r>
              <w:rPr/>
              <w:t> </w:t>
            </w:r>
          </w:p>
        </w:tc>
      </w:tr>
      <w:tr>
        <w:trPr>
          <w:trHeight w:val="120" w:hRule="atLeast"/>
        </w:trPr>
        <w:tc>
          <w:tcPr>
            <w:tcW w:w="9202" w:type="dxa"/>
            <w:gridSpan w:val="3"/>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9202" w:type="dxa"/>
            <w:gridSpan w:val="3"/>
            <w:tcBorders/>
          </w:tcPr>
          <w:p>
            <w:pPr>
              <w:pStyle w:val="TableContents"/>
              <w:bidi w:val="0"/>
              <w:spacing w:before="0" w:after="283"/>
              <w:jc w:val="left"/>
              <w:rPr/>
            </w:pPr>
            <w:r>
              <w:rPr/>
              <w:t>ARTICLE V.  AFFIRMATIVE COVENANTS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98</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Financial Statements; Canadian Borrowing Base; U.S. Borrowing Base and Other Information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96</w:t>
            </w:r>
            <w:r>
              <w:rPr>
                <w:color w:val="0000FF"/>
                <w:u w:val="single"/>
                <w:bdr w:val="double" w:sz="2" w:space="1" w:color="000000"/>
              </w:rPr>
              <w:t>98</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Notices of Material Events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99</w:t>
            </w:r>
            <w:r>
              <w:rPr>
                <w:color w:val="0000FF"/>
                <w:u w:val="single"/>
                <w:bdr w:val="double" w:sz="2" w:space="1" w:color="000000"/>
              </w:rPr>
              <w:t>101</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Existence; Conduct of Business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100</w:t>
            </w:r>
            <w:r>
              <w:rPr>
                <w:color w:val="0000FF"/>
                <w:u w:val="single"/>
                <w:bdr w:val="double" w:sz="2" w:space="1" w:color="000000"/>
              </w:rPr>
              <w:t>102</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Payment of Obligations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Properties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Books and Records; Inspection Rights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101</w:t>
            </w:r>
            <w:r>
              <w:rPr>
                <w:color w:val="0000FF"/>
                <w:u w:val="single"/>
                <w:bdr w:val="double" w:sz="2" w:space="1" w:color="000000"/>
              </w:rPr>
              <w:t>103</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Use of Proceeds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101</w:t>
            </w:r>
            <w:r>
              <w:rPr>
                <w:color w:val="0000FF"/>
                <w:u w:val="single"/>
                <w:bdr w:val="double" w:sz="2" w:space="1" w:color="000000"/>
              </w:rPr>
              <w:t>103</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Casualty and Condemnation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102</w:t>
            </w:r>
            <w:r>
              <w:rPr>
                <w:color w:val="0000FF"/>
                <w:u w:val="single"/>
                <w:bdr w:val="double" w:sz="2" w:space="1" w:color="000000"/>
              </w:rPr>
              <w:t>104</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Appraisals; Field Examinations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102</w:t>
            </w:r>
            <w:r>
              <w:rPr>
                <w:color w:val="0000FF"/>
                <w:u w:val="single"/>
                <w:bdr w:val="double" w:sz="2" w:space="1" w:color="000000"/>
              </w:rPr>
              <w:t>104</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Depository Banks; Control Agreements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Collateral; Further Assurances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Covenants Regarding Accounts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Covenants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108</w:t>
            </w:r>
          </w:p>
        </w:tc>
        <w:tc>
          <w:tcPr>
            <w:tcW w:w="64" w:type="dxa"/>
            <w:tcBorders/>
            <w:vAlign w:val="bottom"/>
          </w:tcPr>
          <w:p>
            <w:pPr>
              <w:pStyle w:val="TableContents"/>
              <w:bidi w:val="0"/>
              <w:spacing w:before="0" w:after="283"/>
              <w:jc w:val="left"/>
              <w:rPr/>
            </w:pPr>
            <w:r>
              <w:rPr/>
              <w:t> </w:t>
            </w:r>
          </w:p>
        </w:tc>
      </w:tr>
      <w:tr>
        <w:trPr>
          <w:trHeight w:val="120" w:hRule="atLeast"/>
        </w:trPr>
        <w:tc>
          <w:tcPr>
            <w:tcW w:w="9202" w:type="dxa"/>
            <w:gridSpan w:val="3"/>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9202" w:type="dxa"/>
            <w:gridSpan w:val="3"/>
            <w:tcBorders/>
          </w:tcPr>
          <w:p>
            <w:pPr>
              <w:pStyle w:val="TableContents"/>
              <w:bidi w:val="0"/>
              <w:spacing w:before="0" w:after="283"/>
              <w:jc w:val="left"/>
              <w:rPr/>
            </w:pPr>
            <w:r>
              <w:rPr/>
              <w:t>ARTICLE VI.  NEGATIVE COVENANTS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108</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Indebtedness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106</w:t>
            </w:r>
            <w:r>
              <w:rPr>
                <w:color w:val="0000FF"/>
                <w:u w:val="single"/>
                <w:bdr w:val="double" w:sz="2" w:space="1" w:color="000000"/>
              </w:rPr>
              <w:t>108</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111</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Fundamental Changes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Loans, Advances, Guarantees and Acquisitions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114</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Asset Sales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116</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Sale and Leaseback Transactions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116</w:t>
            </w:r>
            <w:r>
              <w:rPr>
                <w:color w:val="0000FF"/>
                <w:u w:val="single"/>
                <w:bdr w:val="double" w:sz="2" w:space="1" w:color="000000"/>
              </w:rPr>
              <w:t>118</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Swap Agreements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116</w:t>
            </w:r>
            <w:r>
              <w:rPr>
                <w:color w:val="0000FF"/>
                <w:u w:val="single"/>
                <w:bdr w:val="double" w:sz="2" w:space="1" w:color="000000"/>
              </w:rPr>
              <w:t>118</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Payments; Certain Payments of Indebtedness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Transactions with Affiliates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Restrictive Agreements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Amendment of Material Documents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Fixed Charge Coverage Ratio</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Designation of Subsidiaries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Canadian Defined Benefit Plans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rHeight w:val="120" w:hRule="atLeast"/>
        </w:trPr>
        <w:tc>
          <w:tcPr>
            <w:tcW w:w="9202" w:type="dxa"/>
            <w:gridSpan w:val="3"/>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9202" w:type="dxa"/>
            <w:gridSpan w:val="3"/>
            <w:tcBorders/>
          </w:tcPr>
          <w:p>
            <w:pPr>
              <w:pStyle w:val="TableContents"/>
              <w:bidi w:val="0"/>
              <w:spacing w:before="0" w:after="283"/>
              <w:jc w:val="left"/>
              <w:rPr/>
            </w:pPr>
            <w:r>
              <w:rPr/>
              <w:t>ARTICLE VII.  EVENTS OF DEFAULT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rHeight w:val="120" w:hRule="atLeast"/>
        </w:trPr>
        <w:tc>
          <w:tcPr>
            <w:tcW w:w="9202" w:type="dxa"/>
            <w:gridSpan w:val="3"/>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9202" w:type="dxa"/>
            <w:gridSpan w:val="3"/>
            <w:tcBorders/>
          </w:tcPr>
          <w:p>
            <w:pPr>
              <w:pStyle w:val="TableContents"/>
              <w:bidi w:val="0"/>
              <w:spacing w:before="0" w:after="283"/>
              <w:jc w:val="left"/>
              <w:rPr/>
            </w:pPr>
            <w:r>
              <w:rPr/>
              <w:t>ARTICLE VIII.  THE ADMINISTRATIVE AGENT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124</w:t>
            </w:r>
          </w:p>
        </w:tc>
        <w:tc>
          <w:tcPr>
            <w:tcW w:w="64" w:type="dxa"/>
            <w:tcBorders/>
            <w:vAlign w:val="bottom"/>
          </w:tcPr>
          <w:p>
            <w:pPr>
              <w:pStyle w:val="TableContents"/>
              <w:bidi w:val="0"/>
              <w:spacing w:before="0" w:after="283"/>
              <w:jc w:val="left"/>
              <w:rPr/>
            </w:pPr>
            <w:r>
              <w:rPr/>
              <w:t> </w:t>
            </w:r>
          </w:p>
        </w:tc>
      </w:tr>
      <w:tr>
        <w:trPr>
          <w:trHeight w:val="120" w:hRule="atLeast"/>
        </w:trPr>
        <w:tc>
          <w:tcPr>
            <w:tcW w:w="9202" w:type="dxa"/>
            <w:gridSpan w:val="3"/>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9202" w:type="dxa"/>
            <w:gridSpan w:val="3"/>
            <w:tcBorders/>
          </w:tcPr>
          <w:p>
            <w:pPr>
              <w:pStyle w:val="TableContents"/>
              <w:bidi w:val="0"/>
              <w:spacing w:before="0" w:after="283"/>
              <w:jc w:val="left"/>
              <w:rPr/>
            </w:pPr>
            <w:r>
              <w:rPr/>
              <w:t>ARTICLE IX.  MISCELLANEOUS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Waivers; Amendments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132</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Expenses; Indemnity; Damage Waiver</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136</w:t>
            </w:r>
          </w:p>
        </w:tc>
        <w:tc>
          <w:tcPr>
            <w:tcW w:w="64" w:type="dxa"/>
            <w:tcBorders/>
            <w:vAlign w:val="bottom"/>
          </w:tcPr>
          <w:p>
            <w:pPr>
              <w:pStyle w:val="TableContents"/>
              <w:bidi w:val="0"/>
              <w:spacing w:before="0" w:after="283"/>
              <w:jc w:val="left"/>
              <w:rPr/>
            </w:pPr>
            <w:r>
              <w:rPr/>
              <w:t> </w:t>
            </w:r>
          </w:p>
        </w:tc>
      </w:tr>
      <w:tr>
        <w:trPr/>
        <w:tc>
          <w:tcPr>
            <w:tcW w:w="1785"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3" w:type="dxa"/>
            <w:tcBorders/>
            <w:vAlign w:val="bottom"/>
          </w:tcPr>
          <w:p>
            <w:pPr>
              <w:pStyle w:val="TableContents"/>
              <w:bidi w:val="0"/>
              <w:spacing w:before="0" w:after="283"/>
              <w:jc w:val="left"/>
              <w:rPr/>
            </w:pPr>
            <w:r>
              <w:rPr/>
              <w:t> </w:t>
            </w:r>
          </w:p>
        </w:tc>
        <w:tc>
          <w:tcPr>
            <w:tcW w:w="7304" w:type="dxa"/>
            <w:tcBorders/>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strike/>
                <w:color w:val="FF0000"/>
              </w:rPr>
              <w:t>136</w:t>
            </w:r>
            <w:r>
              <w:rPr>
                <w:color w:val="0000FF"/>
                <w:u w:val="single"/>
                <w:bdr w:val="double" w:sz="2" w:space="1" w:color="000000"/>
              </w:rPr>
              <w:t>138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45"/>
        <w:gridCol w:w="111"/>
        <w:gridCol w:w="7141"/>
        <w:gridCol w:w="137"/>
        <w:gridCol w:w="60"/>
        <w:gridCol w:w="748"/>
        <w:gridCol w:w="63"/>
      </w:tblGrid>
      <w:tr>
        <w:trPr/>
        <w:tc>
          <w:tcPr>
            <w:tcW w:w="194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7141"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Integration; Effectiveness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9.08</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Right of Setoff</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9.09</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 Consent to Service of Process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139</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140</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9.11</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140</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9.12</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strike/>
                <w:color w:val="FF0000"/>
              </w:rPr>
              <w:t>138</w:t>
            </w:r>
            <w:r>
              <w:rPr>
                <w:color w:val="0000FF"/>
                <w:u w:val="single"/>
                <w:bdr w:val="double" w:sz="2" w:space="1" w:color="000000"/>
              </w:rPr>
              <w:t>140</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9.13</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Several Obligations; Nonreliance; Violation of Law</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141</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9.14</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 Beneficial Ownership Regulation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strike/>
                <w:color w:val="FF0000"/>
              </w:rPr>
              <w:t>139</w:t>
            </w:r>
            <w:r>
              <w:rPr>
                <w:color w:val="0000FF"/>
                <w:u w:val="single"/>
                <w:bdr w:val="double" w:sz="2" w:space="1" w:color="000000"/>
              </w:rPr>
              <w:t>141</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9.15</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Disclosure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141</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9.16</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for Perfection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9.17</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Interest Rate Limitation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9.18</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Judgment Currency Conversion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9.19</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Canadian Anti-Money Laundering Legislation</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142</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9.20</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Lender Loss Sharing Agreement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143</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9.21</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Restatement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strike/>
                <w:color w:val="FF0000"/>
              </w:rPr>
              <w:t>142</w:t>
            </w:r>
            <w:r>
              <w:rPr>
                <w:color w:val="0000FF"/>
                <w:u w:val="single"/>
                <w:bdr w:val="double" w:sz="2" w:space="1" w:color="000000"/>
              </w:rPr>
              <w:t>144</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9.22</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Permitted Term Debt Intercreditor Agreement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145</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9.23</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No Advisory or Fiduciary Responsibility</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145</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9.24</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Certain ERISA Matters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strike/>
                <w:color w:val="FF0000"/>
              </w:rPr>
              <w:t>143</w:t>
            </w:r>
            <w:r>
              <w:rPr>
                <w:color w:val="0000FF"/>
                <w:u w:val="single"/>
                <w:bdr w:val="double" w:sz="2" w:space="1" w:color="000000"/>
              </w:rPr>
              <w:t>145</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9.25</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 and Consent to Bail-In of Affected Financial Institutions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strike/>
                <w:color w:val="FF0000"/>
              </w:rPr>
              <w:t>144</w:t>
            </w:r>
            <w:r>
              <w:rPr>
                <w:color w:val="0000FF"/>
                <w:u w:val="single"/>
                <w:bdr w:val="double" w:sz="2" w:space="1" w:color="000000"/>
              </w:rPr>
              <w:t>146</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9.26</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 Regarding Any Supported QFCs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rHeight w:val="120" w:hRule="atLeast"/>
        </w:trPr>
        <w:tc>
          <w:tcPr>
            <w:tcW w:w="9197" w:type="dxa"/>
            <w:gridSpan w:val="3"/>
            <w:tcBorders/>
            <w:vAlign w:val="center"/>
          </w:tcPr>
          <w:p>
            <w:pPr>
              <w:pStyle w:val="TableContents"/>
              <w:bidi w:val="0"/>
              <w:spacing w:before="0" w:after="283"/>
              <w:jc w:val="left"/>
              <w:rPr>
                <w:sz w:val="4"/>
                <w:szCs w:val="4"/>
              </w:rPr>
            </w:pPr>
            <w:r>
              <w:rPr>
                <w:sz w:val="4"/>
                <w:szCs w:val="4"/>
              </w:rPr>
            </w:r>
          </w:p>
        </w:tc>
        <w:tc>
          <w:tcPr>
            <w:tcW w:w="1008" w:type="dxa"/>
            <w:gridSpan w:val="4"/>
            <w:tcBorders/>
            <w:vAlign w:val="center"/>
          </w:tcPr>
          <w:p>
            <w:pPr>
              <w:pStyle w:val="TableContents"/>
              <w:bidi w:val="0"/>
              <w:spacing w:before="0" w:after="283"/>
              <w:jc w:val="left"/>
              <w:rPr>
                <w:sz w:val="4"/>
                <w:szCs w:val="4"/>
              </w:rPr>
            </w:pPr>
            <w:r>
              <w:rPr>
                <w:sz w:val="4"/>
                <w:szCs w:val="4"/>
              </w:rPr>
            </w:r>
          </w:p>
        </w:tc>
      </w:tr>
      <w:tr>
        <w:trPr/>
        <w:tc>
          <w:tcPr>
            <w:tcW w:w="9197" w:type="dxa"/>
            <w:gridSpan w:val="3"/>
            <w:tcBorders/>
          </w:tcPr>
          <w:p>
            <w:pPr>
              <w:pStyle w:val="TableContents"/>
              <w:bidi w:val="0"/>
              <w:spacing w:before="0" w:after="283"/>
              <w:jc w:val="left"/>
              <w:rPr/>
            </w:pPr>
            <w:r>
              <w:rPr/>
              <w:t>ARTICLE X.  [RESERVED.]</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rHeight w:val="120" w:hRule="atLeast"/>
        </w:trPr>
        <w:tc>
          <w:tcPr>
            <w:tcW w:w="9197" w:type="dxa"/>
            <w:gridSpan w:val="3"/>
            <w:tcBorders/>
            <w:vAlign w:val="center"/>
          </w:tcPr>
          <w:p>
            <w:pPr>
              <w:pStyle w:val="TableContents"/>
              <w:bidi w:val="0"/>
              <w:spacing w:before="0" w:after="283"/>
              <w:jc w:val="left"/>
              <w:rPr>
                <w:sz w:val="4"/>
                <w:szCs w:val="4"/>
              </w:rPr>
            </w:pPr>
            <w:r>
              <w:rPr>
                <w:sz w:val="4"/>
                <w:szCs w:val="4"/>
              </w:rPr>
            </w:r>
          </w:p>
        </w:tc>
        <w:tc>
          <w:tcPr>
            <w:tcW w:w="1008" w:type="dxa"/>
            <w:gridSpan w:val="4"/>
            <w:tcBorders/>
            <w:vAlign w:val="center"/>
          </w:tcPr>
          <w:p>
            <w:pPr>
              <w:pStyle w:val="TableContents"/>
              <w:bidi w:val="0"/>
              <w:spacing w:before="0" w:after="283"/>
              <w:jc w:val="left"/>
              <w:rPr>
                <w:sz w:val="4"/>
                <w:szCs w:val="4"/>
              </w:rPr>
            </w:pPr>
            <w:r>
              <w:rPr>
                <w:sz w:val="4"/>
                <w:szCs w:val="4"/>
              </w:rPr>
            </w:r>
          </w:p>
        </w:tc>
      </w:tr>
      <w:tr>
        <w:trPr/>
        <w:tc>
          <w:tcPr>
            <w:tcW w:w="9197" w:type="dxa"/>
            <w:gridSpan w:val="3"/>
            <w:tcBorders/>
          </w:tcPr>
          <w:p>
            <w:pPr>
              <w:pStyle w:val="TableContents"/>
              <w:bidi w:val="0"/>
              <w:spacing w:before="0" w:after="283"/>
              <w:jc w:val="left"/>
              <w:rPr/>
            </w:pPr>
            <w:r>
              <w:rPr/>
              <w:t>ARTICLE XI.  THE BORROWER REPRESENTATIVE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Nature of Relationship</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Powers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Employment of Agents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Successor Borrower Representative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Execution of Loan Documents; Borrowing Base Certificate</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Reporting</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148</w:t>
            </w:r>
          </w:p>
        </w:tc>
        <w:tc>
          <w:tcPr>
            <w:tcW w:w="63" w:type="dxa"/>
            <w:tcBorders/>
            <w:vAlign w:val="bottom"/>
          </w:tcPr>
          <w:p>
            <w:pPr>
              <w:pStyle w:val="TableContents"/>
              <w:bidi w:val="0"/>
              <w:spacing w:before="0" w:after="283"/>
              <w:jc w:val="left"/>
              <w:rPr/>
            </w:pPr>
            <w:r>
              <w:rPr/>
              <w:t> </w:t>
            </w:r>
          </w:p>
        </w:tc>
      </w:tr>
      <w:tr>
        <w:trPr>
          <w:trHeight w:val="120" w:hRule="atLeast"/>
        </w:trPr>
        <w:tc>
          <w:tcPr>
            <w:tcW w:w="9197" w:type="dxa"/>
            <w:gridSpan w:val="3"/>
            <w:tcBorders/>
            <w:vAlign w:val="center"/>
          </w:tcPr>
          <w:p>
            <w:pPr>
              <w:pStyle w:val="TableContents"/>
              <w:bidi w:val="0"/>
              <w:spacing w:before="0" w:after="283"/>
              <w:jc w:val="left"/>
              <w:rPr>
                <w:sz w:val="4"/>
                <w:szCs w:val="4"/>
              </w:rPr>
            </w:pPr>
            <w:r>
              <w:rPr>
                <w:sz w:val="4"/>
                <w:szCs w:val="4"/>
              </w:rPr>
            </w:r>
          </w:p>
        </w:tc>
        <w:tc>
          <w:tcPr>
            <w:tcW w:w="1008" w:type="dxa"/>
            <w:gridSpan w:val="4"/>
            <w:tcBorders/>
            <w:vAlign w:val="center"/>
          </w:tcPr>
          <w:p>
            <w:pPr>
              <w:pStyle w:val="TableContents"/>
              <w:bidi w:val="0"/>
              <w:spacing w:before="0" w:after="283"/>
              <w:jc w:val="left"/>
              <w:rPr>
                <w:sz w:val="4"/>
                <w:szCs w:val="4"/>
              </w:rPr>
            </w:pPr>
            <w:r>
              <w:rPr>
                <w:sz w:val="4"/>
                <w:szCs w:val="4"/>
              </w:rPr>
            </w:r>
          </w:p>
        </w:tc>
      </w:tr>
      <w:tr>
        <w:trPr/>
        <w:tc>
          <w:tcPr>
            <w:tcW w:w="9197" w:type="dxa"/>
            <w:gridSpan w:val="3"/>
            <w:tcBorders/>
          </w:tcPr>
          <w:p>
            <w:pPr>
              <w:pStyle w:val="TableContents"/>
              <w:bidi w:val="0"/>
              <w:spacing w:before="0" w:after="283"/>
              <w:jc w:val="left"/>
              <w:rPr/>
            </w:pPr>
            <w:r>
              <w:rPr/>
              <w:t>ARTICLE XII.  LIMITATIONS ON OBLIGATIONS OF CANADIAN LOAN PARTIES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1945"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111" w:type="dxa"/>
            <w:tcBorders/>
            <w:vAlign w:val="bottom"/>
          </w:tcPr>
          <w:p>
            <w:pPr>
              <w:pStyle w:val="TableContents"/>
              <w:bidi w:val="0"/>
              <w:spacing w:before="0" w:after="283"/>
              <w:jc w:val="left"/>
              <w:rPr/>
            </w:pPr>
            <w:r>
              <w:rPr/>
              <w:t> </w:t>
            </w:r>
          </w:p>
        </w:tc>
        <w:tc>
          <w:tcPr>
            <w:tcW w:w="7141" w:type="dxa"/>
            <w:tcBorders/>
          </w:tcPr>
          <w:p>
            <w:pPr>
              <w:pStyle w:val="TableContents"/>
              <w:bidi w:val="0"/>
              <w:spacing w:before="0" w:after="0"/>
              <w:jc w:val="left"/>
              <w:rPr>
                <w:rFonts w:ascii="Times New Roman" w:hAnsi="Times New Roman"/>
                <w:sz w:val="20"/>
              </w:rPr>
            </w:pPr>
            <w:r>
              <w:rPr>
                <w:rFonts w:ascii="Times New Roman" w:hAnsi="Times New Roman"/>
                <w:sz w:val="20"/>
              </w:rPr>
              <w:t>Limitations</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SCHEDULES: </w:t>
      </w:r>
    </w:p>
    <w:p>
      <w:pPr>
        <w:pStyle w:val="TextBody"/>
        <w:bidi w:val="0"/>
        <w:spacing w:before="120" w:after="0"/>
        <w:jc w:val="left"/>
        <w:rPr>
          <w:rFonts w:ascii="Times New Roman" w:hAnsi="Times New Roman"/>
          <w:sz w:val="20"/>
        </w:rPr>
      </w:pPr>
      <w:r>
        <w:rPr>
          <w:rFonts w:ascii="Times New Roman" w:hAnsi="Times New Roman"/>
          <w:sz w:val="20"/>
        </w:rPr>
        <w:t xml:space="preserve">Revolving Commitment Schedule </w:t>
      </w:r>
    </w:p>
    <w:p>
      <w:pPr>
        <w:pStyle w:val="TextBody"/>
        <w:bidi w:val="0"/>
        <w:spacing w:before="0" w:after="0"/>
        <w:jc w:val="left"/>
        <w:rPr>
          <w:rFonts w:ascii="Times New Roman" w:hAnsi="Times New Roman"/>
          <w:sz w:val="20"/>
        </w:rPr>
      </w:pPr>
      <w:r>
        <w:rPr>
          <w:rFonts w:ascii="Times New Roman" w:hAnsi="Times New Roman"/>
          <w:sz w:val="20"/>
        </w:rPr>
        <w:t xml:space="preserve">Loan Party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Schedule 2.06 – Existing Letters of Credit</w:t>
            </w:r>
          </w:p>
        </w:tc>
      </w:tr>
      <w:tr>
        <w:trPr/>
        <w:tc>
          <w:tcPr>
            <w:tcW w:w="10205" w:type="dxa"/>
            <w:tcBorders/>
          </w:tcPr>
          <w:p>
            <w:pPr>
              <w:pStyle w:val="TableContents"/>
              <w:bidi w:val="0"/>
              <w:spacing w:before="0" w:after="283"/>
              <w:jc w:val="left"/>
              <w:rPr/>
            </w:pPr>
            <w:r>
              <w:rPr/>
              <w:t>Schedule 3.05 – Owned and Leased Properties</w:t>
            </w:r>
          </w:p>
        </w:tc>
      </w:tr>
      <w:tr>
        <w:trPr/>
        <w:tc>
          <w:tcPr>
            <w:tcW w:w="10205" w:type="dxa"/>
            <w:tcBorders/>
          </w:tcPr>
          <w:p>
            <w:pPr>
              <w:pStyle w:val="TableContents"/>
              <w:bidi w:val="0"/>
              <w:spacing w:before="0" w:after="283"/>
              <w:jc w:val="left"/>
              <w:rPr/>
            </w:pPr>
            <w:r>
              <w:rPr/>
              <w:t>Schedule 3.06 – Disclosed Matters</w:t>
            </w:r>
          </w:p>
        </w:tc>
      </w:tr>
      <w:tr>
        <w:trPr/>
        <w:tc>
          <w:tcPr>
            <w:tcW w:w="10205" w:type="dxa"/>
            <w:tcBorders/>
          </w:tcPr>
          <w:p>
            <w:pPr>
              <w:pStyle w:val="TableContents"/>
              <w:bidi w:val="0"/>
              <w:spacing w:before="0" w:after="283"/>
              <w:jc w:val="left"/>
              <w:rPr/>
            </w:pPr>
            <w:r>
              <w:rPr/>
              <w:t>Schedule 3.10 – Canadian Pension Plans</w:t>
            </w:r>
          </w:p>
        </w:tc>
      </w:tr>
      <w:tr>
        <w:trPr/>
        <w:tc>
          <w:tcPr>
            <w:tcW w:w="10205" w:type="dxa"/>
            <w:tcBorders/>
          </w:tcPr>
          <w:p>
            <w:pPr>
              <w:pStyle w:val="TableContents"/>
              <w:bidi w:val="0"/>
              <w:spacing w:before="0" w:after="283"/>
              <w:jc w:val="left"/>
              <w:rPr/>
            </w:pPr>
            <w:r>
              <w:rPr/>
              <w:t>Schedule 3.14 – Insurance</w:t>
            </w:r>
          </w:p>
        </w:tc>
      </w:tr>
      <w:tr>
        <w:trPr/>
        <w:tc>
          <w:tcPr>
            <w:tcW w:w="10205" w:type="dxa"/>
            <w:tcBorders/>
          </w:tcPr>
          <w:p>
            <w:pPr>
              <w:pStyle w:val="TableContents"/>
              <w:bidi w:val="0"/>
              <w:spacing w:before="0" w:after="283"/>
              <w:jc w:val="left"/>
              <w:rPr/>
            </w:pPr>
            <w:r>
              <w:rPr/>
              <w:t>Schedule 3.15 – Capitalization and Subsidiaries</w:t>
            </w:r>
          </w:p>
        </w:tc>
      </w:tr>
      <w:tr>
        <w:trPr/>
        <w:tc>
          <w:tcPr>
            <w:tcW w:w="10205" w:type="dxa"/>
            <w:tcBorders/>
          </w:tcPr>
          <w:p>
            <w:pPr>
              <w:pStyle w:val="TableContents"/>
              <w:bidi w:val="0"/>
              <w:spacing w:before="0" w:after="283"/>
              <w:jc w:val="left"/>
              <w:rPr/>
            </w:pPr>
            <w:r>
              <w:rPr/>
              <w:t>Schedule 4.01 – Fourth Restatement Date Collateral Access Agreements</w:t>
            </w:r>
          </w:p>
        </w:tc>
      </w:tr>
      <w:tr>
        <w:trPr/>
        <w:tc>
          <w:tcPr>
            <w:tcW w:w="10205" w:type="dxa"/>
            <w:tcBorders/>
          </w:tcPr>
          <w:p>
            <w:pPr>
              <w:pStyle w:val="TableContents"/>
              <w:bidi w:val="0"/>
              <w:spacing w:before="0" w:after="283"/>
              <w:jc w:val="left"/>
              <w:rPr/>
            </w:pPr>
            <w:r>
              <w:rPr/>
              <w:t>Schedule 5.15 – Post-Closing Covenants</w:t>
            </w:r>
          </w:p>
        </w:tc>
      </w:tr>
      <w:tr>
        <w:trPr/>
        <w:tc>
          <w:tcPr>
            <w:tcW w:w="10205" w:type="dxa"/>
            <w:tcBorders/>
          </w:tcPr>
          <w:p>
            <w:pPr>
              <w:pStyle w:val="TableContents"/>
              <w:bidi w:val="0"/>
              <w:spacing w:before="0" w:after="283"/>
              <w:jc w:val="left"/>
              <w:rPr/>
            </w:pPr>
            <w:r>
              <w:rPr/>
              <w:t>Schedule 6.01 – Existing Indebtedness</w:t>
            </w:r>
          </w:p>
        </w:tc>
      </w:tr>
      <w:tr>
        <w:trPr/>
        <w:tc>
          <w:tcPr>
            <w:tcW w:w="10205" w:type="dxa"/>
            <w:tcBorders/>
          </w:tcPr>
          <w:p>
            <w:pPr>
              <w:pStyle w:val="TableContents"/>
              <w:bidi w:val="0"/>
              <w:spacing w:before="0" w:after="283"/>
              <w:jc w:val="left"/>
              <w:rPr/>
            </w:pPr>
            <w:r>
              <w:rPr/>
              <w:t>Schedule 6.02 – Existing Liens</w:t>
            </w:r>
          </w:p>
        </w:tc>
      </w:tr>
      <w:tr>
        <w:trPr/>
        <w:tc>
          <w:tcPr>
            <w:tcW w:w="10205" w:type="dxa"/>
            <w:tcBorders/>
          </w:tcPr>
          <w:p>
            <w:pPr>
              <w:pStyle w:val="TableContents"/>
              <w:bidi w:val="0"/>
              <w:spacing w:before="0" w:after="283"/>
              <w:jc w:val="left"/>
              <w:rPr/>
            </w:pPr>
            <w:r>
              <w:rPr/>
              <w:t>Schedule 6.10 – Existing Restrictions</w:t>
            </w:r>
          </w:p>
        </w:tc>
      </w:tr>
    </w:tbl>
    <w:p>
      <w:pPr>
        <w:pStyle w:val="TextBody"/>
        <w:bidi w:val="0"/>
        <w:spacing w:before="240" w:after="0"/>
        <w:jc w:val="left"/>
        <w:rPr>
          <w:rFonts w:ascii="Times New Roman" w:hAnsi="Times New Roman"/>
          <w:sz w:val="20"/>
        </w:rPr>
      </w:pPr>
      <w:r>
        <w:rPr>
          <w:rFonts w:ascii="Times New Roman" w:hAnsi="Times New Roman"/>
          <w:sz w:val="20"/>
          <w:u w:val="single"/>
        </w:rPr>
        <w:t>EXHIBITS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51"/>
        <w:gridCol w:w="129"/>
        <w:gridCol w:w="265"/>
        <w:gridCol w:w="129"/>
        <w:gridCol w:w="8531"/>
      </w:tblGrid>
      <w:tr>
        <w:trPr/>
        <w:tc>
          <w:tcPr>
            <w:tcW w:w="115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531" w:type="dxa"/>
            <w:tcBorders/>
            <w:vAlign w:val="center"/>
          </w:tcPr>
          <w:p>
            <w:pPr>
              <w:pStyle w:val="TableContents"/>
              <w:bidi w:val="0"/>
              <w:spacing w:before="0" w:after="283"/>
              <w:jc w:val="left"/>
              <w:rPr>
                <w:sz w:val="4"/>
                <w:szCs w:val="4"/>
              </w:rPr>
            </w:pPr>
            <w:r>
              <w:rPr>
                <w:sz w:val="4"/>
                <w:szCs w:val="4"/>
              </w:rPr>
            </w:r>
          </w:p>
        </w:tc>
      </w:tr>
      <w:tr>
        <w:trPr/>
        <w:tc>
          <w:tcPr>
            <w:tcW w:w="1151" w:type="dxa"/>
            <w:tcBorders/>
          </w:tcPr>
          <w:p>
            <w:pPr>
              <w:pStyle w:val="TableContents"/>
              <w:bidi w:val="0"/>
              <w:spacing w:before="0" w:after="283"/>
              <w:jc w:val="left"/>
              <w:rPr/>
            </w:pPr>
            <w:r>
              <w:rPr/>
              <w:t>Exhibit A</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Assignment and Assumption</w:t>
            </w:r>
          </w:p>
        </w:tc>
      </w:tr>
      <w:tr>
        <w:trPr/>
        <w:tc>
          <w:tcPr>
            <w:tcW w:w="1151" w:type="dxa"/>
            <w:tcBorders/>
          </w:tcPr>
          <w:p>
            <w:pPr>
              <w:pStyle w:val="TableContents"/>
              <w:bidi w:val="0"/>
              <w:spacing w:before="0" w:after="283"/>
              <w:jc w:val="left"/>
              <w:rPr/>
            </w:pPr>
            <w:r>
              <w:rPr/>
              <w:t>Exhibit B</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Borrowing Base Certificate</w:t>
            </w:r>
          </w:p>
        </w:tc>
      </w:tr>
      <w:tr>
        <w:trPr/>
        <w:tc>
          <w:tcPr>
            <w:tcW w:w="1151" w:type="dxa"/>
            <w:tcBorders/>
          </w:tcPr>
          <w:p>
            <w:pPr>
              <w:pStyle w:val="TableContents"/>
              <w:bidi w:val="0"/>
              <w:spacing w:before="0" w:after="283"/>
              <w:jc w:val="left"/>
              <w:rPr/>
            </w:pPr>
            <w:r>
              <w:rPr/>
              <w:t>Exhibit C</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Compliance Certificate</w:t>
            </w:r>
          </w:p>
        </w:tc>
      </w:tr>
      <w:tr>
        <w:trPr/>
        <w:tc>
          <w:tcPr>
            <w:tcW w:w="1151" w:type="dxa"/>
            <w:tcBorders/>
          </w:tcPr>
          <w:p>
            <w:pPr>
              <w:pStyle w:val="TableContents"/>
              <w:bidi w:val="0"/>
              <w:spacing w:before="0" w:after="283"/>
              <w:jc w:val="left"/>
              <w:rPr/>
            </w:pPr>
            <w:r>
              <w:rPr/>
              <w:t>Exhibit C-1</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U.S. Tax Compliance Certificate (For Non-U.S. Lenders That Are Not Partnerships For U.S. Federal Income Tax Purposes)</w:t>
            </w:r>
          </w:p>
        </w:tc>
      </w:tr>
      <w:tr>
        <w:trPr/>
        <w:tc>
          <w:tcPr>
            <w:tcW w:w="1151" w:type="dxa"/>
            <w:tcBorders/>
          </w:tcPr>
          <w:p>
            <w:pPr>
              <w:pStyle w:val="TableContents"/>
              <w:bidi w:val="0"/>
              <w:spacing w:before="0" w:after="283"/>
              <w:jc w:val="left"/>
              <w:rPr/>
            </w:pPr>
            <w:r>
              <w:rPr/>
              <w:t>Exhibit C-2</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U.S. Tax Compliance Certificate (For Non-U.S. Participants That Are Not Partnerships For U.S. Federal Income Tax Purposes)</w:t>
            </w:r>
          </w:p>
        </w:tc>
      </w:tr>
      <w:tr>
        <w:trPr/>
        <w:tc>
          <w:tcPr>
            <w:tcW w:w="1151" w:type="dxa"/>
            <w:tcBorders/>
          </w:tcPr>
          <w:p>
            <w:pPr>
              <w:pStyle w:val="TableContents"/>
              <w:bidi w:val="0"/>
              <w:spacing w:before="0" w:after="283"/>
              <w:jc w:val="left"/>
              <w:rPr/>
            </w:pPr>
            <w:r>
              <w:rPr/>
              <w:t>Exhibit C-3</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U.S. Tax Compliance Certificate (For Non-U.S. Participants That Are Partnerships For U.S. Federal Income Tax Purposes)</w:t>
            </w:r>
          </w:p>
        </w:tc>
      </w:tr>
      <w:tr>
        <w:trPr/>
        <w:tc>
          <w:tcPr>
            <w:tcW w:w="1151" w:type="dxa"/>
            <w:tcBorders/>
          </w:tcPr>
          <w:p>
            <w:pPr>
              <w:pStyle w:val="TableContents"/>
              <w:bidi w:val="0"/>
              <w:spacing w:before="0" w:after="283"/>
              <w:jc w:val="left"/>
              <w:rPr/>
            </w:pPr>
            <w:r>
              <w:rPr/>
              <w:t>Exhibit C-4</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U.S. Tax Compliance Certificate (For Non-U.S. Lenders That Are Partnerships For U.S. Federal Income Tax Purposes)</w:t>
            </w:r>
          </w:p>
        </w:tc>
      </w:tr>
      <w:tr>
        <w:trPr/>
        <w:tc>
          <w:tcPr>
            <w:tcW w:w="1151" w:type="dxa"/>
            <w:tcBorders/>
          </w:tcPr>
          <w:p>
            <w:pPr>
              <w:pStyle w:val="TableContents"/>
              <w:bidi w:val="0"/>
              <w:spacing w:before="0" w:after="283"/>
              <w:jc w:val="left"/>
              <w:rPr/>
            </w:pPr>
            <w:r>
              <w:rPr/>
              <w:t>Exhibit D</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Joinder Agreement</w:t>
            </w:r>
          </w:p>
        </w:tc>
      </w:tr>
      <w:tr>
        <w:trPr/>
        <w:tc>
          <w:tcPr>
            <w:tcW w:w="1151" w:type="dxa"/>
            <w:tcBorders/>
          </w:tcPr>
          <w:p>
            <w:pPr>
              <w:pStyle w:val="TableContents"/>
              <w:bidi w:val="0"/>
              <w:spacing w:before="0" w:after="283"/>
              <w:jc w:val="left"/>
              <w:rPr/>
            </w:pPr>
            <w:r>
              <w:rPr/>
              <w:t>Exhibit E</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Pledge and Security Agreement (U.S. Loan Parties)</w:t>
            </w:r>
          </w:p>
        </w:tc>
      </w:tr>
      <w:tr>
        <w:trPr/>
        <w:tc>
          <w:tcPr>
            <w:tcW w:w="1151" w:type="dxa"/>
            <w:tcBorders/>
          </w:tcPr>
          <w:p>
            <w:pPr>
              <w:pStyle w:val="TableContents"/>
              <w:bidi w:val="0"/>
              <w:spacing w:before="0" w:after="283"/>
              <w:jc w:val="left"/>
              <w:rPr/>
            </w:pPr>
            <w:r>
              <w:rPr/>
              <w:t>Exhibit F-1</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Canadian Guarantee</w:t>
            </w:r>
          </w:p>
        </w:tc>
      </w:tr>
      <w:tr>
        <w:trPr/>
        <w:tc>
          <w:tcPr>
            <w:tcW w:w="1151" w:type="dxa"/>
            <w:tcBorders/>
          </w:tcPr>
          <w:p>
            <w:pPr>
              <w:pStyle w:val="TableContents"/>
              <w:bidi w:val="0"/>
              <w:spacing w:before="0" w:after="283"/>
              <w:jc w:val="left"/>
              <w:rPr/>
            </w:pPr>
            <w:r>
              <w:rPr/>
              <w:t>Exhibit F-2</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Canadian Cross-Border Guarantee</w:t>
            </w:r>
          </w:p>
        </w:tc>
      </w:tr>
      <w:tr>
        <w:trPr/>
        <w:tc>
          <w:tcPr>
            <w:tcW w:w="1151" w:type="dxa"/>
            <w:tcBorders/>
          </w:tcPr>
          <w:p>
            <w:pPr>
              <w:pStyle w:val="TableContents"/>
              <w:bidi w:val="0"/>
              <w:spacing w:before="0" w:after="283"/>
              <w:jc w:val="left"/>
              <w:rPr/>
            </w:pPr>
            <w:r>
              <w:rPr/>
              <w:t>Exhibit G-1</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Canadian Pledge and Security Agreement</w:t>
            </w:r>
          </w:p>
        </w:tc>
      </w:tr>
      <w:tr>
        <w:trPr/>
        <w:tc>
          <w:tcPr>
            <w:tcW w:w="1151" w:type="dxa"/>
            <w:tcBorders/>
          </w:tcPr>
          <w:p>
            <w:pPr>
              <w:pStyle w:val="TableContents"/>
              <w:bidi w:val="0"/>
              <w:spacing w:before="0" w:after="283"/>
              <w:jc w:val="left"/>
              <w:rPr/>
            </w:pPr>
            <w:r>
              <w:rPr/>
              <w:t>Exhibit G-2</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Canadian Cross-Border Pledge and Security Agreement</w:t>
            </w:r>
          </w:p>
        </w:tc>
      </w:tr>
      <w:tr>
        <w:trPr/>
        <w:tc>
          <w:tcPr>
            <w:tcW w:w="1151" w:type="dxa"/>
            <w:tcBorders/>
          </w:tcPr>
          <w:p>
            <w:pPr>
              <w:pStyle w:val="TableContents"/>
              <w:bidi w:val="0"/>
              <w:spacing w:before="0" w:after="283"/>
              <w:jc w:val="left"/>
              <w:rPr/>
            </w:pPr>
            <w:r>
              <w:rPr/>
              <w:t>Exhibit H</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Note</w:t>
            </w:r>
          </w:p>
        </w:tc>
      </w:tr>
      <w:tr>
        <w:trPr/>
        <w:tc>
          <w:tcPr>
            <w:tcW w:w="1151" w:type="dxa"/>
            <w:tcBorders/>
          </w:tcPr>
          <w:p>
            <w:pPr>
              <w:pStyle w:val="TableContents"/>
              <w:bidi w:val="0"/>
              <w:spacing w:before="0" w:after="283"/>
              <w:jc w:val="left"/>
              <w:rPr/>
            </w:pPr>
            <w:r>
              <w:rPr/>
              <w:t>Exhibit I</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Permitted Term Debt Intercreditor Agreement</w:t>
            </w:r>
          </w:p>
        </w:tc>
      </w:tr>
      <w:tr>
        <w:trPr/>
        <w:tc>
          <w:tcPr>
            <w:tcW w:w="1151" w:type="dxa"/>
            <w:tcBorders/>
          </w:tcPr>
          <w:p>
            <w:pPr>
              <w:pStyle w:val="TableContents"/>
              <w:bidi w:val="0"/>
              <w:spacing w:before="0" w:after="283"/>
              <w:jc w:val="left"/>
              <w:rPr/>
            </w:pPr>
            <w:r>
              <w:rPr/>
              <w:t>Exhibit J</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Borrowing Request</w:t>
            </w:r>
          </w:p>
        </w:tc>
      </w:tr>
      <w:tr>
        <w:trPr/>
        <w:tc>
          <w:tcPr>
            <w:tcW w:w="1151" w:type="dxa"/>
            <w:tcBorders/>
          </w:tcPr>
          <w:p>
            <w:pPr>
              <w:pStyle w:val="TableContents"/>
              <w:bidi w:val="0"/>
              <w:spacing w:before="0" w:after="283"/>
              <w:jc w:val="left"/>
              <w:rPr/>
            </w:pPr>
            <w:r>
              <w:rPr/>
              <w:t>Exhibit K</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Form of Prepayment Notice</w:t>
            </w:r>
          </w:p>
        </w:tc>
      </w:tr>
      <w:tr>
        <w:trPr>
          <w:trHeight w:val="240" w:hRule="atLeast"/>
        </w:trPr>
        <w:tc>
          <w:tcPr>
            <w:tcW w:w="1151" w:type="dxa"/>
            <w:tcBorders/>
            <w:vAlign w:val="center"/>
          </w:tcPr>
          <w:p>
            <w:pPr>
              <w:pStyle w:val="TableContents"/>
              <w:bidi w:val="0"/>
              <w:spacing w:before="0" w:after="283"/>
              <w:jc w:val="left"/>
              <w:rPr>
                <w:sz w:val="4"/>
                <w:szCs w:val="4"/>
              </w:rPr>
            </w:pPr>
            <w:r>
              <w:rPr>
                <w:sz w:val="4"/>
                <w:szCs w:val="4"/>
              </w:rPr>
            </w:r>
          </w:p>
        </w:tc>
        <w:tc>
          <w:tcPr>
            <w:tcW w:w="394" w:type="dxa"/>
            <w:gridSpan w:val="2"/>
            <w:tcBorders/>
            <w:vAlign w:val="center"/>
          </w:tcPr>
          <w:p>
            <w:pPr>
              <w:pStyle w:val="TableContents"/>
              <w:bidi w:val="0"/>
              <w:spacing w:before="0" w:after="283"/>
              <w:jc w:val="left"/>
              <w:rPr>
                <w:sz w:val="4"/>
                <w:szCs w:val="4"/>
              </w:rPr>
            </w:pPr>
            <w:r>
              <w:rPr>
                <w:sz w:val="4"/>
                <w:szCs w:val="4"/>
              </w:rPr>
            </w:r>
          </w:p>
        </w:tc>
        <w:tc>
          <w:tcPr>
            <w:tcW w:w="8660"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tcPr>
          <w:p>
            <w:pPr>
              <w:pStyle w:val="TableContents"/>
              <w:bidi w:val="0"/>
              <w:spacing w:before="0" w:after="283"/>
              <w:jc w:val="left"/>
              <w:rPr/>
            </w:pPr>
            <w:r>
              <w:rPr>
                <w:u w:val="single"/>
              </w:rPr>
              <w:t>ANNEX</w:t>
            </w:r>
            <w:r>
              <w:rPr/>
              <w:t>:</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sz w:val="4"/>
                <w:szCs w:val="4"/>
              </w:rPr>
            </w:pPr>
            <w:r>
              <w:rPr>
                <w:sz w:val="4"/>
                <w:szCs w:val="4"/>
              </w:rPr>
            </w:r>
          </w:p>
        </w:tc>
      </w:tr>
      <w:tr>
        <w:trPr>
          <w:trHeight w:val="120" w:hRule="atLeast"/>
        </w:trPr>
        <w:tc>
          <w:tcPr>
            <w:tcW w:w="1151" w:type="dxa"/>
            <w:tcBorders/>
            <w:vAlign w:val="center"/>
          </w:tcPr>
          <w:p>
            <w:pPr>
              <w:pStyle w:val="TableContents"/>
              <w:bidi w:val="0"/>
              <w:spacing w:before="0" w:after="283"/>
              <w:jc w:val="left"/>
              <w:rPr>
                <w:sz w:val="4"/>
                <w:szCs w:val="4"/>
              </w:rPr>
            </w:pPr>
            <w:r>
              <w:rPr>
                <w:sz w:val="4"/>
                <w:szCs w:val="4"/>
              </w:rPr>
            </w:r>
          </w:p>
        </w:tc>
        <w:tc>
          <w:tcPr>
            <w:tcW w:w="394" w:type="dxa"/>
            <w:gridSpan w:val="2"/>
            <w:tcBorders/>
            <w:vAlign w:val="center"/>
          </w:tcPr>
          <w:p>
            <w:pPr>
              <w:pStyle w:val="TableContents"/>
              <w:bidi w:val="0"/>
              <w:spacing w:before="0" w:after="283"/>
              <w:jc w:val="left"/>
              <w:rPr>
                <w:sz w:val="4"/>
                <w:szCs w:val="4"/>
              </w:rPr>
            </w:pPr>
            <w:r>
              <w:rPr>
                <w:sz w:val="4"/>
                <w:szCs w:val="4"/>
              </w:rPr>
            </w:r>
          </w:p>
        </w:tc>
        <w:tc>
          <w:tcPr>
            <w:tcW w:w="8660"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tcPr>
          <w:p>
            <w:pPr>
              <w:pStyle w:val="TableContents"/>
              <w:bidi w:val="0"/>
              <w:spacing w:before="0" w:after="283"/>
              <w:jc w:val="left"/>
              <w:rPr/>
            </w:pPr>
            <w:r>
              <w:rPr/>
              <w:t>Annex I</w:t>
            </w:r>
          </w:p>
        </w:tc>
        <w:tc>
          <w:tcPr>
            <w:tcW w:w="129" w:type="dxa"/>
            <w:tcBorders/>
            <w:vAlign w:val="bottom"/>
          </w:tcPr>
          <w:p>
            <w:pPr>
              <w:pStyle w:val="TableContents"/>
              <w:bidi w:val="0"/>
              <w:spacing w:before="0" w:after="283"/>
              <w:jc w:val="left"/>
              <w:rPr/>
            </w:pPr>
            <w:r>
              <w:rPr/>
              <w:t>  </w:t>
            </w:r>
          </w:p>
        </w:tc>
        <w:tc>
          <w:tcPr>
            <w:tcW w:w="265"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8531" w:type="dxa"/>
            <w:tcBorders/>
          </w:tcPr>
          <w:p>
            <w:pPr>
              <w:pStyle w:val="TableContents"/>
              <w:bidi w:val="0"/>
              <w:spacing w:before="0" w:after="283"/>
              <w:jc w:val="left"/>
              <w:rPr/>
            </w:pPr>
            <w:r>
              <w:rPr/>
              <w:t>Existing PNC Letter of Credit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FOURTH AMENDED AND RESTATED CREDIT AGREEMENT dated as of June 22, 2020 (as it may be amended, restated, amended and restated, supplemented or modified from time to time, this “</w:t>
      </w:r>
      <w:r>
        <w:rPr>
          <w:rFonts w:ascii="Times New Roman" w:hAnsi="Times New Roman"/>
          <w:sz w:val="20"/>
          <w:u w:val="single"/>
        </w:rPr>
        <w:t>Agreement</w:t>
      </w:r>
      <w:r>
        <w:rPr>
          <w:rFonts w:ascii="Times New Roman" w:hAnsi="Times New Roman"/>
          <w:sz w:val="20"/>
        </w:rPr>
        <w:t>”), among WESCO DISTRIBUTION, INC., a Delaware corporation, the other U.S. Borrowers party hereto, WESCO DISTRIBUTION CANADA LP, an Ontario limited partnership (“</w:t>
      </w:r>
      <w:r>
        <w:rPr>
          <w:rFonts w:ascii="Times New Roman" w:hAnsi="Times New Roman"/>
          <w:sz w:val="20"/>
          <w:u w:val="single"/>
        </w:rPr>
        <w:t>WDC</w:t>
      </w:r>
      <w:r>
        <w:rPr>
          <w:rFonts w:ascii="Times New Roman" w:hAnsi="Times New Roman"/>
          <w:sz w:val="20"/>
        </w:rPr>
        <w:t xml:space="preserve">”), the other Canadian Borrowers party hereto, the other Loan Parties party hereto, the Lenders party hereto, and BARCLAYS BANK PLC, as Administrative Agent. </w:t>
      </w:r>
    </w:p>
    <w:p>
      <w:pPr>
        <w:pStyle w:val="TextBody"/>
        <w:bidi w:val="0"/>
        <w:spacing w:before="240" w:after="0"/>
        <w:jc w:val="left"/>
        <w:rPr>
          <w:rFonts w:ascii="Times New Roman" w:hAnsi="Times New Roman"/>
          <w:sz w:val="20"/>
        </w:rPr>
      </w:pPr>
      <w:r>
        <w:rPr>
          <w:rFonts w:ascii="Times New Roman" w:hAnsi="Times New Roman"/>
          <w:sz w:val="20"/>
        </w:rPr>
        <w:t>WHEREAS, the Loan Parties are parties to the Third Amended and Restated Credit Agreement dated as of September 26, 2019 among WESCO Distribution, Inc., as U.S. Borrower, the other U.S. Borrowers party thereto, WESCO Distribution Canada LP, as Canadian Borrower, the other Loan Parties party thereto, the lenders party thereto (the “</w:t>
      </w:r>
      <w:r>
        <w:rPr>
          <w:rFonts w:ascii="Times New Roman" w:hAnsi="Times New Roman"/>
          <w:sz w:val="20"/>
          <w:u w:val="single"/>
        </w:rPr>
        <w:t>Existing Lenders</w:t>
      </w:r>
      <w:r>
        <w:rPr>
          <w:rFonts w:ascii="Times New Roman" w:hAnsi="Times New Roman"/>
          <w:sz w:val="20"/>
        </w:rPr>
        <w:t>”), JPMorgan Chase Bank, N.A., as U.S. administrative agent (in such capacity, the “</w:t>
      </w:r>
      <w:r>
        <w:rPr>
          <w:rFonts w:ascii="Times New Roman" w:hAnsi="Times New Roman"/>
          <w:sz w:val="20"/>
          <w:u w:val="single"/>
        </w:rPr>
        <w:t>Existing U.S. Administrative Agent</w:t>
      </w:r>
      <w:r>
        <w:rPr>
          <w:rFonts w:ascii="Times New Roman" w:hAnsi="Times New Roman"/>
          <w:sz w:val="20"/>
        </w:rPr>
        <w:t>”), and JPMorgan Chase Bank, N.A., Toronto Branch, as Canadian administrative agent (in such capacity, the “</w:t>
      </w:r>
      <w:r>
        <w:rPr>
          <w:rFonts w:ascii="Times New Roman" w:hAnsi="Times New Roman"/>
          <w:sz w:val="20"/>
          <w:u w:val="single"/>
        </w:rPr>
        <w:t>Existing Canadian Administrative Agent</w:t>
      </w:r>
      <w:r>
        <w:rPr>
          <w:rFonts w:ascii="Times New Roman" w:hAnsi="Times New Roman"/>
          <w:sz w:val="20"/>
        </w:rPr>
        <w:t>”; together with the U.S. Administrative Agent, the “</w:t>
      </w:r>
      <w:r>
        <w:rPr>
          <w:rFonts w:ascii="Times New Roman" w:hAnsi="Times New Roman"/>
          <w:sz w:val="20"/>
          <w:u w:val="single"/>
        </w:rPr>
        <w:t>Existing Administrative Agents</w:t>
      </w:r>
      <w:r>
        <w:rPr>
          <w:rFonts w:ascii="Times New Roman" w:hAnsi="Times New Roman"/>
          <w:sz w:val="20"/>
        </w:rPr>
        <w:t>”), as amended, supplemented or otherwise modified prior to the Fourth Restatement Date (the “</w:t>
      </w:r>
      <w:r>
        <w:rPr>
          <w:rFonts w:ascii="Times New Roman" w:hAnsi="Times New Roman"/>
          <w:sz w:val="20"/>
          <w:u w:val="single"/>
        </w:rPr>
        <w:t>Existing Credit Agreement</w:t>
      </w:r>
      <w:r>
        <w:rPr>
          <w:rFonts w:ascii="Times New Roman" w:hAnsi="Times New Roman"/>
          <w:sz w:val="20"/>
        </w:rPr>
        <w:t xml:space="preserve">”), pursuant to which the Existing Lenders agreed to make certain loans and provide certain other credit accommodations to the borrowers thereunder from time to time;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Loan Parties have requested that the Existing Lenders agree to further amend and restate the Existing Credit Agreement in its entirety to, among other things make certain modifications to the terms and provisions of the Existing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and sufficiency of which are hereby acknowledged, the parties hereto hereby agree that the Existing Credit Agreement is amended and restated in its entirety by this Agreement and hereby further agree as follows: </w:t>
      </w:r>
    </w:p>
    <w:p>
      <w:pPr>
        <w:pStyle w:val="TextBody"/>
        <w:bidi w:val="0"/>
        <w:spacing w:before="240" w:after="0"/>
        <w:jc w:val="center"/>
        <w:rPr>
          <w:rFonts w:ascii="Times New Roman" w:hAnsi="Times New Roman"/>
          <w:sz w:val="20"/>
        </w:rPr>
      </w:pPr>
      <w:r>
        <w:rPr>
          <w:rFonts w:ascii="Times New Roman" w:hAnsi="Times New Roman"/>
          <w:sz w:val="20"/>
        </w:rPr>
        <w:t xml:space="preserve">ARTICLE I.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1.01</w:t>
      </w:r>
      <w:r>
        <w:rPr>
          <w:rFonts w:ascii="Times New Roman" w:hAnsi="Times New Roman"/>
          <w:sz w:val="20"/>
        </w:rPr>
        <w:t xml:space="preserve"> </w:t>
      </w:r>
      <w:r>
        <w:rPr>
          <w:rFonts w:ascii="Times New Roman" w:hAnsi="Times New Roman"/>
          <w:sz w:val="20"/>
          <w:u w:val="single"/>
        </w:rPr>
        <w:t>Defined Terms</w:t>
      </w:r>
      <w:r>
        <w:rPr>
          <w:rFonts w:ascii="Times New Roman" w:hAnsi="Times New Roman"/>
          <w:sz w:val="20"/>
        </w:rPr>
        <w:t xml:space="preserve">. As used in this Agreement, the following terms have the meanings specified below: </w:t>
      </w:r>
    </w:p>
    <w:p>
      <w:pPr>
        <w:pStyle w:val="TextBody"/>
        <w:bidi w:val="0"/>
        <w:spacing w:before="120" w:after="0"/>
        <w:jc w:val="left"/>
        <w:rPr/>
      </w:pPr>
      <w:r>
        <w:rPr>
          <w:strike/>
          <w:color w:val="FF0000"/>
        </w:rPr>
        <w:t>“</w:t>
      </w:r>
      <w:r>
        <w:rPr>
          <w:rFonts w:ascii="Times New Roman" w:hAnsi="Times New Roman"/>
          <w:strike/>
          <w:color w:val="FF0000"/>
          <w:sz w:val="20"/>
          <w:u w:val="single"/>
        </w:rPr>
        <w:t>2021 Additional Revolving Commitments Availability Date</w:t>
      </w:r>
      <w:r>
        <w:rPr>
          <w:rFonts w:ascii="Times New Roman" w:hAnsi="Times New Roman"/>
          <w:strike/>
          <w:color w:val="FF0000"/>
          <w:sz w:val="20"/>
        </w:rPr>
        <w:t>” has the meaning assigned to such term in the First Amendment.</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u w:val="single"/>
        </w:rPr>
        <w:t>2028 Senior Notes</w:t>
      </w:r>
      <w:r>
        <w:rPr>
          <w:rFonts w:ascii="Times New Roman" w:hAnsi="Times New Roman"/>
          <w:strike/>
          <w:color w:val="FF0000"/>
          <w:sz w:val="20"/>
        </w:rPr>
        <w:t xml:space="preserve">” means the 7.250% Senior Notes due 2028 </w:t>
      </w:r>
      <w:r>
        <w:rPr>
          <w:rFonts w:ascii="Times New Roman" w:hAnsi="Times New Roman"/>
          <w:strike/>
          <w:color w:val="008000"/>
          <w:sz w:val="20"/>
        </w:rPr>
        <w:t xml:space="preserve">issued by WESCO Distribution, Inc. pursuant to the </w:t>
      </w:r>
      <w:r>
        <w:rPr>
          <w:rFonts w:ascii="Times New Roman" w:hAnsi="Times New Roman"/>
          <w:strike/>
          <w:color w:val="FF0000"/>
          <w:sz w:val="20"/>
        </w:rPr>
        <w:t>2028 Senior Notes Indenture.</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u w:val="single"/>
        </w:rPr>
        <w:t>2028</w:t>
      </w:r>
      <w:r>
        <w:rPr>
          <w:rFonts w:ascii="Times New Roman" w:hAnsi="Times New Roman"/>
          <w:strike/>
          <w:color w:val="008000"/>
          <w:sz w:val="20"/>
          <w:u w:val="single"/>
        </w:rPr>
        <w:t xml:space="preserve"> Senior Notes Indenture</w:t>
      </w:r>
      <w:r>
        <w:rPr>
          <w:rFonts w:ascii="Times New Roman" w:hAnsi="Times New Roman"/>
          <w:strike/>
          <w:color w:val="008000"/>
          <w:sz w:val="20"/>
        </w:rPr>
        <w:t>” means that certain Indenture dated as of</w:t>
      </w:r>
      <w:r>
        <w:rPr>
          <w:rFonts w:ascii="Times New Roman" w:hAnsi="Times New Roman"/>
          <w:sz w:val="20"/>
        </w:rPr>
        <w:t xml:space="preserve"> </w:t>
      </w:r>
      <w:r>
        <w:rPr>
          <w:rFonts w:ascii="Times New Roman" w:hAnsi="Times New Roman"/>
          <w:strike/>
          <w:color w:val="FF0000"/>
          <w:sz w:val="20"/>
        </w:rPr>
        <w:t>June 12, 2020</w:t>
      </w:r>
      <w:r>
        <w:rPr>
          <w:rFonts w:ascii="Times New Roman" w:hAnsi="Times New Roman"/>
          <w:strike/>
          <w:color w:val="008000"/>
          <w:sz w:val="20"/>
        </w:rPr>
        <w:t xml:space="preserve"> among WESCO Distribution, Inc. as issuer, Holdings as parent guarantor,</w:t>
      </w:r>
      <w:r>
        <w:rPr>
          <w:rFonts w:ascii="Times New Roman" w:hAnsi="Times New Roman"/>
          <w:strike/>
          <w:color w:val="FF0000"/>
          <w:sz w:val="20"/>
        </w:rPr>
        <w:t xml:space="preserve"> and U.S. Bank</w:t>
      </w:r>
      <w:r>
        <w:rPr>
          <w:rFonts w:ascii="Times New Roman" w:hAnsi="Times New Roman"/>
          <w:strike/>
          <w:color w:val="008000"/>
          <w:sz w:val="20"/>
        </w:rPr>
        <w:t xml:space="preserve"> National Association, as trustee, including any supplemental indenture executed or delivered in connection therewith, as the same may be amended, restated, modified, waived, or supplemented from time to time.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2029 / 2032 Senior Notes Indenture</w:t>
      </w:r>
      <w:r>
        <w:rPr>
          <w:rFonts w:ascii="Times New Roman" w:hAnsi="Times New Roman"/>
          <w:sz w:val="20"/>
        </w:rPr>
        <w:t xml:space="preserve">” means that certain Indenture dated as of March 7, 2024, among WESCO Distribution, Inc. as issuer, Holdings as parent guarantor, Anixter Inc. as subsidiary guarantor, and U.S. Bank Trust Company, National Association, as trustee, including any supplemental indenture executed or delivered in connection therewith, as the same may be amended, restated, modified, waived, or supplemented from time to time.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2029 Senior Notes” means the 6.375% Senior Notes due 2029</w:t>
      </w:r>
      <w:r>
        <w:rPr>
          <w:rFonts w:ascii="Times New Roman" w:hAnsi="Times New Roman"/>
          <w:color w:val="008000"/>
          <w:sz w:val="20"/>
          <w:u w:val="single"/>
          <w:bdr w:val="double" w:sz="2" w:space="1" w:color="000000"/>
        </w:rPr>
        <w:t xml:space="preserve"> issued by WESCO Distribution, Inc. pursuant to the </w:t>
      </w:r>
      <w:r>
        <w:rPr>
          <w:rFonts w:ascii="Times New Roman" w:hAnsi="Times New Roman"/>
          <w:color w:val="0000FF"/>
          <w:sz w:val="20"/>
          <w:u w:val="single"/>
          <w:bdr w:val="double" w:sz="2" w:space="1" w:color="000000"/>
        </w:rPr>
        <w:t>2029 / 2032 Senior Notes Indenture.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 xml:space="preserve">2031 / 2034 </w:t>
      </w:r>
      <w:r>
        <w:rPr>
          <w:rFonts w:ascii="Times New Roman" w:hAnsi="Times New Roman"/>
          <w:color w:val="008000"/>
          <w:sz w:val="20"/>
          <w:u w:val="single"/>
          <w:bdr w:val="double" w:sz="2" w:space="1" w:color="000000"/>
        </w:rPr>
        <w:t>Senior Notes Indenture” means that certain Indenture dated as of</w:t>
      </w:r>
      <w:r>
        <w:rPr>
          <w:rFonts w:ascii="Times New Roman" w:hAnsi="Times New Roman"/>
          <w:color w:val="0000FF"/>
          <w:sz w:val="20"/>
          <w:u w:val="single"/>
          <w:bdr w:val="double" w:sz="2" w:space="1" w:color="000000"/>
        </w:rPr>
        <w:t xml:space="preserve"> February 27, 2026, </w:t>
      </w:r>
      <w:r>
        <w:rPr>
          <w:rFonts w:ascii="Times New Roman" w:hAnsi="Times New Roman"/>
          <w:color w:val="008000"/>
          <w:sz w:val="20"/>
          <w:u w:val="single"/>
          <w:bdr w:val="double" w:sz="2" w:space="1" w:color="000000"/>
        </w:rPr>
        <w:t>among WESCO Distribution, Inc. as issuer, Holdings as parent guarantor,</w:t>
      </w:r>
      <w:r>
        <w:rPr>
          <w:rFonts w:ascii="Times New Roman" w:hAnsi="Times New Roman"/>
          <w:sz w:val="20"/>
        </w:rPr>
        <w:t xml:space="preserve"> </w:t>
      </w:r>
      <w:r>
        <w:rPr>
          <w:rFonts w:ascii="Times New Roman" w:hAnsi="Times New Roman"/>
          <w:color w:val="0000FF"/>
          <w:sz w:val="20"/>
          <w:u w:val="single"/>
          <w:bdr w:val="double" w:sz="2" w:space="1" w:color="000000"/>
        </w:rPr>
        <w:t>Anixter Inc. as subsidiary guarantor, and U.S. Bank Trust Company,</w:t>
      </w:r>
      <w:r>
        <w:rPr>
          <w:rFonts w:ascii="Times New Roman" w:hAnsi="Times New Roman"/>
          <w:sz w:val="20"/>
        </w:rPr>
        <w:t xml:space="preserve"> </w:t>
      </w:r>
      <w:r>
        <w:rPr>
          <w:rFonts w:ascii="Times New Roman" w:hAnsi="Times New Roman"/>
          <w:color w:val="008000"/>
          <w:sz w:val="20"/>
          <w:u w:val="single"/>
          <w:bdr w:val="double" w:sz="2" w:space="1" w:color="000000"/>
        </w:rPr>
        <w:t>National Association, as trustee, including any supplemental indenture executed or delivered in connection therewith, as the same may be amended, restated, modified, waived, or supplemented from time to time.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trike/>
          <w:color w:val="FF0000"/>
          <w:sz w:val="20"/>
          <w:u w:val="single"/>
        </w:rPr>
        <w:t>2029</w:t>
      </w:r>
      <w:r>
        <w:rPr>
          <w:rFonts w:ascii="Times New Roman" w:hAnsi="Times New Roman"/>
          <w:color w:val="0000FF"/>
          <w:sz w:val="20"/>
          <w:u w:val="single"/>
          <w:bdr w:val="double" w:sz="2" w:space="1" w:color="000000"/>
        </w:rPr>
        <w:t>2031</w:t>
      </w:r>
      <w:r>
        <w:rPr>
          <w:rFonts w:ascii="Times New Roman" w:hAnsi="Times New Roman"/>
          <w:sz w:val="20"/>
        </w:rPr>
        <w:t xml:space="preserve"> Senior Notes” means the </w:t>
      </w:r>
      <w:r>
        <w:rPr>
          <w:rFonts w:ascii="Times New Roman" w:hAnsi="Times New Roman"/>
          <w:strike/>
          <w:color w:val="FF0000"/>
          <w:sz w:val="20"/>
        </w:rPr>
        <w:t>6.375</w:t>
      </w:r>
      <w:r>
        <w:rPr>
          <w:rFonts w:ascii="Times New Roman" w:hAnsi="Times New Roman"/>
          <w:color w:val="0000FF"/>
          <w:sz w:val="20"/>
          <w:u w:val="single"/>
          <w:bdr w:val="double" w:sz="2" w:space="1" w:color="000000"/>
        </w:rPr>
        <w:t>5.250</w:t>
      </w:r>
      <w:r>
        <w:rPr>
          <w:rFonts w:ascii="Times New Roman" w:hAnsi="Times New Roman"/>
          <w:sz w:val="20"/>
        </w:rPr>
        <w:t xml:space="preserve">% Senior Notes due </w:t>
      </w:r>
      <w:r>
        <w:rPr>
          <w:rFonts w:ascii="Times New Roman" w:hAnsi="Times New Roman"/>
          <w:strike/>
          <w:color w:val="FF0000"/>
          <w:sz w:val="20"/>
        </w:rPr>
        <w:t>2029</w:t>
      </w:r>
      <w:r>
        <w:rPr>
          <w:rFonts w:ascii="Times New Roman" w:hAnsi="Times New Roman"/>
          <w:color w:val="0000FF"/>
          <w:sz w:val="20"/>
          <w:u w:val="single"/>
          <w:bdr w:val="double" w:sz="2" w:space="1" w:color="000000"/>
        </w:rPr>
        <w:t>2031</w:t>
      </w:r>
      <w:r>
        <w:rPr>
          <w:rFonts w:ascii="Times New Roman" w:hAnsi="Times New Roman"/>
          <w:sz w:val="20"/>
        </w:rPr>
        <w:t xml:space="preserve"> issued by WESCO Distribution, Inc. pursuant to the </w:t>
      </w:r>
      <w:r>
        <w:rPr>
          <w:rFonts w:ascii="Times New Roman" w:hAnsi="Times New Roman"/>
          <w:strike/>
          <w:color w:val="FF0000"/>
          <w:sz w:val="20"/>
        </w:rPr>
        <w:t>2029</w:t>
      </w:r>
      <w:r>
        <w:rPr>
          <w:rFonts w:ascii="Times New Roman" w:hAnsi="Times New Roman"/>
          <w:color w:val="0000FF"/>
          <w:sz w:val="20"/>
          <w:u w:val="single"/>
          <w:bdr w:val="double" w:sz="2" w:space="1" w:color="000000"/>
        </w:rPr>
        <w:t>2031</w:t>
      </w:r>
      <w:r>
        <w:rPr>
          <w:rFonts w:ascii="Times New Roman" w:hAnsi="Times New Roman"/>
          <w:sz w:val="20"/>
        </w:rPr>
        <w:t xml:space="preserve"> / </w:t>
      </w:r>
      <w:r>
        <w:rPr>
          <w:rFonts w:ascii="Times New Roman" w:hAnsi="Times New Roman"/>
          <w:strike/>
          <w:color w:val="FF0000"/>
          <w:sz w:val="20"/>
        </w:rPr>
        <w:t>2032</w:t>
      </w:r>
      <w:r>
        <w:rPr>
          <w:rFonts w:ascii="Times New Roman" w:hAnsi="Times New Roman"/>
          <w:color w:val="0000FF"/>
          <w:sz w:val="20"/>
          <w:u w:val="single"/>
          <w:bdr w:val="double" w:sz="2" w:space="1" w:color="000000"/>
        </w:rPr>
        <w:t>2034</w:t>
      </w:r>
      <w:r>
        <w:rPr>
          <w:rFonts w:ascii="Times New Roman" w:hAnsi="Times New Roman"/>
          <w:sz w:val="20"/>
        </w:rPr>
        <w:t xml:space="preserve"> Senior Notes Indenture.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2032 Senior Notes</w:t>
      </w:r>
      <w:r>
        <w:rPr>
          <w:rFonts w:ascii="Times New Roman" w:hAnsi="Times New Roman"/>
          <w:sz w:val="20"/>
        </w:rPr>
        <w:t xml:space="preserve">” means the 6.625% Senior Notes due 2032 issued by WESCO Distribution, Inc. pursuant to the 2029 / 2032 Senior Notes Indenture. </w:t>
      </w:r>
    </w:p>
    <w:p>
      <w:pPr>
        <w:pStyle w:val="TextBody"/>
        <w:bidi w:val="0"/>
        <w:spacing w:before="240" w:after="0"/>
        <w:jc w:val="left"/>
        <w:rPr/>
      </w:pPr>
      <w:r>
        <w:rPr/>
        <w:t>“</w:t>
      </w:r>
      <w:r>
        <w:rPr>
          <w:rFonts w:ascii="Times New Roman" w:hAnsi="Times New Roman"/>
          <w:sz w:val="20"/>
          <w:u w:val="single"/>
        </w:rPr>
        <w:t>2033 Senior Notes Indenture</w:t>
      </w:r>
      <w:r>
        <w:rPr>
          <w:rFonts w:ascii="Times New Roman" w:hAnsi="Times New Roman"/>
          <w:sz w:val="20"/>
        </w:rPr>
        <w:t xml:space="preserve">” means that certain Indenture, </w:t>
      </w:r>
      <w:r>
        <w:rPr>
          <w:rFonts w:ascii="Times New Roman" w:hAnsi="Times New Roman"/>
          <w:strike/>
          <w:color w:val="FF0000"/>
          <w:sz w:val="20"/>
        </w:rPr>
        <w:t>to be</w:t>
      </w:r>
      <w:r>
        <w:rPr>
          <w:rFonts w:ascii="Times New Roman" w:hAnsi="Times New Roman"/>
          <w:sz w:val="20"/>
        </w:rPr>
        <w:t xml:space="preserve"> dated </w:t>
      </w:r>
      <w:r>
        <w:rPr>
          <w:rFonts w:ascii="Times New Roman" w:hAnsi="Times New Roman"/>
          <w:strike/>
          <w:color w:val="FF0000"/>
          <w:sz w:val="20"/>
        </w:rPr>
        <w:t>on or about</w:t>
      </w:r>
      <w:r>
        <w:rPr>
          <w:rFonts w:ascii="Times New Roman" w:hAnsi="Times New Roman"/>
          <w:color w:val="0000FF"/>
          <w:sz w:val="20"/>
          <w:u w:val="single"/>
          <w:bdr w:val="double" w:sz="2" w:space="1" w:color="000000"/>
        </w:rPr>
        <w:t>as of</w:t>
      </w:r>
      <w:r>
        <w:rPr>
          <w:rFonts w:ascii="Times New Roman" w:hAnsi="Times New Roman"/>
          <w:sz w:val="20"/>
        </w:rPr>
        <w:t xml:space="preserve"> March 6, 2025, among WESCO Distribution, Inc. as issuer, Holdings as parent guarantor, Anixter Inc. as subsidiary guarantor, and U.S. Bank Trust Company, National Association, as trustee, including any supplemental indenture executed or delivered in connection therewith, as the same may be amended, restated, modified, waived, or supplemented from time to time. </w:t>
      </w:r>
    </w:p>
    <w:p>
      <w:pPr>
        <w:pStyle w:val="TextBody"/>
        <w:bidi w:val="0"/>
        <w:spacing w:before="240" w:after="0"/>
        <w:jc w:val="left"/>
        <w:rPr/>
      </w:pPr>
      <w:r>
        <w:rPr/>
        <w:t>“</w:t>
      </w:r>
      <w:r>
        <w:rPr>
          <w:rFonts w:ascii="Times New Roman" w:hAnsi="Times New Roman"/>
          <w:sz w:val="20"/>
          <w:u w:val="single"/>
        </w:rPr>
        <w:t>2033 Senior Notes</w:t>
      </w:r>
      <w:r>
        <w:rPr>
          <w:rFonts w:ascii="Times New Roman" w:hAnsi="Times New Roman"/>
          <w:sz w:val="20"/>
        </w:rPr>
        <w:t xml:space="preserve">” means the 6.375% Senior Notes due 2033 issued by WESCO Distribution, Inc. pursuant to the 2033 Senior Notes Indenture.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2034 Senior Notes” means the 5.500% Senior Notes due 2034 issued by WESCO Distribution, Inc. pursuant to the 2031 / 2034 Senior Notes Indenture.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ABL Priority Collateral</w:t>
      </w:r>
      <w:r>
        <w:rPr>
          <w:rFonts w:ascii="Times New Roman" w:hAnsi="Times New Roman"/>
          <w:sz w:val="20"/>
        </w:rPr>
        <w:t xml:space="preserve">” means all Collateral consisting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all Accounts; </w:t>
      </w:r>
    </w:p>
    <w:p>
      <w:pPr>
        <w:pStyle w:val="TextBody"/>
        <w:bidi w:val="0"/>
        <w:spacing w:before="240" w:after="0"/>
        <w:jc w:val="left"/>
        <w:rPr>
          <w:rFonts w:ascii="Times New Roman" w:hAnsi="Times New Roman"/>
          <w:sz w:val="20"/>
        </w:rPr>
      </w:pPr>
      <w:r>
        <w:rPr>
          <w:rFonts w:ascii="Times New Roman" w:hAnsi="Times New Roman"/>
          <w:sz w:val="20"/>
        </w:rPr>
        <w:t xml:space="preserve">(b) all Inventory; </w:t>
      </w:r>
    </w:p>
    <w:p>
      <w:pPr>
        <w:pStyle w:val="TextBody"/>
        <w:bidi w:val="0"/>
        <w:spacing w:before="240" w:after="0"/>
        <w:jc w:val="left"/>
        <w:rPr>
          <w:rFonts w:ascii="Times New Roman" w:hAnsi="Times New Roman"/>
          <w:sz w:val="20"/>
        </w:rPr>
      </w:pPr>
      <w:r>
        <w:rPr>
          <w:rFonts w:ascii="Times New Roman" w:hAnsi="Times New Roman"/>
          <w:sz w:val="20"/>
        </w:rPr>
        <w:t xml:space="preserve">(c) all Equity Interests in WESCO Receivables Corp.; </w:t>
      </w:r>
    </w:p>
    <w:p>
      <w:pPr>
        <w:pStyle w:val="TextBody"/>
        <w:bidi w:val="0"/>
        <w:spacing w:before="240" w:after="0"/>
        <w:jc w:val="left"/>
        <w:rPr>
          <w:rFonts w:ascii="Times New Roman" w:hAnsi="Times New Roman"/>
          <w:sz w:val="20"/>
        </w:rPr>
      </w:pPr>
      <w:r>
        <w:rPr>
          <w:rFonts w:ascii="Times New Roman" w:hAnsi="Times New Roman"/>
          <w:sz w:val="20"/>
        </w:rPr>
        <w:t xml:space="preserve">(d) all WESCO Receivables Intercompany Loans and all WESCO Receivables Intercompany Notes; </w:t>
      </w:r>
    </w:p>
    <w:p>
      <w:pPr>
        <w:pStyle w:val="TextBody"/>
        <w:bidi w:val="0"/>
        <w:spacing w:before="240" w:after="0"/>
        <w:jc w:val="left"/>
        <w:rPr>
          <w:rFonts w:ascii="Times New Roman" w:hAnsi="Times New Roman"/>
          <w:sz w:val="20"/>
        </w:rPr>
      </w:pPr>
      <w:r>
        <w:rPr>
          <w:rFonts w:ascii="Times New Roman" w:hAnsi="Times New Roman"/>
          <w:sz w:val="20"/>
        </w:rPr>
        <w:t xml:space="preserve">(e) all cash and cash equivalents, other than specifically identifiable proceeds from the sale or disposition of Term Loan Priority Collateral; </w:t>
      </w:r>
    </w:p>
    <w:p>
      <w:pPr>
        <w:pStyle w:val="TextBody"/>
        <w:bidi w:val="0"/>
        <w:spacing w:before="240" w:after="0"/>
        <w:jc w:val="left"/>
        <w:rPr>
          <w:rFonts w:ascii="Times New Roman" w:hAnsi="Times New Roman"/>
          <w:sz w:val="20"/>
        </w:rPr>
      </w:pPr>
      <w:r>
        <w:rPr>
          <w:rFonts w:ascii="Times New Roman" w:hAnsi="Times New Roman"/>
          <w:sz w:val="20"/>
        </w:rPr>
        <w:t xml:space="preserve">(f) all Deposit Accounts (including all bank accounts with a depositary function), Lock Boxes, Securities Accounts, Security Entitlements and Securities credited to a Securities Account, Commodity Accounts and Commodity Contracts, and, in each case, all cash, cash equivalents, checks and other property held therein or credited thereto, other than (x) Equity Interests of a Loan Party held by another Loan Party, and (y) specifically identifiable proceeds from the sale or disposition of Term Loan Priority Collateral; </w:t>
      </w:r>
    </w:p>
    <w:p>
      <w:pPr>
        <w:pStyle w:val="TextBody"/>
        <w:bidi w:val="0"/>
        <w:spacing w:before="240" w:after="0"/>
        <w:jc w:val="left"/>
        <w:rPr>
          <w:rFonts w:ascii="Times New Roman" w:hAnsi="Times New Roman"/>
          <w:sz w:val="20"/>
        </w:rPr>
      </w:pPr>
      <w:r>
        <w:rPr>
          <w:rFonts w:ascii="Times New Roman" w:hAnsi="Times New Roman"/>
          <w:sz w:val="20"/>
        </w:rPr>
        <w:t xml:space="preserve">(g) all Assigned Contracts that specifically relate to Accounts, Inventory or other ABL Priority Collateral; </w:t>
      </w:r>
    </w:p>
    <w:p>
      <w:pPr>
        <w:pStyle w:val="TextBody"/>
        <w:bidi w:val="0"/>
        <w:spacing w:before="240" w:after="0"/>
        <w:jc w:val="left"/>
        <w:rPr>
          <w:rFonts w:ascii="Times New Roman" w:hAnsi="Times New Roman"/>
          <w:sz w:val="20"/>
        </w:rPr>
      </w:pPr>
      <w:r>
        <w:rPr>
          <w:rFonts w:ascii="Times New Roman" w:hAnsi="Times New Roman"/>
          <w:sz w:val="20"/>
        </w:rPr>
        <w:t xml:space="preserve">(h) all Commercial Tort Claims; </w:t>
      </w:r>
      <w:r>
        <w:rPr>
          <w:rFonts w:ascii="Times New Roman" w:hAnsi="Times New Roman"/>
          <w:sz w:val="20"/>
          <w:u w:val="single"/>
        </w:rPr>
        <w:t>provided</w:t>
      </w:r>
      <w:r>
        <w:rPr>
          <w:rFonts w:ascii="Times New Roman" w:hAnsi="Times New Roman"/>
          <w:sz w:val="20"/>
        </w:rPr>
        <w:t xml:space="preserve"> that to the extent any Commercial Tort Claim specifically relates to the ownership, use, lease, purchase or sale of Equipment, Fixtures, Intellectual Property, Real Property or other Term Loan Priority Collateral, the ABL Priority Collateral shall not include such Commercial Tort Claim; </w:t>
      </w:r>
    </w:p>
    <w:p>
      <w:pPr>
        <w:pStyle w:val="TextBody"/>
        <w:bidi w:val="0"/>
        <w:spacing w:before="240" w:after="0"/>
        <w:jc w:val="left"/>
        <w:rPr>
          <w:rFonts w:ascii="Times New Roman" w:hAnsi="Times New Roman"/>
          <w:sz w:val="20"/>
        </w:rPr>
      </w:pPr>
      <w:r>
        <w:rPr>
          <w:rFonts w:ascii="Times New Roman" w:hAnsi="Times New Roman"/>
          <w:sz w:val="20"/>
        </w:rPr>
        <w:t xml:space="preserve">(i) all policies of insurance relating to or insuring against loss or damage to any of the items referred to in the preceding clauses (a) through (h) that constitute ABL Priority Collateral or against any disruption in, or cessation of, the business of any Loan Party, and all proceeds paid in respect of any such insurance policies, including, without limitation, any right to any return of any premiums paid in respect thereof; </w:t>
      </w:r>
      <w:r>
        <w:rPr>
          <w:rFonts w:ascii="Times New Roman" w:hAnsi="Times New Roman"/>
          <w:sz w:val="20"/>
          <w:u w:val="single"/>
        </w:rPr>
        <w:t>provided</w:t>
      </w:r>
      <w:r>
        <w:rPr>
          <w:rFonts w:ascii="Times New Roman" w:hAnsi="Times New Roman"/>
          <w:sz w:val="20"/>
        </w:rPr>
        <w:t xml:space="preserve"> that to the extent any such insurance policy also relates to or insures against loss or damage to Term Loan Priority Collateral or the use thereof, the ABL Priority Collateral shall not include the portion of any proceeds paid pursuant to such policy that specifically relate to the loss of, or damage to, Term Loan Priority Collateral; </w:t>
      </w:r>
    </w:p>
    <w:p>
      <w:pPr>
        <w:pStyle w:val="TextBody"/>
        <w:bidi w:val="0"/>
        <w:spacing w:before="240" w:after="0"/>
        <w:jc w:val="left"/>
        <w:rPr>
          <w:rFonts w:ascii="Times New Roman" w:hAnsi="Times New Roman"/>
          <w:sz w:val="20"/>
        </w:rPr>
      </w:pPr>
      <w:r>
        <w:rPr>
          <w:rFonts w:ascii="Times New Roman" w:hAnsi="Times New Roman"/>
          <w:sz w:val="20"/>
        </w:rPr>
        <w:t xml:space="preserve">(j) all Investment Property, Chattel Paper, Documents, Instruments and General Intangibles (other than Intellectual Property) relating to any of the items referred to in the preceding clauses (a) through (i); </w:t>
      </w:r>
      <w:r>
        <w:rPr>
          <w:rFonts w:ascii="Times New Roman" w:hAnsi="Times New Roman"/>
          <w:sz w:val="20"/>
          <w:u w:val="single"/>
        </w:rPr>
        <w:t>provided</w:t>
      </w:r>
      <w:r>
        <w:rPr>
          <w:rFonts w:ascii="Times New Roman" w:hAnsi="Times New Roman"/>
          <w:sz w:val="20"/>
        </w:rPr>
        <w:t xml:space="preserve"> that to the extent any Investment Property, Chattel Paper, Document, Instrument or General Intangible relates exclusively to Term Loan Priority Collateral, the ABL Priority Collateral shall not include such Chattel Paper, Document, Instrument or General Intangible;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all books and Records relating to any of the items referred to in the preceding clauses (a) through (j) (including without limitation all books, databases, customer lists and Records, whether tangible or electronic which contain any information relating to any such items); and </w:t>
      </w:r>
    </w:p>
    <w:p>
      <w:pPr>
        <w:pStyle w:val="TextBody"/>
        <w:bidi w:val="0"/>
        <w:spacing w:before="240" w:after="0"/>
        <w:jc w:val="left"/>
        <w:rPr>
          <w:rFonts w:ascii="Times New Roman" w:hAnsi="Times New Roman"/>
          <w:sz w:val="20"/>
        </w:rPr>
      </w:pPr>
      <w:r>
        <w:rPr>
          <w:rFonts w:ascii="Times New Roman" w:hAnsi="Times New Roman"/>
          <w:sz w:val="20"/>
        </w:rPr>
        <w:t xml:space="preserve">(l) all Proceeds of, and Supporting Obligations, including, without limitation, Letter-of-Credit Rights, with respect to, any of the items referred to in the preceding clauses (a) through (k) and all collateral security and guarantees given by any Person with respect to any of the foregoing. </w:t>
      </w:r>
    </w:p>
    <w:p>
      <w:pPr>
        <w:pStyle w:val="TextBody"/>
        <w:bidi w:val="0"/>
        <w:spacing w:before="240" w:after="0"/>
        <w:jc w:val="left"/>
        <w:rPr/>
      </w:pPr>
      <w:r>
        <w:rPr/>
        <w:t>“</w:t>
      </w:r>
      <w:r>
        <w:rPr>
          <w:rFonts w:ascii="Times New Roman" w:hAnsi="Times New Roman"/>
          <w:sz w:val="20"/>
          <w:u w:val="single"/>
        </w:rPr>
        <w:t>ABR</w:t>
      </w:r>
      <w:r>
        <w:rPr>
          <w:rFonts w:ascii="Times New Roman" w:hAnsi="Times New Roman"/>
          <w:sz w:val="20"/>
        </w:rPr>
        <w:t xml:space="preserve">,” when used in reference to (a) a rate of interest, refers to the Alternate Base Rate, and (b) any Loan or Borrowing, refers to whether such Loan, or the Loans comprising such Borrowing, bear interest at a rate determined by reference to the Alternate Base Rate. </w:t>
      </w:r>
    </w:p>
    <w:p>
      <w:pPr>
        <w:pStyle w:val="TextBody"/>
        <w:bidi w:val="0"/>
        <w:spacing w:before="240" w:after="0"/>
        <w:jc w:val="left"/>
        <w:rPr/>
      </w:pPr>
      <w:r>
        <w:rPr/>
        <w:t>“</w:t>
      </w:r>
      <w:r>
        <w:rPr>
          <w:rFonts w:ascii="Times New Roman" w:hAnsi="Times New Roman"/>
          <w:sz w:val="20"/>
          <w:u w:val="single"/>
        </w:rPr>
        <w:t>Account</w:t>
      </w:r>
      <w:r>
        <w:rPr>
          <w:rFonts w:ascii="Times New Roman" w:hAnsi="Times New Roman"/>
          <w:sz w:val="20"/>
        </w:rPr>
        <w:t xml:space="preserve">” has the meaning assigned to such term in the U.S. Security Agreement. </w:t>
      </w:r>
    </w:p>
    <w:p>
      <w:pPr>
        <w:pStyle w:val="TextBody"/>
        <w:bidi w:val="0"/>
        <w:spacing w:before="240" w:after="0"/>
        <w:jc w:val="left"/>
        <w:rPr/>
      </w:pPr>
      <w:r>
        <w:rPr/>
        <w:t>“</w:t>
      </w:r>
      <w:r>
        <w:rPr>
          <w:rFonts w:ascii="Times New Roman" w:hAnsi="Times New Roman"/>
          <w:sz w:val="20"/>
          <w:u w:val="single"/>
        </w:rPr>
        <w:t>Account Debtor</w:t>
      </w:r>
      <w:r>
        <w:rPr>
          <w:rFonts w:ascii="Times New Roman" w:hAnsi="Times New Roman"/>
          <w:sz w:val="20"/>
        </w:rPr>
        <w:t xml:space="preserve">” means any Person obligated on an Account. </w:t>
      </w:r>
    </w:p>
    <w:p>
      <w:pPr>
        <w:pStyle w:val="TextBody"/>
        <w:bidi w:val="0"/>
        <w:spacing w:before="240" w:after="0"/>
        <w:jc w:val="left"/>
        <w:rPr/>
      </w:pPr>
      <w:r>
        <w:rPr/>
        <w:t>“</w:t>
      </w:r>
      <w:r>
        <w:rPr>
          <w:rFonts w:ascii="Times New Roman" w:hAnsi="Times New Roman"/>
          <w:sz w:val="20"/>
          <w:u w:val="single"/>
        </w:rPr>
        <w:t>Acquisition</w:t>
      </w:r>
      <w:r>
        <w:rPr>
          <w:rFonts w:ascii="Times New Roman" w:hAnsi="Times New Roman"/>
          <w:sz w:val="20"/>
        </w:rPr>
        <w:t xml:space="preserve">” means any transaction, or any series of related transactions (other than the Anixter Acquisition), consummated on or after the Fourth Restatement Date, by which any Borrower or Loan Guarantor (i) acquires any going business or all or substantially all of the assets of any firm, corporation or limited liability company, or division thereof, whether through purchase of assets, merger or otherwise or (ii) acquires all or substantially all of the Equity Interests of any other Person, in each case, other than transactions solely among a Loan Party and a Subsidiary. </w:t>
      </w:r>
    </w:p>
    <w:p>
      <w:pPr>
        <w:pStyle w:val="TextBody"/>
        <w:bidi w:val="0"/>
        <w:spacing w:before="240" w:after="0"/>
        <w:jc w:val="left"/>
        <w:rPr/>
      </w:pPr>
      <w:r>
        <w:rPr>
          <w:strike/>
          <w:color w:val="FF0000"/>
        </w:rPr>
        <w:t>“</w:t>
      </w:r>
      <w:r>
        <w:rPr>
          <w:rFonts w:ascii="Times New Roman" w:hAnsi="Times New Roman"/>
          <w:strike/>
          <w:color w:val="FF0000"/>
          <w:sz w:val="20"/>
          <w:u w:val="single"/>
        </w:rPr>
        <w:t>Adjusted Daily Compounded CORRA</w:t>
      </w:r>
      <w:r>
        <w:rPr>
          <w:rFonts w:ascii="Times New Roman" w:hAnsi="Times New Roman"/>
          <w:strike/>
          <w:color w:val="FF0000"/>
          <w:sz w:val="20"/>
        </w:rPr>
        <w:t xml:space="preserve">” means, for any day, (a) Daily Compounded CORRA for such day </w:t>
      </w:r>
      <w:r>
        <w:rPr>
          <w:rFonts w:ascii="Times New Roman" w:hAnsi="Times New Roman"/>
          <w:strike/>
          <w:color w:val="FF0000"/>
          <w:sz w:val="20"/>
          <w:u w:val="single"/>
        </w:rPr>
        <w:t>plus</w:t>
      </w:r>
      <w:r>
        <w:rPr>
          <w:rFonts w:ascii="Times New Roman" w:hAnsi="Times New Roman"/>
          <w:sz w:val="20"/>
        </w:rPr>
        <w:t xml:space="preserve"> </w:t>
      </w:r>
      <w:r>
        <w:rPr>
          <w:rFonts w:ascii="Times New Roman" w:hAnsi="Times New Roman"/>
          <w:strike/>
          <w:color w:val="FF0000"/>
          <w:sz w:val="20"/>
        </w:rPr>
        <w:t xml:space="preserve">(b) the Daily Compounded CORRA Adjustment; </w:t>
      </w:r>
      <w:r>
        <w:rPr>
          <w:rFonts w:ascii="Times New Roman" w:hAnsi="Times New Roman"/>
          <w:strike/>
          <w:color w:val="FF0000"/>
          <w:sz w:val="20"/>
          <w:u w:val="single"/>
        </w:rPr>
        <w:t>provided</w:t>
      </w:r>
      <w:r>
        <w:rPr>
          <w:rFonts w:ascii="Times New Roman" w:hAnsi="Times New Roman"/>
          <w:sz w:val="20"/>
        </w:rPr>
        <w:t xml:space="preserve"> </w:t>
      </w:r>
      <w:r>
        <w:rPr>
          <w:rFonts w:ascii="Times New Roman" w:hAnsi="Times New Roman"/>
          <w:strike/>
          <w:color w:val="FF0000"/>
          <w:sz w:val="20"/>
        </w:rPr>
        <w:t>that if Adjusted</w:t>
      </w:r>
      <w:r>
        <w:rPr>
          <w:rFonts w:ascii="Times New Roman" w:hAnsi="Times New Roman"/>
          <w:sz w:val="20"/>
        </w:rPr>
        <w:t xml:space="preserve"> </w:t>
      </w:r>
      <w:r>
        <w:rPr>
          <w:rFonts w:ascii="Times New Roman" w:hAnsi="Times New Roman"/>
          <w:strike/>
          <w:color w:val="008000"/>
          <w:sz w:val="20"/>
        </w:rPr>
        <w:t>Daily Compounded CORRA determined as provided above shall ever be less than zero, then</w:t>
      </w:r>
      <w:r>
        <w:rPr>
          <w:rFonts w:ascii="Times New Roman" w:hAnsi="Times New Roman"/>
          <w:sz w:val="20"/>
        </w:rPr>
        <w:t xml:space="preserve"> </w:t>
      </w:r>
      <w:r>
        <w:rPr>
          <w:rFonts w:ascii="Times New Roman" w:hAnsi="Times New Roman"/>
          <w:strike/>
          <w:color w:val="FF0000"/>
          <w:sz w:val="20"/>
        </w:rPr>
        <w:t>Adjusted</w:t>
      </w:r>
      <w:r>
        <w:rPr>
          <w:rFonts w:ascii="Times New Roman" w:hAnsi="Times New Roman"/>
          <w:strike/>
          <w:color w:val="008000"/>
          <w:sz w:val="20"/>
        </w:rPr>
        <w:t xml:space="preserve"> Daily Compounded CORRA shall be deemed to be zero</w:t>
      </w:r>
      <w:r>
        <w:rPr>
          <w:rFonts w:ascii="Times New Roman" w:hAnsi="Times New Roman"/>
          <w:strike/>
          <w:color w:val="FF0000"/>
          <w:sz w:val="20"/>
        </w:rPr>
        <w:t>.</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u w:val="single"/>
        </w:rPr>
        <w:t>Adjusted Term CORRA</w:t>
      </w:r>
      <w:r>
        <w:rPr>
          <w:rFonts w:ascii="Times New Roman" w:hAnsi="Times New Roman"/>
          <w:strike/>
          <w:color w:val="FF0000"/>
          <w:sz w:val="20"/>
        </w:rPr>
        <w:t>” means, for any day, (a) Term CORRA for such day plus (b) the Term CORRA Adjustment; provided that if Adjusted</w:t>
      </w:r>
      <w:r>
        <w:rPr>
          <w:rFonts w:ascii="Times New Roman" w:hAnsi="Times New Roman"/>
          <w:sz w:val="20"/>
        </w:rPr>
        <w:t xml:space="preserve"> </w:t>
      </w:r>
      <w:r>
        <w:rPr>
          <w:rFonts w:ascii="Times New Roman" w:hAnsi="Times New Roman"/>
          <w:strike/>
          <w:color w:val="008000"/>
          <w:sz w:val="20"/>
        </w:rPr>
        <w:t xml:space="preserve">Term CORRA determined as provided above shall ever be less than zero, then </w:t>
      </w:r>
      <w:r>
        <w:rPr>
          <w:rFonts w:ascii="Times New Roman" w:hAnsi="Times New Roman"/>
          <w:strike/>
          <w:color w:val="FF0000"/>
          <w:sz w:val="20"/>
        </w:rPr>
        <w:t>Adjusted</w:t>
      </w:r>
      <w:r>
        <w:rPr>
          <w:rFonts w:ascii="Times New Roman" w:hAnsi="Times New Roman"/>
          <w:strike/>
          <w:color w:val="008000"/>
          <w:sz w:val="20"/>
        </w:rPr>
        <w:t xml:space="preserve"> Term CORRA shall be deemed to be zero</w:t>
      </w:r>
      <w:r>
        <w:rPr>
          <w:rFonts w:ascii="Times New Roman" w:hAnsi="Times New Roman"/>
          <w:strike/>
          <w:color w:val="FF0000"/>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xml:space="preserve">” means Barclays, in its capacity as administrative agent for the Lenders hereunder.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with respect to a specified Person, another Person that directly, or indirectly through one or more intermediaries, Controls or is Controlled by or is under common Control with the specified Person. </w:t>
      </w:r>
    </w:p>
    <w:p>
      <w:pPr>
        <w:pStyle w:val="TextBody"/>
        <w:bidi w:val="0"/>
        <w:spacing w:before="240" w:after="0"/>
        <w:jc w:val="left"/>
        <w:rPr/>
      </w:pPr>
      <w:r>
        <w:rPr/>
        <w:t>“</w:t>
      </w:r>
      <w:r>
        <w:rPr>
          <w:rFonts w:ascii="Times New Roman" w:hAnsi="Times New Roman"/>
          <w:sz w:val="20"/>
          <w:u w:val="single"/>
        </w:rPr>
        <w:t>Affiliate Subordination Agreement</w:t>
      </w:r>
      <w:r>
        <w:rPr>
          <w:rFonts w:ascii="Times New Roman" w:hAnsi="Times New Roman"/>
          <w:sz w:val="20"/>
        </w:rPr>
        <w:t xml:space="preserve">” means the Affiliate Subordination Agreement dated as of the Fourth Restatement Date among the Loan Parties party thereto and the Administrative Agent, as the same may be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Agency Transfer Agreement</w:t>
      </w:r>
      <w:r>
        <w:rPr>
          <w:rFonts w:ascii="Times New Roman" w:hAnsi="Times New Roman"/>
          <w:sz w:val="20"/>
        </w:rPr>
        <w:t xml:space="preserve">” means that certain Resignation and Appointment Agreement dated as of June 19, 2020 by and among the Existing Administrative Agents, the Administrative Agent and the Borrowers, which sets forth the terms on which the resignation of the Existing Administrative Agents and the appointment of the Administrative Agent as the successor agent shall occur on the Effective Date (as defined therein). </w:t>
      </w:r>
    </w:p>
    <w:p>
      <w:pPr>
        <w:pStyle w:val="TextBody"/>
        <w:bidi w:val="0"/>
        <w:spacing w:before="240" w:after="0"/>
        <w:jc w:val="left"/>
        <w:rPr/>
      </w:pPr>
      <w:r>
        <w:rPr/>
        <w:t>“</w:t>
      </w:r>
      <w:r>
        <w:rPr>
          <w:rFonts w:ascii="Times New Roman" w:hAnsi="Times New Roman"/>
          <w:sz w:val="20"/>
          <w:u w:val="single"/>
        </w:rPr>
        <w:t>Aggregate Availability</w:t>
      </w:r>
      <w:r>
        <w:rPr>
          <w:rFonts w:ascii="Times New Roman" w:hAnsi="Times New Roman"/>
          <w:sz w:val="20"/>
        </w:rPr>
        <w:t xml:space="preserve">” means, at any time, an amount equal to (a) the lower of (i) the Aggregate Revolving Commitments and (ii) the Aggregate Borrowing Base </w:t>
      </w:r>
      <w:r>
        <w:rPr>
          <w:rFonts w:ascii="Times New Roman" w:hAnsi="Times New Roman"/>
          <w:sz w:val="20"/>
          <w:u w:val="single"/>
        </w:rPr>
        <w:t>minus</w:t>
      </w:r>
      <w:r>
        <w:rPr>
          <w:rFonts w:ascii="Times New Roman" w:hAnsi="Times New Roman"/>
          <w:sz w:val="20"/>
        </w:rPr>
        <w:t xml:space="preserve"> (b) the Aggregate Revolving Exposure (calculated with respect to any Defaulting Lender, as if such Defaulting Lender had funded its Applicable Percentage of all outstanding Borrowings)</w:t>
      </w:r>
      <w:r>
        <w:rPr>
          <w:rFonts w:ascii="Times New Roman" w:hAnsi="Times New Roman"/>
          <w:strike/>
          <w:color w:val="FF0000"/>
          <w:sz w:val="20"/>
        </w:rPr>
        <w:t>;</w:t>
      </w:r>
      <w:r>
        <w:rPr>
          <w:rFonts w:ascii="Times New Roman" w:hAnsi="Times New Roman"/>
          <w:sz w:val="20"/>
        </w:rPr>
        <w:t xml:space="preserve"> </w:t>
      </w:r>
      <w:r>
        <w:rPr>
          <w:rFonts w:ascii="Times New Roman" w:hAnsi="Times New Roman"/>
          <w:strike/>
          <w:color w:val="FF0000"/>
          <w:sz w:val="20"/>
          <w:u w:val="single"/>
        </w:rPr>
        <w:t>provided</w:t>
      </w:r>
      <w:r>
        <w:rPr>
          <w:rFonts w:ascii="Times New Roman" w:hAnsi="Times New Roman"/>
          <w:strike/>
          <w:color w:val="FF0000"/>
          <w:sz w:val="20"/>
        </w:rPr>
        <w:t xml:space="preserve"> that, notwithstanding anything herein to the contrary, the Aggregate Availability on the Fourth Restatement Date shall not be less than $300,000,000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Aggregate Availability Trigger Amount</w:t>
      </w:r>
      <w:r>
        <w:rPr>
          <w:rFonts w:ascii="Times New Roman" w:hAnsi="Times New Roman"/>
          <w:sz w:val="20"/>
        </w:rPr>
        <w:t>” means, at any time, the greater of (i)  $</w:t>
      </w:r>
      <w:r>
        <w:rPr>
          <w:rFonts w:ascii="Times New Roman" w:hAnsi="Times New Roman"/>
          <w:strike/>
          <w:color w:val="FF0000"/>
          <w:sz w:val="20"/>
        </w:rPr>
        <w:t>138,000,000</w:t>
      </w:r>
      <w:r>
        <w:rPr>
          <w:rFonts w:ascii="Times New Roman" w:hAnsi="Times New Roman"/>
          <w:color w:val="0000FF"/>
          <w:sz w:val="20"/>
          <w:u w:val="single"/>
          <w:bdr w:val="double" w:sz="2" w:space="1" w:color="000000"/>
        </w:rPr>
        <w:t xml:space="preserve">148,000,000 </w:t>
      </w:r>
      <w:r>
        <w:rPr>
          <w:rFonts w:ascii="Times New Roman" w:hAnsi="Times New Roman"/>
          <w:sz w:val="20"/>
        </w:rPr>
        <w:t xml:space="preserve">and (ii) ten percent (10%) of the lesser at such time of (A) the Aggregate Revolving Commitments and (B) the Aggregate Borrowing Base. </w:t>
      </w:r>
    </w:p>
    <w:p>
      <w:pPr>
        <w:pStyle w:val="TextBody"/>
        <w:bidi w:val="0"/>
        <w:spacing w:before="240" w:after="0"/>
        <w:jc w:val="left"/>
        <w:rPr/>
      </w:pPr>
      <w:r>
        <w:rPr/>
        <w:t>“</w:t>
      </w:r>
      <w:r>
        <w:rPr>
          <w:rFonts w:ascii="Times New Roman" w:hAnsi="Times New Roman"/>
          <w:sz w:val="20"/>
          <w:u w:val="single"/>
        </w:rPr>
        <w:t>Aggregate Borrowing Base</w:t>
      </w:r>
      <w:r>
        <w:rPr>
          <w:rFonts w:ascii="Times New Roman" w:hAnsi="Times New Roman"/>
          <w:sz w:val="20"/>
        </w:rPr>
        <w:t xml:space="preserve">” means the aggregate amount of the U.S. Borrowing Base and the Canadian Borrowing Base; </w:t>
      </w:r>
      <w:r>
        <w:rPr>
          <w:rFonts w:ascii="Times New Roman" w:hAnsi="Times New Roman"/>
          <w:sz w:val="20"/>
          <w:u w:val="single"/>
        </w:rPr>
        <w:t>provided</w:t>
      </w:r>
      <w:r>
        <w:rPr>
          <w:rFonts w:ascii="Times New Roman" w:hAnsi="Times New Roman"/>
          <w:sz w:val="20"/>
        </w:rPr>
        <w:t xml:space="preserve"> that the maximum amount of the Canadian Borrowing Base which may be included in the Aggregate Borrowing Base is the Canadian Sublimit. </w:t>
      </w:r>
    </w:p>
    <w:p>
      <w:pPr>
        <w:pStyle w:val="TextBody"/>
        <w:bidi w:val="0"/>
        <w:spacing w:before="240" w:after="0"/>
        <w:jc w:val="left"/>
        <w:rPr/>
      </w:pPr>
      <w:r>
        <w:rPr/>
        <w:t>“</w:t>
      </w:r>
      <w:r>
        <w:rPr>
          <w:rFonts w:ascii="Times New Roman" w:hAnsi="Times New Roman"/>
          <w:sz w:val="20"/>
          <w:u w:val="single"/>
        </w:rPr>
        <w:t>Aggregate Credit Exposure</w:t>
      </w:r>
      <w:r>
        <w:rPr>
          <w:rFonts w:ascii="Times New Roman" w:hAnsi="Times New Roman"/>
          <w:sz w:val="20"/>
        </w:rPr>
        <w:t xml:space="preserve">” means, at any time, the aggregate Credit Exposure of the Lenders at such time. </w:t>
      </w:r>
    </w:p>
    <w:p>
      <w:pPr>
        <w:pStyle w:val="TextBody"/>
        <w:bidi w:val="0"/>
        <w:spacing w:before="240" w:after="0"/>
        <w:jc w:val="left"/>
        <w:rPr/>
      </w:pPr>
      <w:r>
        <w:rPr/>
        <w:t>“</w:t>
      </w:r>
      <w:r>
        <w:rPr>
          <w:rFonts w:ascii="Times New Roman" w:hAnsi="Times New Roman"/>
          <w:sz w:val="20"/>
          <w:u w:val="single"/>
        </w:rPr>
        <w:t>Aggregate Revolving Commitments</w:t>
      </w:r>
      <w:r>
        <w:rPr>
          <w:rFonts w:ascii="Times New Roman" w:hAnsi="Times New Roman"/>
          <w:sz w:val="20"/>
        </w:rPr>
        <w:t xml:space="preserve">” means, at any time, the aggregate Revolving Commitments of the Lenders at such time. </w:t>
      </w:r>
    </w:p>
    <w:p>
      <w:pPr>
        <w:pStyle w:val="TextBody"/>
        <w:bidi w:val="0"/>
        <w:spacing w:before="240" w:after="0"/>
        <w:jc w:val="left"/>
        <w:rPr/>
      </w:pPr>
      <w:r>
        <w:rPr/>
        <w:t>“</w:t>
      </w:r>
      <w:r>
        <w:rPr>
          <w:rFonts w:ascii="Times New Roman" w:hAnsi="Times New Roman"/>
          <w:sz w:val="20"/>
          <w:u w:val="single"/>
        </w:rPr>
        <w:t>Aggregate Revolving Exposure</w:t>
      </w:r>
      <w:r>
        <w:rPr>
          <w:rFonts w:ascii="Times New Roman" w:hAnsi="Times New Roman"/>
          <w:sz w:val="20"/>
        </w:rPr>
        <w:t xml:space="preserve">” means, at any time, the aggregate Revolving Exposure of the Lenders at such time. </w:t>
      </w:r>
    </w:p>
    <w:p>
      <w:pPr>
        <w:pStyle w:val="TextBody"/>
        <w:bidi w:val="0"/>
        <w:spacing w:before="240" w:after="0"/>
        <w:jc w:val="left"/>
        <w:rPr/>
      </w:pPr>
      <w:r>
        <w:rPr/>
        <w:t>“</w:t>
      </w:r>
      <w:r>
        <w:rPr>
          <w:rFonts w:ascii="Times New Roman" w:hAnsi="Times New Roman"/>
          <w:sz w:val="20"/>
          <w:u w:val="single"/>
        </w:rPr>
        <w:t>Alternate Base Rate</w:t>
      </w:r>
      <w:r>
        <w:rPr>
          <w:rFonts w:ascii="Times New Roman" w:hAnsi="Times New Roman"/>
          <w:sz w:val="20"/>
        </w:rPr>
        <w:t xml:space="preserve">” means, for any day, a fluctuating rate per annum equal to the highest of (a) the Federal Funds Effective Rate (which, if negative, shall be deemed to be 0%) on such day plus 1/2 of 1%, (b) the Prime Rate on such day and (c) Term SOFR published on such day (or if such day is not a Business Day the immediately preceding Business Day) for an Interest Period of one month </w:t>
      </w:r>
      <w:r>
        <w:rPr>
          <w:rFonts w:ascii="Times New Roman" w:hAnsi="Times New Roman"/>
          <w:sz w:val="20"/>
          <w:u w:val="single"/>
        </w:rPr>
        <w:t>plus</w:t>
      </w:r>
      <w:r>
        <w:rPr>
          <w:rFonts w:ascii="Times New Roman" w:hAnsi="Times New Roman"/>
          <w:sz w:val="20"/>
        </w:rPr>
        <w:t xml:space="preserve"> 1.00%. If the Administrative Agent shall have determined (which determination shall be conclusive absent manifest error) that it is unable to ascertain the Federal Funds Effective Rate for any reason, the Alternate Base Rate shall be determined without regard to clause (a) above until the circumstances giving rise to such inability no longer exist. If the Alternate Base Rate is being used as an alternate rate of interest pursuant to Section 2.14 hereof (for the avoidance of doubt, only until any amendment or other automatic modification implementing a Benchmark has become effective pursuant to Section 2.14(d)),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 </w:t>
      </w:r>
    </w:p>
    <w:p>
      <w:pPr>
        <w:pStyle w:val="TextBody"/>
        <w:bidi w:val="0"/>
        <w:spacing w:before="240" w:after="0"/>
        <w:jc w:val="left"/>
        <w:rPr/>
      </w:pPr>
      <w:r>
        <w:rPr/>
        <w:t>“</w:t>
      </w:r>
      <w:r>
        <w:rPr>
          <w:rFonts w:ascii="Times New Roman" w:hAnsi="Times New Roman"/>
          <w:sz w:val="20"/>
          <w:u w:val="single"/>
        </w:rPr>
        <w:t>AML Legislation</w:t>
      </w:r>
      <w:r>
        <w:rPr>
          <w:rFonts w:ascii="Times New Roman" w:hAnsi="Times New Roman"/>
          <w:sz w:val="20"/>
        </w:rPr>
        <w:t xml:space="preserve">” has the meaning assigned to such term in Section 9.19. </w:t>
      </w:r>
    </w:p>
    <w:p>
      <w:pPr>
        <w:pStyle w:val="TextBody"/>
        <w:bidi w:val="0"/>
        <w:spacing w:before="240" w:after="0"/>
        <w:jc w:val="left"/>
        <w:rPr/>
      </w:pPr>
      <w:r>
        <w:rPr/>
        <w:t>“</w:t>
      </w:r>
      <w:r>
        <w:rPr>
          <w:rFonts w:ascii="Times New Roman" w:hAnsi="Times New Roman"/>
          <w:sz w:val="20"/>
          <w:u w:val="single"/>
        </w:rPr>
        <w:t>Anixter</w:t>
      </w:r>
      <w:r>
        <w:rPr>
          <w:rFonts w:ascii="Times New Roman" w:hAnsi="Times New Roman"/>
          <w:sz w:val="20"/>
        </w:rPr>
        <w:t xml:space="preserve">” means Anixter International Inc., a Delaware corporation. </w:t>
      </w:r>
    </w:p>
    <w:p>
      <w:pPr>
        <w:pStyle w:val="TextBody"/>
        <w:bidi w:val="0"/>
        <w:spacing w:before="240" w:after="0"/>
        <w:jc w:val="left"/>
        <w:rPr/>
      </w:pPr>
      <w:r>
        <w:rPr/>
        <w:t>“</w:t>
      </w:r>
      <w:r>
        <w:rPr>
          <w:rFonts w:ascii="Times New Roman" w:hAnsi="Times New Roman"/>
          <w:sz w:val="20"/>
          <w:u w:val="single"/>
        </w:rPr>
        <w:t>Anixter Acquisition</w:t>
      </w:r>
      <w:r>
        <w:rPr>
          <w:rFonts w:ascii="Times New Roman" w:hAnsi="Times New Roman"/>
          <w:sz w:val="20"/>
        </w:rPr>
        <w:t xml:space="preserve">” means the acquisition by Holdings, through a wholly owned subsidiary of Holdings, of Anixter and its subsidiaries pursuant to the Anixter Acquisition Agreement. </w:t>
      </w:r>
    </w:p>
    <w:p>
      <w:pPr>
        <w:pStyle w:val="TextBody"/>
        <w:bidi w:val="0"/>
        <w:spacing w:before="240" w:after="0"/>
        <w:jc w:val="left"/>
        <w:rPr/>
      </w:pPr>
      <w:r>
        <w:rPr/>
        <w:t>“</w:t>
      </w:r>
      <w:r>
        <w:rPr>
          <w:rFonts w:ascii="Times New Roman" w:hAnsi="Times New Roman"/>
          <w:sz w:val="20"/>
          <w:u w:val="single"/>
        </w:rPr>
        <w:t>Anixter Acquisition Agreement</w:t>
      </w:r>
      <w:r>
        <w:rPr>
          <w:rFonts w:ascii="Times New Roman" w:hAnsi="Times New Roman"/>
          <w:sz w:val="20"/>
        </w:rPr>
        <w:t xml:space="preserve">” means that certain Agreement and Plan of Merger by and among Holdings, Warrior Merger Sub, Inc. and Anixter International Inc., dated as of January 10, 2020. </w:t>
      </w:r>
    </w:p>
    <w:p>
      <w:pPr>
        <w:pStyle w:val="TextBody"/>
        <w:bidi w:val="0"/>
        <w:spacing w:before="240" w:after="0"/>
        <w:jc w:val="left"/>
        <w:rPr/>
      </w:pPr>
      <w:r>
        <w:rPr/>
        <w:t>“</w:t>
      </w:r>
      <w:r>
        <w:rPr>
          <w:rFonts w:ascii="Times New Roman" w:hAnsi="Times New Roman"/>
          <w:sz w:val="20"/>
          <w:u w:val="single"/>
        </w:rPr>
        <w:t>Anixter Acquisition Agreement Representations</w:t>
      </w:r>
      <w:r>
        <w:rPr>
          <w:rFonts w:ascii="Times New Roman" w:hAnsi="Times New Roman"/>
          <w:sz w:val="20"/>
        </w:rPr>
        <w:t xml:space="preserve">” means the representations and warranties made by or with respect to Anixter in the Anixter Acquisition Agreement that are material to the interests of the Lenders (but only to the extent that Holdings or its subsidiaries that are a party to the Anixter Acquisition Agreement have the right to terminate its and their obligations under the Anixter Acquisition Agreement (or to decline to consummate the Acquisition) as a result of the breach of such representations in the Anixter Acquisition Agreement). </w:t>
      </w:r>
    </w:p>
    <w:p>
      <w:pPr>
        <w:pStyle w:val="TextBody"/>
        <w:bidi w:val="0"/>
        <w:spacing w:before="240" w:after="0"/>
        <w:jc w:val="left"/>
        <w:rPr/>
      </w:pPr>
      <w:r>
        <w:rPr/>
        <w:t>“</w:t>
      </w:r>
      <w:r>
        <w:rPr>
          <w:rFonts w:ascii="Times New Roman" w:hAnsi="Times New Roman"/>
          <w:sz w:val="20"/>
          <w:u w:val="single"/>
        </w:rPr>
        <w:t>Anixter Loan Parties</w:t>
      </w:r>
      <w:r>
        <w:rPr>
          <w:rFonts w:ascii="Times New Roman" w:hAnsi="Times New Roman"/>
          <w:sz w:val="20"/>
        </w:rPr>
        <w:t xml:space="preserve">” means, collectively, Anixter and any of its Subsidiaries that are Loan Parties. </w:t>
      </w:r>
    </w:p>
    <w:p>
      <w:pPr>
        <w:pStyle w:val="TextBody"/>
        <w:bidi w:val="0"/>
        <w:spacing w:before="240" w:after="0"/>
        <w:jc w:val="left"/>
        <w:rPr/>
      </w:pPr>
      <w:r>
        <w:rPr/>
        <w:t>“</w:t>
      </w:r>
      <w:r>
        <w:rPr>
          <w:rFonts w:ascii="Times New Roman" w:hAnsi="Times New Roman"/>
          <w:sz w:val="20"/>
          <w:u w:val="single"/>
        </w:rPr>
        <w:t>Anixter Merger</w:t>
      </w:r>
      <w:r>
        <w:rPr>
          <w:rFonts w:ascii="Times New Roman" w:hAnsi="Times New Roman"/>
          <w:sz w:val="20"/>
        </w:rPr>
        <w:t xml:space="preserve">” means the merger of Anixter with and into Anixter Inc. on or about the Fourth Restatement Date, with Anixter Inc. surviving the merger as a wholly owned subsidiary of the Borrower Representative.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all laws, rules, and regulations of any jurisdiction to which the Borrower or any of its Subsidiaries is subject from time to time concerning or relating to bribery, corruption or money laundering, including the Foreign Corrupt Practices Act of 1977, as amended, and the rules and regulations thereunder and the UK Bribery Act 2010.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Commitment Fee Rate</w:t>
      </w:r>
      <w:r>
        <w:rPr>
          <w:rFonts w:ascii="Times New Roman" w:hAnsi="Times New Roman"/>
          <w:sz w:val="20"/>
        </w:rPr>
        <w:t xml:space="preserve">” means (i) 0.20% per annum when Average Utilization is greater than 50% and (ii) 0.25% per annum otherwise. </w:t>
      </w:r>
    </w:p>
    <w:p>
      <w:pPr>
        <w:pStyle w:val="TextBody"/>
        <w:bidi w:val="0"/>
        <w:spacing w:before="240" w:after="0"/>
        <w:jc w:val="left"/>
        <w:rPr/>
      </w:pPr>
      <w:r>
        <w:rPr/>
        <w:t>“</w:t>
      </w:r>
      <w:r>
        <w:rPr>
          <w:rFonts w:ascii="Times New Roman" w:hAnsi="Times New Roman"/>
          <w:sz w:val="20"/>
          <w:u w:val="single"/>
        </w:rPr>
        <w:t>Applicable Percentage</w:t>
      </w:r>
      <w:r>
        <w:rPr>
          <w:rFonts w:ascii="Times New Roman" w:hAnsi="Times New Roman"/>
          <w:sz w:val="20"/>
        </w:rPr>
        <w:t xml:space="preserve">” means (a) in the case of any Lender, with respect to Revolving Loans, LC Exposure, Swingline Loans, or Overadvances, the percentage of the Aggregate Revolving Commitments equal to such Lender’s Revolving Commitment (or, if the Revolving Commitments have terminated or expired, such Lender’s share of the Aggregate Revolving Exposure at that time), (b) in the case of any U.S. Lender, with respect to U.S. Revolving Loans, U.S. LC Exposure, U.S. Swingline Loans, or U.S. Overadvances, a percentage of the aggregate U.S. Commitments equal to such U.S. Lender’s U.S. Commitment (or, if the U.S. Commitments have terminated or expired, such U.S. Lender’s share of the aggregate U.S. Revolving Exposure at that time) and (c) in the case of any Canadian Lender, with respect to Canadian Revolving Loans, Canadian LC Exposure, Canadian Swingline Loans, or Canadian Overadvances, a percentage of the total Canadian Commitments equal to such Canadian Lender’s Canadian Commitment (or, if the Canadian Commitments have terminated or expired, such Canadian Lender’s share of the aggregate Canadian Revolving Exposure at that time); </w:t>
      </w:r>
      <w:r>
        <w:rPr>
          <w:rFonts w:ascii="Times New Roman" w:hAnsi="Times New Roman"/>
          <w:sz w:val="20"/>
          <w:u w:val="single"/>
        </w:rPr>
        <w:t>provided</w:t>
      </w:r>
      <w:r>
        <w:rPr>
          <w:rFonts w:ascii="Times New Roman" w:hAnsi="Times New Roman"/>
          <w:sz w:val="20"/>
        </w:rPr>
        <w:t xml:space="preserve"> that in the case of Section 2.20 when a Defaulting Lender shall exist, any such Defaulting Lender’s Revolving Commitment (or U.S. Commitment or Canadian Commitment, as applicable) shall be disregarded in any of such calculations. </w:t>
      </w:r>
    </w:p>
    <w:p>
      <w:pPr>
        <w:pStyle w:val="TextBody"/>
        <w:bidi w:val="0"/>
        <w:spacing w:before="240" w:after="0"/>
        <w:jc w:val="left"/>
        <w:rPr/>
      </w:pPr>
      <w:r>
        <w:rPr/>
        <w:t>“</w:t>
      </w:r>
      <w:r>
        <w:rPr>
          <w:rFonts w:ascii="Times New Roman" w:hAnsi="Times New Roman"/>
          <w:sz w:val="20"/>
          <w:u w:val="single"/>
        </w:rPr>
        <w:t>Applicable Rate</w:t>
      </w:r>
      <w:r>
        <w:rPr>
          <w:rFonts w:ascii="Times New Roman" w:hAnsi="Times New Roman"/>
          <w:sz w:val="20"/>
        </w:rPr>
        <w:t xml:space="preserve">” means, for any day, with respect to any SOFR Loan, Canadian CORRA Loan, ABR Loan, Canadian Prime Rate Loan or LC Disbursement bearing interest at the Alternate Base Rate, as the case may be, the applicable rate per annum set forth below under the caption “SOFR Spread and CORRA Spread” or “ABR Spread and Canadian Prime Rate Spread,” as the case may be, based upon Average Quarterly Availability during the most recently completed fiscal quarter of Holdings; </w:t>
      </w:r>
      <w:r>
        <w:rPr>
          <w:rFonts w:ascii="Times New Roman" w:hAnsi="Times New Roman"/>
          <w:sz w:val="20"/>
          <w:u w:val="single"/>
        </w:rPr>
        <w:t>provided</w:t>
      </w:r>
      <w:r>
        <w:rPr>
          <w:rFonts w:ascii="Times New Roman" w:hAnsi="Times New Roman"/>
          <w:sz w:val="20"/>
        </w:rPr>
        <w:t xml:space="preserve"> that until and including the last day of the Borrowers’ first full fiscal quarter ending after the </w:t>
      </w:r>
      <w:r>
        <w:rPr>
          <w:rFonts w:ascii="Times New Roman" w:hAnsi="Times New Roman"/>
          <w:strike/>
          <w:color w:val="FF0000"/>
          <w:sz w:val="20"/>
        </w:rPr>
        <w:t>Seventh</w:t>
      </w:r>
      <w:r>
        <w:rPr>
          <w:rFonts w:ascii="Times New Roman" w:hAnsi="Times New Roman"/>
          <w:color w:val="0000FF"/>
          <w:sz w:val="20"/>
          <w:u w:val="single"/>
          <w:bdr w:val="double" w:sz="2" w:space="1" w:color="000000"/>
        </w:rPr>
        <w:t>Ninth</w:t>
      </w:r>
      <w:r>
        <w:rPr>
          <w:rFonts w:ascii="Times New Roman" w:hAnsi="Times New Roman"/>
          <w:sz w:val="20"/>
        </w:rPr>
        <w:t xml:space="preserve"> Amendment Effective Date, the “Applicable Rate” shall be the applicable spreads set forth below for Category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7"/>
        <w:gridCol w:w="120"/>
        <w:gridCol w:w="2607"/>
        <w:gridCol w:w="120"/>
        <w:gridCol w:w="2480"/>
        <w:gridCol w:w="120"/>
        <w:gridCol w:w="2521"/>
      </w:tblGrid>
      <w:tr>
        <w:trPr/>
        <w:tc>
          <w:tcPr>
            <w:tcW w:w="22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237" w:type="dxa"/>
            <w:tcBorders/>
            <w:vAlign w:val="bottom"/>
          </w:tcPr>
          <w:p>
            <w:pPr>
              <w:pStyle w:val="TableContents"/>
              <w:pBdr>
                <w:bottom w:val="single" w:sz="8" w:space="1" w:color="000000"/>
              </w:pBdr>
              <w:bidi w:val="0"/>
              <w:spacing w:before="0" w:after="0"/>
              <w:jc w:val="center"/>
              <w:rPr>
                <w:rFonts w:ascii="Times New Roman" w:hAnsi="Times New Roman"/>
                <w:sz w:val="16"/>
                <w:u w:val="single"/>
              </w:rPr>
            </w:pPr>
            <w:r>
              <w:rPr>
                <w:rFonts w:ascii="Times New Roman" w:hAnsi="Times New Roman"/>
                <w:sz w:val="16"/>
                <w:u w:val="single"/>
              </w:rPr>
              <w:t>Category</w:t>
            </w:r>
          </w:p>
        </w:tc>
        <w:tc>
          <w:tcPr>
            <w:tcW w:w="120" w:type="dxa"/>
            <w:tcBorders/>
            <w:vAlign w:val="bottom"/>
          </w:tcPr>
          <w:p>
            <w:pPr>
              <w:pStyle w:val="TableContents"/>
              <w:bidi w:val="0"/>
              <w:spacing w:before="0" w:after="283"/>
              <w:jc w:val="left"/>
              <w:rPr/>
            </w:pPr>
            <w:r>
              <w:rPr/>
              <w:t>  </w:t>
            </w:r>
          </w:p>
        </w:tc>
        <w:tc>
          <w:tcPr>
            <w:tcW w:w="260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Average Quarterly Availability</w:t>
            </w:r>
          </w:p>
        </w:tc>
        <w:tc>
          <w:tcPr>
            <w:tcW w:w="120" w:type="dxa"/>
            <w:tcBorders/>
            <w:vAlign w:val="bottom"/>
          </w:tcPr>
          <w:p>
            <w:pPr>
              <w:pStyle w:val="TableContents"/>
              <w:bidi w:val="0"/>
              <w:spacing w:before="0" w:after="283"/>
              <w:jc w:val="left"/>
              <w:rPr/>
            </w:pPr>
            <w:r>
              <w:rPr/>
              <w:t>  </w:t>
            </w:r>
          </w:p>
        </w:tc>
        <w:tc>
          <w:tcPr>
            <w:tcW w:w="248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SOFR Spread and CORRA</w:t>
              <w:br/>
              <w:t>Spread</w:t>
            </w:r>
          </w:p>
        </w:tc>
        <w:tc>
          <w:tcPr>
            <w:tcW w:w="120" w:type="dxa"/>
            <w:tcBorders/>
            <w:vAlign w:val="bottom"/>
          </w:tcPr>
          <w:p>
            <w:pPr>
              <w:pStyle w:val="TableContents"/>
              <w:bidi w:val="0"/>
              <w:spacing w:before="0" w:after="283"/>
              <w:jc w:val="left"/>
              <w:rPr/>
            </w:pPr>
            <w:r>
              <w:rPr/>
              <w:t>  </w:t>
            </w:r>
          </w:p>
        </w:tc>
        <w:tc>
          <w:tcPr>
            <w:tcW w:w="2521"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ABR Spread and</w:t>
            </w:r>
          </w:p>
          <w:p>
            <w:pPr>
              <w:pStyle w:val="TableContents"/>
              <w:bidi w:val="0"/>
              <w:spacing w:before="0" w:after="0"/>
              <w:jc w:val="center"/>
              <w:rPr>
                <w:rFonts w:ascii="Times New Roman" w:hAnsi="Times New Roman"/>
                <w:sz w:val="16"/>
              </w:rPr>
            </w:pPr>
            <w:r>
              <w:rPr>
                <w:rFonts w:ascii="Times New Roman" w:hAnsi="Times New Roman"/>
                <w:sz w:val="16"/>
              </w:rPr>
              <w:t>Canadian Prime Rate</w:t>
            </w:r>
          </w:p>
          <w:p>
            <w:pPr>
              <w:pStyle w:val="TableContents"/>
              <w:pBdr>
                <w:bottom w:val="single" w:sz="8" w:space="1" w:color="000000"/>
              </w:pBdr>
              <w:bidi w:val="0"/>
              <w:spacing w:before="0" w:after="20"/>
              <w:jc w:val="center"/>
              <w:rPr/>
            </w:pPr>
            <w:r>
              <w:rPr/>
              <w:t>    </w:t>
            </w:r>
            <w:r>
              <w:rPr>
                <w:rFonts w:ascii="Times New Roman" w:hAnsi="Times New Roman"/>
                <w:sz w:val="16"/>
              </w:rPr>
              <w:t>Spread    </w:t>
            </w:r>
          </w:p>
        </w:tc>
      </w:tr>
      <w:tr>
        <w:trPr/>
        <w:tc>
          <w:tcPr>
            <w:tcW w:w="2237" w:type="dxa"/>
            <w:tcBorders/>
          </w:tcPr>
          <w:p>
            <w:pPr>
              <w:pStyle w:val="TableContents"/>
              <w:bidi w:val="0"/>
              <w:spacing w:before="0" w:after="283"/>
              <w:jc w:val="center"/>
              <w:rPr/>
            </w:pPr>
            <w:r>
              <w:rPr/>
              <w:t>Category 1</w:t>
            </w:r>
          </w:p>
        </w:tc>
        <w:tc>
          <w:tcPr>
            <w:tcW w:w="120" w:type="dxa"/>
            <w:tcBorders/>
            <w:vAlign w:val="bottom"/>
          </w:tcPr>
          <w:p>
            <w:pPr>
              <w:pStyle w:val="TableContents"/>
              <w:bidi w:val="0"/>
              <w:spacing w:before="0" w:after="283"/>
              <w:jc w:val="left"/>
              <w:rPr/>
            </w:pPr>
            <w:r>
              <w:rPr/>
              <w:t>  </w:t>
            </w:r>
          </w:p>
        </w:tc>
        <w:tc>
          <w:tcPr>
            <w:tcW w:w="2607" w:type="dxa"/>
            <w:tcBorders/>
          </w:tcPr>
          <w:p>
            <w:pPr>
              <w:pStyle w:val="TableContents"/>
              <w:bidi w:val="0"/>
              <w:spacing w:before="0" w:after="283"/>
              <w:jc w:val="center"/>
              <w:rPr/>
            </w:pPr>
            <w:r>
              <w:rPr/>
              <w:t>≥</w:t>
            </w:r>
            <w:r>
              <w:rPr/>
              <w:t>40% of the Aggregate Revolving Commitments</w:t>
            </w:r>
          </w:p>
        </w:tc>
        <w:tc>
          <w:tcPr>
            <w:tcW w:w="120" w:type="dxa"/>
            <w:tcBorders/>
            <w:vAlign w:val="bottom"/>
          </w:tcPr>
          <w:p>
            <w:pPr>
              <w:pStyle w:val="TableContents"/>
              <w:bidi w:val="0"/>
              <w:spacing w:before="0" w:after="283"/>
              <w:jc w:val="left"/>
              <w:rPr/>
            </w:pPr>
            <w:r>
              <w:rPr/>
              <w:t>  </w:t>
            </w:r>
          </w:p>
        </w:tc>
        <w:tc>
          <w:tcPr>
            <w:tcW w:w="2480" w:type="dxa"/>
            <w:tcBorders/>
          </w:tcPr>
          <w:p>
            <w:pPr>
              <w:pStyle w:val="TableContents"/>
              <w:bidi w:val="0"/>
              <w:spacing w:before="0" w:after="283"/>
              <w:jc w:val="center"/>
              <w:rPr/>
            </w:pPr>
            <w:r>
              <w:rPr>
                <w:strike/>
                <w:color w:val="FF0000"/>
              </w:rPr>
              <w:t>1.25</w:t>
            </w:r>
            <w:r>
              <w:rPr>
                <w:color w:val="0000FF"/>
                <w:u w:val="single"/>
                <w:bdr w:val="double" w:sz="2" w:space="1" w:color="000000"/>
              </w:rPr>
              <w:t>1.00</w:t>
            </w:r>
            <w:r>
              <w:rPr/>
              <w:t>%</w:t>
            </w:r>
          </w:p>
        </w:tc>
        <w:tc>
          <w:tcPr>
            <w:tcW w:w="120" w:type="dxa"/>
            <w:tcBorders/>
            <w:vAlign w:val="bottom"/>
          </w:tcPr>
          <w:p>
            <w:pPr>
              <w:pStyle w:val="TableContents"/>
              <w:bidi w:val="0"/>
              <w:spacing w:before="0" w:after="283"/>
              <w:jc w:val="left"/>
              <w:rPr/>
            </w:pPr>
            <w:r>
              <w:rPr/>
              <w:t>  </w:t>
            </w:r>
          </w:p>
        </w:tc>
        <w:tc>
          <w:tcPr>
            <w:tcW w:w="2521" w:type="dxa"/>
            <w:tcBorders/>
          </w:tcPr>
          <w:p>
            <w:pPr>
              <w:pStyle w:val="TableContents"/>
              <w:bidi w:val="0"/>
              <w:spacing w:before="0" w:after="283"/>
              <w:jc w:val="center"/>
              <w:rPr/>
            </w:pPr>
            <w:r>
              <w:rPr>
                <w:strike/>
                <w:color w:val="FF0000"/>
              </w:rPr>
              <w:t>0.25</w:t>
            </w:r>
            <w:r>
              <w:rPr>
                <w:color w:val="0000FF"/>
                <w:u w:val="single"/>
                <w:bdr w:val="double" w:sz="2" w:space="1" w:color="000000"/>
              </w:rPr>
              <w:t>0.00</w:t>
            </w:r>
            <w:r>
              <w:rPr/>
              <w:t>%</w:t>
            </w:r>
          </w:p>
        </w:tc>
      </w:tr>
      <w:tr>
        <w:trPr/>
        <w:tc>
          <w:tcPr>
            <w:tcW w:w="2237" w:type="dxa"/>
            <w:tcBorders/>
          </w:tcPr>
          <w:p>
            <w:pPr>
              <w:pStyle w:val="TableContents"/>
              <w:bidi w:val="0"/>
              <w:spacing w:before="0" w:after="283"/>
              <w:jc w:val="center"/>
              <w:rPr/>
            </w:pPr>
            <w:r>
              <w:rPr/>
              <w:t>Category 2</w:t>
            </w:r>
          </w:p>
        </w:tc>
        <w:tc>
          <w:tcPr>
            <w:tcW w:w="120" w:type="dxa"/>
            <w:tcBorders/>
            <w:vAlign w:val="bottom"/>
          </w:tcPr>
          <w:p>
            <w:pPr>
              <w:pStyle w:val="TableContents"/>
              <w:bidi w:val="0"/>
              <w:spacing w:before="0" w:after="283"/>
              <w:jc w:val="left"/>
              <w:rPr/>
            </w:pPr>
            <w:r>
              <w:rPr/>
              <w:t>  </w:t>
            </w:r>
          </w:p>
        </w:tc>
        <w:tc>
          <w:tcPr>
            <w:tcW w:w="2607" w:type="dxa"/>
            <w:tcBorders/>
          </w:tcPr>
          <w:p>
            <w:pPr>
              <w:pStyle w:val="TableContents"/>
              <w:bidi w:val="0"/>
              <w:spacing w:before="0" w:after="283"/>
              <w:jc w:val="center"/>
              <w:rPr/>
            </w:pPr>
            <w:r>
              <w:rPr/>
              <w:t>&lt;40% of the Aggregate Revolving Commitments</w:t>
            </w:r>
          </w:p>
        </w:tc>
        <w:tc>
          <w:tcPr>
            <w:tcW w:w="120" w:type="dxa"/>
            <w:tcBorders/>
            <w:vAlign w:val="bottom"/>
          </w:tcPr>
          <w:p>
            <w:pPr>
              <w:pStyle w:val="TableContents"/>
              <w:bidi w:val="0"/>
              <w:spacing w:before="0" w:after="283"/>
              <w:jc w:val="left"/>
              <w:rPr/>
            </w:pPr>
            <w:r>
              <w:rPr/>
              <w:t>  </w:t>
            </w:r>
          </w:p>
        </w:tc>
        <w:tc>
          <w:tcPr>
            <w:tcW w:w="2480" w:type="dxa"/>
            <w:tcBorders/>
          </w:tcPr>
          <w:p>
            <w:pPr>
              <w:pStyle w:val="TableContents"/>
              <w:bidi w:val="0"/>
              <w:spacing w:before="0" w:after="283"/>
              <w:jc w:val="center"/>
              <w:rPr/>
            </w:pPr>
            <w:r>
              <w:rPr>
                <w:strike/>
                <w:color w:val="FF0000"/>
              </w:rPr>
              <w:t>1.50</w:t>
            </w:r>
            <w:r>
              <w:rPr>
                <w:color w:val="0000FF"/>
                <w:u w:val="single"/>
                <w:bdr w:val="double" w:sz="2" w:space="1" w:color="000000"/>
              </w:rPr>
              <w:t>1.25</w:t>
            </w:r>
            <w:r>
              <w:rPr/>
              <w:t>%</w:t>
            </w:r>
          </w:p>
        </w:tc>
        <w:tc>
          <w:tcPr>
            <w:tcW w:w="120" w:type="dxa"/>
            <w:tcBorders/>
            <w:vAlign w:val="bottom"/>
          </w:tcPr>
          <w:p>
            <w:pPr>
              <w:pStyle w:val="TableContents"/>
              <w:bidi w:val="0"/>
              <w:spacing w:before="0" w:after="283"/>
              <w:jc w:val="left"/>
              <w:rPr/>
            </w:pPr>
            <w:r>
              <w:rPr/>
              <w:t>  </w:t>
            </w:r>
          </w:p>
        </w:tc>
        <w:tc>
          <w:tcPr>
            <w:tcW w:w="2521" w:type="dxa"/>
            <w:tcBorders/>
          </w:tcPr>
          <w:p>
            <w:pPr>
              <w:pStyle w:val="TableContents"/>
              <w:bidi w:val="0"/>
              <w:spacing w:before="0" w:after="283"/>
              <w:jc w:val="center"/>
              <w:rPr/>
            </w:pPr>
            <w:r>
              <w:rPr>
                <w:strike/>
                <w:color w:val="FF0000"/>
              </w:rPr>
              <w:t>0.50</w:t>
            </w:r>
            <w:r>
              <w:rPr>
                <w:color w:val="0000FF"/>
                <w:u w:val="single"/>
                <w:bdr w:val="double" w:sz="2" w:space="1" w:color="000000"/>
              </w:rPr>
              <w:t>0.25</w:t>
            </w: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the Applicable Rate shall be determined by the Administrative Agent as of the end of each fiscal quarter of Holdings based upon the Borrowing Base Certificates that are delivered from time to time pursuant to Section 5.01(f) during such fiscal quarter, with any changes to the Applicable Rate resulting from changes in the Average Quarterly Availability to be effective on the fifth Business Day after the end of each fiscal quarter; </w:t>
      </w:r>
      <w:r>
        <w:rPr>
          <w:rFonts w:ascii="Times New Roman" w:hAnsi="Times New Roman"/>
          <w:sz w:val="20"/>
          <w:u w:val="single"/>
        </w:rPr>
        <w:t>provided</w:t>
      </w:r>
      <w:r>
        <w:rPr>
          <w:rFonts w:ascii="Times New Roman" w:hAnsi="Times New Roman"/>
          <w:sz w:val="20"/>
        </w:rPr>
        <w:t xml:space="preserve"> that at the request of the Administrative Agent or the Required Lenders, the Applicable Rate shall be the applicable spreads set forth above for Category 2: (A) at any time that any Event of Default has occurred and is continuing (other than an Event of Default arising from the failure to deliver any Borrowing Base Certificate) or (B) if the Borrowers fail to deliver any Borrowing Base Certificate that is required to be delivered pursuant to Section 5.01(f), during the period from the expiration of the time for delivery thereof until five Business Days after such Borrowing Base Certificate is delivered; </w:t>
      </w:r>
      <w:r>
        <w:rPr>
          <w:rFonts w:ascii="Times New Roman" w:hAnsi="Times New Roman"/>
          <w:sz w:val="20"/>
          <w:u w:val="single"/>
        </w:rPr>
        <w:t>provided</w:t>
      </w:r>
      <w:r>
        <w:rPr>
          <w:rFonts w:ascii="Times New Roman" w:hAnsi="Times New Roman"/>
          <w:sz w:val="20"/>
        </w:rPr>
        <w:t xml:space="preserve"> further that, if any Borrowing Base Certificate is at any time restated or otherwise revised or if the information set forth in any Borrowing Base Certificate otherwise proves to be false or incorrect such that the Applicable Rate would have been higher than was otherwise in effect during any period, without constituting a waiver of any Default or Event of Default arising as a result thereof, interest due under this Agreement shall be immediately recalculated at such higher rate for any such applicable periods and shall be due and payable on demand. </w:t>
      </w:r>
    </w:p>
    <w:p>
      <w:pPr>
        <w:pStyle w:val="TextBody"/>
        <w:bidi w:val="0"/>
        <w:spacing w:before="240" w:after="0"/>
        <w:jc w:val="left"/>
        <w:rPr/>
      </w:pPr>
      <w:r>
        <w:rPr/>
        <w:t>“</w:t>
      </w:r>
      <w:r>
        <w:rPr>
          <w:rFonts w:ascii="Times New Roman" w:hAnsi="Times New Roman"/>
          <w:sz w:val="20"/>
          <w:u w:val="single"/>
        </w:rPr>
        <w:t>Applicable SOFR Adjustment</w:t>
      </w:r>
      <w:r>
        <w:rPr>
          <w:rFonts w:ascii="Times New Roman" w:hAnsi="Times New Roman"/>
          <w:sz w:val="20"/>
        </w:rPr>
        <w:t xml:space="preserve">” means, for any calculation with respect to a SOFR Loan, 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Approved Fund</w:t>
      </w:r>
      <w:r>
        <w:rPr>
          <w:rFonts w:ascii="Times New Roman" w:hAnsi="Times New Roman"/>
          <w:sz w:val="20"/>
        </w:rPr>
        <w:t xml:space="preserve">” has the meaning assigned to such term in Section 9.04. </w:t>
      </w:r>
    </w:p>
    <w:p>
      <w:pPr>
        <w:pStyle w:val="TextBody"/>
        <w:bidi w:val="0"/>
        <w:spacing w:before="240" w:after="0"/>
        <w:jc w:val="left"/>
        <w:rPr/>
      </w:pPr>
      <w:r>
        <w:rPr/>
        <w:t>“</w:t>
      </w:r>
      <w:r>
        <w:rPr>
          <w:rFonts w:ascii="Times New Roman" w:hAnsi="Times New Roman"/>
          <w:sz w:val="20"/>
          <w:u w:val="single"/>
        </w:rPr>
        <w:t>Assigned Contracts</w:t>
      </w:r>
      <w:r>
        <w:rPr>
          <w:rFonts w:ascii="Times New Roman" w:hAnsi="Times New Roman"/>
          <w:sz w:val="20"/>
        </w:rPr>
        <w:t xml:space="preserve">” means, with respect to any Loan Party, collectively, all of such Loan Party’s rights and remedies under, and all moneys and claims for money due or to become due to such Loan Party under, contracts and other agreements relating to the purchase and sale of Inventory and other Goods or the rendition of services, and all Accounts related thereto, between such Loan Party and any party other than the Secured Parties, and any and all amendments, supplements, extensions, and renewals thereof, including all rights and claims of any such Loan Party now or hereafter existing: (a) under any insurance, indemnities, warranties, and guarantees provided for or arising out of or in connection with any of the foregoing agreements; (b) for any damages arising out of or for breach or default under or in connection with any of the foregoing contracts; (c) to all other amounts from time to time paid or payable under or in connection with any of the foregoing agreements; or (d) to exercise or enforce any and all covenants, remedies, powers and privileges thereunder.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assignee (with the consent of any party whose consent is required by Section 9.04), and accepted by the Administrative Agent, substantially in the form of </w:t>
      </w:r>
      <w:r>
        <w:rPr>
          <w:rFonts w:ascii="Times New Roman" w:hAnsi="Times New Roman"/>
          <w:sz w:val="20"/>
          <w:u w:val="single"/>
        </w:rPr>
        <w:t>Exhibit A</w:t>
      </w:r>
      <w:r>
        <w:rPr>
          <w:rFonts w:ascii="Times New Roman" w:hAnsi="Times New Roman"/>
          <w:sz w:val="20"/>
        </w:rPr>
        <w:t xml:space="preserve"> or any other form approved by the Administrative Agent. </w:t>
      </w:r>
    </w:p>
    <w:p>
      <w:pPr>
        <w:pStyle w:val="TextBody"/>
        <w:bidi w:val="0"/>
        <w:spacing w:before="240" w:after="0"/>
        <w:jc w:val="left"/>
        <w:rPr/>
      </w:pPr>
      <w:r>
        <w:rPr/>
        <w:t>“</w:t>
      </w:r>
      <w:r>
        <w:rPr>
          <w:rFonts w:ascii="Times New Roman" w:hAnsi="Times New Roman"/>
          <w:sz w:val="20"/>
          <w:u w:val="single"/>
        </w:rPr>
        <w:t>Availability Period</w:t>
      </w:r>
      <w:r>
        <w:rPr>
          <w:rFonts w:ascii="Times New Roman" w:hAnsi="Times New Roman"/>
          <w:sz w:val="20"/>
        </w:rPr>
        <w:t xml:space="preserve">” means the period from and including the Fourth Restatement Date to but excluding the earlier of the Maturity Date and the date of termination of the Revolving Commitments. </w:t>
      </w:r>
    </w:p>
    <w:p>
      <w:pPr>
        <w:pStyle w:val="TextBody"/>
        <w:bidi w:val="0"/>
        <w:spacing w:before="240" w:after="0"/>
        <w:jc w:val="left"/>
        <w:rPr/>
      </w:pPr>
      <w:r>
        <w:rPr/>
        <w:t>“</w:t>
      </w:r>
      <w:r>
        <w:rPr>
          <w:rFonts w:ascii="Times New Roman" w:hAnsi="Times New Roman"/>
          <w:sz w:val="20"/>
          <w:u w:val="single"/>
        </w:rPr>
        <w:t>Available Revolving Commitment</w:t>
      </w:r>
      <w:r>
        <w:rPr>
          <w:rFonts w:ascii="Times New Roman" w:hAnsi="Times New Roman"/>
          <w:sz w:val="20"/>
        </w:rPr>
        <w:t xml:space="preserve">” means, at any time, the Aggregate Revolving Commitments then in effect </w:t>
      </w:r>
      <w:r>
        <w:rPr>
          <w:rFonts w:ascii="Times New Roman" w:hAnsi="Times New Roman"/>
          <w:sz w:val="20"/>
          <w:u w:val="single"/>
        </w:rPr>
        <w:t>minus</w:t>
      </w:r>
      <w:r>
        <w:rPr>
          <w:rFonts w:ascii="Times New Roman" w:hAnsi="Times New Roman"/>
          <w:sz w:val="20"/>
        </w:rPr>
        <w:t xml:space="preserve"> the Aggregate Revolving Exposure at such time (calculated with respect to any Defaulting Lender, as if such Defaulting Lender had funded its Applicable Percentage of all outstanding Borrowings). </w:t>
      </w:r>
    </w:p>
    <w:p>
      <w:pPr>
        <w:pStyle w:val="TextBody"/>
        <w:bidi w:val="0"/>
        <w:spacing w:before="24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2.14(d). </w:t>
      </w:r>
    </w:p>
    <w:p>
      <w:pPr>
        <w:pStyle w:val="TextBody"/>
        <w:bidi w:val="0"/>
        <w:spacing w:before="240" w:after="0"/>
        <w:jc w:val="left"/>
        <w:rPr/>
      </w:pPr>
      <w:r>
        <w:rPr/>
        <w:t>“</w:t>
      </w:r>
      <w:r>
        <w:rPr>
          <w:rFonts w:ascii="Times New Roman" w:hAnsi="Times New Roman"/>
          <w:sz w:val="20"/>
          <w:u w:val="single"/>
        </w:rPr>
        <w:t>Average Quarterly Availability</w:t>
      </w:r>
      <w:r>
        <w:rPr>
          <w:rFonts w:ascii="Times New Roman" w:hAnsi="Times New Roman"/>
          <w:sz w:val="20"/>
        </w:rPr>
        <w:t xml:space="preserve">” means, for any fiscal quarter, the average daily Aggregate Availability for such fiscal quarter. Average Quarterly Availability shall be calculated by the Borrower Representative in a manner acceptable to the Administrative Agent in its Permitted Discretion. </w:t>
      </w:r>
    </w:p>
    <w:p>
      <w:pPr>
        <w:pStyle w:val="TextBody"/>
        <w:bidi w:val="0"/>
        <w:spacing w:before="240" w:after="0"/>
        <w:jc w:val="left"/>
        <w:rPr/>
      </w:pPr>
      <w:r>
        <w:rPr/>
        <w:t>“</w:t>
      </w:r>
      <w:r>
        <w:rPr>
          <w:rFonts w:ascii="Times New Roman" w:hAnsi="Times New Roman"/>
          <w:sz w:val="20"/>
          <w:u w:val="single"/>
        </w:rPr>
        <w:t>Average Utilization</w:t>
      </w:r>
      <w:r>
        <w:rPr>
          <w:rFonts w:ascii="Times New Roman" w:hAnsi="Times New Roman"/>
          <w:sz w:val="20"/>
        </w:rPr>
        <w:t xml:space="preserve">” means, for any period, the average total daily Revolving Exposure of all Lenders during such period. Average Utilization shall be calculated by the Borrower Representative in a manner acceptable to the Administrative Agent in its Permitted Discretion.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Banking Services</w:t>
      </w:r>
      <w:r>
        <w:rPr>
          <w:rFonts w:ascii="Times New Roman" w:hAnsi="Times New Roman"/>
          <w:sz w:val="20"/>
        </w:rPr>
        <w:t xml:space="preserve">” means each and any of the following bank services provided to any Loan Party by any Lender or any Affiliate of a Lender (or any Person that was a Lender or an Affiliate of a Lender at the time the service was initially provided, or in the case of any services in effect on the Fourth Restatement Date, was a Lender or an Affiliate of a Lender as of such date): (a) credit cards for commercial customers (including,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commercial credit cards” and purchasing cards), (b) stored value cards, (c) credit cards issued to employees of Holdings and its Subsidiaries for travel, entertainment and similar expenses, (d) supply chain finance arrangements, and (e) treasury management services (including, without limitation, controlled disbursement, automated clearinghouse transactions, return items, overdrafts and interstate depository network services). </w:t>
      </w:r>
    </w:p>
    <w:p>
      <w:pPr>
        <w:pStyle w:val="TextBody"/>
        <w:bidi w:val="0"/>
        <w:spacing w:before="240" w:after="0"/>
        <w:jc w:val="left"/>
        <w:rPr/>
      </w:pPr>
      <w:r>
        <w:rPr/>
        <w:t>“</w:t>
      </w:r>
      <w:r>
        <w:rPr>
          <w:rFonts w:ascii="Times New Roman" w:hAnsi="Times New Roman"/>
          <w:sz w:val="20"/>
          <w:u w:val="single"/>
        </w:rPr>
        <w:t>Banking Services Obligations</w:t>
      </w:r>
      <w:r>
        <w:rPr>
          <w:rFonts w:ascii="Times New Roman" w:hAnsi="Times New Roman"/>
          <w:sz w:val="20"/>
        </w:rPr>
        <w:t xml:space="preserve">” means any and all obligations of the Loan Parties, whether absolute or contingent and howsoever and whensoever created, arising, evidenced or acquired (including all renewals, extensions and modifications thereof and substitutions therefor) in connection with Banking Services. </w:t>
      </w:r>
    </w:p>
    <w:p>
      <w:pPr>
        <w:pStyle w:val="TextBody"/>
        <w:bidi w:val="0"/>
        <w:spacing w:before="240" w:after="0"/>
        <w:jc w:val="left"/>
        <w:rPr/>
      </w:pPr>
      <w:r>
        <w:rPr/>
        <w:t>“</w:t>
      </w:r>
      <w:r>
        <w:rPr>
          <w:rFonts w:ascii="Times New Roman" w:hAnsi="Times New Roman"/>
          <w:sz w:val="20"/>
          <w:u w:val="single"/>
        </w:rPr>
        <w:t>Banking Services Reserves</w:t>
      </w:r>
      <w:r>
        <w:rPr>
          <w:rFonts w:ascii="Times New Roman" w:hAnsi="Times New Roman"/>
          <w:sz w:val="20"/>
        </w:rPr>
        <w:t xml:space="preserve">” means all Reserves which the Administrative Agent from time to time establishes in its Permitted Discretion for Banking Services then provided or outstanding. </w:t>
      </w:r>
    </w:p>
    <w:p>
      <w:pPr>
        <w:pStyle w:val="TextBody"/>
        <w:bidi w:val="0"/>
        <w:spacing w:before="240" w:after="0"/>
        <w:jc w:val="left"/>
        <w:rPr/>
      </w:pPr>
      <w:r>
        <w:rPr/>
        <w:t>“</w:t>
      </w:r>
      <w:r>
        <w:rPr>
          <w:rFonts w:ascii="Times New Roman" w:hAnsi="Times New Roman"/>
          <w:sz w:val="20"/>
          <w:u w:val="single"/>
        </w:rPr>
        <w:t>Bankruptcy Event</w:t>
      </w:r>
      <w:r>
        <w:rPr>
          <w:rFonts w:ascii="Times New Roman" w:hAnsi="Times New Roman"/>
          <w:sz w:val="20"/>
        </w:rPr>
        <w:t xml:space="preserve">” means, with respect to any Person, such Person becomes the subject of a bankruptcy or insolvency proceeding or proposal, or has had a receiver, interim receiver, receiver and manager, monitor, sequestrator, conservator, trustee, administrator, custodian, assignee for the benefit of creditors or similar Person charged with reorganization or liquidation of its business, appointed for it, or, in the good faith determination of the Administrative Agent, has taken any action in furtherance of, or indicating its consent to, approval of, or acquiescence in, any such proceeding, proposal or appointment, </w:t>
      </w:r>
      <w:r>
        <w:rPr>
          <w:rFonts w:ascii="Times New Roman" w:hAnsi="Times New Roman"/>
          <w:sz w:val="20"/>
          <w:u w:val="single"/>
        </w:rPr>
        <w:t>provided</w:t>
      </w:r>
      <w:r>
        <w:rPr>
          <w:rFonts w:ascii="Times New Roman" w:hAnsi="Times New Roman"/>
          <w:sz w:val="20"/>
        </w:rPr>
        <w:t xml:space="preserve"> that a Bankruptcy Event shall not result solely by virtue of any ownership interest, or the acquisition of any ownership interest, in such Person by a Governmental Authority or instrumentality thereof, </w:t>
      </w:r>
      <w:r>
        <w:rPr>
          <w:rFonts w:ascii="Times New Roman" w:hAnsi="Times New Roman"/>
          <w:sz w:val="20"/>
          <w:u w:val="single"/>
        </w:rPr>
        <w:t>provided,</w:t>
      </w:r>
      <w:r>
        <w:rPr>
          <w:rFonts w:ascii="Times New Roman" w:hAnsi="Times New Roman"/>
          <w:sz w:val="20"/>
        </w:rPr>
        <w:t xml:space="preserve"> further, that such ownership interest does not result in or provide such Person with immunity from the jurisdiction of courts within the United States or Canada or from the enforcement of judgments or writs of attachment on its assets or permit such Person (or such Governmental Authority or instrumentality), to reject, repudiate, disavow or disaffirm any contracts or agreements made by such Person. </w:t>
      </w:r>
    </w:p>
    <w:p>
      <w:pPr>
        <w:pStyle w:val="TextBody"/>
        <w:bidi w:val="0"/>
        <w:spacing w:before="240" w:after="0"/>
        <w:jc w:val="left"/>
        <w:rPr/>
      </w:pPr>
      <w:r>
        <w:rPr/>
        <w:t>“</w:t>
      </w:r>
      <w:r>
        <w:rPr>
          <w:rFonts w:ascii="Times New Roman" w:hAnsi="Times New Roman"/>
          <w:sz w:val="20"/>
          <w:u w:val="single"/>
        </w:rPr>
        <w:t>Barclays</w:t>
      </w:r>
      <w:r>
        <w:rPr>
          <w:rFonts w:ascii="Times New Roman" w:hAnsi="Times New Roman"/>
          <w:sz w:val="20"/>
        </w:rPr>
        <w:t xml:space="preserve">” means Barclays Bank PLC and its successors. </w:t>
      </w:r>
    </w:p>
    <w:p>
      <w:pPr>
        <w:pStyle w:val="TextBody"/>
        <w:bidi w:val="0"/>
        <w:spacing w:before="240" w:after="0"/>
        <w:jc w:val="left"/>
        <w:rPr/>
      </w:pPr>
      <w:r>
        <w:rPr/>
        <w:t>“</w:t>
      </w:r>
      <w:r>
        <w:rPr>
          <w:rFonts w:ascii="Times New Roman" w:hAnsi="Times New Roman"/>
          <w:sz w:val="20"/>
          <w:u w:val="single"/>
        </w:rPr>
        <w:t>Base Rate Term SOFR Determination Day</w:t>
      </w:r>
      <w:r>
        <w:rPr>
          <w:rFonts w:ascii="Times New Roman" w:hAnsi="Times New Roman"/>
          <w:sz w:val="20"/>
        </w:rPr>
        <w:t xml:space="preserve">” has the meaning assigned to such term in the definition of “Term SOFR”.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means, initially, with respect to Loans denominated in dollars, Term SOFR or Daily Simple SOFR; </w:t>
      </w:r>
      <w:r>
        <w:rPr>
          <w:rFonts w:ascii="Times New Roman" w:hAnsi="Times New Roman"/>
          <w:sz w:val="20"/>
          <w:u w:val="single"/>
        </w:rPr>
        <w:t>provided</w:t>
      </w:r>
      <w:r>
        <w:rPr>
          <w:rFonts w:ascii="Times New Roman" w:hAnsi="Times New Roman"/>
          <w:sz w:val="20"/>
        </w:rPr>
        <w:t xml:space="preserve"> that if a Benchmark Transition Event has occurred with respect to the then-current Benchmark, then “Benchmark” means the applicable Benchmark Replacement to the extent that such Benchmark Replacement has replaced such prior benchmark rate pursuant to Section 2.14(d).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with respect to any Benchmark Transition Event, the first alternative set forth in the order below that can be determined by the Administrative Agent for the applicable Benchmark Replacement Date; provided that, in the case of any Benchmark other than Term SOFR, “Benchmark Replacement” shall mean the alternative set forth in clause (b) below: </w:t>
      </w:r>
    </w:p>
    <w:p>
      <w:pPr>
        <w:pStyle w:val="TextBody"/>
        <w:bidi w:val="0"/>
        <w:spacing w:before="120" w:after="0"/>
        <w:jc w:val="left"/>
        <w:rPr>
          <w:rFonts w:ascii="Times New Roman" w:hAnsi="Times New Roman"/>
          <w:sz w:val="20"/>
        </w:rPr>
      </w:pPr>
      <w:r>
        <w:rPr>
          <w:rFonts w:ascii="Times New Roman" w:hAnsi="Times New Roman"/>
          <w:sz w:val="20"/>
        </w:rPr>
        <w:t xml:space="preserve">(a) Daily Simple SOFR; or </w:t>
      </w:r>
    </w:p>
    <w:p>
      <w:pPr>
        <w:pStyle w:val="TextBody"/>
        <w:bidi w:val="0"/>
        <w:spacing w:before="240" w:after="0"/>
        <w:jc w:val="left"/>
        <w:rPr>
          <w:rFonts w:ascii="Times New Roman" w:hAnsi="Times New Roman"/>
          <w:sz w:val="20"/>
        </w:rPr>
      </w:pPr>
      <w:r>
        <w:rPr>
          <w:rFonts w:ascii="Times New Roman" w:hAnsi="Times New Roman"/>
          <w:sz w:val="20"/>
        </w:rPr>
        <w:t xml:space="preserve">(b) the sum of: (i) the alternate benchmark rate that has been selected by the Administrative Agent and the Borrower Representative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and (ii)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if the Benchmark Replacement (as so determined and after giving effect to any applicable spread adjustments) would be less than zero, the Benchmark Replacement will be deemed to be zero for the purposes of this Agreement and the other Loan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Representative giving due consideration to (a) any selection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w:t>
      </w:r>
    </w:p>
    <w:p>
      <w:pPr>
        <w:pStyle w:val="TextBody"/>
        <w:bidi w:val="0"/>
        <w:spacing w:before="240" w:after="0"/>
        <w:jc w:val="left"/>
        <w:rPr/>
      </w:pPr>
      <w:r>
        <w:rPr/>
        <w:t>“</w:t>
      </w:r>
      <w:r>
        <w:rPr>
          <w:rFonts w:ascii="Times New Roman" w:hAnsi="Times New Roman"/>
          <w:sz w:val="20"/>
          <w:u w:val="single"/>
        </w:rPr>
        <w:t>Benchmark Replacement Date</w:t>
      </w:r>
      <w:r>
        <w:rPr>
          <w:rFonts w:ascii="Times New Roman" w:hAnsi="Times New Roman"/>
          <w:sz w:val="20"/>
        </w:rPr>
        <w:t xml:space="preserve">” means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w:t>
      </w:r>
    </w:p>
    <w:p>
      <w:pPr>
        <w:pStyle w:val="TextBody"/>
        <w:bidi w:val="0"/>
        <w:spacing w:before="240" w:after="0"/>
        <w:jc w:val="left"/>
        <w:rPr>
          <w:rFonts w:ascii="Times New Roman" w:hAnsi="Times New Roman"/>
          <w:sz w:val="20"/>
        </w:rPr>
      </w:pPr>
      <w:r>
        <w:rPr>
          <w:rFonts w:ascii="Times New Roman" w:hAnsi="Times New Roman"/>
          <w:sz w:val="20"/>
        </w:rPr>
        <w:t xml:space="preserve">(c)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Section 2.14(d) </w:t>
      </w:r>
      <w:r>
        <w:rPr>
          <w:rFonts w:ascii="Times New Roman" w:hAnsi="Times New Roman"/>
          <w:color w:val="0000FF"/>
          <w:sz w:val="20"/>
          <w:u w:val="single"/>
          <w:bdr w:val="double" w:sz="2" w:space="1" w:color="000000"/>
        </w:rPr>
        <w:t>and (b)</w:t>
      </w:r>
      <w:r>
        <w:rPr>
          <w:rFonts w:ascii="Times New Roman" w:hAnsi="Times New Roman"/>
          <w:sz w:val="20"/>
        </w:rPr>
        <w:t xml:space="preserve"> ending at the time that a Benchmark Replacement has replaced the then-current Benchmark for all purposes hereunder and under any Loan Document in accordance with Section 2.14(d).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or control as required by the Beneficial Ownership Regulation.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sz w:val="20"/>
          <w:u w:val="single"/>
        </w:rPr>
        <w:t>Blocking Regulations</w:t>
      </w:r>
      <w:r>
        <w:rPr>
          <w:rFonts w:ascii="Times New Roman" w:hAnsi="Times New Roman"/>
          <w:sz w:val="20"/>
        </w:rPr>
        <w:t>” means blocking or anti-boycott laws or regulations, including, without limitation, under section 7 of the German Foreign Trade Regulation (Außenwirtschaftsverordnung, “</w:t>
      </w:r>
      <w:r>
        <w:rPr>
          <w:rFonts w:ascii="Times New Roman" w:hAnsi="Times New Roman"/>
          <w:sz w:val="20"/>
          <w:u w:val="single"/>
        </w:rPr>
        <w:t>AWV</w:t>
      </w:r>
      <w:r>
        <w:rPr>
          <w:rFonts w:ascii="Times New Roman" w:hAnsi="Times New Roman"/>
          <w:sz w:val="20"/>
        </w:rPr>
        <w:t xml:space="preserve">”) (in conjunction with sections 4, 19 paragraph 3 no. 1a) of the German Foreign Trade Act (Außenwirtschaftsgesetz) and section 81 paragraph 1 no. 1 AWV, the United Kingdom Extraterritorial US Legislation (Sanctions against Cuba, Iran and Libya) (Protection of Trading Interests) Order 1996, as amended (including pursuant to the United Kingdom Extraterritorial US Legislation (Sanctions against Cuba, Iran and Libya) (Protection of Trading Interests) (Amendment) Order 2018), and any provision of Council Regulation (EC) 2271/96, as amended.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the Board of Governors of the Federal Reserve System of the United States of America.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or “</w:t>
      </w:r>
      <w:r>
        <w:rPr>
          <w:rFonts w:ascii="Times New Roman" w:hAnsi="Times New Roman"/>
          <w:sz w:val="20"/>
          <w:u w:val="single"/>
        </w:rPr>
        <w:t>Borrowers</w:t>
      </w:r>
      <w:r>
        <w:rPr>
          <w:rFonts w:ascii="Times New Roman" w:hAnsi="Times New Roman"/>
          <w:sz w:val="20"/>
        </w:rPr>
        <w:t xml:space="preserve">” means, individually or collectively, the U.S. Borrowers and the Canadian Borrowers. </w:t>
      </w:r>
    </w:p>
    <w:p>
      <w:pPr>
        <w:pStyle w:val="TextBody"/>
        <w:bidi w:val="0"/>
        <w:spacing w:before="240" w:after="0"/>
        <w:jc w:val="left"/>
        <w:rPr/>
      </w:pPr>
      <w:r>
        <w:rPr/>
        <w:t>“</w:t>
      </w:r>
      <w:r>
        <w:rPr>
          <w:rFonts w:ascii="Times New Roman" w:hAnsi="Times New Roman"/>
          <w:sz w:val="20"/>
          <w:u w:val="single"/>
        </w:rPr>
        <w:t>Borrower Representative</w:t>
      </w:r>
      <w:r>
        <w:rPr>
          <w:rFonts w:ascii="Times New Roman" w:hAnsi="Times New Roman"/>
          <w:sz w:val="20"/>
        </w:rPr>
        <w:t xml:space="preserve">” means WESCO Distribution, Inc., a Delaware corporation, in its capacity as contractual representative of the Borrowers pursuant to Article XI.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Revolving Loans of the same Type, made, converted or continued on the same date and, in the case of SOFR Loans or Canadian CORRA Loans, as to which a single Interest Period is in effect, (b) a Swingline Loan, (c) a Protective Advance and (d) an Overadvance. </w:t>
      </w:r>
    </w:p>
    <w:p>
      <w:pPr>
        <w:pStyle w:val="TextBody"/>
        <w:bidi w:val="0"/>
        <w:spacing w:before="240" w:after="0"/>
        <w:jc w:val="left"/>
        <w:rPr/>
      </w:pPr>
      <w:r>
        <w:rPr/>
        <w:t>“</w:t>
      </w:r>
      <w:r>
        <w:rPr>
          <w:rFonts w:ascii="Times New Roman" w:hAnsi="Times New Roman"/>
          <w:sz w:val="20"/>
          <w:u w:val="single"/>
        </w:rPr>
        <w:t>Borrowing Base Certificate</w:t>
      </w:r>
      <w:r>
        <w:rPr>
          <w:rFonts w:ascii="Times New Roman" w:hAnsi="Times New Roman"/>
          <w:sz w:val="20"/>
        </w:rPr>
        <w:t xml:space="preserve">” means a certificate, signed and certified as accurate and complete by a Financial Officer of the Borrower Representative, in substantially the form of </w:t>
      </w:r>
      <w:r>
        <w:rPr>
          <w:rFonts w:ascii="Times New Roman" w:hAnsi="Times New Roman"/>
          <w:sz w:val="20"/>
          <w:u w:val="single"/>
        </w:rPr>
        <w:t>Exhibit B</w:t>
      </w:r>
      <w:r>
        <w:rPr>
          <w:rFonts w:ascii="Times New Roman" w:hAnsi="Times New Roman"/>
          <w:sz w:val="20"/>
        </w:rPr>
        <w:t xml:space="preserve"> or another form which is acceptable to the Administrative Agent in its Permitted Discretion (it being understood that the Borrowing Base Certificate delivered to Administrative Agent on the Fourth Restatement Date is acceptable to the Administrative Agent) setting forth the Aggregate Borrowing Base, the Canadian Borrowing Base and the U.S. Borrowing Base. </w:t>
      </w:r>
    </w:p>
    <w:p>
      <w:pPr>
        <w:pStyle w:val="TextBody"/>
        <w:bidi w:val="0"/>
        <w:spacing w:before="240" w:after="0"/>
        <w:jc w:val="left"/>
        <w:rPr/>
      </w:pPr>
      <w:r>
        <w:rPr/>
        <w:t>“</w:t>
      </w:r>
      <w:r>
        <w:rPr>
          <w:rFonts w:ascii="Times New Roman" w:hAnsi="Times New Roman"/>
          <w:sz w:val="20"/>
          <w:u w:val="single"/>
        </w:rPr>
        <w:t>Borrowing Request</w:t>
      </w:r>
      <w:r>
        <w:rPr>
          <w:rFonts w:ascii="Times New Roman" w:hAnsi="Times New Roman"/>
          <w:sz w:val="20"/>
        </w:rPr>
        <w:t xml:space="preserve">” means a request by the Borrower Representative for a Revolving Borrowing in accordance with Section 2.03 substantially in the form of </w:t>
      </w:r>
      <w:r>
        <w:rPr>
          <w:rFonts w:ascii="Times New Roman" w:hAnsi="Times New Roman"/>
          <w:sz w:val="20"/>
          <w:u w:val="single"/>
        </w:rPr>
        <w:t xml:space="preserve">Exhibit  </w:t>
      </w:r>
      <w:r>
        <w:rPr>
          <w:rFonts w:ascii="Times New Roman" w:hAnsi="Times New Roman"/>
          <w:strike/>
          <w:color w:val="FF0000"/>
          <w:sz w:val="20"/>
          <w:u w:val="single"/>
        </w:rPr>
        <w:t>K</w:t>
      </w:r>
      <w:r>
        <w:rPr>
          <w:rFonts w:ascii="Times New Roman" w:hAnsi="Times New Roman"/>
          <w:color w:val="0000FF"/>
          <w:sz w:val="20"/>
          <w:u w:val="single"/>
          <w:bdr w:val="double" w:sz="2" w:space="1" w:color="000000"/>
        </w:rPr>
        <w:t>J</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sz w:val="20"/>
          <w:u w:val="single"/>
        </w:rPr>
        <w:t>Bridge Debt</w:t>
      </w:r>
      <w:r>
        <w:rPr>
          <w:rFonts w:ascii="Times New Roman" w:hAnsi="Times New Roman"/>
          <w:sz w:val="20"/>
        </w:rPr>
        <w:t xml:space="preserve">” has the meaning assigned to such term in Section 6.01(l).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Business Day</w:t>
      </w:r>
      <w:r>
        <w:rPr>
          <w:rFonts w:ascii="Times New Roman" w:hAnsi="Times New Roman"/>
          <w:sz w:val="20"/>
        </w:rPr>
        <w:t>” means any day that is not a Saturday, Sunday or other day on which commercial banks in New York City are authorized or required by law to remain closed; provided that, (a) when used in connection with a SOFR Loan or any U.S. Letter of Credit denominated in a currency other than dollars, the term “Business Day” shall also exclude any day on which banks are not open for dealings in the applicable currency in the London interbank market; (b) when used in connection with any Canadian Dollar Loan or Canadian Letter of Credit, the term “</w:t>
      </w:r>
      <w:r>
        <w:rPr>
          <w:rFonts w:ascii="Times New Roman" w:hAnsi="Times New Roman"/>
          <w:sz w:val="20"/>
          <w:u w:val="single"/>
        </w:rPr>
        <w:t>Business Day</w:t>
      </w:r>
      <w:r>
        <w:rPr>
          <w:rFonts w:ascii="Times New Roman" w:hAnsi="Times New Roman"/>
          <w:sz w:val="20"/>
        </w:rPr>
        <w:t>” shall also exclude any day in which commercial banks in Toronto, Canada are authorized or required by law to remain closed; (c) in the case of any U.S. Letter of Credit denominated in Euros, the term “</w:t>
      </w:r>
      <w:r>
        <w:rPr>
          <w:rFonts w:ascii="Times New Roman" w:hAnsi="Times New Roman"/>
          <w:sz w:val="20"/>
          <w:u w:val="single"/>
        </w:rPr>
        <w:t>Business Day</w:t>
      </w:r>
      <w:r>
        <w:rPr>
          <w:rFonts w:ascii="Times New Roman" w:hAnsi="Times New Roman"/>
          <w:sz w:val="20"/>
        </w:rPr>
        <w:t>” shall also exclude any day which is not a TARGET Day as determined by the Administrative Agent; and (d) when used in connection with any U.S. Letter of Credit denominated in Sterling, the term “</w:t>
      </w:r>
      <w:r>
        <w:rPr>
          <w:rFonts w:ascii="Times New Roman" w:hAnsi="Times New Roman"/>
          <w:sz w:val="20"/>
          <w:u w:val="single"/>
        </w:rPr>
        <w:t>Business Day</w:t>
      </w:r>
      <w:r>
        <w:rPr>
          <w:rFonts w:ascii="Times New Roman" w:hAnsi="Times New Roman"/>
          <w:sz w:val="20"/>
        </w:rPr>
        <w:t xml:space="preserve">” shall also exclude any day on which commercial banks in London, England are authorized or required by law to remain closed. </w:t>
      </w:r>
    </w:p>
    <w:p>
      <w:pPr>
        <w:pStyle w:val="TextBody"/>
        <w:bidi w:val="0"/>
        <w:spacing w:before="240" w:after="0"/>
        <w:jc w:val="left"/>
        <w:rPr/>
      </w:pPr>
      <w:r>
        <w:rPr/>
        <w:t>“</w:t>
      </w:r>
      <w:r>
        <w:rPr>
          <w:rFonts w:ascii="Times New Roman" w:hAnsi="Times New Roman"/>
          <w:sz w:val="20"/>
          <w:u w:val="single"/>
        </w:rPr>
        <w:t>Canadian Available Tenor</w:t>
      </w:r>
      <w:r>
        <w:rPr>
          <w:rFonts w:ascii="Times New Roman" w:hAnsi="Times New Roman"/>
          <w:sz w:val="20"/>
        </w:rPr>
        <w:t xml:space="preserve">” means, as of any date of determination and with respect to the then-current Canadian Benchmark, as applicable, (x) if such Canadian Benchmark is a term rate, any tenor for such Canadian Benchmark (or component thereof) that is or may be used for determining the length of an Interest Period herein or (y) otherwise, any payment period for interest calculated with reference to such Canadian Benchmark (or component thereof) that is or may be used for determining any frequency of making payments of interest calculated with reference to such Canadian Benchmark. </w:t>
      </w:r>
    </w:p>
    <w:p>
      <w:pPr>
        <w:pStyle w:val="TextBody"/>
        <w:bidi w:val="0"/>
        <w:spacing w:before="240" w:after="0"/>
        <w:jc w:val="left"/>
        <w:rPr/>
      </w:pPr>
      <w:r>
        <w:rPr/>
        <w:t>“</w:t>
      </w:r>
      <w:r>
        <w:rPr>
          <w:rFonts w:ascii="Times New Roman" w:hAnsi="Times New Roman"/>
          <w:sz w:val="20"/>
          <w:u w:val="single"/>
        </w:rPr>
        <w:t>Canadian Availability</w:t>
      </w:r>
      <w:r>
        <w:rPr>
          <w:rFonts w:ascii="Times New Roman" w:hAnsi="Times New Roman"/>
          <w:sz w:val="20"/>
        </w:rPr>
        <w:t xml:space="preserve">” means (a) the lesser of (i) the Revolving Commitment, (ii) the Canadian Sublimit and (iii) the sum of (A) the Canadian Borrowing Base </w:t>
      </w:r>
      <w:r>
        <w:rPr>
          <w:rFonts w:ascii="Times New Roman" w:hAnsi="Times New Roman"/>
          <w:sz w:val="20"/>
          <w:u w:val="single"/>
        </w:rPr>
        <w:t>plus</w:t>
      </w:r>
      <w:r>
        <w:rPr>
          <w:rFonts w:ascii="Times New Roman" w:hAnsi="Times New Roman"/>
          <w:sz w:val="20"/>
        </w:rPr>
        <w:t xml:space="preserve"> (B) solely to the extent the total Canadian Revolving Exposure exceeds the Canadian Borrowing Base, the U.S. Availability (if any, to the extent that it is available), </w:t>
      </w:r>
      <w:r>
        <w:rPr>
          <w:rFonts w:ascii="Times New Roman" w:hAnsi="Times New Roman"/>
          <w:sz w:val="20"/>
          <w:u w:val="single"/>
        </w:rPr>
        <w:t>minus</w:t>
      </w:r>
      <w:r>
        <w:rPr>
          <w:rFonts w:ascii="Times New Roman" w:hAnsi="Times New Roman"/>
          <w:sz w:val="20"/>
        </w:rPr>
        <w:t xml:space="preserve"> (b) the total Canadian Revolving Exposure (calculated with respect to any Defaulting Lender, as if such Defaulting Lender had funded its Applicable Percentage of all outstanding Borrowings). </w:t>
      </w:r>
    </w:p>
    <w:p>
      <w:pPr>
        <w:pStyle w:val="TextBody"/>
        <w:bidi w:val="0"/>
        <w:spacing w:before="240" w:after="0"/>
        <w:jc w:val="left"/>
        <w:rPr/>
      </w:pPr>
      <w:r>
        <w:rPr/>
        <w:t>“</w:t>
      </w:r>
      <w:r>
        <w:rPr>
          <w:rFonts w:ascii="Times New Roman" w:hAnsi="Times New Roman"/>
          <w:sz w:val="20"/>
          <w:u w:val="single"/>
        </w:rPr>
        <w:t>Canadian Benchmark</w:t>
      </w:r>
      <w:r>
        <w:rPr>
          <w:rFonts w:ascii="Times New Roman" w:hAnsi="Times New Roman"/>
          <w:sz w:val="20"/>
        </w:rPr>
        <w:t xml:space="preserve">” means, initially, with respect to Loans denominated in Canadian Dollars, the Term CORRA Reference Rate or Daily Compounded CORRA; provided that if a Canadian Benchmark Transition Event has occurred with respect to the Term CORRA Reference Rate, or the then-current Canadian Benchmark, then “Canadian Benchmark” means the applicable Canadian Benchmark Replacement to the extent that such Canadian Benchmark Replacement has replaced such prior benchmark rate. </w:t>
      </w:r>
    </w:p>
    <w:p>
      <w:pPr>
        <w:pStyle w:val="TextBody"/>
        <w:bidi w:val="0"/>
        <w:spacing w:before="240" w:after="0"/>
        <w:jc w:val="left"/>
        <w:rPr/>
      </w:pPr>
      <w:r>
        <w:rPr/>
        <w:t>“</w:t>
      </w:r>
      <w:r>
        <w:rPr>
          <w:rFonts w:ascii="Times New Roman" w:hAnsi="Times New Roman"/>
          <w:sz w:val="20"/>
          <w:u w:val="single"/>
        </w:rPr>
        <w:t>Canadian Benchmark Borrowing</w:t>
      </w:r>
      <w:r>
        <w:rPr>
          <w:rFonts w:ascii="Times New Roman" w:hAnsi="Times New Roman"/>
          <w:sz w:val="20"/>
        </w:rPr>
        <w:t xml:space="preserve">” means, as to any Borrowing, the Canadian Benchmark Loans comprising such Borrowing. </w:t>
      </w:r>
    </w:p>
    <w:p>
      <w:pPr>
        <w:pStyle w:val="TextBody"/>
        <w:bidi w:val="0"/>
        <w:spacing w:before="240" w:after="0"/>
        <w:jc w:val="left"/>
        <w:rPr/>
      </w:pPr>
      <w:r>
        <w:rPr/>
        <w:t>“</w:t>
      </w:r>
      <w:r>
        <w:rPr>
          <w:rFonts w:ascii="Times New Roman" w:hAnsi="Times New Roman"/>
          <w:sz w:val="20"/>
          <w:u w:val="single"/>
        </w:rPr>
        <w:t>Canadian Benchmark Replacement</w:t>
      </w:r>
      <w:r>
        <w:rPr>
          <w:rFonts w:ascii="Times New Roman" w:hAnsi="Times New Roman"/>
          <w:sz w:val="20"/>
        </w:rPr>
        <w:t xml:space="preserve">” means, with respect to any Canadian Benchmark Transition Event, </w:t>
      </w:r>
    </w:p>
    <w:p>
      <w:pPr>
        <w:pStyle w:val="TextBody"/>
        <w:bidi w:val="0"/>
        <w:spacing w:before="240" w:after="0"/>
        <w:jc w:val="left"/>
        <w:rPr>
          <w:rFonts w:ascii="Times New Roman" w:hAnsi="Times New Roman"/>
          <w:sz w:val="20"/>
        </w:rPr>
      </w:pPr>
      <w:r>
        <w:rPr>
          <w:rFonts w:ascii="Times New Roman" w:hAnsi="Times New Roman"/>
          <w:sz w:val="20"/>
        </w:rPr>
        <w:t xml:space="preserve">(a) where a Canadian Benchmark Transition Event has occurred with respect to Term CORRA Reference Rate, Daily Compounded CORRA, or </w:t>
      </w:r>
    </w:p>
    <w:p>
      <w:pPr>
        <w:pStyle w:val="TextBody"/>
        <w:bidi w:val="0"/>
        <w:spacing w:before="240" w:after="0"/>
        <w:jc w:val="left"/>
        <w:rPr>
          <w:rFonts w:ascii="Times New Roman" w:hAnsi="Times New Roman"/>
          <w:sz w:val="20"/>
        </w:rPr>
      </w:pPr>
      <w:r>
        <w:rPr>
          <w:rFonts w:ascii="Times New Roman" w:hAnsi="Times New Roman"/>
          <w:sz w:val="20"/>
        </w:rPr>
        <w:t xml:space="preserve">(b) where a Canadian Benchmark Transition Event has occurred with respect to a Canadian Benchmark other than the Term CORRA Reference Rate, the sum of: (i) the alternate benchmark rate that has been selected by the Administrative Agent and the Borrower Representative giving due consideration to (A) any selection or recommendation of a replacement benchmark rate or the mechanism for determining such a rate by the Relevant Canadian Governmental Body or (B) any evolving or then-prevailing market convention for determining a benchmark rate as a replacement to the then-current Canadian Benchmark for Canadian Dollar-denominated syndicated credit facilities and (ii) the related Canadian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Canadian Benchmark Replacement as determined pursuant to clause (a) or (b) above and after giving effect to any applicable spread adjustments would be less than zero, the Canadian Benchmark Replacement will be deemed to be zero for the purposes of this Agreement and the other Loan Documents. </w:t>
      </w:r>
    </w:p>
    <w:p>
      <w:pPr>
        <w:pStyle w:val="TextBody"/>
        <w:bidi w:val="0"/>
        <w:spacing w:before="240" w:after="0"/>
        <w:jc w:val="left"/>
        <w:rPr/>
      </w:pPr>
      <w:r>
        <w:rPr/>
        <w:t>“</w:t>
      </w:r>
      <w:r>
        <w:rPr>
          <w:rFonts w:ascii="Times New Roman" w:hAnsi="Times New Roman"/>
          <w:sz w:val="20"/>
          <w:u w:val="single"/>
        </w:rPr>
        <w:t>Canadian Benchmark Replacement Adjustment</w:t>
      </w:r>
      <w:r>
        <w:rPr>
          <w:rFonts w:ascii="Times New Roman" w:hAnsi="Times New Roman"/>
          <w:sz w:val="20"/>
        </w:rPr>
        <w:t xml:space="preserve">” means, with respect to any replacement of the then-current Canadian Benchmark with an Unadjusted Canadian Benchmark Replacement, the spread adjustment, or method for calculating or determining such spread adjustment, (which may be a positive or negative value or zero) that has been selected by the Administrative Agent and the Borrower Representative giving due consideration to (a) any selection or recommendation of a spread adjustment, or method for calculating or determining such spread adjustment,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replacement of such Benchmark with the applicable Unadjusted Canadian Benchmark Replacement by the Relevant Canadian Governmental Body or (b) any evolving or then-prevailing market convention for determining a spread adjustment, or method for calculating or determining such spread adjustment, for the replacement of such Canadian Benchmark with the applicable Unadjusted Canadian Benchmark Replacement for Dollar-denominated syndicated credit facilities at such time. </w:t>
      </w:r>
    </w:p>
    <w:p>
      <w:pPr>
        <w:pStyle w:val="TextBody"/>
        <w:bidi w:val="0"/>
        <w:spacing w:before="240" w:after="0"/>
        <w:jc w:val="left"/>
        <w:rPr/>
      </w:pPr>
      <w:r>
        <w:rPr/>
        <w:t>“</w:t>
      </w:r>
      <w:r>
        <w:rPr>
          <w:rFonts w:ascii="Times New Roman" w:hAnsi="Times New Roman"/>
          <w:sz w:val="20"/>
          <w:u w:val="single"/>
        </w:rPr>
        <w:t>Canadian Benchmark Replacement Date</w:t>
      </w:r>
      <w:r>
        <w:rPr>
          <w:rFonts w:ascii="Times New Roman" w:hAnsi="Times New Roman"/>
          <w:sz w:val="20"/>
        </w:rPr>
        <w:t xml:space="preserve">” means the earliest to occur of the following events with respect to the then-current Canadian Benchmark: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clause (a) or (b) of the definition of “Canadian Benchmark Transition Event,” the later of (i) the date of the public statement or publication of information referenced therein and (ii) the date on which the administrator of such Canadian Benchmark (or the published component used in the calculation thereof) permanently or indefinitely ceases to provide all Canadian Available Tenors of such Canadian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clause (c) of the definition of “Canadian Benchmark Transition Event,” the first date on which such Canadian Benchmark (or the published component used in the calculation thereof) has been determined and announced by the regulatory supervisor for the administrator of such Canadian Benchmark (or such component thereof) to be non-representative; provided that such non-representativeness will be determined by reference to the most recent statement or publication referenced in such clause (c) and even if any Canadian Available Tenor of such Canadian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Canadian Benchmark upon the occurrence of the applicable event or events set forth therein with respect to all then-current Canadian Available Tenors of such Canadian Benchmark (or the published component used in the calculation thereof). </w:t>
      </w:r>
    </w:p>
    <w:p>
      <w:pPr>
        <w:pStyle w:val="TextBody"/>
        <w:bidi w:val="0"/>
        <w:spacing w:before="240" w:after="0"/>
        <w:jc w:val="left"/>
        <w:rPr/>
      </w:pPr>
      <w:r>
        <w:rPr/>
        <w:t>“</w:t>
      </w:r>
      <w:r>
        <w:rPr>
          <w:rFonts w:ascii="Times New Roman" w:hAnsi="Times New Roman"/>
          <w:sz w:val="20"/>
          <w:u w:val="single"/>
        </w:rPr>
        <w:t>Canadian Benchmark Transition Event</w:t>
      </w:r>
      <w:r>
        <w:rPr>
          <w:rFonts w:ascii="Times New Roman" w:hAnsi="Times New Roman"/>
          <w:sz w:val="20"/>
        </w:rPr>
        <w:t xml:space="preserve">” means the occurrence of one or more of the following events with respect to the then-current Canadian Benchmark: </w:t>
      </w:r>
    </w:p>
    <w:p>
      <w:pPr>
        <w:pStyle w:val="TextBody"/>
        <w:bidi w:val="0"/>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Canadian Benchmark (or the published component used in the calculation thereof), the Bank of Canada, an insolvency official with jurisdiction over the administrator for such Canadian Benchmark (or such component), a resolution authority with jurisdiction over the administrator for such Benchmark (or such component) or a court or an entity with similar insolvency or resolution authority over the administrator for such Canadian Benchmark (or such component), which states that the administrator of such Canadian Benchmark (or such component) has ceased or will cease to provide all Canadian Available Tenors of such Canadian Benchmark (or such component thereof) permanently or indefinitely; provided that, at the time of such statement or publication, there is no successor administrator that will continue to provide any Canadian Available Tenor of such Canadian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(c) a public statement or publication of information by the regulatory supervisor for the administrator of such Canadian Benchmark (or the published component used in the calculation thereof) announcing that all Canadian Available Tenors of such Canadian Benchmark (or such component thereof) are not, or as of a specified future date will not be,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“Canadian Benchmark Transition Event” will be deemed to have occurred with respect to any Canadian Benchmark if a public statement or publication of information set forth above has occurred with respect to each then-current Canadian Available Tenor of such Canadian Benchmark (or the published component used in the calculation thereof). </w:t>
      </w:r>
    </w:p>
    <w:p>
      <w:pPr>
        <w:pStyle w:val="TextBody"/>
        <w:bidi w:val="0"/>
        <w:spacing w:before="240" w:after="0"/>
        <w:jc w:val="left"/>
        <w:rPr/>
      </w:pPr>
      <w:r>
        <w:rPr/>
        <w:t>“</w:t>
      </w:r>
      <w:r>
        <w:rPr>
          <w:rFonts w:ascii="Times New Roman" w:hAnsi="Times New Roman"/>
          <w:sz w:val="20"/>
          <w:u w:val="single"/>
        </w:rPr>
        <w:t>Canadian Benchmark Unavailability Period</w:t>
      </w:r>
      <w:r>
        <w:rPr>
          <w:rFonts w:ascii="Times New Roman" w:hAnsi="Times New Roman"/>
          <w:sz w:val="20"/>
        </w:rPr>
        <w:t xml:space="preserve">” means, the period (if any) (a) beginning at the time that a Canadian Benchmark Replacement Date has occurred if, at such time, no Canadian Benchmark Replacement has replaced the then-current Canadian Benchmark for all purposes hereunder and under any Loan Document in accordance with Section 2.14(d) and (b) ending at the time that a Canadian Benchmark Replacement has replaced the then-current Canadian Benchmark for all purposes hereunder and under any Loan Document in accordance with Section 2.14(d). </w:t>
      </w:r>
    </w:p>
    <w:p>
      <w:pPr>
        <w:pStyle w:val="TextBody"/>
        <w:bidi w:val="0"/>
        <w:spacing w:before="240" w:after="0"/>
        <w:jc w:val="left"/>
        <w:rPr/>
      </w:pPr>
      <w:r>
        <w:rPr/>
        <w:t>“</w:t>
      </w:r>
      <w:r>
        <w:rPr>
          <w:rFonts w:ascii="Times New Roman" w:hAnsi="Times New Roman"/>
          <w:sz w:val="20"/>
          <w:u w:val="single"/>
        </w:rPr>
        <w:t>Canadian Blocked Person</w:t>
      </w:r>
      <w:r>
        <w:rPr>
          <w:rFonts w:ascii="Times New Roman" w:hAnsi="Times New Roman"/>
          <w:sz w:val="20"/>
        </w:rPr>
        <w:t xml:space="preserve">” means any Person that is a “designated person,” “politically exposed foreign person” or “terrorist group” as described in any Canadian Economic Sanctions and Export Control Laws. </w:t>
      </w:r>
    </w:p>
    <w:p>
      <w:pPr>
        <w:pStyle w:val="TextBody"/>
        <w:bidi w:val="0"/>
        <w:spacing w:before="240" w:after="0"/>
        <w:jc w:val="left"/>
        <w:rPr/>
      </w:pPr>
      <w:r>
        <w:rPr/>
        <w:t>“</w:t>
      </w:r>
      <w:r>
        <w:rPr>
          <w:rFonts w:ascii="Times New Roman" w:hAnsi="Times New Roman"/>
          <w:sz w:val="20"/>
          <w:u w:val="single"/>
        </w:rPr>
        <w:t>Canadian Borrower</w:t>
      </w:r>
      <w:r>
        <w:rPr>
          <w:rFonts w:ascii="Times New Roman" w:hAnsi="Times New Roman"/>
          <w:sz w:val="20"/>
        </w:rPr>
        <w:t>” or “</w:t>
      </w:r>
      <w:r>
        <w:rPr>
          <w:rFonts w:ascii="Times New Roman" w:hAnsi="Times New Roman"/>
          <w:sz w:val="20"/>
          <w:u w:val="single"/>
        </w:rPr>
        <w:t>Canadian Borrowers</w:t>
      </w:r>
      <w:r>
        <w:rPr>
          <w:rFonts w:ascii="Times New Roman" w:hAnsi="Times New Roman"/>
          <w:sz w:val="20"/>
        </w:rPr>
        <w:t>” means, individually or collectively as the context may require: (a) </w:t>
      </w:r>
      <w:r>
        <w:rPr>
          <w:rFonts w:ascii="Times New Roman" w:hAnsi="Times New Roman"/>
          <w:color w:val="0000FF"/>
          <w:sz w:val="20"/>
          <w:u w:val="single"/>
          <w:bdr w:val="double" w:sz="2" w:space="1" w:color="000000"/>
        </w:rPr>
        <w:t>as of the Ninth Amendment Effective Date,</w:t>
      </w:r>
      <w:r>
        <w:rPr>
          <w:rFonts w:ascii="Times New Roman" w:hAnsi="Times New Roman"/>
          <w:sz w:val="20"/>
        </w:rPr>
        <w:t xml:space="preserve"> the entities listed on the </w:t>
      </w:r>
      <w:r>
        <w:rPr>
          <w:rFonts w:ascii="Times New Roman" w:hAnsi="Times New Roman"/>
          <w:sz w:val="20"/>
          <w:u w:val="single"/>
        </w:rPr>
        <w:t>Loan Party Schedule</w:t>
      </w:r>
      <w:r>
        <w:rPr>
          <w:rFonts w:ascii="Times New Roman" w:hAnsi="Times New Roman"/>
          <w:sz w:val="20"/>
        </w:rPr>
        <w:t xml:space="preserve"> attached hereto under the heading “Canadian Borrowers,” (b) any entity resulting from an amalgamation between any Person referred to in the foregoing clause (a) or this clause (b) and any other Person permitted by this Agreement, and (c) any Canadian Subsidiary of Holdings that becomes a party to this Agreement as an additional borrower with the consent of the Administrative Agent after the Fourth Restatement Date pursuant to a Joinder Agreement in accordance with Section 5.13. </w:t>
      </w:r>
    </w:p>
    <w:p>
      <w:pPr>
        <w:pStyle w:val="TextBody"/>
        <w:bidi w:val="0"/>
        <w:spacing w:before="240" w:after="0"/>
        <w:jc w:val="left"/>
        <w:rPr/>
      </w:pPr>
      <w:r>
        <w:rPr/>
        <w:t>“</w:t>
      </w:r>
      <w:r>
        <w:rPr>
          <w:rFonts w:ascii="Times New Roman" w:hAnsi="Times New Roman"/>
          <w:sz w:val="20"/>
          <w:u w:val="single"/>
        </w:rPr>
        <w:t>Canadian Borrowing Base</w:t>
      </w:r>
      <w:r>
        <w:rPr>
          <w:rFonts w:ascii="Times New Roman" w:hAnsi="Times New Roman"/>
          <w:sz w:val="20"/>
        </w:rPr>
        <w:t xml:space="preserve">” means, at any time, the sum of (a) 85% of the Eligible Accounts owing to the Canadian Loan Parties (other than Intermediate Holding Companies) at such time, </w:t>
      </w:r>
      <w:r>
        <w:rPr>
          <w:rFonts w:ascii="Times New Roman" w:hAnsi="Times New Roman"/>
          <w:sz w:val="20"/>
          <w:u w:val="single"/>
        </w:rPr>
        <w:t>plus</w:t>
      </w:r>
      <w:r>
        <w:rPr>
          <w:rFonts w:ascii="Times New Roman" w:hAnsi="Times New Roman"/>
          <w:sz w:val="20"/>
        </w:rPr>
        <w:t xml:space="preserve"> (b) the lesser of (i) 70% of the Canadian Loan Parties’ Eligible Inventory, valued at the lower of cost or market value, determined on a first-in-first-out basis, at such time and (ii) the product of 90% multiplied by the Net Orderly Liquidation Value percentage identified in the most recent inventory appraisal ordered by the Administrative Agent multiplied by the Canadian Loan Parties’ (other than Intermediate Holding Companies) Eligible Inventory (determined after taking into account adjustments made in such appraisal in the calculation of the Net Orderly Liquidation Value percentage), valued at the lower of cost or market value, determined on a first-in-first-out basis, at such time, </w:t>
      </w:r>
      <w:r>
        <w:rPr>
          <w:rFonts w:ascii="Times New Roman" w:hAnsi="Times New Roman"/>
          <w:sz w:val="20"/>
          <w:u w:val="single"/>
        </w:rPr>
        <w:t>minus</w:t>
      </w:r>
      <w:r>
        <w:rPr>
          <w:rFonts w:ascii="Times New Roman" w:hAnsi="Times New Roman"/>
          <w:sz w:val="20"/>
        </w:rPr>
        <w:t xml:space="preserve"> (c) Reserves. </w:t>
      </w:r>
    </w:p>
    <w:p>
      <w:pPr>
        <w:pStyle w:val="TextBody"/>
        <w:bidi w:val="0"/>
        <w:spacing w:before="240" w:after="0"/>
        <w:jc w:val="left"/>
        <w:rPr/>
      </w:pPr>
      <w:r>
        <w:rPr/>
        <w:t>“</w:t>
      </w:r>
      <w:r>
        <w:rPr>
          <w:rFonts w:ascii="Times New Roman" w:hAnsi="Times New Roman"/>
          <w:sz w:val="20"/>
          <w:u w:val="single"/>
        </w:rPr>
        <w:t>Canadian Cash Management Bank</w:t>
      </w:r>
      <w:r>
        <w:rPr>
          <w:rFonts w:ascii="Times New Roman" w:hAnsi="Times New Roman"/>
          <w:sz w:val="20"/>
        </w:rPr>
        <w:t xml:space="preserve">” means (a) as of the Fourth Restatement Date, each of Toronto Dominion Bank and the Bank of Nova Scotia, in their respective capacities as the depositary banks for the Canadian Loan Parties, and (b) at any time after the Fourth Restatement Date, any one or more of the Canadian Lenders selected by the Canadian Loan Parties, in consultation with the Administrative Agent, to become either a successor principal depository bank or an additional depository bank for the Canadian Loan Parties; </w:t>
      </w:r>
      <w:r>
        <w:rPr>
          <w:rFonts w:ascii="Times New Roman" w:hAnsi="Times New Roman"/>
          <w:sz w:val="20"/>
          <w:u w:val="single"/>
        </w:rPr>
        <w:t>provided</w:t>
      </w:r>
      <w:r>
        <w:rPr>
          <w:rFonts w:ascii="Times New Roman" w:hAnsi="Times New Roman"/>
          <w:sz w:val="20"/>
        </w:rPr>
        <w:t xml:space="preserve"> that, unless the Administrative Agent otherwise consents in writing, no Person shall become the successor “</w:t>
      </w:r>
      <w:r>
        <w:rPr>
          <w:rFonts w:ascii="Times New Roman" w:hAnsi="Times New Roman"/>
          <w:sz w:val="20"/>
          <w:u w:val="single"/>
        </w:rPr>
        <w:t>Canadian Cash Management Bank</w:t>
      </w:r>
      <w:r>
        <w:rPr>
          <w:rFonts w:ascii="Times New Roman" w:hAnsi="Times New Roman"/>
          <w:sz w:val="20"/>
        </w:rPr>
        <w:t xml:space="preserve">” unless and until such Person shall have entered into a Control Agreement with the Canadian Loan Parties and the Administrative Agent in form and substance reasonably acceptable to the Administrative Agent. </w:t>
      </w:r>
    </w:p>
    <w:p>
      <w:pPr>
        <w:pStyle w:val="TextBody"/>
        <w:bidi w:val="0"/>
        <w:spacing w:before="240" w:after="0"/>
        <w:jc w:val="left"/>
        <w:rPr/>
      </w:pPr>
      <w:r>
        <w:rPr/>
        <w:t>“</w:t>
      </w:r>
      <w:r>
        <w:rPr>
          <w:rFonts w:ascii="Times New Roman" w:hAnsi="Times New Roman"/>
          <w:sz w:val="20"/>
          <w:u w:val="single"/>
        </w:rPr>
        <w:t>Canadian Collection Account</w:t>
      </w:r>
      <w:r>
        <w:rPr>
          <w:rFonts w:ascii="Times New Roman" w:hAnsi="Times New Roman"/>
          <w:sz w:val="20"/>
        </w:rPr>
        <w:t xml:space="preserve">” means the account at Barclays (or another commercial bank in the name of the Administrative Agent and under the sole dominion and control of the Administrative Agent, and otherwise established in a manner reasonably satisfactory to the Administrative Agent), so designated by the Administrative Agent, in a written notice delivered to the Borrower Representative, to be the “Canadian Collection Account,” to which funds on deposit in Deposit Accounts (other than Excluded Accounts) maintained by the Canadian Loan Parties with the Canadian Cash Management Bank and all collections and other payments received in respect of the Accounts of the Canadian Loan Parties by the Canadian Cash Management Bank shall be remitted at all times during a Cash Dominion Period. </w:t>
      </w:r>
    </w:p>
    <w:p>
      <w:pPr>
        <w:pStyle w:val="TextBody"/>
        <w:bidi w:val="0"/>
        <w:spacing w:before="240" w:after="0"/>
        <w:jc w:val="left"/>
        <w:rPr/>
      </w:pPr>
      <w:r>
        <w:rPr/>
        <w:t>“</w:t>
      </w:r>
      <w:r>
        <w:rPr>
          <w:rFonts w:ascii="Times New Roman" w:hAnsi="Times New Roman"/>
          <w:sz w:val="20"/>
          <w:u w:val="single"/>
        </w:rPr>
        <w:t>Canadian Commitment</w:t>
      </w:r>
      <w:r>
        <w:rPr>
          <w:rFonts w:ascii="Times New Roman" w:hAnsi="Times New Roman"/>
          <w:sz w:val="20"/>
        </w:rPr>
        <w:t xml:space="preserve">” means, with respect to each Canadian Lender, the commitment, if any, of such Canadian Lender to make Canadian Revolving Loans and to acquire participations in Canadian Letters of Credit, Canadian Overadvances and Canadian Swingline Loans hereunder, expressed as an amount representing the maximum possible aggregate amount of such Canadian Lender’s Canadian Revolving Exposure hereunder, as such commitment may be reduced or increased from time to time pursuant to (a) Section 2.09 and (b) assignments by or to such Canadian Lender pursuant to Section 9.04. The initial amount of each Canadian Lender’s Canadian Commitment is set forth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sz w:val="20"/>
          <w:u w:val="single"/>
        </w:rPr>
        <w:t>Revolving Commitment Schedule,</w:t>
      </w:r>
      <w:r>
        <w:rPr>
          <w:rFonts w:ascii="Times New Roman" w:hAnsi="Times New Roman"/>
          <w:sz w:val="20"/>
        </w:rPr>
        <w:t xml:space="preserve"> or in the Assignment and Assumption pursuant to which such Canadian Lender shall have assumed its Canadian Commitment, as applicable. The Canadian Commitment is a sub-facility of the Revolving Commitment and is not in addition to the Revolving Commitment. As of the </w:t>
      </w:r>
      <w:r>
        <w:rPr>
          <w:rFonts w:ascii="Times New Roman" w:hAnsi="Times New Roman"/>
          <w:strike/>
          <w:color w:val="FF0000"/>
          <w:sz w:val="20"/>
        </w:rPr>
        <w:t>Seventh</w:t>
      </w:r>
      <w:r>
        <w:rPr>
          <w:rFonts w:ascii="Times New Roman" w:hAnsi="Times New Roman"/>
          <w:color w:val="0000FF"/>
          <w:sz w:val="20"/>
          <w:u w:val="single"/>
          <w:bdr w:val="double" w:sz="2" w:space="1" w:color="000000"/>
        </w:rPr>
        <w:t>Ninth</w:t>
      </w:r>
      <w:r>
        <w:rPr>
          <w:rFonts w:ascii="Times New Roman" w:hAnsi="Times New Roman"/>
          <w:sz w:val="20"/>
        </w:rPr>
        <w:t xml:space="preserve"> Amendment Effective Date, the aggregate Canadian Commitments are $625,000,000. </w:t>
      </w:r>
    </w:p>
    <w:p>
      <w:pPr>
        <w:pStyle w:val="TextBody"/>
        <w:bidi w:val="0"/>
        <w:spacing w:before="240" w:after="0"/>
        <w:jc w:val="left"/>
        <w:rPr/>
      </w:pPr>
      <w:r>
        <w:rPr/>
        <w:t>“</w:t>
      </w:r>
      <w:r>
        <w:rPr>
          <w:rFonts w:ascii="Times New Roman" w:hAnsi="Times New Roman"/>
          <w:sz w:val="20"/>
          <w:u w:val="single"/>
        </w:rPr>
        <w:t>Canadian CORRA Loans</w:t>
      </w:r>
      <w:r>
        <w:rPr>
          <w:rFonts w:ascii="Times New Roman" w:hAnsi="Times New Roman"/>
          <w:sz w:val="20"/>
        </w:rPr>
        <w:t xml:space="preserve">” means any Loan denominated in Canadian Dollars the rate of interest applicable to which is based on Term CORRA or Daily Compounded CORRA, as applicable </w:t>
      </w:r>
      <w:r>
        <w:rPr>
          <w:rFonts w:ascii="Times New Roman" w:hAnsi="Times New Roman"/>
          <w:strike/>
          <w:color w:val="FF0000"/>
          <w:sz w:val="20"/>
        </w:rPr>
        <w:t>(including Adjusted Term CORRA and Adjusted Daily Compounded CORRA)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Canadian Cross-Border Loan Guarantors</w:t>
      </w:r>
      <w:r>
        <w:rPr>
          <w:rFonts w:ascii="Times New Roman" w:hAnsi="Times New Roman"/>
          <w:sz w:val="20"/>
        </w:rPr>
        <w:t>” means, individually or collectively as the context may require: (a) </w:t>
      </w:r>
      <w:r>
        <w:rPr>
          <w:rFonts w:ascii="Times New Roman" w:hAnsi="Times New Roman"/>
          <w:color w:val="0000FF"/>
          <w:sz w:val="20"/>
          <w:u w:val="single"/>
          <w:bdr w:val="double" w:sz="2" w:space="1" w:color="000000"/>
        </w:rPr>
        <w:t>as of the Ninth Amendment Effective Date,</w:t>
      </w:r>
      <w:r>
        <w:rPr>
          <w:rFonts w:ascii="Times New Roman" w:hAnsi="Times New Roman"/>
          <w:sz w:val="20"/>
        </w:rPr>
        <w:t xml:space="preserve"> the entities listed on the </w:t>
      </w:r>
      <w:r>
        <w:rPr>
          <w:rFonts w:ascii="Times New Roman" w:hAnsi="Times New Roman"/>
          <w:sz w:val="20"/>
          <w:u w:val="single"/>
        </w:rPr>
        <w:t>Loan Party Schedule</w:t>
      </w:r>
      <w:r>
        <w:rPr>
          <w:rFonts w:ascii="Times New Roman" w:hAnsi="Times New Roman"/>
          <w:sz w:val="20"/>
        </w:rPr>
        <w:t xml:space="preserve"> attached hereto under the heading “Canadian Cross-Border Loan Guarantors,” and (b) any Canadian Subsidiary (other than any CFC Subsidiary or any subsidiary thereof) that after the Fourth Restatement Date guarantees (or is required to guaranty) the payment of the Canadian Obligations and the U.S. Obligations pursuant to Section 5.13. </w:t>
      </w:r>
    </w:p>
    <w:p>
      <w:pPr>
        <w:pStyle w:val="TextBody"/>
        <w:bidi w:val="0"/>
        <w:spacing w:before="240" w:after="0"/>
        <w:jc w:val="left"/>
        <w:rPr/>
      </w:pPr>
      <w:r>
        <w:rPr/>
        <w:t>“</w:t>
      </w:r>
      <w:r>
        <w:rPr>
          <w:rFonts w:ascii="Times New Roman" w:hAnsi="Times New Roman"/>
          <w:sz w:val="20"/>
          <w:u w:val="single"/>
        </w:rPr>
        <w:t>Canadian Defined Benefit Plan</w:t>
      </w:r>
      <w:r>
        <w:rPr>
          <w:rFonts w:ascii="Times New Roman" w:hAnsi="Times New Roman"/>
          <w:sz w:val="20"/>
        </w:rPr>
        <w:t xml:space="preserve">” has the meaning assigned to such term in Section 6.14. </w:t>
      </w:r>
    </w:p>
    <w:p>
      <w:pPr>
        <w:pStyle w:val="TextBody"/>
        <w:bidi w:val="0"/>
        <w:spacing w:before="240" w:after="0"/>
        <w:jc w:val="left"/>
        <w:rPr/>
      </w:pPr>
      <w:r>
        <w:rPr/>
        <w:t>“</w:t>
      </w:r>
      <w:r>
        <w:rPr>
          <w:rFonts w:ascii="Times New Roman" w:hAnsi="Times New Roman"/>
          <w:sz w:val="20"/>
          <w:u w:val="single"/>
        </w:rPr>
        <w:t>Canadian Dollar Loan</w:t>
      </w:r>
      <w:r>
        <w:rPr>
          <w:rFonts w:ascii="Times New Roman" w:hAnsi="Times New Roman"/>
          <w:sz w:val="20"/>
        </w:rPr>
        <w:t xml:space="preserve">” means any Loan denominated in Canadian Dollars bearing interest at the Canadian Prime Rate, or any Canadian CORRA Loan. </w:t>
      </w:r>
    </w:p>
    <w:p>
      <w:pPr>
        <w:pStyle w:val="TextBody"/>
        <w:bidi w:val="0"/>
        <w:spacing w:before="240" w:after="0"/>
        <w:jc w:val="left"/>
        <w:rPr/>
      </w:pPr>
      <w:r>
        <w:rPr/>
        <w:t>“</w:t>
      </w:r>
      <w:r>
        <w:rPr>
          <w:rFonts w:ascii="Times New Roman" w:hAnsi="Times New Roman"/>
          <w:sz w:val="20"/>
          <w:u w:val="single"/>
        </w:rPr>
        <w:t>Canadian Dollars</w:t>
      </w:r>
      <w:r>
        <w:rPr>
          <w:rFonts w:ascii="Times New Roman" w:hAnsi="Times New Roman"/>
          <w:sz w:val="20"/>
        </w:rPr>
        <w:t xml:space="preserve">” means the lawful currency of Canada. </w:t>
      </w:r>
    </w:p>
    <w:p>
      <w:pPr>
        <w:pStyle w:val="TextBody"/>
        <w:bidi w:val="0"/>
        <w:spacing w:before="240" w:after="0"/>
        <w:jc w:val="left"/>
        <w:rPr/>
      </w:pPr>
      <w:r>
        <w:rPr/>
        <w:t>“</w:t>
      </w:r>
      <w:r>
        <w:rPr>
          <w:rFonts w:ascii="Times New Roman" w:hAnsi="Times New Roman"/>
          <w:sz w:val="20"/>
          <w:u w:val="single"/>
        </w:rPr>
        <w:t>Canadian Economic Sanctions and Export Control Laws</w:t>
      </w:r>
      <w:r>
        <w:rPr>
          <w:rFonts w:ascii="Times New Roman" w:hAnsi="Times New Roman"/>
          <w:sz w:val="20"/>
        </w:rPr>
        <w:t xml:space="preserve">” means any Canadian laws, regulations or orders governing transactions in controlled goods or technologies or dealings with countries, entities, organizations, or individuals subject to economic sanctions and similar measures, including the </w:t>
      </w:r>
      <w:r>
        <w:rPr>
          <w:rFonts w:ascii="Times New Roman" w:hAnsi="Times New Roman"/>
          <w:i/>
          <w:sz w:val="20"/>
        </w:rPr>
        <w:t>Special Economic Measures Act</w:t>
      </w:r>
      <w:r>
        <w:rPr>
          <w:rFonts w:ascii="Times New Roman" w:hAnsi="Times New Roman"/>
          <w:sz w:val="20"/>
        </w:rPr>
        <w:t xml:space="preserve"> (Canada), the </w:t>
      </w:r>
      <w:r>
        <w:rPr>
          <w:rFonts w:ascii="Times New Roman" w:hAnsi="Times New Roman"/>
          <w:i/>
          <w:sz w:val="20"/>
        </w:rPr>
        <w:t>United Nations Act</w:t>
      </w:r>
      <w:r>
        <w:rPr>
          <w:rFonts w:ascii="Times New Roman" w:hAnsi="Times New Roman"/>
          <w:sz w:val="20"/>
        </w:rPr>
        <w:t xml:space="preserve"> (Canada), the </w:t>
      </w:r>
      <w:r>
        <w:rPr>
          <w:rFonts w:ascii="Times New Roman" w:hAnsi="Times New Roman"/>
          <w:i/>
          <w:sz w:val="20"/>
        </w:rPr>
        <w:t>Freezing Assets of Corrupt Foreign Officials Act</w:t>
      </w:r>
      <w:r>
        <w:rPr>
          <w:rFonts w:ascii="Times New Roman" w:hAnsi="Times New Roman"/>
          <w:sz w:val="20"/>
        </w:rPr>
        <w:t xml:space="preserve"> (Canada), Part II.1 of the </w:t>
      </w:r>
      <w:r>
        <w:rPr>
          <w:rFonts w:ascii="Times New Roman" w:hAnsi="Times New Roman"/>
          <w:i/>
          <w:sz w:val="20"/>
        </w:rPr>
        <w:t>Criminal Code</w:t>
      </w:r>
      <w:r>
        <w:rPr>
          <w:rFonts w:ascii="Times New Roman" w:hAnsi="Times New Roman"/>
          <w:sz w:val="20"/>
        </w:rPr>
        <w:t xml:space="preserve"> (Canada) and the </w:t>
      </w:r>
      <w:r>
        <w:rPr>
          <w:rFonts w:ascii="Times New Roman" w:hAnsi="Times New Roman"/>
          <w:i/>
          <w:sz w:val="20"/>
        </w:rPr>
        <w:t>Export and Import Permits Act</w:t>
      </w:r>
      <w:r>
        <w:rPr>
          <w:rFonts w:ascii="Times New Roman" w:hAnsi="Times New Roman"/>
          <w:sz w:val="20"/>
        </w:rPr>
        <w:t xml:space="preserve"> (Canada), and any related regulations. </w:t>
      </w:r>
    </w:p>
    <w:p>
      <w:pPr>
        <w:pStyle w:val="TextBody"/>
        <w:bidi w:val="0"/>
        <w:spacing w:before="240" w:after="0"/>
        <w:jc w:val="left"/>
        <w:rPr/>
      </w:pPr>
      <w:r>
        <w:rPr/>
        <w:t>“</w:t>
      </w:r>
      <w:r>
        <w:rPr>
          <w:rFonts w:ascii="Times New Roman" w:hAnsi="Times New Roman"/>
          <w:sz w:val="20"/>
          <w:u w:val="single"/>
        </w:rPr>
        <w:t>Canadian Guarantee</w:t>
      </w:r>
      <w:r>
        <w:rPr>
          <w:rFonts w:ascii="Times New Roman" w:hAnsi="Times New Roman"/>
          <w:sz w:val="20"/>
        </w:rPr>
        <w:t xml:space="preserve">” means, individually and collectively as the context may require (a) the Fourth Amended and Restated Canadian Guarantee Agreement dated as of the Fourth Restatement Date by the Canadian Loan Guarantors in favor of the Administrative Agent (for the benefit of the Canadian Lender Parties) in substantially the form of </w:t>
      </w:r>
      <w:r>
        <w:rPr>
          <w:rFonts w:ascii="Times New Roman" w:hAnsi="Times New Roman"/>
          <w:sz w:val="20"/>
          <w:u w:val="single"/>
        </w:rPr>
        <w:t>Exhibit F-1</w:t>
      </w:r>
      <w:r>
        <w:rPr>
          <w:rFonts w:ascii="Times New Roman" w:hAnsi="Times New Roman"/>
          <w:sz w:val="20"/>
        </w:rPr>
        <w:t xml:space="preserve"> attached hereto, which Fourth Amended and Restated Canadian Guarantee amends and restates in its entirety the Second Amended and Restated Canadian Guarantee dated as of the Fourth Restatement Date by the Canadian Loan Guarantors party thereto in favor of the Administrative Agent, (b) the Fourth Amended and Restated Canadian Cross-Border Guarantee Agreement dated as of the Fourth Restatement Date by the Canadian Cross-Border Loan Guarantors in favor of the Administrative Agent (for the benefit of the Lender Parties) in substantially the form of </w:t>
      </w:r>
      <w:r>
        <w:rPr>
          <w:rFonts w:ascii="Times New Roman" w:hAnsi="Times New Roman"/>
          <w:sz w:val="20"/>
          <w:u w:val="single"/>
        </w:rPr>
        <w:t>Exhibit F-2</w:t>
      </w:r>
      <w:r>
        <w:rPr>
          <w:rFonts w:ascii="Times New Roman" w:hAnsi="Times New Roman"/>
          <w:sz w:val="20"/>
        </w:rPr>
        <w:t xml:space="preserve"> attached hereto, which Fourth Amended and Restated Canadian Cross-Border Guarantee amends and restates in its entirety the Third Amended and Restated Canadian Cross-Border Guarantee dated as of the Fourth Restatement Date by the Canadian Cross-Border Loan Guarantors party thereto in favor of the Administrative Agent and (c) any other Guarantee agreement entered into after the Fourth Restatement Date by any Canadian Loan Party in favor of the Administrative Agent (for the benefit of the Canadian Lender Parties or, in the case of any Canadian Cross-Border Loan Guarantor, the Lender Parties) and governed by the laws of Ontario pursuant to the terms of this Agreement, or any other Loan Document, including Section 5.13, in each case, as the same may be amended, restated or otherwise modified from time to time. </w:t>
      </w:r>
    </w:p>
    <w:p>
      <w:pPr>
        <w:pStyle w:val="TextBody"/>
        <w:bidi w:val="0"/>
        <w:spacing w:before="240" w:after="0"/>
        <w:jc w:val="left"/>
        <w:rPr/>
      </w:pPr>
      <w:r>
        <w:rPr/>
        <w:t>“</w:t>
      </w:r>
      <w:r>
        <w:rPr>
          <w:rFonts w:ascii="Times New Roman" w:hAnsi="Times New Roman"/>
          <w:sz w:val="20"/>
          <w:u w:val="single"/>
        </w:rPr>
        <w:t>Canadian Hypothec</w:t>
      </w:r>
      <w:r>
        <w:rPr>
          <w:rFonts w:ascii="Times New Roman" w:hAnsi="Times New Roman"/>
          <w:sz w:val="20"/>
        </w:rPr>
        <w:t xml:space="preserve">” means, individually and collectively as the context may require, (a) the Deed of Hypothec dated on or about the Fourth Restatement Date by the Canadian Loan Parties party thereto in favor of the Administrative Agent, (b) any other deed of hypothec entered into after the Fourth Restatement Date by any Canadian Loan Party pursuant to the terms of this Agreement, or any other Loan Document, including Section 5.13, in each case, as the same may be amended, restated or otherwise modified from time to time, and (c) any Deed of Hypothec or pledge agreement and related bond executed in favor of the Existing Administrative Agent. </w:t>
      </w:r>
    </w:p>
    <w:p>
      <w:pPr>
        <w:pStyle w:val="TextBody"/>
        <w:bidi w:val="0"/>
        <w:spacing w:before="240" w:after="0"/>
        <w:jc w:val="left"/>
        <w:rPr/>
      </w:pPr>
      <w:r>
        <w:rPr/>
        <w:t>“</w:t>
      </w:r>
      <w:r>
        <w:rPr>
          <w:rFonts w:ascii="Times New Roman" w:hAnsi="Times New Roman"/>
          <w:sz w:val="20"/>
          <w:u w:val="single"/>
        </w:rPr>
        <w:t>Canadian LC Collateral Account</w:t>
      </w:r>
      <w:r>
        <w:rPr>
          <w:rFonts w:ascii="Times New Roman" w:hAnsi="Times New Roman"/>
          <w:sz w:val="20"/>
        </w:rPr>
        <w:t xml:space="preserve">” has the meaning assigned to such term in Section 2.06(k).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Canadian LC Exposure</w:t>
      </w:r>
      <w:r>
        <w:rPr>
          <w:rFonts w:ascii="Times New Roman" w:hAnsi="Times New Roman"/>
          <w:sz w:val="20"/>
        </w:rPr>
        <w:t xml:space="preserve">” means, at any time, the sum of the Commercial LC Exposure and the Standby LC Exposure of the Canadian Borrowers. The Canadian LC Exposure of any Canadian Lender at any time shall be its Applicable Percentage of the total Canadian LC Exposure at such time. </w:t>
      </w:r>
    </w:p>
    <w:p>
      <w:pPr>
        <w:pStyle w:val="TextBody"/>
        <w:bidi w:val="0"/>
        <w:spacing w:before="240" w:after="0"/>
        <w:jc w:val="left"/>
        <w:rPr/>
      </w:pPr>
      <w:r>
        <w:rPr/>
        <w:t>“</w:t>
      </w:r>
      <w:r>
        <w:rPr>
          <w:rFonts w:ascii="Times New Roman" w:hAnsi="Times New Roman"/>
          <w:sz w:val="20"/>
          <w:u w:val="single"/>
        </w:rPr>
        <w:t>Canadian Lender Parties</w:t>
      </w:r>
      <w:r>
        <w:rPr>
          <w:rFonts w:ascii="Times New Roman" w:hAnsi="Times New Roman"/>
          <w:sz w:val="20"/>
        </w:rPr>
        <w:t xml:space="preserve">” means, individually and collectively as the context may require, the Administrative Agent, the Issuing Banks issuing Canadian Letters of Credit and the Canadian Lenders. </w:t>
      </w:r>
    </w:p>
    <w:p>
      <w:pPr>
        <w:pStyle w:val="TextBody"/>
        <w:bidi w:val="0"/>
        <w:spacing w:before="240" w:after="0"/>
        <w:jc w:val="left"/>
        <w:rPr/>
      </w:pPr>
      <w:r>
        <w:rPr/>
        <w:t>“</w:t>
      </w:r>
      <w:r>
        <w:rPr>
          <w:rFonts w:ascii="Times New Roman" w:hAnsi="Times New Roman"/>
          <w:sz w:val="20"/>
          <w:u w:val="single"/>
        </w:rPr>
        <w:t>Canadian Lenders</w:t>
      </w:r>
      <w:r>
        <w:rPr>
          <w:rFonts w:ascii="Times New Roman" w:hAnsi="Times New Roman"/>
          <w:sz w:val="20"/>
        </w:rPr>
        <w:t xml:space="preserve">” means the Persons listed on the </w:t>
      </w:r>
      <w:r>
        <w:rPr>
          <w:rFonts w:ascii="Times New Roman" w:hAnsi="Times New Roman"/>
          <w:sz w:val="20"/>
          <w:u w:val="single"/>
        </w:rPr>
        <w:t>Revolving Commitment Schedule</w:t>
      </w:r>
      <w:r>
        <w:rPr>
          <w:rFonts w:ascii="Times New Roman" w:hAnsi="Times New Roman"/>
          <w:sz w:val="20"/>
        </w:rPr>
        <w:t xml:space="preserve"> as having a Canadian Commitment (</w:t>
      </w:r>
      <w:r>
        <w:rPr>
          <w:rFonts w:ascii="Times New Roman" w:hAnsi="Times New Roman"/>
          <w:sz w:val="20"/>
          <w:u w:val="single"/>
        </w:rPr>
        <w:t>provided</w:t>
      </w:r>
      <w:r>
        <w:rPr>
          <w:rFonts w:ascii="Times New Roman" w:hAnsi="Times New Roman"/>
          <w:sz w:val="20"/>
        </w:rPr>
        <w:t xml:space="preserve"> that such Person or an Affiliate of such Person also has a U.S. Commitment) and any other Person that shall acquire a Canadian Commitment (</w:t>
      </w:r>
      <w:r>
        <w:rPr>
          <w:rFonts w:ascii="Times New Roman" w:hAnsi="Times New Roman"/>
          <w:sz w:val="20"/>
          <w:u w:val="single"/>
        </w:rPr>
        <w:t>provided</w:t>
      </w:r>
      <w:r>
        <w:rPr>
          <w:rFonts w:ascii="Times New Roman" w:hAnsi="Times New Roman"/>
          <w:sz w:val="20"/>
        </w:rPr>
        <w:t xml:space="preserve"> that at such time such Person or an Affiliate of such Person has, or is acquiring, a U.S. Commitment pursuant to an Assignment and Assumption or becomes a lender pursuant to an Aggregate Commitment Increase in accordance with Section 2.09), other than any such Person that ceases to be a Canadian Lender pursuant to an Assignment and Assumption. Unless the context otherwise requires, the term “Canadian Lenders” includes the Swingline Lender in its capacity as a lender of Canadian Swingline Loans. </w:t>
      </w:r>
    </w:p>
    <w:p>
      <w:pPr>
        <w:pStyle w:val="TextBody"/>
        <w:bidi w:val="0"/>
        <w:spacing w:before="240" w:after="0"/>
        <w:jc w:val="left"/>
        <w:rPr/>
      </w:pPr>
      <w:r>
        <w:rPr/>
        <w:t>“</w:t>
      </w:r>
      <w:r>
        <w:rPr>
          <w:rFonts w:ascii="Times New Roman" w:hAnsi="Times New Roman"/>
          <w:sz w:val="20"/>
          <w:u w:val="single"/>
        </w:rPr>
        <w:t>Canadian Letter of Credit</w:t>
      </w:r>
      <w:r>
        <w:rPr>
          <w:rFonts w:ascii="Times New Roman" w:hAnsi="Times New Roman"/>
          <w:sz w:val="20"/>
        </w:rPr>
        <w:t xml:space="preserve">” means any Letter of Credit issued hereunder for the purpose of providing credit support for the Canadian Borrowers or any Canadian Subsidiary. </w:t>
      </w:r>
    </w:p>
    <w:p>
      <w:pPr>
        <w:pStyle w:val="TextBody"/>
        <w:bidi w:val="0"/>
        <w:spacing w:before="240" w:after="0"/>
        <w:jc w:val="left"/>
        <w:rPr/>
      </w:pPr>
      <w:r>
        <w:rPr/>
        <w:t>“</w:t>
      </w:r>
      <w:r>
        <w:rPr>
          <w:rFonts w:ascii="Times New Roman" w:hAnsi="Times New Roman"/>
          <w:sz w:val="20"/>
          <w:u w:val="single"/>
        </w:rPr>
        <w:t>Canadian Loan Documents</w:t>
      </w:r>
      <w:r>
        <w:rPr>
          <w:rFonts w:ascii="Times New Roman" w:hAnsi="Times New Roman"/>
          <w:sz w:val="20"/>
        </w:rPr>
        <w:t xml:space="preserve">” means, individually and collectively as the context may require, the Canadian Guarantee, the Canadian Security Agreement, the Canadian Hypothec and all other agreements, instruments and certificates delivered by a Canadian Loan Party, from time to time in connection therewith, in each case as amended, restated or otherwise modified from time to time. </w:t>
      </w:r>
    </w:p>
    <w:p>
      <w:pPr>
        <w:pStyle w:val="TextBody"/>
        <w:bidi w:val="0"/>
        <w:spacing w:before="240" w:after="0"/>
        <w:jc w:val="left"/>
        <w:rPr/>
      </w:pPr>
      <w:r>
        <w:rPr/>
        <w:t>“</w:t>
      </w:r>
      <w:r>
        <w:rPr>
          <w:rFonts w:ascii="Times New Roman" w:hAnsi="Times New Roman"/>
          <w:sz w:val="20"/>
          <w:u w:val="single"/>
        </w:rPr>
        <w:t>Canadian Loan Guarantors</w:t>
      </w:r>
      <w:r>
        <w:rPr>
          <w:rFonts w:ascii="Times New Roman" w:hAnsi="Times New Roman"/>
          <w:sz w:val="20"/>
        </w:rPr>
        <w:t>” means, individually or collectively as the context may require: (a) </w:t>
      </w:r>
      <w:r>
        <w:rPr>
          <w:rFonts w:ascii="Times New Roman" w:hAnsi="Times New Roman"/>
          <w:color w:val="0000FF"/>
          <w:sz w:val="20"/>
          <w:u w:val="single"/>
          <w:bdr w:val="double" w:sz="2" w:space="1" w:color="000000"/>
        </w:rPr>
        <w:t xml:space="preserve">as of the Ninth Amendment Effective Date, </w:t>
      </w:r>
      <w:r>
        <w:rPr>
          <w:rFonts w:ascii="Times New Roman" w:hAnsi="Times New Roman"/>
          <w:sz w:val="20"/>
        </w:rPr>
        <w:t xml:space="preserve">the entities listed on the </w:t>
      </w:r>
      <w:r>
        <w:rPr>
          <w:rFonts w:ascii="Times New Roman" w:hAnsi="Times New Roman"/>
          <w:sz w:val="20"/>
          <w:u w:val="single"/>
        </w:rPr>
        <w:t>Loan Party Schedule</w:t>
      </w:r>
      <w:r>
        <w:rPr>
          <w:rFonts w:ascii="Times New Roman" w:hAnsi="Times New Roman"/>
          <w:sz w:val="20"/>
        </w:rPr>
        <w:t> attached hereto under the heading “</w:t>
      </w:r>
      <w:r>
        <w:rPr>
          <w:rFonts w:ascii="Times New Roman" w:hAnsi="Times New Roman"/>
          <w:sz w:val="20"/>
          <w:u w:val="single"/>
        </w:rPr>
        <w:t>Canadian Loan Guarantors</w:t>
      </w:r>
      <w:r>
        <w:rPr>
          <w:rFonts w:ascii="Times New Roman" w:hAnsi="Times New Roman"/>
          <w:sz w:val="20"/>
        </w:rPr>
        <w:t xml:space="preserve">,” (b) each Canadian Borrower (in respect of each other Canadian Borrower’s obligations), (c) any Canadian Subsidiary or CFC Subsidiary Holding Company that, after the Fourth Restatement Date, guarantees the payment of the Canadian Obligations (but not the U.S. Obligations) pursuant to Section 5.13 and (d) the successors and assigns of the Persons described in clauses (a) through (c) of this definition, including without limitation, any entity resulting from an amalgamation between any such Person and any other Person to the extent permitted by this Agreement; </w:t>
      </w:r>
      <w:r>
        <w:rPr>
          <w:rFonts w:ascii="Times New Roman" w:hAnsi="Times New Roman"/>
          <w:sz w:val="20"/>
          <w:u w:val="single"/>
        </w:rPr>
        <w:t>provided</w:t>
      </w:r>
      <w:r>
        <w:rPr>
          <w:rFonts w:ascii="Times New Roman" w:hAnsi="Times New Roman"/>
          <w:sz w:val="20"/>
        </w:rPr>
        <w:t xml:space="preserve">, however, that for the avoidance of doubt, “Canadian Loan Guarantors” shall not include (i) WESCO Distribution III ULC or any of its subsidiaries or (ii) any Dutch Subsidiary. </w:t>
      </w:r>
    </w:p>
    <w:p>
      <w:pPr>
        <w:pStyle w:val="TextBody"/>
        <w:bidi w:val="0"/>
        <w:spacing w:before="240" w:after="0"/>
        <w:jc w:val="left"/>
        <w:rPr/>
      </w:pPr>
      <w:r>
        <w:rPr/>
        <w:t>“</w:t>
      </w:r>
      <w:r>
        <w:rPr>
          <w:rFonts w:ascii="Times New Roman" w:hAnsi="Times New Roman"/>
          <w:sz w:val="20"/>
          <w:u w:val="single"/>
        </w:rPr>
        <w:t>Canadian Loan Parties</w:t>
      </w:r>
      <w:r>
        <w:rPr>
          <w:rFonts w:ascii="Times New Roman" w:hAnsi="Times New Roman"/>
          <w:sz w:val="20"/>
        </w:rPr>
        <w:t xml:space="preserve">” means, individually and collectively as the context may require, the Canadian Borrowers, the Canadian Loan Guarantors and the Canadian Cross-Border Loan Guarantors. </w:t>
      </w:r>
    </w:p>
    <w:p>
      <w:pPr>
        <w:pStyle w:val="TextBody"/>
        <w:bidi w:val="0"/>
        <w:spacing w:before="240" w:after="0"/>
        <w:jc w:val="left"/>
        <w:rPr/>
      </w:pPr>
      <w:r>
        <w:rPr/>
        <w:t>“</w:t>
      </w:r>
      <w:r>
        <w:rPr>
          <w:rFonts w:ascii="Times New Roman" w:hAnsi="Times New Roman"/>
          <w:sz w:val="20"/>
          <w:u w:val="single"/>
        </w:rPr>
        <w:t>Canadian Loans</w:t>
      </w:r>
      <w:r>
        <w:rPr>
          <w:rFonts w:ascii="Times New Roman" w:hAnsi="Times New Roman"/>
          <w:sz w:val="20"/>
        </w:rPr>
        <w:t xml:space="preserve">” means, individually and collectively as the context may require, the Canadian Revolving Loans, the Canadian Swingline Loans, the Canadian Overadvances and the Canadian Protective Advances. </w:t>
      </w:r>
    </w:p>
    <w:p>
      <w:pPr>
        <w:pStyle w:val="TextBody"/>
        <w:bidi w:val="0"/>
        <w:spacing w:before="240" w:after="0"/>
        <w:jc w:val="left"/>
        <w:rPr/>
      </w:pPr>
      <w:r>
        <w:rPr/>
        <w:t>“</w:t>
      </w:r>
      <w:r>
        <w:rPr>
          <w:rFonts w:ascii="Times New Roman" w:hAnsi="Times New Roman"/>
          <w:sz w:val="20"/>
          <w:u w:val="single"/>
        </w:rPr>
        <w:t>Canadian Obligations</w:t>
      </w:r>
      <w:r>
        <w:rPr>
          <w:rFonts w:ascii="Times New Roman" w:hAnsi="Times New Roman"/>
          <w:sz w:val="20"/>
        </w:rPr>
        <w:t xml:space="preserve">” means all unpaid principal of and accrued and unpaid interest on the Canadian Loans, all Canadian LC Exposure, all accrued and unpaid fees and all expenses, reimbursements, indemnities and other obligations of the Canadian Loan Parties to the Canadian Lenders or to any Canadian Lender, the Administrative Agent, any Issuing Bank with respect to Canadian Letters of Credit or any indemnified party arising under the Loan Documents; </w:t>
      </w:r>
      <w:r>
        <w:rPr>
          <w:rFonts w:ascii="Times New Roman" w:hAnsi="Times New Roman"/>
          <w:sz w:val="20"/>
          <w:u w:val="single"/>
        </w:rPr>
        <w:t>provided</w:t>
      </w:r>
      <w:r>
        <w:rPr>
          <w:rFonts w:ascii="Times New Roman" w:hAnsi="Times New Roman"/>
          <w:sz w:val="20"/>
        </w:rPr>
        <w:t xml:space="preserve"> that (x) the obligations of the Canadian Cross-Border Loan Guarantors (i) as guarantors of the U.S. Obligations and (ii) under the Canadian Security Agreement to the extent such obligations relate to the U.S. Obligations and (y) any obligations of CFC Subsidiary Holding Companies, shall not constitute Canadian Obligations. </w:t>
      </w:r>
    </w:p>
    <w:p>
      <w:pPr>
        <w:pStyle w:val="TextBody"/>
        <w:bidi w:val="0"/>
        <w:spacing w:before="240" w:after="0"/>
        <w:jc w:val="left"/>
        <w:rPr/>
      </w:pPr>
      <w:r>
        <w:rPr/>
        <w:t>“</w:t>
      </w:r>
      <w:r>
        <w:rPr>
          <w:rFonts w:ascii="Times New Roman" w:hAnsi="Times New Roman"/>
          <w:sz w:val="20"/>
          <w:u w:val="single"/>
        </w:rPr>
        <w:t>Canadian Overadvance</w:t>
      </w:r>
      <w:r>
        <w:rPr>
          <w:rFonts w:ascii="Times New Roman" w:hAnsi="Times New Roman"/>
          <w:sz w:val="20"/>
        </w:rPr>
        <w:t xml:space="preserve">” has the meaning assigned to such term in Section 2.05(d). </w:t>
      </w:r>
    </w:p>
    <w:p>
      <w:pPr>
        <w:pStyle w:val="TextBody"/>
        <w:bidi w:val="0"/>
        <w:spacing w:before="240" w:after="0"/>
        <w:jc w:val="left"/>
        <w:rPr/>
      </w:pPr>
      <w:r>
        <w:rPr/>
        <w:t>“</w:t>
      </w:r>
      <w:r>
        <w:rPr>
          <w:rFonts w:ascii="Times New Roman" w:hAnsi="Times New Roman"/>
          <w:sz w:val="20"/>
          <w:u w:val="single"/>
        </w:rPr>
        <w:t>Canadian Overnight Rate</w:t>
      </w:r>
      <w:r>
        <w:rPr>
          <w:rFonts w:ascii="Times New Roman" w:hAnsi="Times New Roman"/>
          <w:sz w:val="20"/>
        </w:rPr>
        <w:t xml:space="preserve">” means the overnight interest rate per annum charged by the Bank of Canada to Canadian chartered banks. </w:t>
      </w:r>
    </w:p>
    <w:p>
      <w:pPr>
        <w:pStyle w:val="TextBody"/>
        <w:bidi w:val="0"/>
        <w:spacing w:before="240" w:after="0"/>
        <w:jc w:val="left"/>
        <w:rPr/>
      </w:pPr>
      <w:r>
        <w:rPr/>
        <w:t>“</w:t>
      </w:r>
      <w:r>
        <w:rPr>
          <w:rFonts w:ascii="Times New Roman" w:hAnsi="Times New Roman"/>
          <w:sz w:val="20"/>
          <w:u w:val="single"/>
        </w:rPr>
        <w:t>Canadian Pension Plans</w:t>
      </w:r>
      <w:r>
        <w:rPr>
          <w:rFonts w:ascii="Times New Roman" w:hAnsi="Times New Roman"/>
          <w:sz w:val="20"/>
        </w:rPr>
        <w:t xml:space="preserve">” means each pension plan required to be registered under Canadian federal or provincial law that is maintained or contributed to by a Loan Party or any Subsidiary of any Loan Party for its Canadian employees or former Canadian employees, but does not include a Canadian Union Plan, the Canada Pension Plan or the Quebec Pension Plan as maintained by the Government of Canada or the Province of Quebec,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Canadian Prime Rate</w:t>
      </w:r>
      <w:r>
        <w:rPr>
          <w:rFonts w:ascii="Times New Roman" w:hAnsi="Times New Roman"/>
          <w:sz w:val="20"/>
        </w:rPr>
        <w:t xml:space="preserve">” means the per annum rate of interest established as the “prime rate” of Royal Bank of Canada which it quotes or establishes for such day as its reference rate of interest in order to determine interest rates for commercial loans made by it in Canadian Dollars in Canada. For the avoidance of doubt, if the Canadian Prime Rate as determined pursuant to the foregoing would be less than 1.00%, such rate shall be deemed to be 1.00% for purposes of this Agreement. </w:t>
      </w:r>
    </w:p>
    <w:p>
      <w:pPr>
        <w:pStyle w:val="TextBody"/>
        <w:bidi w:val="0"/>
        <w:spacing w:before="240" w:after="0"/>
        <w:jc w:val="left"/>
        <w:rPr/>
      </w:pPr>
      <w:r>
        <w:rPr/>
        <w:t>“</w:t>
      </w:r>
      <w:r>
        <w:rPr>
          <w:rFonts w:ascii="Times New Roman" w:hAnsi="Times New Roman"/>
          <w:sz w:val="20"/>
          <w:u w:val="single"/>
        </w:rPr>
        <w:t>Canadian Prime Rate Loan</w:t>
      </w:r>
      <w:r>
        <w:rPr>
          <w:rFonts w:ascii="Times New Roman" w:hAnsi="Times New Roman"/>
          <w:sz w:val="20"/>
        </w:rPr>
        <w:t xml:space="preserve">” means a Loan denominated in Canadian Dollars the rate of interest applicable to which is based on the Canadian Prime Rate. </w:t>
      </w:r>
    </w:p>
    <w:p>
      <w:pPr>
        <w:pStyle w:val="TextBody"/>
        <w:bidi w:val="0"/>
        <w:spacing w:before="240" w:after="0"/>
        <w:jc w:val="left"/>
        <w:rPr/>
      </w:pPr>
      <w:r>
        <w:rPr/>
        <w:t>“</w:t>
      </w:r>
      <w:r>
        <w:rPr>
          <w:rFonts w:ascii="Times New Roman" w:hAnsi="Times New Roman"/>
          <w:sz w:val="20"/>
          <w:u w:val="single"/>
        </w:rPr>
        <w:t>Canadian Protective Advance</w:t>
      </w:r>
      <w:r>
        <w:rPr>
          <w:rFonts w:ascii="Times New Roman" w:hAnsi="Times New Roman"/>
          <w:sz w:val="20"/>
        </w:rPr>
        <w:t xml:space="preserve">” has the meaning assigned to such term in Section 2.04(a). </w:t>
      </w:r>
    </w:p>
    <w:p>
      <w:pPr>
        <w:pStyle w:val="TextBody"/>
        <w:bidi w:val="0"/>
        <w:spacing w:before="240" w:after="0"/>
        <w:jc w:val="left"/>
        <w:rPr/>
      </w:pPr>
      <w:r>
        <w:rPr/>
        <w:t>“</w:t>
      </w:r>
      <w:r>
        <w:rPr>
          <w:rFonts w:ascii="Times New Roman" w:hAnsi="Times New Roman"/>
          <w:sz w:val="20"/>
          <w:u w:val="single"/>
        </w:rPr>
        <w:t>Canadian Revolving Exposure</w:t>
      </w:r>
      <w:r>
        <w:rPr>
          <w:rFonts w:ascii="Times New Roman" w:hAnsi="Times New Roman"/>
          <w:sz w:val="20"/>
        </w:rPr>
        <w:t xml:space="preserve">” means, with respect to any Canadian Lender at any time, the sum of (a) the outstanding principal amount of Canadian Revolving Loans of such Canadian Lender at such time, </w:t>
      </w:r>
      <w:r>
        <w:rPr>
          <w:rFonts w:ascii="Times New Roman" w:hAnsi="Times New Roman"/>
          <w:sz w:val="20"/>
          <w:u w:val="single"/>
        </w:rPr>
        <w:t>plus</w:t>
      </w:r>
      <w:r>
        <w:rPr>
          <w:rFonts w:ascii="Times New Roman" w:hAnsi="Times New Roman"/>
          <w:sz w:val="20"/>
        </w:rPr>
        <w:t xml:space="preserve"> (b) an amount equal to such Canadian Lender’s Applicable Percentage of the aggregate principal amount of the Canadian Swingline Loans outstanding at such time, </w:t>
      </w:r>
      <w:r>
        <w:rPr>
          <w:rFonts w:ascii="Times New Roman" w:hAnsi="Times New Roman"/>
          <w:sz w:val="20"/>
          <w:u w:val="single"/>
        </w:rPr>
        <w:t>plus</w:t>
      </w:r>
      <w:r>
        <w:rPr>
          <w:rFonts w:ascii="Times New Roman" w:hAnsi="Times New Roman"/>
          <w:sz w:val="20"/>
        </w:rPr>
        <w:t xml:space="preserve"> (c) an amount equal to </w:t>
      </w:r>
      <w:r>
        <w:rPr>
          <w:rFonts w:ascii="Times New Roman" w:hAnsi="Times New Roman"/>
          <w:strike/>
          <w:color w:val="FF0000"/>
          <w:sz w:val="20"/>
        </w:rPr>
        <w:t>the</w:t>
      </w:r>
      <w:r>
        <w:rPr>
          <w:rFonts w:ascii="Times New Roman" w:hAnsi="Times New Roman"/>
          <w:sz w:val="20"/>
        </w:rPr>
        <w:t xml:space="preserve"> such Canadian Lender’s Applicable Percentage of the aggregate Canadian LC Exposure outstanding at such time, </w:t>
      </w:r>
      <w:r>
        <w:rPr>
          <w:rFonts w:ascii="Times New Roman" w:hAnsi="Times New Roman"/>
          <w:sz w:val="20"/>
          <w:u w:val="single"/>
        </w:rPr>
        <w:t>plus</w:t>
      </w:r>
      <w:r>
        <w:rPr>
          <w:rFonts w:ascii="Times New Roman" w:hAnsi="Times New Roman"/>
          <w:sz w:val="20"/>
        </w:rPr>
        <w:t xml:space="preserve"> (d) an amount equal to such Canadian Lender’s Applicable Percentage of the aggregate principal amount of the Canadian Overadvances outstanding at such time. </w:t>
      </w:r>
    </w:p>
    <w:p>
      <w:pPr>
        <w:pStyle w:val="TextBody"/>
        <w:bidi w:val="0"/>
        <w:spacing w:before="240" w:after="0"/>
        <w:jc w:val="left"/>
        <w:rPr/>
      </w:pPr>
      <w:r>
        <w:rPr/>
        <w:t>“</w:t>
      </w:r>
      <w:r>
        <w:rPr>
          <w:rFonts w:ascii="Times New Roman" w:hAnsi="Times New Roman"/>
          <w:sz w:val="20"/>
          <w:u w:val="single"/>
        </w:rPr>
        <w:t>Canadian Revolving Loan</w:t>
      </w:r>
      <w:r>
        <w:rPr>
          <w:rFonts w:ascii="Times New Roman" w:hAnsi="Times New Roman"/>
          <w:sz w:val="20"/>
        </w:rPr>
        <w:t xml:space="preserve">” means a Revolving Loan made to the Canadian Borrowers. </w:t>
      </w:r>
    </w:p>
    <w:p>
      <w:pPr>
        <w:pStyle w:val="TextBody"/>
        <w:bidi w:val="0"/>
        <w:spacing w:before="240" w:after="0"/>
        <w:jc w:val="left"/>
        <w:rPr/>
      </w:pPr>
      <w:r>
        <w:rPr/>
        <w:t>“</w:t>
      </w:r>
      <w:r>
        <w:rPr>
          <w:rFonts w:ascii="Times New Roman" w:hAnsi="Times New Roman"/>
          <w:sz w:val="20"/>
          <w:u w:val="single"/>
        </w:rPr>
        <w:t>Canadian Secured Obligations</w:t>
      </w:r>
      <w:r>
        <w:rPr>
          <w:rFonts w:ascii="Times New Roman" w:hAnsi="Times New Roman"/>
          <w:sz w:val="20"/>
        </w:rPr>
        <w:t xml:space="preserve">” means all Canadian Obligations, together with all (a) Banking Services Obligations of the Canadian Loan Parties; and (b) Swap Agreement Obligations of the Canadian Loan Parties and their Subsidiaries owing to one or more Canadian Lenders or their respective Affiliates; </w:t>
      </w:r>
      <w:r>
        <w:rPr>
          <w:rFonts w:ascii="Times New Roman" w:hAnsi="Times New Roman"/>
          <w:sz w:val="20"/>
          <w:u w:val="single"/>
        </w:rPr>
        <w:t>provided</w:t>
      </w:r>
      <w:r>
        <w:rPr>
          <w:rFonts w:ascii="Times New Roman" w:hAnsi="Times New Roman"/>
          <w:sz w:val="20"/>
        </w:rPr>
        <w:t xml:space="preserve"> that promptly after any transaction relating to such Swap Obligation is executed, the Canadian Lender or Affiliate of a Canadian Lender party thereto (other than Barclays or its Affiliates) shall have delivered written notice to the Administrative Agent that such a transaction has been entered into and that it constitutes a Canadian Secured Obligation entitled to the benefits of the Collateral Documents in favor of the Canadian Lender Parties. </w:t>
      </w:r>
    </w:p>
    <w:p>
      <w:pPr>
        <w:pStyle w:val="TextBody"/>
        <w:bidi w:val="0"/>
        <w:spacing w:before="240" w:after="0"/>
        <w:jc w:val="left"/>
        <w:rPr/>
      </w:pPr>
      <w:r>
        <w:rPr/>
        <w:t>“</w:t>
      </w:r>
      <w:r>
        <w:rPr>
          <w:rFonts w:ascii="Times New Roman" w:hAnsi="Times New Roman"/>
          <w:sz w:val="20"/>
          <w:u w:val="single"/>
        </w:rPr>
        <w:t>Canadian Security Agreement</w:t>
      </w:r>
      <w:r>
        <w:rPr>
          <w:rFonts w:ascii="Times New Roman" w:hAnsi="Times New Roman"/>
          <w:sz w:val="20"/>
        </w:rPr>
        <w:t>” means, individually and collectively as the context may require, (a) the Fourth Amended and Restated Canadian Pledge and Security Agreement, dated as of the Fourth Restatement Date, of the Canadian Borrowers</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 xml:space="preserve">and </w:t>
      </w:r>
      <w:r>
        <w:rPr>
          <w:rFonts w:ascii="Times New Roman" w:hAnsi="Times New Roman"/>
          <w:sz w:val="20"/>
        </w:rPr>
        <w:t xml:space="preserve">the Canadian Loan Guarantors </w:t>
      </w:r>
      <w:r>
        <w:rPr>
          <w:rFonts w:ascii="Times New Roman" w:hAnsi="Times New Roman"/>
          <w:strike/>
          <w:color w:val="FF0000"/>
          <w:sz w:val="20"/>
        </w:rPr>
        <w:t>and Anixter Mid Holdings B.V. (solely in the case of Anixter Mid Holdings B.V., with respect to the pledge of the Equity Interests of Anixter Canada Inc.)</w:t>
      </w:r>
      <w:r>
        <w:rPr>
          <w:rFonts w:ascii="Times New Roman" w:hAnsi="Times New Roman"/>
          <w:sz w:val="20"/>
        </w:rPr>
        <w:t xml:space="preserve">, in favor of the Administrative Agent (for the benefit of the Canadian Lender Parties) in substantially the form of </w:t>
      </w:r>
      <w:r>
        <w:rPr>
          <w:rFonts w:ascii="Times New Roman" w:hAnsi="Times New Roman"/>
          <w:sz w:val="20"/>
          <w:u w:val="single"/>
        </w:rPr>
        <w:t>Exhibit G-1</w:t>
      </w:r>
      <w:r>
        <w:rPr>
          <w:rFonts w:ascii="Times New Roman" w:hAnsi="Times New Roman"/>
          <w:sz w:val="20"/>
        </w:rPr>
        <w:t xml:space="preserve"> attached hereto, which Fourth Amended and Restated Canadian Pledge and Security Agreement amends and restates in its entirety the Third Amended and Restated Canadian Pledge and Security Agreement dated as of the Third Restatement Date among the Existing Canadian Administrative Agent and the Canadian Loan Parties party thereto, (b) the Fourth Amended and Restated Canadian Cross-Border Pledge and Security Agreement, dated as of the Fourth Restatement Date, of the Canadian Cross-Border Loan Guarantors in favor of the Administrative Agent (for the benefit of the Lender Parties) in substantially the form of </w:t>
      </w:r>
      <w:r>
        <w:rPr>
          <w:rFonts w:ascii="Times New Roman" w:hAnsi="Times New Roman"/>
          <w:sz w:val="20"/>
          <w:u w:val="single"/>
        </w:rPr>
        <w:t>Exhibit G-2</w:t>
      </w:r>
      <w:r>
        <w:rPr>
          <w:rFonts w:ascii="Times New Roman" w:hAnsi="Times New Roman"/>
          <w:sz w:val="20"/>
        </w:rPr>
        <w:t xml:space="preserve"> attached hereto, which Fourth Amended and Restated Canadian Cross-Border Pledge and Security Agreement amends and restates in its entirety the Third Amended and Restated Canadian Cross-Border Pledge and Security Agreement dated as of the Third Restatement Date among the Existing Canadian Administrative Agent and the Canadian Cross-Border Loan Guarantors party thereto and (c) any other pledge, security agreement or hypothec entered into, after the Fourth Restatement Date, by any Canadian Loan Party pursuant to the terms of this Agreement or any other Loan Document, including Section 5.13, as the same may be amended, restated or otherwise modified from time to time. </w:t>
      </w:r>
    </w:p>
    <w:p>
      <w:pPr>
        <w:pStyle w:val="TextBody"/>
        <w:bidi w:val="0"/>
        <w:spacing w:before="240" w:after="0"/>
        <w:jc w:val="left"/>
        <w:rPr/>
      </w:pPr>
      <w:r>
        <w:rPr/>
        <w:t>“</w:t>
      </w:r>
      <w:r>
        <w:rPr>
          <w:rFonts w:ascii="Times New Roman" w:hAnsi="Times New Roman"/>
          <w:sz w:val="20"/>
          <w:u w:val="single"/>
        </w:rPr>
        <w:t>Canadian Sublimit</w:t>
      </w:r>
      <w:r>
        <w:rPr>
          <w:rFonts w:ascii="Times New Roman" w:hAnsi="Times New Roman"/>
          <w:sz w:val="20"/>
        </w:rPr>
        <w:t xml:space="preserve">” means $625,000,000, as such amount may be decreased pursuant to Section 2.09(c) or increased pursuant to Section 2.09(g). </w:t>
      </w:r>
    </w:p>
    <w:p>
      <w:pPr>
        <w:pStyle w:val="TextBody"/>
        <w:bidi w:val="0"/>
        <w:spacing w:before="240" w:after="0"/>
        <w:jc w:val="left"/>
        <w:rPr/>
      </w:pPr>
      <w:r>
        <w:rPr/>
        <w:t>“</w:t>
      </w:r>
      <w:r>
        <w:rPr>
          <w:rFonts w:ascii="Times New Roman" w:hAnsi="Times New Roman"/>
          <w:sz w:val="20"/>
          <w:u w:val="single"/>
        </w:rPr>
        <w:t>Canadian Subsidiary</w:t>
      </w:r>
      <w:r>
        <w:rPr>
          <w:rFonts w:ascii="Times New Roman" w:hAnsi="Times New Roman"/>
          <w:sz w:val="20"/>
        </w:rPr>
        <w:t xml:space="preserve">” means any Subsidiary of Holdings organized under the laws of Canada or one of the provinces of Canada.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Canadian Swingline Loan</w:t>
      </w:r>
      <w:r>
        <w:rPr>
          <w:rFonts w:ascii="Times New Roman" w:hAnsi="Times New Roman"/>
          <w:sz w:val="20"/>
        </w:rPr>
        <w:t xml:space="preserve">” means a Loan made by the Swingline Lender pursuant to Section 2.05(b). </w:t>
      </w:r>
    </w:p>
    <w:p>
      <w:pPr>
        <w:pStyle w:val="TextBody"/>
        <w:bidi w:val="0"/>
        <w:spacing w:before="240" w:after="0"/>
        <w:jc w:val="left"/>
        <w:rPr/>
      </w:pPr>
      <w:r>
        <w:rPr/>
        <w:t>“</w:t>
      </w:r>
      <w:r>
        <w:rPr>
          <w:rFonts w:ascii="Times New Roman" w:hAnsi="Times New Roman"/>
          <w:sz w:val="20"/>
          <w:u w:val="single"/>
        </w:rPr>
        <w:t>Canadian Union Plan</w:t>
      </w:r>
      <w:r>
        <w:rPr>
          <w:rFonts w:ascii="Times New Roman" w:hAnsi="Times New Roman"/>
          <w:sz w:val="20"/>
        </w:rPr>
        <w:t xml:space="preserve">” means any registered pension plan for the benefit of Canadian employees or former Canadian employees of a Loan Party or any of its Subsidiaries that is not maintained, sponsored or administered by a Loan Party or any of its Subsidiaries, but to which a Loan Party or any of its Subsidiaries is required to contribute pursuant to a collective agreement. </w:t>
      </w:r>
    </w:p>
    <w:p>
      <w:pPr>
        <w:pStyle w:val="TextBody"/>
        <w:bidi w:val="0"/>
        <w:spacing w:before="240" w:after="0"/>
        <w:jc w:val="left"/>
        <w:rPr/>
      </w:pPr>
      <w:r>
        <w:rPr/>
        <w:t>“</w:t>
      </w:r>
      <w:r>
        <w:rPr>
          <w:rFonts w:ascii="Times New Roman" w:hAnsi="Times New Roman"/>
          <w:sz w:val="20"/>
          <w:u w:val="single"/>
        </w:rPr>
        <w:t>Canadian U.S. Borrowing Base Utilization</w:t>
      </w:r>
      <w:r>
        <w:rPr>
          <w:rFonts w:ascii="Times New Roman" w:hAnsi="Times New Roman"/>
          <w:sz w:val="20"/>
        </w:rPr>
        <w:t xml:space="preserve">” means, as of any date of determination, the result (so long as it is a positive number) of (a) the total Canadian Revolving Exposure of the Canadian Lenders as of such date, </w:t>
      </w:r>
      <w:r>
        <w:rPr>
          <w:rFonts w:ascii="Times New Roman" w:hAnsi="Times New Roman"/>
          <w:sz w:val="20"/>
          <w:u w:val="single"/>
        </w:rPr>
        <w:t>minus</w:t>
      </w:r>
      <w:r>
        <w:rPr>
          <w:rFonts w:ascii="Times New Roman" w:hAnsi="Times New Roman"/>
          <w:sz w:val="20"/>
        </w:rPr>
        <w:t xml:space="preserve"> (b) the Canadian Borrowing Base as of such date; if the result of the foregoing is a negative number, then the Canadian U.S. Borrowing Base Utilization is zero. </w:t>
      </w:r>
    </w:p>
    <w:p>
      <w:pPr>
        <w:pStyle w:val="TextBody"/>
        <w:bidi w:val="0"/>
        <w:spacing w:before="240" w:after="0"/>
        <w:jc w:val="left"/>
        <w:rPr/>
      </w:pPr>
      <w:r>
        <w:rPr/>
        <w:t>“</w:t>
      </w:r>
      <w:r>
        <w:rPr>
          <w:rFonts w:ascii="Times New Roman" w:hAnsi="Times New Roman"/>
          <w:sz w:val="20"/>
          <w:u w:val="single"/>
        </w:rPr>
        <w:t>Capital Expenditures</w:t>
      </w:r>
      <w:r>
        <w:rPr>
          <w:rFonts w:ascii="Times New Roman" w:hAnsi="Times New Roman"/>
          <w:sz w:val="20"/>
        </w:rPr>
        <w:t xml:space="preserve">” means, without duplication, any expenditure for any purchase or other acquisition of any asset which would be classified as a fixed or capital asset on a consolidated balance sheet of Holdings and its Restricted Subsidiaries prepared in accordance with GAAP, but excluding in each case, any expenditure constituting the consideration paid (and transaction expenses incurred) in connection with any Permitted Acquisition. </w:t>
      </w:r>
    </w:p>
    <w:p>
      <w:pPr>
        <w:pStyle w:val="TextBody"/>
        <w:bidi w:val="0"/>
        <w:spacing w:before="240" w:after="0"/>
        <w:jc w:val="left"/>
        <w:rPr/>
      </w:pPr>
      <w:r>
        <w:rPr/>
        <w:t>“</w:t>
      </w:r>
      <w:r>
        <w:rPr>
          <w:rFonts w:ascii="Times New Roman" w:hAnsi="Times New Roman"/>
          <w:sz w:val="20"/>
          <w:u w:val="single"/>
        </w:rPr>
        <w:t>Capital Lease Obligations</w:t>
      </w:r>
      <w:r>
        <w:rPr>
          <w:rFonts w:ascii="Times New Roman" w:hAnsi="Times New Roman"/>
          <w:sz w:val="20"/>
        </w:rPr>
        <w:t xml:space="preserve">” of any Person means, subject to Section 1.04(b),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p>
    <w:p>
      <w:pPr>
        <w:pStyle w:val="TextBody"/>
        <w:bidi w:val="0"/>
        <w:spacing w:before="240" w:after="0"/>
        <w:jc w:val="left"/>
        <w:rPr/>
      </w:pPr>
      <w:r>
        <w:rPr/>
        <w:t>“</w:t>
      </w:r>
      <w:r>
        <w:rPr>
          <w:rFonts w:ascii="Times New Roman" w:hAnsi="Times New Roman"/>
          <w:sz w:val="20"/>
          <w:u w:val="single"/>
        </w:rPr>
        <w:t>Cash Dominion Period</w:t>
      </w:r>
      <w:r>
        <w:rPr>
          <w:rFonts w:ascii="Times New Roman" w:hAnsi="Times New Roman"/>
          <w:sz w:val="20"/>
        </w:rPr>
        <w:t xml:space="preserve">” means the period (a) commencing on the day that either (i) a Specified Event of Default shall occur or (ii) Aggregate Availability shall fall below the Aggregate Availability Trigger Amount and (b) continuing until the date on which </w:t>
      </w:r>
      <w:r>
        <w:rPr>
          <w:rFonts w:ascii="Times New Roman" w:hAnsi="Times New Roman"/>
          <w:strike/>
          <w:color w:val="FF0000"/>
          <w:sz w:val="20"/>
        </w:rPr>
        <w:t>the Borrower Representative requests that the Cash Dominion Period cease, provided that the Borrower Representative may only request a cessation of a Cash Dominion Period if at all times during the thirty (30) consecutive days prior to such request,</w:t>
      </w:r>
      <w:r>
        <w:rPr>
          <w:rFonts w:ascii="Times New Roman" w:hAnsi="Times New Roman"/>
          <w:sz w:val="20"/>
        </w:rPr>
        <w:t xml:space="preserve"> no Specified Event of Default has existed and </w:t>
      </w:r>
      <w:r>
        <w:rPr>
          <w:rFonts w:ascii="Times New Roman" w:hAnsi="Times New Roman"/>
          <w:color w:val="0000FF"/>
          <w:sz w:val="20"/>
          <w:u w:val="single"/>
          <w:bdr w:val="double" w:sz="2" w:space="1" w:color="000000"/>
        </w:rPr>
        <w:t xml:space="preserve">the </w:t>
      </w:r>
      <w:r>
        <w:rPr>
          <w:rFonts w:ascii="Times New Roman" w:hAnsi="Times New Roman"/>
          <w:sz w:val="20"/>
        </w:rPr>
        <w:t xml:space="preserve">Aggregate Availability has exceeded the Aggregate Availability Trigger Amount </w:t>
      </w:r>
      <w:r>
        <w:rPr>
          <w:rFonts w:ascii="Times New Roman" w:hAnsi="Times New Roman"/>
          <w:color w:val="0000FF"/>
          <w:sz w:val="20"/>
          <w:u w:val="single"/>
          <w:bdr w:val="double" w:sz="2" w:space="1" w:color="000000"/>
        </w:rPr>
        <w:t>for thirty consecutive days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Certain Funds Provisions</w:t>
      </w:r>
      <w:r>
        <w:rPr>
          <w:rFonts w:ascii="Times New Roman" w:hAnsi="Times New Roman"/>
          <w:sz w:val="20"/>
        </w:rPr>
        <w:t xml:space="preserve">” has the meaning assigned to such term in Section 4.01. </w:t>
      </w:r>
    </w:p>
    <w:p>
      <w:pPr>
        <w:pStyle w:val="TextBody"/>
        <w:bidi w:val="0"/>
        <w:spacing w:before="240" w:after="0"/>
        <w:jc w:val="left"/>
        <w:rPr/>
      </w:pPr>
      <w:r>
        <w:rPr/>
        <w:t>“</w:t>
      </w:r>
      <w:r>
        <w:rPr>
          <w:rFonts w:ascii="Times New Roman" w:hAnsi="Times New Roman"/>
          <w:sz w:val="20"/>
          <w:u w:val="single"/>
        </w:rPr>
        <w:t>CFC Subsidiary</w:t>
      </w:r>
      <w:r>
        <w:rPr>
          <w:rFonts w:ascii="Times New Roman" w:hAnsi="Times New Roman"/>
          <w:sz w:val="20"/>
        </w:rPr>
        <w:t xml:space="preserve">” shall mean any Subsidiary that constitutes a controlled foreign corporation within the meaning of Section 957 of the Code. </w:t>
      </w:r>
    </w:p>
    <w:p>
      <w:pPr>
        <w:pStyle w:val="TextBody"/>
        <w:bidi w:val="0"/>
        <w:spacing w:before="240" w:after="0"/>
        <w:jc w:val="left"/>
        <w:rPr/>
      </w:pPr>
      <w:r>
        <w:rPr/>
        <w:t>“</w:t>
      </w:r>
      <w:r>
        <w:rPr>
          <w:rFonts w:ascii="Times New Roman" w:hAnsi="Times New Roman"/>
          <w:sz w:val="20"/>
          <w:u w:val="single"/>
        </w:rPr>
        <w:t>CFC Subsidiary Holding Company</w:t>
      </w:r>
      <w:r>
        <w:rPr>
          <w:rFonts w:ascii="Times New Roman" w:hAnsi="Times New Roman"/>
          <w:sz w:val="20"/>
        </w:rPr>
        <w:t xml:space="preserve">” shall mean any Subsidiary (a) that is engaged in no material business activities other than the holding of Equity Interests and other investments in one or more CFC Subsidiaries or other CFC Subsidiary Holding Companies or (b) that owns Equity Interests or other investments in one or more CFC Subsidiaries or other CFC Subsidiary Holding Companies and is disregarded for U.S. federal income tax purposes. </w:t>
      </w:r>
    </w:p>
    <w:p>
      <w:pPr>
        <w:pStyle w:val="TextBody"/>
        <w:bidi w:val="0"/>
        <w:spacing w:before="240" w:after="0"/>
        <w:jc w:val="left"/>
        <w:rPr/>
      </w:pPr>
      <w:r>
        <w:rPr/>
        <w:t>“</w:t>
      </w:r>
      <w:r>
        <w:rPr>
          <w:rFonts w:ascii="Times New Roman" w:hAnsi="Times New Roman"/>
          <w:sz w:val="20"/>
          <w:u w:val="single"/>
        </w:rPr>
        <w:t>Change in Control</w:t>
      </w:r>
      <w:r>
        <w:rPr>
          <w:rFonts w:ascii="Times New Roman" w:hAnsi="Times New Roman"/>
          <w:sz w:val="20"/>
        </w:rPr>
        <w:t xml:space="preserve">” means (a) the acquisition (whether by stock purchase, merger, amalgamation, consolidation or other transaction) of ownership, directly or indirectly, beneficially or of record, by any Person or group (within the meaning of the Securities Exchange Act of 1934 and the rules of the Securities and Exchange Commission thereunder as in effect on the Fourth Restatement Date), of Equity Interests representing more than 35% of the aggregate ordinary voting power represented by the issued and outstanding Equity Interests of Holdings; (b) other than pursuant to a transaction permitted under Section 6.05, cessation of ownership (directly or indirectly) by Holdings of 100% of the outstanding voting Equity Interests of the other Loan Parties on a fully diluted basis; and (c) the occurrence of any “change of control” or similar event under and as defined in any Permitted Term Loan Agreement.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w:t>
      </w:r>
      <w:r>
        <w:rPr>
          <w:rFonts w:ascii="Times New Roman" w:hAnsi="Times New Roman"/>
          <w:strike/>
          <w:color w:val="FF0000"/>
          <w:sz w:val="20"/>
        </w:rPr>
        <w:t>Fourth Restatement</w:t>
      </w:r>
      <w:r>
        <w:rPr>
          <w:rFonts w:ascii="Times New Roman" w:hAnsi="Times New Roman"/>
          <w:color w:val="0000FF"/>
          <w:sz w:val="20"/>
          <w:u w:val="single"/>
          <w:bdr w:val="double" w:sz="2" w:space="1" w:color="000000"/>
        </w:rPr>
        <w:t>Ninth Amendment Effective</w:t>
      </w:r>
      <w:r>
        <w:rPr>
          <w:rFonts w:ascii="Times New Roman" w:hAnsi="Times New Roman"/>
          <w:sz w:val="20"/>
        </w:rPr>
        <w:t xml:space="preserve"> Date, of any of the following: (a) the adoption of any law, rule, regulation or treaty (including any rules or regulations issued under or implementing any existing law) after the </w:t>
      </w:r>
      <w:r>
        <w:rPr>
          <w:rFonts w:ascii="Times New Roman" w:hAnsi="Times New Roman"/>
          <w:strike/>
          <w:color w:val="FF0000"/>
          <w:sz w:val="20"/>
        </w:rPr>
        <w:t>Fourth Restatement</w:t>
      </w:r>
      <w:r>
        <w:rPr>
          <w:rFonts w:ascii="Times New Roman" w:hAnsi="Times New Roman"/>
          <w:color w:val="0000FF"/>
          <w:sz w:val="20"/>
          <w:u w:val="single"/>
          <w:bdr w:val="double" w:sz="2" w:space="1" w:color="000000"/>
        </w:rPr>
        <w:t>Ninth Amendment Effective</w:t>
      </w:r>
      <w:r>
        <w:rPr>
          <w:rFonts w:ascii="Times New Roman" w:hAnsi="Times New Roman"/>
          <w:sz w:val="20"/>
        </w:rPr>
        <w:t xml:space="preserve"> Date, (b) any change in any law, rule, regulation or treaty or in the interpretation or application thereof by any Governmental Authority after the </w:t>
      </w:r>
      <w:r>
        <w:rPr>
          <w:rFonts w:ascii="Times New Roman" w:hAnsi="Times New Roman"/>
          <w:strike/>
          <w:color w:val="FF0000"/>
          <w:sz w:val="20"/>
        </w:rPr>
        <w:t>Fourth Restatement</w:t>
      </w:r>
      <w:r>
        <w:rPr>
          <w:rFonts w:ascii="Times New Roman" w:hAnsi="Times New Roman"/>
          <w:color w:val="0000FF"/>
          <w:sz w:val="20"/>
          <w:u w:val="single"/>
          <w:bdr w:val="double" w:sz="2" w:space="1" w:color="000000"/>
        </w:rPr>
        <w:t>Ninth Amendment Effective</w:t>
      </w:r>
      <w:r>
        <w:rPr>
          <w:rFonts w:ascii="Times New Roman" w:hAnsi="Times New Roman"/>
          <w:sz w:val="20"/>
        </w:rPr>
        <w:t xml:space="preserve"> Date or (c) compliance by any Lender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w:t>
      </w:r>
      <w:r>
        <w:rPr>
          <w:rFonts w:ascii="Times New Roman" w:hAnsi="Times New Roman"/>
          <w:strike/>
          <w:color w:val="FF0000"/>
          <w:sz w:val="20"/>
        </w:rPr>
        <w:t>Fourth Restatement</w:t>
      </w:r>
      <w:r>
        <w:rPr>
          <w:rFonts w:ascii="Times New Roman" w:hAnsi="Times New Roman"/>
          <w:color w:val="0000FF"/>
          <w:sz w:val="20"/>
          <w:u w:val="single"/>
          <w:bdr w:val="double" w:sz="2" w:space="1" w:color="000000"/>
        </w:rPr>
        <w:t>Ninth Amendment Effective</w:t>
      </w:r>
      <w:r>
        <w:rPr>
          <w:rFonts w:ascii="Times New Roman" w:hAnsi="Times New Roman"/>
          <w:sz w:val="20"/>
        </w:rPr>
        <w:t xml:space="preserve"> Date; </w:t>
      </w:r>
      <w:r>
        <w:rPr>
          <w:rFonts w:ascii="Times New Roman" w:hAnsi="Times New Roman"/>
          <w:sz w:val="20"/>
          <w:u w:val="single"/>
        </w:rPr>
        <w:t>provided</w:t>
      </w:r>
      <w:r>
        <w:rPr>
          <w:rFonts w:ascii="Times New Roman" w:hAnsi="Times New Roman"/>
          <w:sz w:val="20"/>
        </w:rPr>
        <w:t xml:space="preserve">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w:t>
      </w:r>
    </w:p>
    <w:p>
      <w:pPr>
        <w:pStyle w:val="TextBody"/>
        <w:bidi w:val="0"/>
        <w:spacing w:before="240" w:after="0"/>
        <w:jc w:val="left"/>
        <w:rPr/>
      </w:pPr>
      <w:r>
        <w:rPr/>
        <w:t>“</w:t>
      </w:r>
      <w:r>
        <w:rPr>
          <w:rFonts w:ascii="Times New Roman" w:hAnsi="Times New Roman"/>
          <w:sz w:val="20"/>
          <w:u w:val="single"/>
        </w:rPr>
        <w:t>Class</w:t>
      </w:r>
      <w:r>
        <w:rPr>
          <w:rFonts w:ascii="Times New Roman" w:hAnsi="Times New Roman"/>
          <w:sz w:val="20"/>
        </w:rPr>
        <w:t xml:space="preserve">,” when used in reference to any Loan or Borrowing, refers to whether such Loan, or the Loans comprising such Borrowing, are Revolving Loans, Swingline Loans, Protective Advances or Overadvances. </w:t>
      </w:r>
    </w:p>
    <w:p>
      <w:pPr>
        <w:pStyle w:val="TextBody"/>
        <w:bidi w:val="0"/>
        <w:spacing w:before="240" w:after="0"/>
        <w:jc w:val="left"/>
        <w:rPr/>
      </w:pPr>
      <w:r>
        <w:rPr>
          <w:strike/>
          <w:color w:val="FF0000"/>
        </w:rPr>
        <w:t>“</w:t>
      </w:r>
      <w:r>
        <w:rPr>
          <w:rFonts w:ascii="Times New Roman" w:hAnsi="Times New Roman"/>
          <w:strike/>
          <w:color w:val="FF0000"/>
          <w:sz w:val="20"/>
          <w:u w:val="single"/>
        </w:rPr>
        <w:t>Clean-Up Period</w:t>
      </w:r>
      <w:r>
        <w:rPr>
          <w:rFonts w:ascii="Times New Roman" w:hAnsi="Times New Roman"/>
          <w:strike/>
          <w:color w:val="FF0000"/>
          <w:sz w:val="20"/>
        </w:rPr>
        <w:t>” means the period from the Fourth Restatement Date until the date that is 90 days after the Fourth Restatement Date.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from time to time.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means any and all personal / movable property owned, leased or operated by a Person expressly described as Collateral in the Collateral Documents and any and all other personal / movable property of any Loan Party, now existing or hereafter acquired, that becomes subject, under the terms of the Collateral Documents, to a security interest, hypothec or Lien in favor of the Administrative Agent, on behalf of the Lender Parties (to secure the Secured Obligations) and the Canadian Lender Parties (to secure the Canadian Secured Obligations), as the case may be. For clarification, Collateral does not include (a) interests in real property, Accounts sold under Receivables Securitization Agreements (including any Related Assets (as defined therein)) or Equity Interests in Excluded Subsidiaries or Unrestricted Subsidiaries, (b) any Excluded Collateral, Excluded Debt Security or Excluded Equity Interests (each, as defined in the U.S. Security Agreement), or (c) with respect to any U.S. Secured Obligation, (i) the assets of any CFC Subsidiary or (ii) more than 65% of the issued and outstanding Equity Interests of any CFC Subsidiary or CFC Subsidiary Holding Company entitled to vote (within the meaning of United States Treasury Regulations Section 1.956-2(c)(2)). </w:t>
      </w:r>
    </w:p>
    <w:p>
      <w:pPr>
        <w:pStyle w:val="TextBody"/>
        <w:bidi w:val="0"/>
        <w:spacing w:before="240" w:after="0"/>
        <w:jc w:val="left"/>
        <w:rPr/>
      </w:pPr>
      <w:r>
        <w:rPr/>
        <w:t>“</w:t>
      </w:r>
      <w:r>
        <w:rPr>
          <w:rFonts w:ascii="Times New Roman" w:hAnsi="Times New Roman"/>
          <w:sz w:val="20"/>
          <w:u w:val="single"/>
        </w:rPr>
        <w:t>Collateral Access Agreement</w:t>
      </w:r>
      <w:r>
        <w:rPr>
          <w:rFonts w:ascii="Times New Roman" w:hAnsi="Times New Roman"/>
          <w:sz w:val="20"/>
        </w:rPr>
        <w:t xml:space="preserve">” has the meaning assigned to such term in the U.S. Security Agreement. </w:t>
      </w:r>
    </w:p>
    <w:p>
      <w:pPr>
        <w:pStyle w:val="TextBody"/>
        <w:bidi w:val="0"/>
        <w:spacing w:before="240" w:after="0"/>
        <w:jc w:val="left"/>
        <w:rPr/>
      </w:pPr>
      <w:r>
        <w:rPr/>
        <w:t>“</w:t>
      </w:r>
      <w:r>
        <w:rPr>
          <w:rFonts w:ascii="Times New Roman" w:hAnsi="Times New Roman"/>
          <w:sz w:val="20"/>
          <w:u w:val="single"/>
        </w:rPr>
        <w:t>Collateral Documents</w:t>
      </w:r>
      <w:r>
        <w:rPr>
          <w:rFonts w:ascii="Times New Roman" w:hAnsi="Times New Roman"/>
          <w:sz w:val="20"/>
        </w:rPr>
        <w:t xml:space="preserve">” means, individually and collectively as the context may require, the Canadian Security Agreement, the Canadian Hypothec, the U.S. Security Agreement, each Collateral Access Agreement, each Control Agreement, each Lock Box Agreement (as defined in the U.S. Security Agreement), if any, each additional security and pledge agreement of a Loan Party entered into pursuant to the terms of this Agreement (including Section 5.13 hereof) or any other Loan Document and each other document granting a Lien upon the Collateral as security for payment of the Secured Obligations. </w:t>
      </w:r>
    </w:p>
    <w:p>
      <w:pPr>
        <w:pStyle w:val="TextBody"/>
        <w:bidi w:val="0"/>
        <w:spacing w:before="240" w:after="0"/>
        <w:jc w:val="left"/>
        <w:rPr/>
      </w:pPr>
      <w:r>
        <w:rPr/>
        <w:t>“</w:t>
      </w:r>
      <w:r>
        <w:rPr>
          <w:rFonts w:ascii="Times New Roman" w:hAnsi="Times New Roman"/>
          <w:sz w:val="20"/>
          <w:u w:val="single"/>
        </w:rPr>
        <w:t>Combined Availability</w:t>
      </w:r>
      <w:r>
        <w:rPr>
          <w:rFonts w:ascii="Times New Roman" w:hAnsi="Times New Roman"/>
          <w:sz w:val="20"/>
        </w:rPr>
        <w:t xml:space="preserve">” means, at any time, the sum of (a) Aggregate Availability and (b) Securitization Availability. </w:t>
      </w:r>
    </w:p>
    <w:p>
      <w:pPr>
        <w:pStyle w:val="TextBody"/>
        <w:bidi w:val="0"/>
        <w:spacing w:before="240" w:after="0"/>
        <w:jc w:val="left"/>
        <w:rPr/>
      </w:pPr>
      <w:r>
        <w:rPr/>
        <w:t>“</w:t>
      </w:r>
      <w:r>
        <w:rPr>
          <w:rFonts w:ascii="Times New Roman" w:hAnsi="Times New Roman"/>
          <w:sz w:val="20"/>
          <w:u w:val="single"/>
        </w:rPr>
        <w:t>Combined Availability Trigger Amount</w:t>
      </w:r>
      <w:r>
        <w:rPr>
          <w:rFonts w:ascii="Times New Roman" w:hAnsi="Times New Roman"/>
          <w:sz w:val="20"/>
        </w:rPr>
        <w:t xml:space="preserve">” means, at any time, the sum of (a) $318,750,000 and (b) 15% of the amount (so long as it is a positive number) by which (i) the Combined Commitments at such time exceed (ii) $2,125,000,000. </w:t>
      </w:r>
    </w:p>
    <w:p>
      <w:pPr>
        <w:pStyle w:val="TextBody"/>
        <w:bidi w:val="0"/>
        <w:spacing w:before="240" w:after="0"/>
        <w:jc w:val="left"/>
        <w:rPr/>
      </w:pPr>
      <w:r>
        <w:rPr/>
        <w:t>“</w:t>
      </w:r>
      <w:r>
        <w:rPr>
          <w:rFonts w:ascii="Times New Roman" w:hAnsi="Times New Roman"/>
          <w:sz w:val="20"/>
          <w:u w:val="single"/>
        </w:rPr>
        <w:t>Combined Commitments</w:t>
      </w:r>
      <w:r>
        <w:rPr>
          <w:rFonts w:ascii="Times New Roman" w:hAnsi="Times New Roman"/>
          <w:sz w:val="20"/>
        </w:rPr>
        <w:t xml:space="preserve">” means, at any time, the sum of (a) the Aggregate Revolving Commitments and (b) the Securitization Purchase Limit. </w:t>
      </w:r>
    </w:p>
    <w:p>
      <w:pPr>
        <w:pStyle w:val="TextBody"/>
        <w:bidi w:val="0"/>
        <w:spacing w:before="240" w:after="0"/>
        <w:jc w:val="left"/>
        <w:rPr/>
      </w:pPr>
      <w:r>
        <w:rPr/>
        <w:t>“</w:t>
      </w:r>
      <w:r>
        <w:rPr>
          <w:rFonts w:ascii="Times New Roman" w:hAnsi="Times New Roman"/>
          <w:sz w:val="20"/>
          <w:u w:val="single"/>
        </w:rPr>
        <w:t>Commercial LC Exposure</w:t>
      </w:r>
      <w:r>
        <w:rPr>
          <w:rFonts w:ascii="Times New Roman" w:hAnsi="Times New Roman"/>
          <w:sz w:val="20"/>
        </w:rPr>
        <w:t xml:space="preserve">” means, at any time, the sum of (a) the aggregate undrawn amount of all outstanding commercial Letters of Credit at such time </w:t>
      </w:r>
      <w:r>
        <w:rPr>
          <w:rFonts w:ascii="Times New Roman" w:hAnsi="Times New Roman"/>
          <w:sz w:val="20"/>
          <w:u w:val="single"/>
        </w:rPr>
        <w:t>plus</w:t>
      </w:r>
      <w:r>
        <w:rPr>
          <w:rFonts w:ascii="Times New Roman" w:hAnsi="Times New Roman"/>
          <w:sz w:val="20"/>
        </w:rPr>
        <w:t xml:space="preserve"> (b) the aggregate amount of all LC Disbursements relating to commercial Letters of Credit that have not yet been reimbursed by or on behalf of the Borrowers at such time. The Commercial LC Exposure of any Revolving Lender at any time shall be its Applicable Percentage of the total Commercial LC Exposure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Commitment Letter</w:t>
      </w:r>
      <w:r>
        <w:rPr>
          <w:rFonts w:ascii="Times New Roman" w:hAnsi="Times New Roman"/>
          <w:sz w:val="20"/>
        </w:rPr>
        <w:t xml:space="preserve">” means that certain commitment letter, dated as of January 10, 2020, by and among Holdings, Barclays, Canadian Imperial Bank of Commerce, New York Branch, Fifth Third Bank, National Association, PNC Bank, National Association, PNC Capital Markets LLC, The Toronto-Dominion Bank, New York Branch, TD Securities (USA) LLC and U.S. Bank National Association, as amended by that certain amendment to commitment letter and fee letter, dated as of February 3, 2020 and that certain second amendment to commitment letter, dated as of April 27, 2020. </w:t>
      </w:r>
    </w:p>
    <w:p>
      <w:pPr>
        <w:pStyle w:val="TextBody"/>
        <w:bidi w:val="0"/>
        <w:spacing w:before="240" w:after="0"/>
        <w:jc w:val="left"/>
        <w:rPr/>
      </w:pPr>
      <w:r>
        <w:rPr/>
        <w:t>“</w:t>
      </w:r>
      <w:r>
        <w:rPr>
          <w:rFonts w:ascii="Times New Roman" w:hAnsi="Times New Roman"/>
          <w:sz w:val="20"/>
          <w:u w:val="single"/>
        </w:rPr>
        <w:t>Commodity Exchange Act</w:t>
      </w:r>
      <w:r>
        <w:rPr>
          <w:rFonts w:ascii="Times New Roman" w:hAnsi="Times New Roman"/>
          <w:sz w:val="20"/>
        </w:rPr>
        <w:t xml:space="preserve">” means the Commodity Exchange Act (7 U.S.C. § 1 et seq.), as amended from time to time, and any successor statute. </w:t>
      </w:r>
    </w:p>
    <w:p>
      <w:pPr>
        <w:pStyle w:val="TextBody"/>
        <w:bidi w:val="0"/>
        <w:spacing w:before="240" w:after="0"/>
        <w:jc w:val="left"/>
        <w:rPr/>
      </w:pPr>
      <w:r>
        <w:rPr/>
        <w:t>“</w:t>
      </w:r>
      <w:r>
        <w:rPr>
          <w:rFonts w:ascii="Times New Roman" w:hAnsi="Times New Roman"/>
          <w:sz w:val="20"/>
          <w:u w:val="single"/>
        </w:rPr>
        <w:t>Communications</w:t>
      </w:r>
      <w:r>
        <w:rPr>
          <w:rFonts w:ascii="Times New Roman" w:hAnsi="Times New Roman"/>
          <w:sz w:val="20"/>
        </w:rPr>
        <w:t xml:space="preserve">” has the meaning assigned to such term in Section 9.01(e)(ii).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a certificate delivered by the Borrower Representative to the Administrative Agent, substantially in the form of </w:t>
      </w:r>
      <w:r>
        <w:rPr>
          <w:rFonts w:ascii="Times New Roman" w:hAnsi="Times New Roman"/>
          <w:sz w:val="20"/>
          <w:u w:val="single"/>
        </w:rPr>
        <w:t>Exhibit C</w:t>
      </w:r>
      <w:r>
        <w:rPr>
          <w:rFonts w:ascii="Times New Roman" w:hAnsi="Times New Roman"/>
          <w:sz w:val="20"/>
        </w:rPr>
        <w:t xml:space="preserve">, pursuant to Section 11.06.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either the use or administration of any Term Benchmark or Canadian Benchmark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240" w:after="0"/>
        <w:jc w:val="left"/>
        <w:rPr/>
      </w:pPr>
      <w:r>
        <w:rPr/>
        <w:t>“</w:t>
      </w:r>
      <w:r>
        <w:rPr>
          <w:rFonts w:ascii="Times New Roman" w:hAnsi="Times New Roman"/>
          <w:sz w:val="20"/>
          <w:u w:val="single"/>
        </w:rPr>
        <w:t>Control Agreement</w:t>
      </w:r>
      <w:r>
        <w:rPr>
          <w:rFonts w:ascii="Times New Roman" w:hAnsi="Times New Roman"/>
          <w:sz w:val="20"/>
        </w:rPr>
        <w:t xml:space="preserve">” has the meaning assigned to such term in the U.S. Security Agreement or the Canadian Security Agreement, as applicable. </w:t>
      </w:r>
    </w:p>
    <w:p>
      <w:pPr>
        <w:pStyle w:val="TextBody"/>
        <w:bidi w:val="0"/>
        <w:spacing w:before="240" w:after="0"/>
        <w:jc w:val="left"/>
        <w:rPr/>
      </w:pPr>
      <w:r>
        <w:rPr/>
        <w:t>“</w:t>
      </w:r>
      <w:r>
        <w:rPr>
          <w:rFonts w:ascii="Times New Roman" w:hAnsi="Times New Roman"/>
          <w:sz w:val="20"/>
          <w:u w:val="single"/>
        </w:rPr>
        <w:t>CORRA</w:t>
      </w:r>
      <w:r>
        <w:rPr>
          <w:rFonts w:ascii="Times New Roman" w:hAnsi="Times New Roman"/>
          <w:sz w:val="20"/>
        </w:rPr>
        <w:t xml:space="preserve">” means the Canadian Overnight Repo Rate Average administered and published by the Bank of Canada (or any successor administrator).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Covered Party</w:t>
      </w:r>
      <w:r>
        <w:rPr>
          <w:rFonts w:ascii="Times New Roman" w:hAnsi="Times New Roman"/>
          <w:sz w:val="20"/>
        </w:rPr>
        <w:t xml:space="preserve">” has the meaning assigned to such term in Section 9.26. </w:t>
      </w:r>
    </w:p>
    <w:p>
      <w:pPr>
        <w:pStyle w:val="TextBody"/>
        <w:bidi w:val="0"/>
        <w:spacing w:before="240" w:after="0"/>
        <w:jc w:val="left"/>
        <w:rPr/>
      </w:pPr>
      <w:r>
        <w:rPr/>
        <w:t>“</w:t>
      </w:r>
      <w:r>
        <w:rPr>
          <w:rFonts w:ascii="Times New Roman" w:hAnsi="Times New Roman"/>
          <w:sz w:val="20"/>
          <w:u w:val="single"/>
        </w:rPr>
        <w:t>Credit Exposure</w:t>
      </w:r>
      <w:r>
        <w:rPr>
          <w:rFonts w:ascii="Times New Roman" w:hAnsi="Times New Roman"/>
          <w:sz w:val="20"/>
        </w:rPr>
        <w:t xml:space="preserve">” means, as to any Lender at any time, the sum of (a) such Lender’s Revolving Exposure at such time, </w:t>
      </w:r>
      <w:r>
        <w:rPr>
          <w:rFonts w:ascii="Times New Roman" w:hAnsi="Times New Roman"/>
          <w:sz w:val="20"/>
          <w:u w:val="single"/>
        </w:rPr>
        <w:t>plus</w:t>
      </w:r>
      <w:r>
        <w:rPr>
          <w:rFonts w:ascii="Times New Roman" w:hAnsi="Times New Roman"/>
          <w:sz w:val="20"/>
        </w:rPr>
        <w:t xml:space="preserve"> (b) an amount equal to its Applicable Percentage, if any, of the aggregate principal amount of Protective Advances outstanding at such time. </w:t>
      </w:r>
    </w:p>
    <w:p>
      <w:pPr>
        <w:pStyle w:val="TextBody"/>
        <w:bidi w:val="0"/>
        <w:spacing w:before="240" w:after="0"/>
        <w:jc w:val="left"/>
        <w:rPr/>
      </w:pPr>
      <w:r>
        <w:rPr/>
        <w:t>“</w:t>
      </w:r>
      <w:r>
        <w:rPr>
          <w:rFonts w:ascii="Times New Roman" w:hAnsi="Times New Roman"/>
          <w:sz w:val="20"/>
          <w:u w:val="single"/>
        </w:rPr>
        <w:t>Daily Compounded CORRA</w:t>
      </w:r>
      <w:r>
        <w:rPr>
          <w:rFonts w:ascii="Times New Roman" w:hAnsi="Times New Roman"/>
          <w:sz w:val="20"/>
        </w:rPr>
        <w:t xml:space="preserve">” means, for any day in an Interest Period, CORRA with interest accruing on a compounded daily basis, with the methodology and conventions for this rate (which will include compounding in arrears with a five (5) Business Day lookback) being established by the Administrative Agent in accordance with the methodology and conventions for this rate selected or recommended by the Relevant Canadian Governmental 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determining compounded CORRA for business loans; provided that if the Administrative Agent decides that any such convention is not administratively feasible for the Administrative Agent, then the Administrative Agent (in consultation with the Borrower Representative) may establish another convention in its reasonable discretion; and provided that if the administrator has not provided or published CORRA and a Canadian Benchmark Replacement Date with respect to CORRA has not occurred, then, in respect of any day for which CORRA is required, references to CORRA will be deemed to be references to the last provided or published CORRA</w:t>
      </w:r>
      <w:r>
        <w:rPr>
          <w:rFonts w:ascii="Times New Roman" w:hAnsi="Times New Roman"/>
          <w:color w:val="0000FF"/>
          <w:sz w:val="20"/>
          <w:u w:val="single"/>
          <w:bdr w:val="double" w:sz="2" w:space="1" w:color="000000"/>
        </w:rPr>
        <w:t xml:space="preserve">; provided that if </w:t>
      </w:r>
      <w:r>
        <w:rPr>
          <w:rFonts w:ascii="Times New Roman" w:hAnsi="Times New Roman"/>
          <w:color w:val="008000"/>
          <w:sz w:val="20"/>
          <w:u w:val="single"/>
          <w:bdr w:val="double" w:sz="2" w:space="1" w:color="000000"/>
        </w:rPr>
        <w:t>Daily Compounded CORRA determined as provided above shall ever be less than zero, then Daily Compounded CORRA shall be deemed to be zero</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u w:val="single"/>
        </w:rPr>
        <w:t>Daily Compounded CORRA Adjustment</w:t>
      </w:r>
      <w:r>
        <w:rPr>
          <w:rFonts w:ascii="Times New Roman" w:hAnsi="Times New Roman"/>
          <w:strike/>
          <w:color w:val="FF0000"/>
          <w:sz w:val="20"/>
        </w:rPr>
        <w:t>” means a percentage per annum equal to 0.32138%.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Daily Compounded CORRA Loan</w:t>
      </w:r>
      <w:r>
        <w:rPr>
          <w:rFonts w:ascii="Times New Roman" w:hAnsi="Times New Roman"/>
          <w:sz w:val="20"/>
        </w:rPr>
        <w:t xml:space="preserve">” means a Loan that bears interest at a rate based on Daily Compounded CORRA </w:t>
      </w:r>
      <w:r>
        <w:rPr>
          <w:rFonts w:ascii="Times New Roman" w:hAnsi="Times New Roman"/>
          <w:strike/>
          <w:color w:val="FF0000"/>
          <w:sz w:val="20"/>
        </w:rPr>
        <w:t>(including Adjusted Daily Compounded CORRA)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means, for any day (a “</w:t>
      </w:r>
      <w:r>
        <w:rPr>
          <w:rFonts w:ascii="Times New Roman" w:hAnsi="Times New Roman"/>
          <w:sz w:val="20"/>
          <w:u w:val="single"/>
        </w:rPr>
        <w:t>SOFR Rate Day</w:t>
      </w:r>
      <w:r>
        <w:rPr>
          <w:rFonts w:ascii="Times New Roman" w:hAnsi="Times New Roman"/>
          <w:sz w:val="20"/>
        </w:rPr>
        <w:t>”), a rate per annum equal to the greater of (a) (i) SOFR for the day (such day, a “</w:t>
      </w:r>
      <w:r>
        <w:rPr>
          <w:rFonts w:ascii="Times New Roman" w:hAnsi="Times New Roman"/>
          <w:sz w:val="20"/>
          <w:u w:val="single"/>
        </w:rPr>
        <w:t>Daily Simple SOFR Determination Day</w:t>
      </w:r>
      <w:r>
        <w:rPr>
          <w:rFonts w:ascii="Times New Roman" w:hAnsi="Times New Roman"/>
          <w:sz w:val="20"/>
        </w:rPr>
        <w:t xml:space="preserve">”) that is five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w:t>
      </w:r>
      <w:r>
        <w:rPr>
          <w:rFonts w:ascii="Times New Roman" w:hAnsi="Times New Roman"/>
          <w:sz w:val="20"/>
          <w:u w:val="single"/>
        </w:rPr>
        <w:t>plus</w:t>
      </w:r>
      <w:r>
        <w:rPr>
          <w:rFonts w:ascii="Times New Roman" w:hAnsi="Times New Roman"/>
          <w:sz w:val="20"/>
        </w:rPr>
        <w:t xml:space="preserve"> (ii) the Applicable SOFR Adjustment and (b) zero. If by 5:00 pm (New York City time) on the second (2nd) U.S. Government Securities Business Day immediately following any Daily Simple SOFR Determination Day, the SOFR in respect of such Daily Simple SOFR Determination Day has not been published on the SOFR Administrator’s Website and a Benchmark Replacement Date with respect to the Daily Simple SOFR has not occurred, then the SOFR for such Daily Simple SOFR Determination Day will be the SOFR as published in respect of the first preceding U.S. Government Securities Business Day for which such SOFR was published on the SOFR Administrator’s Website; </w:t>
      </w:r>
      <w:r>
        <w:rPr>
          <w:rFonts w:ascii="Times New Roman" w:hAnsi="Times New Roman"/>
          <w:sz w:val="20"/>
          <w:u w:val="single"/>
        </w:rPr>
        <w:t>provided</w:t>
      </w:r>
      <w:r>
        <w:rPr>
          <w:rFonts w:ascii="Times New Roman" w:hAnsi="Times New Roman"/>
          <w:sz w:val="20"/>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 Representative. It is hereby agreed that if Daily Simple SOFR determined as provided above shall ever be less than zero, then Daily Simple SOFR shall be deemed to be zero. </w:t>
      </w:r>
    </w:p>
    <w:p>
      <w:pPr>
        <w:pStyle w:val="TextBody"/>
        <w:bidi w:val="0"/>
        <w:spacing w:before="240" w:after="0"/>
        <w:jc w:val="left"/>
        <w:rPr/>
      </w:pPr>
      <w:r>
        <w:rPr/>
        <w:t>“</w:t>
      </w:r>
      <w:r>
        <w:rPr>
          <w:rFonts w:ascii="Times New Roman" w:hAnsi="Times New Roman"/>
          <w:sz w:val="20"/>
          <w:u w:val="single"/>
        </w:rPr>
        <w:t>Daily Simple SOFR Borrowing</w:t>
      </w:r>
      <w:r>
        <w:rPr>
          <w:rFonts w:ascii="Times New Roman" w:hAnsi="Times New Roman"/>
          <w:sz w:val="20"/>
        </w:rPr>
        <w:t xml:space="preserve">” means a Borrowing comprised of Loans bearing interest at a rate determined by reference to Daily Simple SOFR. </w:t>
      </w:r>
    </w:p>
    <w:p>
      <w:pPr>
        <w:pStyle w:val="TextBody"/>
        <w:bidi w:val="0"/>
        <w:spacing w:before="240" w:after="0"/>
        <w:jc w:val="left"/>
        <w:rPr/>
      </w:pPr>
      <w:r>
        <w:rPr/>
        <w:t>“</w:t>
      </w:r>
      <w:r>
        <w:rPr>
          <w:rFonts w:ascii="Times New Roman" w:hAnsi="Times New Roman"/>
          <w:sz w:val="20"/>
          <w:u w:val="single"/>
        </w:rPr>
        <w:t>Daily Simple SOFR Determination Day</w:t>
      </w:r>
      <w:r>
        <w:rPr>
          <w:rFonts w:ascii="Times New Roman" w:hAnsi="Times New Roman"/>
          <w:sz w:val="20"/>
        </w:rPr>
        <w:t xml:space="preserve">” has the meaning assigned to such term in </w:t>
      </w:r>
      <w:r>
        <w:rPr>
          <w:rFonts w:ascii="Times New Roman" w:hAnsi="Times New Roman"/>
          <w:strike/>
          <w:color w:val="FF0000"/>
          <w:sz w:val="20"/>
        </w:rPr>
        <w:t xml:space="preserve">in </w:t>
      </w:r>
      <w:r>
        <w:rPr>
          <w:rFonts w:ascii="Times New Roman" w:hAnsi="Times New Roman"/>
          <w:sz w:val="20"/>
        </w:rPr>
        <w:t xml:space="preserve">the definition of “Daily Simple SOFR”. </w:t>
      </w:r>
    </w:p>
    <w:p>
      <w:pPr>
        <w:pStyle w:val="TextBody"/>
        <w:bidi w:val="0"/>
        <w:spacing w:before="240" w:after="0"/>
        <w:jc w:val="left"/>
        <w:rPr/>
      </w:pPr>
      <w:r>
        <w:rPr/>
        <w:t>“</w:t>
      </w:r>
      <w:r>
        <w:rPr>
          <w:rFonts w:ascii="Times New Roman" w:hAnsi="Times New Roman"/>
          <w:sz w:val="20"/>
          <w:u w:val="single"/>
        </w:rPr>
        <w:t>Daily Simple SOFR Loan</w:t>
      </w:r>
      <w:r>
        <w:rPr>
          <w:rFonts w:ascii="Times New Roman" w:hAnsi="Times New Roman"/>
          <w:sz w:val="20"/>
        </w:rPr>
        <w:t xml:space="preserve">” means a Loan that bears interest at a rate based on Daily Simple SOFR.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or condition which constitutes an Event of Default or which upon notice, lapse of time or both would, unless cured or waived, become an Event of Default.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such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any Lender that: (a) has failed, within two Business Days of the date required to be funded or paid, to (i) fund any portion of its Loans, (ii) fund any portion of its participations in Letters of Credit or Swingline Loans or (iii) pay over to any Lender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Lender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to funding a Loan under this Agreement (specifically identified and including the particular Default, if any) cannot be satisfied) or generally under other agreements in which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commits to extend credit; (c) has failed, within three Business Days after request in writing by a Lender Party, acting in good faith, to provide a certification in writing from an authorized officer of such Lender that it will comply with its obligations (and is financially able to meet such obligations as of the date of such certification) to fund prospective Loans and participations in then outstanding Letters of Credit and Swingline Loans under this Agreement,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such Lender Party’s receipt of such certification in form and substance reasonably satisfactory to it and the Administrative Agent; or (d) has become the subject of (i) a Bankruptcy Event or (ii) a Bail-In Action. </w:t>
      </w:r>
    </w:p>
    <w:p>
      <w:pPr>
        <w:pStyle w:val="TextBody"/>
        <w:bidi w:val="0"/>
        <w:spacing w:before="240" w:after="0"/>
        <w:jc w:val="left"/>
        <w:rPr/>
      </w:pPr>
      <w:r>
        <w:rPr/>
        <w:t>“</w:t>
      </w:r>
      <w:r>
        <w:rPr>
          <w:rFonts w:ascii="Times New Roman" w:hAnsi="Times New Roman"/>
          <w:sz w:val="20"/>
          <w:u w:val="single"/>
        </w:rPr>
        <w:t>Deposit Account</w:t>
      </w:r>
      <w:r>
        <w:rPr>
          <w:rFonts w:ascii="Times New Roman" w:hAnsi="Times New Roman"/>
          <w:sz w:val="20"/>
        </w:rPr>
        <w:t xml:space="preserve">” has the meaning set forth in Article 9 of the UCC. </w:t>
      </w:r>
    </w:p>
    <w:p>
      <w:pPr>
        <w:pStyle w:val="TextBody"/>
        <w:bidi w:val="0"/>
        <w:spacing w:before="240" w:after="0"/>
        <w:jc w:val="left"/>
        <w:rPr/>
      </w:pPr>
      <w:r>
        <w:rPr/>
        <w:t>“</w:t>
      </w:r>
      <w:r>
        <w:rPr>
          <w:rFonts w:ascii="Times New Roman" w:hAnsi="Times New Roman"/>
          <w:sz w:val="20"/>
          <w:u w:val="single"/>
        </w:rPr>
        <w:t>Designated Immaterial Subsidiary</w:t>
      </w:r>
      <w:r>
        <w:rPr>
          <w:rFonts w:ascii="Times New Roman" w:hAnsi="Times New Roman"/>
          <w:sz w:val="20"/>
        </w:rPr>
        <w:t xml:space="preserve">” has the meaning assigned to such term in Section 5.13(g). </w:t>
      </w:r>
    </w:p>
    <w:p>
      <w:pPr>
        <w:pStyle w:val="TextBody"/>
        <w:bidi w:val="0"/>
        <w:spacing w:before="240" w:after="0"/>
        <w:jc w:val="left"/>
        <w:rPr/>
      </w:pPr>
      <w:r>
        <w:rPr/>
        <w:t>“</w:t>
      </w:r>
      <w:r>
        <w:rPr>
          <w:rFonts w:ascii="Times New Roman" w:hAnsi="Times New Roman"/>
          <w:sz w:val="20"/>
          <w:u w:val="single"/>
        </w:rPr>
        <w:t>Designated Immaterial Subsidiary Notice</w:t>
      </w:r>
      <w:r>
        <w:rPr>
          <w:rFonts w:ascii="Times New Roman" w:hAnsi="Times New Roman"/>
          <w:sz w:val="20"/>
        </w:rPr>
        <w:t xml:space="preserve">” has the meaning assigned to such term in Section 5.13(g). </w:t>
      </w:r>
    </w:p>
    <w:p>
      <w:pPr>
        <w:pStyle w:val="TextBody"/>
        <w:bidi w:val="0"/>
        <w:spacing w:before="240" w:after="0"/>
        <w:jc w:val="left"/>
        <w:rPr/>
      </w:pPr>
      <w:r>
        <w:rPr/>
        <w:t>“</w:t>
      </w:r>
      <w:r>
        <w:rPr>
          <w:rFonts w:ascii="Times New Roman" w:hAnsi="Times New Roman"/>
          <w:sz w:val="20"/>
          <w:u w:val="single"/>
        </w:rPr>
        <w:t>Dilution Factors</w:t>
      </w:r>
      <w:r>
        <w:rPr>
          <w:rFonts w:ascii="Times New Roman" w:hAnsi="Times New Roman"/>
          <w:sz w:val="20"/>
        </w:rPr>
        <w:t xml:space="preserve">” shall mean, without duplication, with respect to any period, the aggregate amount of all deductions, credit memos, returns, adjustments, allowances, bad debt write-offs and other non-cash credits which are recorded to reduce accounts receivable in a manner consistent with current and historical accounting practices of the Loan Parties. </w:t>
      </w:r>
    </w:p>
    <w:p>
      <w:pPr>
        <w:pStyle w:val="TextBody"/>
        <w:bidi w:val="0"/>
        <w:spacing w:before="240" w:after="0"/>
        <w:jc w:val="left"/>
        <w:rPr/>
      </w:pPr>
      <w:r>
        <w:rPr/>
        <w:t>“</w:t>
      </w:r>
      <w:r>
        <w:rPr>
          <w:rFonts w:ascii="Times New Roman" w:hAnsi="Times New Roman"/>
          <w:sz w:val="20"/>
          <w:u w:val="single"/>
        </w:rPr>
        <w:t>Dilution Ratio</w:t>
      </w:r>
      <w:r>
        <w:rPr>
          <w:rFonts w:ascii="Times New Roman" w:hAnsi="Times New Roman"/>
          <w:sz w:val="20"/>
        </w:rPr>
        <w:t xml:space="preserve">” shall mean, at any date, the amount (expressed as a percentage) equal to (a) the aggregate amount of the applicable Dilution Factors for the three (3) most recently ended fiscal months divided by (b) total gross sales for the three (3) most recently ended fiscal months. </w:t>
      </w:r>
    </w:p>
    <w:p>
      <w:pPr>
        <w:pStyle w:val="TextBody"/>
        <w:bidi w:val="0"/>
        <w:spacing w:before="240" w:after="0"/>
        <w:jc w:val="left"/>
        <w:rPr/>
      </w:pPr>
      <w:r>
        <w:rPr/>
        <w:t>“</w:t>
      </w:r>
      <w:r>
        <w:rPr>
          <w:rFonts w:ascii="Times New Roman" w:hAnsi="Times New Roman"/>
          <w:sz w:val="20"/>
          <w:u w:val="single"/>
        </w:rPr>
        <w:t>Dilution Reserve</w:t>
      </w:r>
      <w:r>
        <w:rPr>
          <w:rFonts w:ascii="Times New Roman" w:hAnsi="Times New Roman"/>
          <w:sz w:val="20"/>
        </w:rPr>
        <w:t xml:space="preserve">” shall mean, at any date, the applicable Dilution Ratio multiplied by the Eligible Accounts. </w:t>
      </w:r>
    </w:p>
    <w:p>
      <w:pPr>
        <w:pStyle w:val="TextBody"/>
        <w:bidi w:val="0"/>
        <w:spacing w:before="240" w:after="0"/>
        <w:jc w:val="left"/>
        <w:rPr/>
      </w:pPr>
      <w:r>
        <w:rPr/>
        <w:t>“</w:t>
      </w:r>
      <w:r>
        <w:rPr>
          <w:rFonts w:ascii="Times New Roman" w:hAnsi="Times New Roman"/>
          <w:sz w:val="20"/>
          <w:u w:val="single"/>
        </w:rPr>
        <w:t>Disclosed Matters</w:t>
      </w:r>
      <w:r>
        <w:rPr>
          <w:rFonts w:ascii="Times New Roman" w:hAnsi="Times New Roman"/>
          <w:sz w:val="20"/>
        </w:rPr>
        <w:t xml:space="preserve">” means the actions, suits and proceedings and the environmental matters disclosed in </w:t>
      </w:r>
      <w:r>
        <w:rPr>
          <w:rFonts w:ascii="Times New Roman" w:hAnsi="Times New Roman"/>
          <w:sz w:val="20"/>
          <w:u w:val="single"/>
        </w:rPr>
        <w:t>Schedule 3.06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Dividing Person</w:t>
      </w:r>
      <w:r>
        <w:rPr>
          <w:rFonts w:ascii="Times New Roman" w:hAnsi="Times New Roman"/>
          <w:sz w:val="20"/>
        </w:rPr>
        <w:t>” has the meaning assigned to such term in the definition of “</w:t>
      </w:r>
      <w:r>
        <w:rPr>
          <w:rFonts w:ascii="Times New Roman" w:hAnsi="Times New Roman"/>
          <w:sz w:val="20"/>
          <w:u w:val="single"/>
        </w:rPr>
        <w:t>Division</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Division</w:t>
      </w:r>
      <w:r>
        <w:rPr>
          <w:rFonts w:ascii="Times New Roman" w:hAnsi="Times New Roman"/>
          <w:sz w:val="20"/>
        </w:rPr>
        <w:t>” means the division of the assets, liabilities and/or obligations of a Person (the “</w:t>
      </w:r>
      <w:r>
        <w:rPr>
          <w:rFonts w:ascii="Times New Roman" w:hAnsi="Times New Roman"/>
          <w:sz w:val="20"/>
          <w:u w:val="single"/>
        </w:rPr>
        <w:t>Dividing Person</w:t>
      </w:r>
      <w:r>
        <w:rPr>
          <w:rFonts w:ascii="Times New Roman" w:hAnsi="Times New Roman"/>
          <w:sz w:val="20"/>
        </w:rPr>
        <w:t xml:space="preserve">”) among two or more Persons (whether pursuant to a “plan of division” or similar arrangement), which may or may not include the Dividing Person and pursuant to which the Dividing Person may or may not survive. </w:t>
      </w:r>
    </w:p>
    <w:p>
      <w:pPr>
        <w:pStyle w:val="TextBody"/>
        <w:bidi w:val="0"/>
        <w:spacing w:before="240" w:after="0"/>
        <w:jc w:val="left"/>
        <w:rPr/>
      </w:pPr>
      <w:r>
        <w:rPr/>
        <w:t>“</w:t>
      </w:r>
      <w:r>
        <w:rPr>
          <w:rFonts w:ascii="Times New Roman" w:hAnsi="Times New Roman"/>
          <w:sz w:val="20"/>
          <w:u w:val="single"/>
        </w:rPr>
        <w:t>Division Successor</w:t>
      </w:r>
      <w:r>
        <w:rPr>
          <w:rFonts w:ascii="Times New Roman" w:hAnsi="Times New Roman"/>
          <w:sz w:val="20"/>
        </w:rPr>
        <w:t xml:space="preserve">”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 </w:t>
      </w:r>
    </w:p>
    <w:p>
      <w:pPr>
        <w:pStyle w:val="TextBody"/>
        <w:bidi w:val="0"/>
        <w:spacing w:before="240" w:after="0"/>
        <w:jc w:val="left"/>
        <w:rPr/>
      </w:pPr>
      <w:r>
        <w:rPr/>
        <w:t>“</w:t>
      </w:r>
      <w:r>
        <w:rPr>
          <w:rFonts w:ascii="Times New Roman" w:hAnsi="Times New Roman"/>
          <w:sz w:val="20"/>
          <w:u w:val="single"/>
        </w:rPr>
        <w:t>Document</w:t>
      </w:r>
      <w:r>
        <w:rPr>
          <w:rFonts w:ascii="Times New Roman" w:hAnsi="Times New Roman"/>
          <w:sz w:val="20"/>
        </w:rPr>
        <w:t xml:space="preserve">” has the meaning assigned to such term in the U.S. Security Agreement. </w:t>
      </w:r>
    </w:p>
    <w:p>
      <w:pPr>
        <w:pStyle w:val="TextBody"/>
        <w:bidi w:val="0"/>
        <w:spacing w:before="240" w:after="0"/>
        <w:jc w:val="left"/>
        <w:rPr/>
      </w:pPr>
      <w:r>
        <w:rPr/>
        <w:t>“</w:t>
      </w:r>
      <w:r>
        <w:rPr>
          <w:rFonts w:ascii="Times New Roman" w:hAnsi="Times New Roman"/>
          <w:sz w:val="20"/>
          <w:u w:val="single"/>
        </w:rPr>
        <w:t>Dollar Amount</w:t>
      </w:r>
      <w:r>
        <w:rPr>
          <w:rFonts w:ascii="Times New Roman" w:hAnsi="Times New Roman"/>
          <w:sz w:val="20"/>
        </w:rPr>
        <w:t xml:space="preserve">” means (a) with regard to any Obligation or calculation denominated in dollars, the amount thereof, and (b) with regard to any Obligation or calculation denominated in any other currency, the amount of dollars which is equivalent to the amount so expressed in such currency at the Exchange Rate on the relevant date of determination.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refers to lawful money of the United States of America. </w:t>
      </w:r>
    </w:p>
    <w:p>
      <w:pPr>
        <w:pStyle w:val="TextBody"/>
        <w:bidi w:val="0"/>
        <w:spacing w:before="240" w:after="0"/>
        <w:jc w:val="left"/>
        <w:rPr/>
      </w:pPr>
      <w:r>
        <w:rPr/>
        <w:t>“</w:t>
      </w:r>
      <w:r>
        <w:rPr>
          <w:rFonts w:ascii="Times New Roman" w:hAnsi="Times New Roman"/>
          <w:sz w:val="20"/>
          <w:u w:val="single"/>
        </w:rPr>
        <w:t>Domestic Subsidiary</w:t>
      </w:r>
      <w:r>
        <w:rPr>
          <w:rFonts w:ascii="Times New Roman" w:hAnsi="Times New Roman"/>
          <w:sz w:val="20"/>
        </w:rPr>
        <w:t xml:space="preserve">” means, with respect to any Person, each subsidiary of such Person that is organized under the laws of the United States, any State of the United States or the District of Columbia other than any such subsidiary that is also a direct or indirect subsidiary of a CFC Subsidiary or of a CFC Subsidiary Holding Company. </w:t>
      </w:r>
    </w:p>
    <w:p>
      <w:pPr>
        <w:pStyle w:val="TextBody"/>
        <w:bidi w:val="0"/>
        <w:spacing w:before="240" w:after="0"/>
        <w:jc w:val="left"/>
        <w:rPr/>
      </w:pPr>
      <w:r>
        <w:rPr/>
        <w:t>“</w:t>
      </w:r>
      <w:r>
        <w:rPr>
          <w:rFonts w:ascii="Times New Roman" w:hAnsi="Times New Roman"/>
          <w:sz w:val="20"/>
          <w:u w:val="single"/>
        </w:rPr>
        <w:t>Dutch Subsidiary</w:t>
      </w:r>
      <w:r>
        <w:rPr>
          <w:rFonts w:ascii="Times New Roman" w:hAnsi="Times New Roman"/>
          <w:sz w:val="20"/>
        </w:rPr>
        <w:t xml:space="preserve">” means any Subsidiary of Holdings organized under the laws of the Netherlands.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EBITDA</w:t>
      </w:r>
      <w:r>
        <w:rPr>
          <w:rFonts w:ascii="Times New Roman" w:hAnsi="Times New Roman"/>
          <w:sz w:val="20"/>
        </w:rPr>
        <w:t xml:space="preserve">” means, for any period, Net Income for such period </w:t>
      </w:r>
      <w:r>
        <w:rPr>
          <w:rFonts w:ascii="Times New Roman" w:hAnsi="Times New Roman"/>
          <w:sz w:val="20"/>
          <w:u w:val="single"/>
        </w:rPr>
        <w:t>plus</w:t>
      </w:r>
      <w:r>
        <w:rPr>
          <w:rFonts w:ascii="Times New Roman" w:hAnsi="Times New Roman"/>
          <w:sz w:val="20"/>
        </w:rPr>
        <w:t xml:space="preserve"> (a) without duplication and to the extent deducted in determining Net Income for such period, the sum of (i) Interest Expense for such period, (ii) income tax expense for such period, (iii) all amounts attributable to depreciation and amortization expense for such period, (iv) amortized debt discount, (v) any non-cash losses or non-cash charges for such period that relate to the write-down or write-off of inventory to the extent such non-cash charges or non-cash losses do not exceed $10,000,000 in the aggregate during such period, (vi) any other non-cash losses or non-cash charges for such period (but excluding any non-cash charge in respect of an item that was included in Net Income in a prior period), (vii) charges and expenses incurred in connection with the Transactions and the other transactions related thereto, the transactions contemplated to occur on or about the Seventh Amendment Effective Date and the transactions contemplated thereby and any amendments, waivers or consents with respect to the Loan Documents, (viii) charges and expenses incurred in connection with any actual or proposed Acquisition, disposition or Investment or any actual or proposed offering of securities, incurrence or repayment of Indebtedness or amendment to any agreement relating to Indebtedness, including any refinancing thereof, in each case whether or not consummated, </w:t>
      </w:r>
      <w:r>
        <w:rPr>
          <w:rFonts w:ascii="Times New Roman" w:hAnsi="Times New Roman"/>
          <w:sz w:val="20"/>
          <w:u w:val="single"/>
        </w:rPr>
        <w:t>provided</w:t>
      </w:r>
      <w:r>
        <w:rPr>
          <w:rFonts w:ascii="Times New Roman" w:hAnsi="Times New Roman"/>
          <w:sz w:val="20"/>
        </w:rPr>
        <w:t xml:space="preserve">, that the aggregate amount added back pursuant to this clause (a)(viii) shall not exceed an amount equal to 20% of EBITDA (calculated prior to giving effect to such addbacks) during such period and (ix) any reasonable, documented severance, relocation, consolidation, closing, integration, facilities opening, business optimization, transition or restructuring costs, charges or expenses (including any costs or expenses associated with any expatriate); provided, that the aggregate amount added back pursuant to clause (a)(ix) shall not exceed an amount equal to 15% of EBITDA (calculated prior to such addbacks); and, </w:t>
      </w:r>
      <w:r>
        <w:rPr>
          <w:rFonts w:ascii="Times New Roman" w:hAnsi="Times New Roman"/>
          <w:sz w:val="20"/>
          <w:u w:val="single"/>
        </w:rPr>
        <w:t>minus</w:t>
      </w:r>
      <w:r>
        <w:rPr>
          <w:rFonts w:ascii="Times New Roman" w:hAnsi="Times New Roman"/>
          <w:sz w:val="20"/>
        </w:rPr>
        <w:t xml:space="preserve"> (b) without duplication and to the extent included in Net Income, (i) income tax credits and refunds, (ii) interest income, (iii) any cash payments made during such period in respect of non-cash charges described in clause (a)(v) taken in a prior period, (iv) any non-cash gains and non-cash items of income for such period that relate to any write-up of inventory to the extent such non-cash gains and non-cash income does not exceed $10,000,000 in the aggregate during such period, and (v) any other non-cash gains and non-cash items of income for such period, all calculated for Holdings and its Restricted Subsidiaries on a consolidated basis in accordance with GAAP. If during any period for which EBITDA is being determined, Holdings or any Restricted Subsidiary shall have consummated any Acquisition, then for all purposes of this Agreement, in the case of any Acquisition, EBITDA shall be determined on a pro forma basis as if such Acquisition had been consummated on the first day of such period, taking into account such adjustments as are consistent with the standards set forth in Rule 11-02(b)(6) of Regulation S-X; </w:t>
      </w:r>
      <w:r>
        <w:rPr>
          <w:rFonts w:ascii="Times New Roman" w:hAnsi="Times New Roman"/>
          <w:sz w:val="20"/>
          <w:u w:val="single"/>
        </w:rPr>
        <w:t>provided</w:t>
      </w:r>
      <w:r>
        <w:rPr>
          <w:rFonts w:ascii="Times New Roman" w:hAnsi="Times New Roman"/>
          <w:sz w:val="20"/>
        </w:rPr>
        <w:t xml:space="preserve"> that such pro forma adjustments are acceptable to the Administrative Agent in its Permitted Discretion. </w:t>
      </w:r>
    </w:p>
    <w:p>
      <w:pPr>
        <w:pStyle w:val="TextBody"/>
        <w:bidi w:val="0"/>
        <w:spacing w:before="240" w:after="0"/>
        <w:jc w:val="left"/>
        <w:rPr/>
      </w:pPr>
      <w:r>
        <w:rPr/>
        <w:t>“</w:t>
      </w:r>
      <w:r>
        <w:rPr>
          <w:rFonts w:ascii="Times New Roman" w:hAnsi="Times New Roman"/>
          <w:sz w:val="20"/>
          <w:u w:val="single"/>
        </w:rPr>
        <w:t>ECP</w:t>
      </w:r>
      <w:r>
        <w:rPr>
          <w:rFonts w:ascii="Times New Roman" w:hAnsi="Times New Roman"/>
          <w:sz w:val="20"/>
        </w:rPr>
        <w:t xml:space="preserve">” means an “eligible contract participant” as defined in Section 1(a)(18) of the Commodity Exchange Act or any regulations promulgated thereunder and the applicable rules issued by the Commodity Futures Trading Commission and/or the SEC.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Electronic Signature</w:t>
      </w:r>
      <w:r>
        <w:rPr>
          <w:rFonts w:ascii="Times New Roman" w:hAnsi="Times New Roman"/>
          <w:sz w:val="20"/>
        </w:rPr>
        <w:t xml:space="preserve">” means an electronic sound, symbol, or process attached to, or associated with, a contract or other record and adopted by a Person with the intent to sign, authenticate or accept such contract or record. </w:t>
      </w:r>
    </w:p>
    <w:p>
      <w:pPr>
        <w:pStyle w:val="TextBody"/>
        <w:bidi w:val="0"/>
        <w:spacing w:before="240" w:after="0"/>
        <w:jc w:val="left"/>
        <w:rPr/>
      </w:pPr>
      <w:r>
        <w:rPr/>
        <w:t>“</w:t>
      </w:r>
      <w:r>
        <w:rPr>
          <w:rFonts w:ascii="Times New Roman" w:hAnsi="Times New Roman"/>
          <w:sz w:val="20"/>
          <w:u w:val="single"/>
        </w:rPr>
        <w:t>Electronic System</w:t>
      </w:r>
      <w:r>
        <w:rPr>
          <w:rFonts w:ascii="Times New Roman" w:hAnsi="Times New Roman"/>
          <w:sz w:val="20"/>
        </w:rPr>
        <w:t xml:space="preserve">” means any electronic system, including e-mail, e-fax,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Eligible Accounts</w:t>
      </w:r>
      <w:r>
        <w:rPr>
          <w:rFonts w:ascii="Times New Roman" w:hAnsi="Times New Roman"/>
          <w:sz w:val="20"/>
        </w:rPr>
        <w:t xml:space="preserve">” means, at any time, all Accounts created in the ordinary course of business; </w:t>
      </w:r>
      <w:r>
        <w:rPr>
          <w:rFonts w:ascii="Times New Roman" w:hAnsi="Times New Roman"/>
          <w:sz w:val="20"/>
          <w:u w:val="single"/>
        </w:rPr>
        <w:t>provided</w:t>
      </w:r>
      <w:r>
        <w:rPr>
          <w:rFonts w:ascii="Times New Roman" w:hAnsi="Times New Roman"/>
          <w:sz w:val="20"/>
        </w:rPr>
        <w:t xml:space="preserve"> that Eligible Accounts shall not include any Account: </w:t>
      </w:r>
    </w:p>
    <w:p>
      <w:pPr>
        <w:pStyle w:val="TextBody"/>
        <w:bidi w:val="0"/>
        <w:spacing w:before="120" w:after="0"/>
        <w:jc w:val="left"/>
        <w:rPr>
          <w:rFonts w:ascii="Times New Roman" w:hAnsi="Times New Roman"/>
          <w:sz w:val="20"/>
        </w:rPr>
      </w:pPr>
      <w:r>
        <w:rPr>
          <w:rFonts w:ascii="Times New Roman" w:hAnsi="Times New Roman"/>
          <w:sz w:val="20"/>
        </w:rPr>
        <w:t xml:space="preserve">(a) which is not subject to a first priority perfected Lien in favor of the Administrative Agent (for the benefit of the Lender Parties to secure the Secured Obligations, or for the benefit of the Canadian Lender Parties to secure the Canadian Secured Obligations, as the case may be); </w:t>
      </w:r>
      <w:r>
        <w:rPr>
          <w:rFonts w:ascii="Times New Roman" w:hAnsi="Times New Roman"/>
          <w:sz w:val="20"/>
          <w:u w:val="single"/>
        </w:rPr>
        <w:t>provided</w:t>
      </w:r>
      <w:r>
        <w:rPr>
          <w:rFonts w:ascii="Times New Roman" w:hAnsi="Times New Roman"/>
          <w:sz w:val="20"/>
        </w:rPr>
        <w:t xml:space="preserve"> that Accounts comprising Eligible Securitization Receivables shall not be subject to a Lien in favor of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which is subject to any Lien other than (i) a Lien in favor of the Administrative Agent (for the benefit of the Lender Parties to secure the Secured Obligations, or for the benefit of the Canadian Lender Parties to secure the Canadian Secured Obligations, as the case may be), and (ii) a Permitted Encumbrance which does not have priority over the Lien in favor of the Administrative Agent (for the benefit of the Lender Parties or the Canadian Lender Parties, as the case may be); </w:t>
      </w:r>
      <w:r>
        <w:rPr>
          <w:rFonts w:ascii="Times New Roman" w:hAnsi="Times New Roman"/>
          <w:sz w:val="20"/>
          <w:u w:val="single"/>
        </w:rPr>
        <w:t>provided</w:t>
      </w:r>
      <w:r>
        <w:rPr>
          <w:rFonts w:ascii="Times New Roman" w:hAnsi="Times New Roman"/>
          <w:sz w:val="20"/>
        </w:rPr>
        <w:t xml:space="preserve"> that Accounts comprising Eligible Securitization Receivables shall be subject to Liens in favor of the financial institutions which are purchasers (i.e. lenders) under the Receivables Securitization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Account originated by a U.S. Loan Party, (i) with respect to which the scheduled due date is more than 90 days after the original invoice date, (ii) which is unpaid more than 120 days after the date of the original invoice therefor or more than 90 days after the original due date, or (iii) which has been written off the books of the applicable U.S. Loan Party or otherwise designated as uncollectible; </w:t>
      </w:r>
      <w:r>
        <w:rPr>
          <w:rFonts w:ascii="Times New Roman" w:hAnsi="Times New Roman"/>
          <w:sz w:val="20"/>
          <w:u w:val="single"/>
        </w:rPr>
        <w:t>provided</w:t>
      </w:r>
      <w:r>
        <w:rPr>
          <w:rFonts w:ascii="Times New Roman" w:hAnsi="Times New Roman"/>
          <w:sz w:val="20"/>
        </w:rPr>
        <w:t xml:space="preserve"> that Accounts of the U.S. Loan Parties in an aggregate amount not exceeding 7.5% of the lesser of (x) the Aggregate Revolving Commitments and (y) the Aggregate Borrowing Base, shall not be deemed ineligible by reason of this clause (c) so long as (A) the scheduled due date thereof is more than 90 but less than 121 days after the original invoice date, (B) such Accounts remain unpaid for more than 120 but less than 151 days after the date of the original invoice therefor or more than 90 but less than 121 days after the original due date, and (C) such Accounts have not been written off the books of the applicable U.S. Loan Party or otherwise designated as uncollectible; </w:t>
      </w:r>
    </w:p>
    <w:p>
      <w:pPr>
        <w:pStyle w:val="TextBody"/>
        <w:bidi w:val="0"/>
        <w:spacing w:before="240" w:after="0"/>
        <w:jc w:val="left"/>
        <w:rPr>
          <w:rFonts w:ascii="Times New Roman" w:hAnsi="Times New Roman"/>
          <w:sz w:val="20"/>
        </w:rPr>
      </w:pPr>
      <w:r>
        <w:rPr>
          <w:rFonts w:ascii="Times New Roman" w:hAnsi="Times New Roman"/>
          <w:sz w:val="20"/>
        </w:rPr>
        <w:t xml:space="preserve">(d) in the case of any Account originated by a Canadian Loan Party, (i) with respect to which the scheduled due date is more than 60 days after the original invoice date, (ii) which is unpaid more than 90 days after the date of the original invoice therefor or more than 60 days after the original due date, or (iii) which has been written off the books of the applicable Canadian Loan Party or otherwise designated as uncollectible, </w:t>
      </w:r>
      <w:r>
        <w:rPr>
          <w:rFonts w:ascii="Times New Roman" w:hAnsi="Times New Roman"/>
          <w:sz w:val="20"/>
          <w:u w:val="single"/>
        </w:rPr>
        <w:t>provided</w:t>
      </w:r>
      <w:r>
        <w:rPr>
          <w:rFonts w:ascii="Times New Roman" w:hAnsi="Times New Roman"/>
          <w:sz w:val="20"/>
        </w:rPr>
        <w:t xml:space="preserve"> that Accounts of the Canadian Loan Parties in an aggregate amount not exceeding 7.5% of the aggregate amount of all Eligible Accounts (as determined without giving effect to this proviso) of the Canadian Loan Parties shall not be deemed ineligible by reason of this clause (d) so long as (A) the scheduled due date thereof is more than 60 but less than 91 days after the original invoice date, (B) such Accounts remain unpaid for more than 90 but less than 121 days after the date of the original invoice therefor or more than 60 but less than 91 days after the original due date, and (C) such Accounts have not been written off the books of the applicable Canadian Loan Party or otherwise designated as uncollectible; </w:t>
      </w:r>
    </w:p>
    <w:p>
      <w:pPr>
        <w:pStyle w:val="TextBody"/>
        <w:bidi w:val="0"/>
        <w:spacing w:before="240" w:after="0"/>
        <w:jc w:val="left"/>
        <w:rPr>
          <w:rFonts w:ascii="Times New Roman" w:hAnsi="Times New Roman"/>
          <w:sz w:val="20"/>
        </w:rPr>
      </w:pPr>
      <w:r>
        <w:rPr>
          <w:rFonts w:ascii="Times New Roman" w:hAnsi="Times New Roman"/>
          <w:sz w:val="20"/>
        </w:rPr>
        <w:t xml:space="preserve">(e) which is owing by an Account Debtor for which more than 50% of the Accounts owing from such Account Debtor and its Affiliates are ineligible hereunder; </w:t>
      </w:r>
    </w:p>
    <w:p>
      <w:pPr>
        <w:pStyle w:val="TextBody"/>
        <w:bidi w:val="0"/>
        <w:spacing w:before="240" w:after="0"/>
        <w:jc w:val="left"/>
        <w:rPr>
          <w:rFonts w:ascii="Times New Roman" w:hAnsi="Times New Roman"/>
          <w:sz w:val="20"/>
        </w:rPr>
      </w:pPr>
      <w:r>
        <w:rPr>
          <w:rFonts w:ascii="Times New Roman" w:hAnsi="Times New Roman"/>
          <w:sz w:val="20"/>
        </w:rPr>
        <w:t xml:space="preserve">(f) which is owing by an Account Debtor to the extent the aggregate amount of Accounts owing from such Account Debtor and its Affiliates to any Loan Party or to WESCO Receivables exceeds 20% of the aggregate amount of Eligible Accounts (for clarification, only the amount of Accounts in excess of such percentage shall be deemed ineligible under this clause (f));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which any covenant, representation, or warranty contained in this Agreement, the U.S. Security Agreement, or in the Canadian Security Agreement, as applicable, has been breached and not cured or is not true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(h) which (i) does not arise from the sale of goods or performance of services in the ordinary course of business, (ii) is not evidenced by an invoice or other documentation satisfactory to the Administrative Agent in its Permitted Discretion which has been sent to the Account Debtor, (iii) represents a progress billing (which term, for greater certainty, shall not include sales in connection with an ongoing project where each sale represents a separate billable sale), (iv) is contingent upon any Loan Party’s completion of any further performance, (v) represents a sale on a bill-and-hold, guaranteed sale, sale-and-return, sale on approval, consignment, cash-on-delivery or any other repurchase or return basis or (vi) relates to payments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for which the goods giving rise to such Account have not been shipped to the Account Debtor or its designee or for which the services giving rise to such Account have not been performed by the applicable Loan Party that originated such Account or if such Account was invoiced more than once; </w:t>
      </w:r>
    </w:p>
    <w:p>
      <w:pPr>
        <w:pStyle w:val="TextBody"/>
        <w:bidi w:val="0"/>
        <w:spacing w:before="240" w:after="0"/>
        <w:jc w:val="left"/>
        <w:rPr>
          <w:rFonts w:ascii="Times New Roman" w:hAnsi="Times New Roman"/>
          <w:sz w:val="20"/>
        </w:rPr>
      </w:pPr>
      <w:r>
        <w:rPr>
          <w:rFonts w:ascii="Times New Roman" w:hAnsi="Times New Roman"/>
          <w:sz w:val="20"/>
        </w:rPr>
        <w:t xml:space="preserve">(j) which is owing by an Account Debtor, any of whose Accounts is subject to sale under any factoring or supply chain arrangement (other than the Receivables Securitization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(k) which is owed by an Account Debtor which has (i) applied for, suffered, or consented to the appointment of any receiver, interim receiver, custodian, trustee, monitor, administrator, sequestrator or liquidator of its assets, (ii) has had possession of all or a material part of its property taken by any receiver, interim receiver, custodian, trustee, monitor, administrator, sequestrator or liquidator, (iii) filed, or had filed against it, any request or petition for liquidation, reorganization, arrangement, adjustment of debts, adjudication as bankrupt, winding-up, or voluntary or involuntary case under any state, provincial, territorial or federal bankruptcy laws (other than post-petition accounts payable of an Account Debtor that is a </w:t>
      </w:r>
      <w:r>
        <w:rPr>
          <w:rFonts w:ascii="Times New Roman" w:hAnsi="Times New Roman"/>
          <w:strike/>
          <w:color w:val="FF0000"/>
          <w:sz w:val="20"/>
        </w:rPr>
        <w:t>debtor  -in-possession</w:t>
      </w:r>
      <w:r>
        <w:rPr>
          <w:rFonts w:ascii="Times New Roman" w:hAnsi="Times New Roman"/>
          <w:color w:val="0000FF"/>
          <w:sz w:val="20"/>
          <w:u w:val="single"/>
          <w:bdr w:val="double" w:sz="2" w:space="1" w:color="000000"/>
        </w:rPr>
        <w:t xml:space="preserve">debtor-in-possession </w:t>
      </w:r>
      <w:r>
        <w:rPr>
          <w:rFonts w:ascii="Times New Roman" w:hAnsi="Times New Roman"/>
          <w:sz w:val="20"/>
        </w:rPr>
        <w:t xml:space="preserve">under the Bankruptcy Code or other bankruptcy or insolvency laws and reasonably acceptable to the Administrative Agent), (iv) has admitted in writing its inability, or is generally unable to, pay its debts as they become due, (v) become insolvent, or (vi) ceased operation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(l)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(m) which is owed by an Account Debtor which (i) does not maintain a principal place of business in the U.S. or Canada or (ii) is not organized under applicable law of the U.S., any state of the U.S., Canada, or any province of Canada unless, in either case, such Account is backed by a Letter of Credit acceptable to the Administrative Agent in its Permitted Discretion and which is in the possession of, and is directly drawable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 which is owed in any currency other than dollars or Canadian Dollars; </w:t>
      </w:r>
    </w:p>
    <w:p>
      <w:pPr>
        <w:pStyle w:val="TextBody"/>
        <w:bidi w:val="0"/>
        <w:spacing w:before="240" w:after="0"/>
        <w:jc w:val="left"/>
        <w:rPr>
          <w:rFonts w:ascii="Times New Roman" w:hAnsi="Times New Roman"/>
          <w:sz w:val="20"/>
        </w:rPr>
      </w:pPr>
      <w:r>
        <w:rPr>
          <w:rFonts w:ascii="Times New Roman" w:hAnsi="Times New Roman"/>
          <w:sz w:val="20"/>
        </w:rPr>
        <w:t xml:space="preserve">(o) which is owed by (i) any Governmental Authority of any country other than the U.S. unless such Account is backed by a Letter of Credit acceptable to the Administrative Agent which is in the possession of, and is directly drawable by, the Administrative Agent, or (ii) any Governmental Authority of the U.S., or any department, agency, public corporation, or instrumentality thereof, unless the Federal Assignment of Claims Act of 1940, as amended (31 U.S.C. § 3727 </w:t>
      </w:r>
      <w:r>
        <w:rPr>
          <w:rFonts w:ascii="Times New Roman" w:hAnsi="Times New Roman"/>
          <w:sz w:val="20"/>
          <w:u w:val="single"/>
        </w:rPr>
        <w:t>et</w:t>
      </w:r>
      <w:r>
        <w:rPr>
          <w:rFonts w:ascii="Times New Roman" w:hAnsi="Times New Roman"/>
          <w:sz w:val="20"/>
        </w:rPr>
        <w:t xml:space="preserve"> </w:t>
      </w:r>
      <w:r>
        <w:rPr>
          <w:rFonts w:ascii="Times New Roman" w:hAnsi="Times New Roman"/>
          <w:sz w:val="20"/>
          <w:u w:val="single"/>
        </w:rPr>
        <w:t>seq</w:t>
      </w:r>
      <w:r>
        <w:rPr>
          <w:rFonts w:ascii="Times New Roman" w:hAnsi="Times New Roman"/>
          <w:sz w:val="20"/>
        </w:rPr>
        <w:t xml:space="preserve">. and 41 U.S.C. § 15 </w:t>
      </w:r>
      <w:r>
        <w:rPr>
          <w:rFonts w:ascii="Times New Roman" w:hAnsi="Times New Roman"/>
          <w:sz w:val="20"/>
          <w:u w:val="single"/>
        </w:rPr>
        <w:t>et</w:t>
      </w:r>
      <w:r>
        <w:rPr>
          <w:rFonts w:ascii="Times New Roman" w:hAnsi="Times New Roman"/>
          <w:sz w:val="20"/>
        </w:rPr>
        <w:t xml:space="preserve"> </w:t>
      </w:r>
      <w:r>
        <w:rPr>
          <w:rFonts w:ascii="Times New Roman" w:hAnsi="Times New Roman"/>
          <w:sz w:val="20"/>
          <w:u w:val="single"/>
        </w:rPr>
        <w:t>seq</w:t>
      </w:r>
      <w:r>
        <w:rPr>
          <w:rFonts w:ascii="Times New Roman" w:hAnsi="Times New Roman"/>
          <w:sz w:val="20"/>
        </w:rPr>
        <w:t>., the “</w:t>
      </w:r>
      <w:r>
        <w:rPr>
          <w:rFonts w:ascii="Times New Roman" w:hAnsi="Times New Roman"/>
          <w:sz w:val="20"/>
          <w:u w:val="single"/>
        </w:rPr>
        <w:t>Assignment of Claims Act</w:t>
      </w:r>
      <w:r>
        <w:rPr>
          <w:rFonts w:ascii="Times New Roman" w:hAnsi="Times New Roman"/>
          <w:sz w:val="20"/>
        </w:rPr>
        <w:t xml:space="preserve">”), has been complied with to the Administrative Agent’s satisfaction in its Permitted Discretion, or (iii) the federal government of Canada, unless the </w:t>
      </w:r>
      <w:r>
        <w:rPr>
          <w:rFonts w:ascii="Times New Roman" w:hAnsi="Times New Roman"/>
          <w:i/>
          <w:sz w:val="20"/>
        </w:rPr>
        <w:t>Financial Administration Act</w:t>
      </w:r>
      <w:r>
        <w:rPr>
          <w:rFonts w:ascii="Times New Roman" w:hAnsi="Times New Roman"/>
          <w:sz w:val="20"/>
        </w:rPr>
        <w:t xml:space="preserve"> (Canada), as amended, has been complied with to the Administrative Agent’s satisfaction in its Permitted Discretion and any other steps necessary to perfect the Lien of the Administrative Agent in such Account have been complied with to the Administrative Agent’s satisfaction in its Permitted Discretion; </w:t>
      </w:r>
      <w:r>
        <w:rPr>
          <w:rFonts w:ascii="Times New Roman" w:hAnsi="Times New Roman"/>
          <w:sz w:val="20"/>
          <w:u w:val="single"/>
        </w:rPr>
        <w:t>provided,</w:t>
      </w:r>
      <w:r>
        <w:rPr>
          <w:rFonts w:ascii="Times New Roman" w:hAnsi="Times New Roman"/>
          <w:sz w:val="20"/>
        </w:rPr>
        <w:t xml:space="preserve"> that, Accounts owed by the government of the U.S. (or any department, agency, public corporation or instrumentality thereof) or the federal government of Canada in an aggregate amount not in excess of an amount equal to five percent (5%) of the aggregate amount of Eligible Accounts as of any relevant date of determination shall not be excluded from “Eligible Accounts” pursuant to this clause (o); </w:t>
      </w:r>
    </w:p>
    <w:p>
      <w:pPr>
        <w:pStyle w:val="TextBody"/>
        <w:bidi w:val="0"/>
        <w:spacing w:before="240" w:after="0"/>
        <w:jc w:val="left"/>
        <w:rPr>
          <w:rFonts w:ascii="Times New Roman" w:hAnsi="Times New Roman"/>
          <w:sz w:val="20"/>
        </w:rPr>
      </w:pPr>
      <w:r>
        <w:rPr>
          <w:rFonts w:ascii="Times New Roman" w:hAnsi="Times New Roman"/>
          <w:sz w:val="20"/>
        </w:rPr>
        <w:t xml:space="preserve">(p) which is owed by any Affiliate, employee, officer, director, agent or stockholder of any Loan Party; </w:t>
      </w:r>
    </w:p>
    <w:p>
      <w:pPr>
        <w:pStyle w:val="TextBody"/>
        <w:bidi w:val="0"/>
        <w:spacing w:before="240" w:after="0"/>
        <w:jc w:val="left"/>
        <w:rPr>
          <w:rFonts w:ascii="Times New Roman" w:hAnsi="Times New Roman"/>
          <w:sz w:val="20"/>
        </w:rPr>
      </w:pPr>
      <w:r>
        <w:rPr>
          <w:rFonts w:ascii="Times New Roman" w:hAnsi="Times New Roman"/>
          <w:sz w:val="20"/>
        </w:rPr>
        <w:t xml:space="preserve">(q) 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 </w:t>
      </w:r>
    </w:p>
    <w:p>
      <w:pPr>
        <w:pStyle w:val="TextBody"/>
        <w:bidi w:val="0"/>
        <w:spacing w:before="240" w:after="0"/>
        <w:jc w:val="left"/>
        <w:rPr>
          <w:rFonts w:ascii="Times New Roman" w:hAnsi="Times New Roman"/>
          <w:sz w:val="20"/>
        </w:rPr>
      </w:pPr>
      <w:r>
        <w:rPr>
          <w:rFonts w:ascii="Times New Roman" w:hAnsi="Times New Roman"/>
          <w:sz w:val="20"/>
        </w:rPr>
        <w:t xml:space="preserve">(r) which is subject to any counterclaim, deduction, defense, setoff or dispute but only to the extent of any such counterclaim, deduction, defense, setoff or dispute; </w:t>
      </w:r>
    </w:p>
    <w:p>
      <w:pPr>
        <w:pStyle w:val="TextBody"/>
        <w:bidi w:val="0"/>
        <w:spacing w:before="240" w:after="0"/>
        <w:jc w:val="left"/>
        <w:rPr>
          <w:rFonts w:ascii="Times New Roman" w:hAnsi="Times New Roman"/>
          <w:sz w:val="20"/>
        </w:rPr>
      </w:pPr>
      <w:r>
        <w:rPr>
          <w:rFonts w:ascii="Times New Roman" w:hAnsi="Times New Roman"/>
          <w:sz w:val="20"/>
        </w:rPr>
        <w:t xml:space="preserve">(s) which is evidenced by any promissory note, chattel paper, or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which is owed by an Account Debtor located in any jurisdiction which requires filing of a “Notice of Business Activities Report” or other similar report in order to permit the applicable Loan Party or WESCO Receivables to seek judicial enforcement in such jurisdiction of payment of such Account, unless such Loan Party or WESCO Receivables, as applicable, has filed such report or qualified to do business in such jurisdiction, or which is a Sanctioned Person; </w:t>
      </w:r>
    </w:p>
    <w:p>
      <w:pPr>
        <w:pStyle w:val="TextBody"/>
        <w:bidi w:val="0"/>
        <w:spacing w:before="240" w:after="0"/>
        <w:jc w:val="left"/>
        <w:rPr>
          <w:rFonts w:ascii="Times New Roman" w:hAnsi="Times New Roman"/>
          <w:sz w:val="20"/>
        </w:rPr>
      </w:pPr>
      <w:r>
        <w:rPr>
          <w:rFonts w:ascii="Times New Roman" w:hAnsi="Times New Roman"/>
          <w:sz w:val="20"/>
        </w:rPr>
        <w:t xml:space="preserve">(u) with respect to which such Loan Party or WESCO Receivables has made any agreement with the Account Debtor for any reduction thereof, other than discounts and adjustments given in the ordinary course of business, or any Account which was partially paid and such Loan Party or WESCO Receivables created a new receivable for the unpaid portion of such Account; </w:t>
      </w:r>
    </w:p>
    <w:p>
      <w:pPr>
        <w:pStyle w:val="TextBody"/>
        <w:bidi w:val="0"/>
        <w:spacing w:before="240" w:after="0"/>
        <w:jc w:val="left"/>
        <w:rPr>
          <w:rFonts w:ascii="Times New Roman" w:hAnsi="Times New Roman"/>
          <w:sz w:val="20"/>
        </w:rPr>
      </w:pPr>
      <w:r>
        <w:rPr>
          <w:rFonts w:ascii="Times New Roman" w:hAnsi="Times New Roman"/>
          <w:sz w:val="20"/>
        </w:rPr>
        <w:t xml:space="preserve">(v) which does not comply in all material respects with the requirements of all applicable laws and regulations, whether federal, state, provincial, territorial or local, including without limitation the Federal Consumer Credit Protection Act, the Federal Truth in Lending Act and Regulation Z of the Board; </w:t>
      </w:r>
    </w:p>
    <w:p>
      <w:pPr>
        <w:pStyle w:val="TextBody"/>
        <w:bidi w:val="0"/>
        <w:spacing w:before="240" w:after="0"/>
        <w:jc w:val="left"/>
        <w:rPr>
          <w:rFonts w:ascii="Times New Roman" w:hAnsi="Times New Roman"/>
          <w:sz w:val="20"/>
        </w:rPr>
      </w:pPr>
      <w:r>
        <w:rPr>
          <w:rFonts w:ascii="Times New Roman" w:hAnsi="Times New Roman"/>
          <w:sz w:val="20"/>
        </w:rPr>
        <w:t xml:space="preserve">(w) which is for goods that have been sold under a purchase order or pursuant to the terms of a contract or other agreement or understanding (written or oral) that indicates or purports that any Person other than such Loan Party has an ownership interest in such goods, or which indicates any party other than such Loan Party as payee or remittance party; </w:t>
      </w:r>
    </w:p>
    <w:p>
      <w:pPr>
        <w:pStyle w:val="TextBody"/>
        <w:bidi w:val="0"/>
        <w:spacing w:before="240" w:after="0"/>
        <w:jc w:val="left"/>
        <w:rPr>
          <w:rFonts w:ascii="Times New Roman" w:hAnsi="Times New Roman"/>
          <w:sz w:val="20"/>
        </w:rPr>
      </w:pPr>
      <w:r>
        <w:rPr>
          <w:rFonts w:ascii="Times New Roman" w:hAnsi="Times New Roman"/>
          <w:sz w:val="20"/>
        </w:rPr>
        <w:t xml:space="preserve">(x) which was created on cash on delivery terms; or </w:t>
      </w:r>
    </w:p>
    <w:p>
      <w:pPr>
        <w:pStyle w:val="TextBody"/>
        <w:bidi w:val="0"/>
        <w:spacing w:before="240" w:after="0"/>
        <w:jc w:val="left"/>
        <w:rPr>
          <w:rFonts w:ascii="Times New Roman" w:hAnsi="Times New Roman"/>
          <w:sz w:val="20"/>
        </w:rPr>
      </w:pPr>
      <w:r>
        <w:rPr>
          <w:rFonts w:ascii="Times New Roman" w:hAnsi="Times New Roman"/>
          <w:sz w:val="20"/>
        </w:rPr>
        <w:t xml:space="preserve">(y) which the Administrative Agent determines may not be paid by reason of the Account Debtor’s inability to pay or which the Administrative Agent otherwise determines, in its Permitted Discretion, is unacceptable.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amount of an Eligible Account,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Loan Party may be obligated to rebate to an Account Debtor pursuant to the terms of any agreement or understanding (written or oral)) and (ii) the aggregate amount of all cash received in respect of such Account but not yet applied by such Loan Party or WESCO Receivables to reduce the amount of such Account. Notwithstanding anything to the contrary set forth herein, the Administrative Agent shall not (x) change the standards of eligibility set forth herein to make such standards more restrictive, (y) exclude from Eligible Accounts any Account that meets the eligibility standards set forth herein other than pursuant to clause (y) above, or (z) exclude any Account pursuant to clause (y) above, unless, in each such case, the Administrative Agent shall have provided the Borrower Representative not less than five (5) Business Days advance notice of such change or exclusion. </w:t>
      </w:r>
    </w:p>
    <w:p>
      <w:pPr>
        <w:pStyle w:val="TextBody"/>
        <w:bidi w:val="0"/>
        <w:spacing w:before="240" w:after="0"/>
        <w:jc w:val="left"/>
        <w:rPr/>
      </w:pPr>
      <w:r>
        <w:rPr/>
        <w:t>“</w:t>
      </w:r>
      <w:r>
        <w:rPr>
          <w:rFonts w:ascii="Times New Roman" w:hAnsi="Times New Roman"/>
          <w:sz w:val="20"/>
          <w:u w:val="single"/>
        </w:rPr>
        <w:t>Eligible Inventory</w:t>
      </w:r>
      <w:r>
        <w:rPr>
          <w:rFonts w:ascii="Times New Roman" w:hAnsi="Times New Roman"/>
          <w:sz w:val="20"/>
        </w:rPr>
        <w:t xml:space="preserve">” means, at any time, the Inventory of any Loan Party that sells goods to customers in the ordinary course of business; </w:t>
      </w:r>
      <w:r>
        <w:rPr>
          <w:rFonts w:ascii="Times New Roman" w:hAnsi="Times New Roman"/>
          <w:sz w:val="20"/>
          <w:u w:val="single"/>
        </w:rPr>
        <w:t>provided</w:t>
      </w:r>
      <w:r>
        <w:rPr>
          <w:rFonts w:ascii="Times New Roman" w:hAnsi="Times New Roman"/>
          <w:sz w:val="20"/>
        </w:rPr>
        <w:t xml:space="preserve"> that Eligible Inventory shall not include any Inventory: </w:t>
      </w:r>
    </w:p>
    <w:p>
      <w:pPr>
        <w:pStyle w:val="TextBody"/>
        <w:bidi w:val="0"/>
        <w:spacing w:before="120" w:after="0"/>
        <w:jc w:val="left"/>
        <w:rPr>
          <w:rFonts w:ascii="Times New Roman" w:hAnsi="Times New Roman"/>
          <w:sz w:val="20"/>
        </w:rPr>
      </w:pPr>
      <w:r>
        <w:rPr>
          <w:rFonts w:ascii="Times New Roman" w:hAnsi="Times New Roman"/>
          <w:sz w:val="20"/>
        </w:rPr>
        <w:t xml:space="preserve">(a) which is not subject to a first priority perfected Lien in favor of the Administrative Agent (for the benefit of the Lender Parties to secure the Secured Obligations, or for the benefit of the Canadian Lender Parties to secure the Canadian Secured Obligations,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which is subject to any Lien other than (i) a Lien in favor of the Administrative Agent (for the benefit of the Lender Parties to secure the Secured Obligations, or for the benefit of the Canadian Lender Parties to secure the Canadian Secured Obligations, as the case may be) and (ii) a Permitted Encumbrance which does not have priority over the Lien in favor of the Administrative Agent (for the benefit of the Lender Parties or the Canadian Lender Parties,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which has remained unsold for twelve (12) consecutive months (or such longer period as Administrative Agent may determine in its Permitted Discretion), or for which there is more than a twelve (12) month (or such longer period as the Administrative Agent may determine in its Permitted Discretion) supply of inventory on hand unless an appropriate U.S. Borrowing Base Reserve or Canadian Borrowing Base Reserve, as applicable for such unsold / excess inventory has been established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with respect to which (i) any covenant contained in this Agreement, the U.S. Security Agreement or any Canadian Security Agreement has been breached and not cured or (ii) any representation or warranty contained in this Agreement, the U.S. Security Agreement, or the Canadian Security Agreement is not true and correct in all material respects (</w:t>
      </w:r>
      <w:r>
        <w:rPr>
          <w:rFonts w:ascii="Times New Roman" w:hAnsi="Times New Roman"/>
          <w:sz w:val="20"/>
          <w:u w:val="single"/>
        </w:rPr>
        <w:t>provided</w:t>
      </w:r>
      <w:r>
        <w:rPr>
          <w:rFonts w:ascii="Times New Roman" w:hAnsi="Times New Roman"/>
          <w:sz w:val="20"/>
        </w:rPr>
        <w:t xml:space="preserve"> that such materiality qualifier shall not be applicable to any representations and warranties that are already qualified or modified by materiality in the text thereof) and which does not conform to all standards imposed by any applicable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(e) in which any Person other than such Loan Party shall (i) have any direct or indirect ownership, interest (other than with respect to interests described in clause (b) of the definition of Permitted Encumbrances) or title to such Inventory or (ii) be indicated on any purchase order or invoice with respect to such Inventory as having or purporting to have an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(f) which is not finished goods or is not goods held for sale or which constitutes work in process, samples, prototypes, displays or display items, bill and hold or ship in place goods, goods that are returned or marked for return, repossessed goods, defective or damaged goods, goods held on consignment or goods which are not of a type held for sale in the ordinary course of business; </w:t>
      </w:r>
      <w:r>
        <w:rPr>
          <w:rFonts w:ascii="Times New Roman" w:hAnsi="Times New Roman"/>
          <w:sz w:val="20"/>
          <w:u w:val="single"/>
        </w:rPr>
        <w:t>provided,</w:t>
      </w:r>
      <w:r>
        <w:rPr>
          <w:rFonts w:ascii="Times New Roman" w:hAnsi="Times New Roman"/>
          <w:sz w:val="20"/>
        </w:rPr>
        <w:t xml:space="preserve"> that Inventory constituting work in process having a value not in excess of $5,000,000 in the aggregate at any time shall not be excluded from “Eligible Inventory” pursuant to this clause (f); </w:t>
      </w:r>
    </w:p>
    <w:p>
      <w:pPr>
        <w:pStyle w:val="TextBody"/>
        <w:bidi w:val="0"/>
        <w:spacing w:before="240" w:after="0"/>
        <w:jc w:val="left"/>
        <w:rPr>
          <w:rFonts w:ascii="Times New Roman" w:hAnsi="Times New Roman"/>
          <w:sz w:val="20"/>
        </w:rPr>
      </w:pPr>
      <w:r>
        <w:rPr>
          <w:rFonts w:ascii="Times New Roman" w:hAnsi="Times New Roman"/>
          <w:sz w:val="20"/>
        </w:rPr>
        <w:t xml:space="preserve">(g) which is in transit with a common carrier from vendors and suppliers or is not located in: (i) the U.S. with respect to Inventory owned by a U.S. Loan Party; or (ii) Canada with respect to Inventory owned by a Canadian Loan Party, except that Inventory in transit between U.S. locations, between U.S. locations and Canadian locations, and between Canadian locations of the Loan Parties shall not be excluded from “Eligible Inventory” pursuant to this clause (g) so long as the Administrative Agent’s Liens have been perfected at origin and destination; </w:t>
      </w:r>
    </w:p>
    <w:p>
      <w:pPr>
        <w:pStyle w:val="TextBody"/>
        <w:bidi w:val="0"/>
        <w:spacing w:before="240" w:after="0"/>
        <w:jc w:val="left"/>
        <w:rPr>
          <w:rFonts w:ascii="Times New Roman" w:hAnsi="Times New Roman"/>
          <w:sz w:val="20"/>
        </w:rPr>
      </w:pPr>
      <w:r>
        <w:rPr>
          <w:rFonts w:ascii="Times New Roman" w:hAnsi="Times New Roman"/>
          <w:sz w:val="20"/>
        </w:rPr>
        <w:t xml:space="preserve">(h) which is located in any location leased by such Loan Party unless (i) the lessor has delivered to the Administrative Agent a Collateral Access Agreement or (ii) an appropriate Rent Reserve has been established by the Administrative Agent in its Permitted Discretion; </w:t>
      </w:r>
    </w:p>
    <w:p>
      <w:pPr>
        <w:pStyle w:val="TextBody"/>
        <w:bidi w:val="0"/>
        <w:spacing w:before="240" w:after="0"/>
        <w:jc w:val="left"/>
        <w:rPr>
          <w:rFonts w:ascii="Times New Roman" w:hAnsi="Times New Roman"/>
          <w:sz w:val="20"/>
        </w:rPr>
      </w:pPr>
      <w:r>
        <w:rPr>
          <w:rFonts w:ascii="Times New Roman" w:hAnsi="Times New Roman"/>
          <w:sz w:val="20"/>
        </w:rPr>
        <w:t xml:space="preserve">(i) 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require or (ii) an appropriate reserve has been established by the Administrative Agent in its Permitted Discretion; </w:t>
      </w:r>
    </w:p>
    <w:p>
      <w:pPr>
        <w:pStyle w:val="TextBody"/>
        <w:bidi w:val="0"/>
        <w:spacing w:before="240" w:after="0"/>
        <w:jc w:val="left"/>
        <w:rPr>
          <w:rFonts w:ascii="Times New Roman" w:hAnsi="Times New Roman"/>
          <w:sz w:val="20"/>
        </w:rPr>
      </w:pPr>
      <w:r>
        <w:rPr>
          <w:rFonts w:ascii="Times New Roman" w:hAnsi="Times New Roman"/>
          <w:sz w:val="20"/>
        </w:rPr>
        <w:t xml:space="preserve">(j) which is being processed offsite at a third party location or outside processor, or is in-transit to or from said third party location or outside processor; </w:t>
      </w:r>
    </w:p>
    <w:p>
      <w:pPr>
        <w:pStyle w:val="TextBody"/>
        <w:bidi w:val="0"/>
        <w:spacing w:before="240" w:after="0"/>
        <w:jc w:val="left"/>
        <w:rPr>
          <w:rFonts w:ascii="Times New Roman" w:hAnsi="Times New Roman"/>
          <w:sz w:val="20"/>
        </w:rPr>
      </w:pPr>
      <w:r>
        <w:rPr>
          <w:rFonts w:ascii="Times New Roman" w:hAnsi="Times New Roman"/>
          <w:sz w:val="20"/>
        </w:rPr>
        <w:t xml:space="preserve">(k) which is located at any customer location; </w:t>
      </w:r>
      <w:r>
        <w:rPr>
          <w:rFonts w:ascii="Times New Roman" w:hAnsi="Times New Roman"/>
          <w:sz w:val="20"/>
          <w:u w:val="single"/>
        </w:rPr>
        <w:t>provided</w:t>
      </w:r>
      <w:r>
        <w:rPr>
          <w:rFonts w:ascii="Times New Roman" w:hAnsi="Times New Roman"/>
          <w:sz w:val="20"/>
        </w:rPr>
        <w:t xml:space="preserve"> that Inventory having a value not in excess of $70,000,000 in the aggregate at any time shall not be excluded from “Eligible Inventory” pursuant to this clause (k) so long as such Inventory is located at a customer location acceptable to the Administrative Agent in its Permitted Discretion; </w:t>
      </w:r>
    </w:p>
    <w:p>
      <w:pPr>
        <w:pStyle w:val="TextBody"/>
        <w:bidi w:val="0"/>
        <w:spacing w:before="240" w:after="0"/>
        <w:jc w:val="left"/>
        <w:rPr>
          <w:rFonts w:ascii="Times New Roman" w:hAnsi="Times New Roman"/>
          <w:sz w:val="20"/>
        </w:rPr>
      </w:pPr>
      <w:r>
        <w:rPr>
          <w:rFonts w:ascii="Times New Roman" w:hAnsi="Times New Roman"/>
          <w:sz w:val="20"/>
        </w:rPr>
        <w:t xml:space="preserve">(l) which is the subject of a consignment by such Loan Party as consignor; </w:t>
      </w:r>
    </w:p>
    <w:p>
      <w:pPr>
        <w:pStyle w:val="TextBody"/>
        <w:bidi w:val="0"/>
        <w:spacing w:before="240" w:after="0"/>
        <w:jc w:val="left"/>
        <w:rPr>
          <w:rFonts w:ascii="Times New Roman" w:hAnsi="Times New Roman"/>
          <w:sz w:val="20"/>
        </w:rPr>
      </w:pPr>
      <w:r>
        <w:rPr>
          <w:rFonts w:ascii="Times New Roman" w:hAnsi="Times New Roman"/>
          <w:sz w:val="20"/>
        </w:rPr>
        <w:t xml:space="preserve">(m) which is perishable; </w:t>
      </w:r>
    </w:p>
    <w:p>
      <w:pPr>
        <w:pStyle w:val="TextBody"/>
        <w:bidi w:val="0"/>
        <w:spacing w:before="240" w:after="0"/>
        <w:jc w:val="left"/>
        <w:rPr>
          <w:rFonts w:ascii="Times New Roman" w:hAnsi="Times New Roman"/>
          <w:sz w:val="20"/>
        </w:rPr>
      </w:pPr>
      <w:r>
        <w:rPr>
          <w:rFonts w:ascii="Times New Roman" w:hAnsi="Times New Roman"/>
          <w:sz w:val="20"/>
        </w:rPr>
        <w:t xml:space="preserve">(n) which contains or bears any intellectual property rights licensed to such Loan Party unless the Administrative Agent in its Permitted Discretion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which is not reflected in a current perpetual inventory report of such Loan Party or other report acceptable to the Administrative Agent in its Permitted Discretion; </w:t>
      </w:r>
    </w:p>
    <w:p>
      <w:pPr>
        <w:pStyle w:val="TextBody"/>
        <w:bidi w:val="0"/>
        <w:spacing w:before="240" w:after="0"/>
        <w:jc w:val="left"/>
        <w:rPr>
          <w:rFonts w:ascii="Times New Roman" w:hAnsi="Times New Roman"/>
          <w:sz w:val="20"/>
        </w:rPr>
      </w:pPr>
      <w:r>
        <w:rPr>
          <w:rFonts w:ascii="Times New Roman" w:hAnsi="Times New Roman"/>
          <w:sz w:val="20"/>
        </w:rPr>
        <w:t xml:space="preserve">(p) for which reclamation rights have been asserted by the seller; </w:t>
      </w:r>
    </w:p>
    <w:p>
      <w:pPr>
        <w:pStyle w:val="TextBody"/>
        <w:bidi w:val="0"/>
        <w:spacing w:before="240" w:after="0"/>
        <w:jc w:val="left"/>
        <w:rPr>
          <w:rFonts w:ascii="Times New Roman" w:hAnsi="Times New Roman"/>
          <w:sz w:val="20"/>
        </w:rPr>
      </w:pPr>
      <w:r>
        <w:rPr>
          <w:rFonts w:ascii="Times New Roman" w:hAnsi="Times New Roman"/>
          <w:sz w:val="20"/>
        </w:rPr>
        <w:t xml:space="preserve">(q) which is located at any location where the aggregate value of all Inventory of the Loan Parties is less than $100,000; or </w:t>
      </w:r>
    </w:p>
    <w:p>
      <w:pPr>
        <w:pStyle w:val="TextBody"/>
        <w:bidi w:val="0"/>
        <w:spacing w:before="240" w:after="0"/>
        <w:jc w:val="left"/>
        <w:rPr>
          <w:rFonts w:ascii="Times New Roman" w:hAnsi="Times New Roman"/>
          <w:sz w:val="20"/>
        </w:rPr>
      </w:pPr>
      <w:r>
        <w:rPr>
          <w:rFonts w:ascii="Times New Roman" w:hAnsi="Times New Roman"/>
          <w:sz w:val="20"/>
        </w:rPr>
        <w:t xml:space="preserve">(r) which the Administrative Agent otherwise determines, in its Permitted Discretion, is unacceptable.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herein, the Administrative Agent shall not (x) change the standards of eligibility set forth herein to make such standards more restrictive, (y) exclude from Eligible Inventory any Inventory that meets the eligibility standards set forth herein other than pursuant to clause (r) above, or (z) exclude any Inventory pursuant to clause (r) above, unless, in each such case, the Administrative Agent shall have provided the Borrower Representative not less than five (5) Business Days advance notice of such change or exclusion. </w:t>
      </w:r>
    </w:p>
    <w:p>
      <w:pPr>
        <w:pStyle w:val="TextBody"/>
        <w:bidi w:val="0"/>
        <w:spacing w:before="240" w:after="0"/>
        <w:jc w:val="left"/>
        <w:rPr/>
      </w:pPr>
      <w:r>
        <w:rPr/>
        <w:t>“</w:t>
      </w:r>
      <w:r>
        <w:rPr>
          <w:rFonts w:ascii="Times New Roman" w:hAnsi="Times New Roman"/>
          <w:sz w:val="20"/>
          <w:u w:val="single"/>
        </w:rPr>
        <w:t>Eligible Securitization Receivables</w:t>
      </w:r>
      <w:r>
        <w:rPr>
          <w:rFonts w:ascii="Times New Roman" w:hAnsi="Times New Roman"/>
          <w:sz w:val="20"/>
        </w:rPr>
        <w:t xml:space="preserve">” means Eligible Accounts that have been sold to WESCO Receivables pursuant to the Receivables Securitization Agreements; </w:t>
      </w:r>
      <w:r>
        <w:rPr>
          <w:rFonts w:ascii="Times New Roman" w:hAnsi="Times New Roman"/>
          <w:sz w:val="20"/>
          <w:u w:val="single"/>
        </w:rPr>
        <w:t>provided</w:t>
      </w:r>
      <w:r>
        <w:rPr>
          <w:rFonts w:ascii="Times New Roman" w:hAnsi="Times New Roman"/>
          <w:sz w:val="20"/>
        </w:rPr>
        <w:t xml:space="preserve"> that no such Accounts shall be Eligible Securitization Receivables unless (i) the Administrative Agent shall have determined, based on the results of the most recent field examination of the Accounts of the Loan Parties and WESCO Receivables conducted by the Administrative Agent, that the Loan Parties and WESCO Receivables are in compliance with Section 5.14, (ii) the Administrative Agent shall have obtained a first priority pledge of 100% of the equity interests of WESCO Receivables, and (iii) the Administrative Agent, WESCO Receivables and PNC Bank National Association shall have entered into a Control Agreement with respect to the master collection account of WESCO Receivables maintained at PNC Bank National Association into which all proceeds of Accounts sold to WESCO Receivables are required to be remitted under the terms of the Receivables Securitization Agreements. </w:t>
      </w:r>
    </w:p>
    <w:p>
      <w:pPr>
        <w:pStyle w:val="TextBody"/>
        <w:bidi w:val="0"/>
        <w:spacing w:before="240" w:after="0"/>
        <w:jc w:val="left"/>
        <w:rPr/>
      </w:pPr>
      <w:r>
        <w:rPr/>
        <w:t>“</w:t>
      </w:r>
      <w:r>
        <w:rPr>
          <w:rFonts w:ascii="Times New Roman" w:hAnsi="Times New Roman"/>
          <w:sz w:val="20"/>
          <w:u w:val="single"/>
        </w:rPr>
        <w:t>Environmental Laws</w:t>
      </w:r>
      <w:r>
        <w:rPr>
          <w:rFonts w:ascii="Times New Roman" w:hAnsi="Times New Roman"/>
          <w:sz w:val="20"/>
        </w:rPr>
        <w:t xml:space="preserve">” means all laws, rules, regulations, codes and ordinances and binding orders, decrees, judgments, injunctions, notices or agreements issued, promulgated or entered into by any Governmental Authority, relating in any way to the environment, preservation or reclamation of natural resources, the management, release or threatened release of any Hazardous Material or to health and safety matters with respect to exposure to any Hazardous Materials. </w:t>
      </w:r>
    </w:p>
    <w:p>
      <w:pPr>
        <w:pStyle w:val="TextBody"/>
        <w:bidi w:val="0"/>
        <w:spacing w:before="240" w:after="0"/>
        <w:jc w:val="left"/>
        <w:rPr/>
      </w:pPr>
      <w:r>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any Loan Party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TextBody"/>
        <w:bidi w:val="0"/>
        <w:spacing w:before="240" w:after="0"/>
        <w:jc w:val="left"/>
        <w:rPr/>
      </w:pPr>
      <w:r>
        <w:rPr/>
        <w:t>“</w:t>
      </w:r>
      <w:r>
        <w:rPr>
          <w:rFonts w:ascii="Times New Roman" w:hAnsi="Times New Roman"/>
          <w:sz w:val="20"/>
          <w:u w:val="single"/>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the rules and regulations promulgated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trade or business (whether or not incorporated) that, together with a Borrower, is treated as a single employer under Section 414(b) or (c) of the Code or Section 4001(14) of ERISA or, solely for purposes of Section 302 of ERISA and Section 412 of the Code, is treated as a single employer under Section 414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ERISA Event</w:t>
      </w:r>
      <w:r>
        <w:rPr>
          <w:rFonts w:ascii="Times New Roman" w:hAnsi="Times New Roman"/>
          <w:sz w:val="20"/>
        </w:rPr>
        <w:t xml:space="preserve">”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or in reorganization, within the meaning of Title IV of ERISA.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assigned to such term in Article VII. </w:t>
      </w:r>
    </w:p>
    <w:p>
      <w:pPr>
        <w:pStyle w:val="TextBody"/>
        <w:bidi w:val="0"/>
        <w:spacing w:before="240" w:after="0"/>
        <w:jc w:val="left"/>
        <w:rPr/>
      </w:pPr>
      <w:r>
        <w:rPr/>
        <w:t>“</w:t>
      </w:r>
      <w:r>
        <w:rPr>
          <w:rFonts w:ascii="Times New Roman" w:hAnsi="Times New Roman"/>
          <w:sz w:val="20"/>
          <w:u w:val="single"/>
        </w:rPr>
        <w:t>Exchange Rate</w:t>
      </w:r>
      <w:r>
        <w:rPr>
          <w:rFonts w:ascii="Times New Roman" w:hAnsi="Times New Roman"/>
          <w:sz w:val="20"/>
        </w:rPr>
        <w:t>” means the rate at which any currency (the “</w:t>
      </w:r>
      <w:r>
        <w:rPr>
          <w:rFonts w:ascii="Times New Roman" w:hAnsi="Times New Roman"/>
          <w:sz w:val="20"/>
          <w:u w:val="single"/>
        </w:rPr>
        <w:t>Original Currency</w:t>
      </w:r>
      <w:r>
        <w:rPr>
          <w:rFonts w:ascii="Times New Roman" w:hAnsi="Times New Roman"/>
          <w:sz w:val="20"/>
        </w:rPr>
        <w:t>”) may be exchanged into dollars, Euros or another currency (the “</w:t>
      </w:r>
      <w:r>
        <w:rPr>
          <w:rFonts w:ascii="Times New Roman" w:hAnsi="Times New Roman"/>
          <w:sz w:val="20"/>
          <w:u w:val="single"/>
        </w:rPr>
        <w:t>Exchanged Currency</w:t>
      </w:r>
      <w:r>
        <w:rPr>
          <w:rFonts w:ascii="Times New Roman" w:hAnsi="Times New Roman"/>
          <w:sz w:val="20"/>
        </w:rPr>
        <w:t xml:space="preserve">”), as set forth on such date on the relevant Reuters screen at or about 11:00 a.m. (London, England time) on such date. In the event that such rate does not appear on the Reuters screen, the “Exchange Rate” with respect to such Original Currency into such Exchanged Currency shall be determined by reference to such other publicly available service for displaying exchange rates as may be agreed upon by the Administrative Agent (or the Issuing Bank, if applicable) and the Borrower Representative or, in the absence of such agreement, such “Exchange Rate” shall instead be the Administrative Agent’s (or the Issuing Bank’s, if applicable) spot rate of exchange in the interbank market where its foreign currency exchange operations in respect of such Original Currency are then being conducted, at or about 11:00 a.m. (local time), on such date for the purchase of the Exchanged Currency, with such Original Currency for delivery two Business Days later; provided, that, if at the time of any such determination, no such spot rate can reasonably be quoted, the Administrative Agent (or the Issuing Bank, if applicable) may use any reasonable method as it deems applicable to determine such rate, and such determination shall be conclusive absent manifest error. </w:t>
      </w:r>
    </w:p>
    <w:p>
      <w:pPr>
        <w:pStyle w:val="TextBody"/>
        <w:bidi w:val="0"/>
        <w:spacing w:before="240" w:after="0"/>
        <w:jc w:val="left"/>
        <w:rPr/>
      </w:pPr>
      <w:r>
        <w:rPr/>
        <w:t>“</w:t>
      </w:r>
      <w:r>
        <w:rPr>
          <w:rFonts w:ascii="Times New Roman" w:hAnsi="Times New Roman"/>
          <w:sz w:val="20"/>
          <w:u w:val="single"/>
        </w:rPr>
        <w:t>Excluded Accounts</w:t>
      </w:r>
      <w:r>
        <w:rPr>
          <w:rFonts w:ascii="Times New Roman" w:hAnsi="Times New Roman"/>
          <w:sz w:val="20"/>
        </w:rPr>
        <w:t xml:space="preserve">” means, collectively, (a) any Deposit Account of any Loan Party which is used exclusively for the payment of payroll, payroll taxes, employee benefits or escrow deposits or to maintain client postage advances, and (b) any other Deposit Account or Securities Account of any Loan Party, so long as the aggregate amount of available funds on deposit in such Deposit Account or the aggregate value of all cash, investment property and other financial assets in such Securities Account, as applicable, does not at any time exceed $5,000,000 for more than five (5) consecutive Business Days, </w:t>
      </w:r>
      <w:r>
        <w:rPr>
          <w:rFonts w:ascii="Times New Roman" w:hAnsi="Times New Roman"/>
          <w:sz w:val="20"/>
          <w:u w:val="single"/>
        </w:rPr>
        <w:t>provided</w:t>
      </w:r>
      <w:r>
        <w:rPr>
          <w:rFonts w:ascii="Times New Roman" w:hAnsi="Times New Roman"/>
          <w:sz w:val="20"/>
        </w:rPr>
        <w:t xml:space="preserve"> that the sum of (i) the aggregate amount of available funds on deposit in all Deposit Accounts under this clause (b)</w:t>
      </w:r>
      <w:r>
        <w:rPr>
          <w:rFonts w:ascii="Times New Roman" w:hAnsi="Times New Roman"/>
          <w:sz w:val="20"/>
          <w:u w:val="single"/>
        </w:rPr>
        <w:t> plus</w:t>
      </w:r>
      <w:r>
        <w:rPr>
          <w:rFonts w:ascii="Times New Roman" w:hAnsi="Times New Roman"/>
          <w:sz w:val="20"/>
        </w:rPr>
        <w:t xml:space="preserve"> (ii) the aggregate value of all cash, investment property and other financial assets in all Securities Accounts under this clause (b) does not at any time exceed $20,000,000. </w:t>
      </w:r>
    </w:p>
    <w:p>
      <w:pPr>
        <w:pStyle w:val="TextBody"/>
        <w:bidi w:val="0"/>
        <w:spacing w:before="240" w:after="0"/>
        <w:jc w:val="left"/>
        <w:rPr/>
      </w:pPr>
      <w:r>
        <w:rPr/>
        <w:t>“</w:t>
      </w:r>
      <w:r>
        <w:rPr>
          <w:rFonts w:ascii="Times New Roman" w:hAnsi="Times New Roman"/>
          <w:sz w:val="20"/>
          <w:u w:val="single"/>
        </w:rPr>
        <w:t>Excluded Subsidiary</w:t>
      </w:r>
      <w:r>
        <w:rPr>
          <w:rFonts w:ascii="Times New Roman" w:hAnsi="Times New Roman"/>
          <w:sz w:val="20"/>
        </w:rPr>
        <w:t>” means (a) any Foreign Subsidiary (other than any Foreign Subsidiary which is, or pursuant to the terms hereof is required to be, a party to the Canadian Security Agreement, the Canadian Guarantee or the U.S. Security Agreement), (b) any Immaterial Domestic Subsidiary (other than a Designated Immaterial Subsidiary), (c) any Immaterial Canadian Subsidiary (other than a Designated Immaterial Subsidiary), (d) any Dutch Subsidiary</w:t>
      </w:r>
      <w:r>
        <w:rPr>
          <w:rFonts w:ascii="Times New Roman" w:hAnsi="Times New Roman"/>
          <w:strike/>
          <w:color w:val="FF0000"/>
          <w:sz w:val="20"/>
        </w:rPr>
        <w:t xml:space="preserve"> (other than Anixter Mid Holdings B.V.) </w:t>
      </w:r>
      <w:r>
        <w:rPr>
          <w:rFonts w:ascii="Times New Roman" w:hAnsi="Times New Roman"/>
          <w:sz w:val="20"/>
        </w:rPr>
        <w:t xml:space="preserve">or (e) any Subsidiary of any Person described in any of the foregoing clauses (a) through (d). </w:t>
      </w:r>
    </w:p>
    <w:p>
      <w:pPr>
        <w:pStyle w:val="TextBody"/>
        <w:bidi w:val="0"/>
        <w:spacing w:before="240" w:after="0"/>
        <w:jc w:val="left"/>
        <w:rPr/>
      </w:pPr>
      <w:r>
        <w:rPr/>
        <w:t>“</w:t>
      </w:r>
      <w:r>
        <w:rPr>
          <w:rFonts w:ascii="Times New Roman" w:hAnsi="Times New Roman"/>
          <w:sz w:val="20"/>
          <w:u w:val="single"/>
        </w:rPr>
        <w:t>Excluded Swap Obligation</w:t>
      </w:r>
      <w:r>
        <w:rPr>
          <w:rFonts w:ascii="Times New Roman" w:hAnsi="Times New Roman"/>
          <w:sz w:val="20"/>
        </w:rPr>
        <w:t xml:space="preserve">”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Taxes</w:t>
      </w:r>
      <w:r>
        <w:rPr>
          <w:rFonts w:ascii="Times New Roman" w:hAnsi="Times New Roman"/>
          <w:sz w:val="20"/>
        </w:rPr>
        <w:t xml:space="preserve">” means, with respect to any payment made by any Loan Party under any Loan Document,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located or, in the case of any Lender, its applicable lending office being located in, the jurisdiction imposing such Tax (or any political subdivision thereof) or (ii) that are Other Connection Taxes, (b) in the case of a Lender, U.S. federal </w:t>
      </w:r>
      <w:r>
        <w:rPr>
          <w:rFonts w:ascii="Times New Roman" w:hAnsi="Times New Roman"/>
          <w:strike/>
          <w:color w:val="FF0000"/>
          <w:sz w:val="20"/>
        </w:rPr>
        <w:t>or Canadian federal</w:t>
      </w:r>
      <w:r>
        <w:rPr>
          <w:rFonts w:ascii="Times New Roman" w:hAnsi="Times New Roman"/>
          <w:sz w:val="20"/>
        </w:rPr>
        <w:t xml:space="preserve"> withholding Taxes imposed on amounts payable to or for the account of such Lender with respect to an applicable interest in a Loan, Letter of Credit or Revolving Commitment pursuant to a law in effect on the date on which (i) such Lender acquires such interest in the Loan, Letter of Credit or Revolving Commitment (other than pursuant to an assignment request by a Borrower under Section 2.19(b)) or (ii) such Lender changes its lending office, except in each case to the extent that, pursuant to Section 2.17(a), amounts with respect to such Taxes were payable either to such Lender’s assignor immediately before such Lender became a party hereto or to such Lender immediately before it changed its lending office, (c) Taxes attributable to such Recipient’s failure to comply with Section 2.17(f), (d) any withholding Taxes imposed under FATCA and (e) any </w:t>
      </w:r>
      <w:r>
        <w:rPr>
          <w:rFonts w:ascii="Times New Roman" w:hAnsi="Times New Roman"/>
          <w:color w:val="0000FF"/>
          <w:sz w:val="20"/>
          <w:u w:val="single"/>
          <w:bdr w:val="double" w:sz="2" w:space="1" w:color="000000"/>
        </w:rPr>
        <w:t>Canadian federal</w:t>
      </w:r>
      <w:r>
        <w:rPr>
          <w:rFonts w:ascii="Times New Roman" w:hAnsi="Times New Roman"/>
          <w:sz w:val="20"/>
        </w:rPr>
        <w:t xml:space="preserve"> withholding Tax </w:t>
      </w:r>
      <w:r>
        <w:rPr>
          <w:rFonts w:ascii="Times New Roman" w:hAnsi="Times New Roman"/>
          <w:strike/>
          <w:color w:val="FF0000"/>
          <w:sz w:val="20"/>
        </w:rPr>
        <w:t>that a Lender is required to pay or incur pursuant to</w:t>
      </w:r>
      <w:r>
        <w:rPr>
          <w:rFonts w:ascii="Times New Roman" w:hAnsi="Times New Roman"/>
          <w:color w:val="0000FF"/>
          <w:sz w:val="20"/>
          <w:u w:val="single"/>
          <w:bdr w:val="double" w:sz="2" w:space="1" w:color="000000"/>
        </w:rPr>
        <w:t>imposed under</w:t>
      </w:r>
      <w:r>
        <w:rPr>
          <w:rFonts w:ascii="Times New Roman" w:hAnsi="Times New Roman"/>
          <w:sz w:val="20"/>
        </w:rPr>
        <w:t xml:space="preserve"> </w:t>
      </w:r>
      <w:r>
        <w:rPr>
          <w:rFonts w:ascii="Times New Roman" w:hAnsi="Times New Roman"/>
          <w:strike/>
          <w:color w:val="FF0000"/>
          <w:sz w:val="20"/>
        </w:rPr>
        <w:t xml:space="preserve">Part XIII of the ITA that (i) would not have been imposed had the Recipient and the payor of the amount been dealing with each other at arms’ length; or (ii) that arises because a dividend is deemed to be received by a Recipient in accordance with subsection 214(16) or subsection 214(17) of the ITA, in each case, except where (i) the non-arm’s length relationship arises or </w:t>
      </w:r>
      <w:r>
        <w:rPr>
          <w:rFonts w:ascii="Times New Roman" w:hAnsi="Times New Roman"/>
          <w:color w:val="0000FF"/>
          <w:sz w:val="20"/>
          <w:u w:val="single"/>
          <w:bdr w:val="double" w:sz="2" w:space="1" w:color="000000"/>
        </w:rPr>
        <w:t>as a result of: (i) the Recipient not dealing at arm’s length (for purposes of the ITA) with the Loan Party,</w:t>
      </w:r>
      <w:r>
        <w:rPr>
          <w:rFonts w:ascii="Times New Roman" w:hAnsi="Times New Roman"/>
          <w:sz w:val="20"/>
        </w:rPr>
        <w:t xml:space="preserve"> (ii) the Recipient </w:t>
      </w:r>
      <w:r>
        <w:rPr>
          <w:rFonts w:ascii="Times New Roman" w:hAnsi="Times New Roman"/>
          <w:strike/>
          <w:color w:val="FF0000"/>
          <w:sz w:val="20"/>
        </w:rPr>
        <w:t>is (or is deemed to be)</w:t>
      </w:r>
      <w:r>
        <w:rPr>
          <w:rFonts w:ascii="Times New Roman" w:hAnsi="Times New Roman"/>
          <w:color w:val="0000FF"/>
          <w:sz w:val="20"/>
          <w:u w:val="single"/>
          <w:bdr w:val="double" w:sz="2" w:space="1" w:color="000000"/>
        </w:rPr>
        <w:t>being</w:t>
      </w:r>
      <w:r>
        <w:rPr>
          <w:rFonts w:ascii="Times New Roman" w:hAnsi="Times New Roman"/>
          <w:sz w:val="20"/>
        </w:rPr>
        <w:t xml:space="preserve"> a “specified non-resident shareholder” </w:t>
      </w:r>
      <w:r>
        <w:rPr>
          <w:rFonts w:ascii="Times New Roman" w:hAnsi="Times New Roman"/>
          <w:strike/>
          <w:color w:val="FF0000"/>
          <w:sz w:val="20"/>
        </w:rPr>
        <w:t>or does not deal</w:t>
      </w:r>
      <w:r>
        <w:rPr>
          <w:rFonts w:ascii="Times New Roman" w:hAnsi="Times New Roman"/>
          <w:color w:val="0000FF"/>
          <w:sz w:val="20"/>
          <w:u w:val="single"/>
          <w:bdr w:val="double" w:sz="2" w:space="1" w:color="000000"/>
        </w:rPr>
        <w:t>(as defined in subsection 18(5) of the ITA) of a Loan Party or not dealing at arm’s length (for purposes of the ITA) with a “specified shareholder” (as defined in subsection 18(5) of the ITA) of a Loan Party, or (iii) the Loan Party being a “specified entity” (as defined in subsection 18.4(1) of the ITA) in respect of the Recipient, other than, in the case of (i) through (iii), where (x) the non-arm’s length relationship, (y) the Recipient being a “specified non-resident shareholder” of the Loan Party or not dealing</w:t>
      </w:r>
      <w:r>
        <w:rPr>
          <w:rFonts w:ascii="Times New Roman" w:hAnsi="Times New Roman"/>
          <w:sz w:val="20"/>
        </w:rPr>
        <w:t xml:space="preserve"> at arm’s length with a “specified shareholder” </w:t>
      </w:r>
      <w:r>
        <w:rPr>
          <w:rFonts w:ascii="Times New Roman" w:hAnsi="Times New Roman"/>
          <w:strike/>
          <w:color w:val="FF0000"/>
          <w:sz w:val="20"/>
        </w:rPr>
        <w:t>a</w:t>
      </w:r>
      <w:r>
        <w:rPr>
          <w:rFonts w:ascii="Times New Roman" w:hAnsi="Times New Roman"/>
          <w:color w:val="0000FF"/>
          <w:sz w:val="20"/>
          <w:u w:val="single"/>
          <w:bdr w:val="double" w:sz="2" w:space="1" w:color="000000"/>
        </w:rPr>
        <w:t xml:space="preserve">of the </w:t>
      </w:r>
      <w:r>
        <w:rPr>
          <w:rFonts w:ascii="Times New Roman" w:hAnsi="Times New Roman"/>
          <w:sz w:val="20"/>
        </w:rPr>
        <w:t>Loan Party,</w:t>
      </w:r>
      <w:r>
        <w:rPr>
          <w:rFonts w:ascii="Times New Roman" w:hAnsi="Times New Roman"/>
          <w:strike/>
          <w:color w:val="FF0000"/>
          <w:sz w:val="20"/>
        </w:rPr>
        <w:t xml:space="preserve"> on account of the</w:t>
      </w:r>
      <w:r>
        <w:rPr>
          <w:rFonts w:ascii="Times New Roman" w:hAnsi="Times New Roman"/>
          <w:color w:val="0000FF"/>
          <w:sz w:val="20"/>
          <w:u w:val="single"/>
          <w:bdr w:val="double" w:sz="2" w:space="1" w:color="000000"/>
        </w:rPr>
        <w:t>or (z) the Loan Party being a “specified entity” in respect of the Recipient, as applicable, arises as a result of the</w:t>
      </w:r>
      <w:r>
        <w:rPr>
          <w:rFonts w:ascii="Times New Roman" w:hAnsi="Times New Roman"/>
          <w:sz w:val="20"/>
        </w:rPr>
        <w:t xml:space="preserve"> Recipient having executed, delivered, become a party to, performed its obligations under, received payments under, received or perfected a security interest under, or enforced this Agreement or any other Loan Document. </w:t>
      </w:r>
    </w:p>
    <w:p>
      <w:pPr>
        <w:pStyle w:val="TextBody"/>
        <w:bidi w:val="0"/>
        <w:spacing w:before="240" w:after="0"/>
        <w:jc w:val="left"/>
        <w:rPr/>
      </w:pPr>
      <w:r>
        <w:rPr/>
        <w:t>“</w:t>
      </w:r>
      <w:r>
        <w:rPr>
          <w:rFonts w:ascii="Times New Roman" w:hAnsi="Times New Roman"/>
          <w:sz w:val="20"/>
          <w:u w:val="single"/>
        </w:rPr>
        <w:t>Existing Administrative Agents</w:t>
      </w:r>
      <w:r>
        <w:rPr>
          <w:rFonts w:ascii="Times New Roman" w:hAnsi="Times New Roman"/>
          <w:sz w:val="20"/>
        </w:rPr>
        <w:t xml:space="preserve">” has the meaning assigned to such term in the recitals of this Agreement. </w:t>
      </w:r>
    </w:p>
    <w:p>
      <w:pPr>
        <w:pStyle w:val="TextBody"/>
        <w:bidi w:val="0"/>
        <w:spacing w:before="240" w:after="0"/>
        <w:jc w:val="left"/>
        <w:rPr/>
      </w:pPr>
      <w:r>
        <w:rPr/>
        <w:t>“</w:t>
      </w:r>
      <w:r>
        <w:rPr>
          <w:rFonts w:ascii="Times New Roman" w:hAnsi="Times New Roman"/>
          <w:sz w:val="20"/>
          <w:u w:val="single"/>
        </w:rPr>
        <w:t>Existing Canadian Administrative Agent</w:t>
      </w:r>
      <w:r>
        <w:rPr>
          <w:rFonts w:ascii="Times New Roman" w:hAnsi="Times New Roman"/>
          <w:sz w:val="20"/>
        </w:rPr>
        <w:t xml:space="preserve">” has the meaning assigned to such term in the recitals of this Agreement. </w:t>
      </w:r>
    </w:p>
    <w:p>
      <w:pPr>
        <w:pStyle w:val="TextBody"/>
        <w:bidi w:val="0"/>
        <w:spacing w:before="240" w:after="0"/>
        <w:jc w:val="left"/>
        <w:rPr/>
      </w:pPr>
      <w:r>
        <w:rPr/>
        <w:t>“</w:t>
      </w:r>
      <w:r>
        <w:rPr>
          <w:rFonts w:ascii="Times New Roman" w:hAnsi="Times New Roman"/>
          <w:sz w:val="20"/>
          <w:u w:val="single"/>
        </w:rPr>
        <w:t>Existing Canadian Letters of Credit</w:t>
      </w:r>
      <w:r>
        <w:rPr>
          <w:rFonts w:ascii="Times New Roman" w:hAnsi="Times New Roman"/>
          <w:sz w:val="20"/>
        </w:rPr>
        <w:t xml:space="preserve">” means the letters of credit listed on </w:t>
      </w:r>
      <w:r>
        <w:rPr>
          <w:rFonts w:ascii="Times New Roman" w:hAnsi="Times New Roman"/>
          <w:sz w:val="20"/>
          <w:u w:val="single"/>
        </w:rPr>
        <w:t>Schedule 2.06</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sz w:val="20"/>
          <w:u w:val="single"/>
        </w:rPr>
        <w:t>Existing Credit Agreement</w:t>
      </w:r>
      <w:r>
        <w:rPr>
          <w:rFonts w:ascii="Times New Roman" w:hAnsi="Times New Roman"/>
          <w:sz w:val="20"/>
        </w:rPr>
        <w:t xml:space="preserve">” has the meaning assigned to such term in the recitals of this Agreement. </w:t>
      </w:r>
    </w:p>
    <w:p>
      <w:pPr>
        <w:pStyle w:val="TextBody"/>
        <w:bidi w:val="0"/>
        <w:spacing w:before="240" w:after="0"/>
        <w:jc w:val="left"/>
        <w:rPr/>
      </w:pPr>
      <w:r>
        <w:rPr/>
        <w:t>“</w:t>
      </w:r>
      <w:r>
        <w:rPr>
          <w:rFonts w:ascii="Times New Roman" w:hAnsi="Times New Roman"/>
          <w:sz w:val="20"/>
          <w:u w:val="single"/>
        </w:rPr>
        <w:t>Existing Lenders</w:t>
      </w:r>
      <w:r>
        <w:rPr>
          <w:rFonts w:ascii="Times New Roman" w:hAnsi="Times New Roman"/>
          <w:sz w:val="20"/>
        </w:rPr>
        <w:t xml:space="preserve">” has the meaning assigned to such term in the recitals of this Agreement. </w:t>
      </w:r>
    </w:p>
    <w:p>
      <w:pPr>
        <w:pStyle w:val="TextBody"/>
        <w:bidi w:val="0"/>
        <w:spacing w:before="240" w:after="0"/>
        <w:jc w:val="left"/>
        <w:rPr/>
      </w:pPr>
      <w:r>
        <w:rPr/>
        <w:t>“</w:t>
      </w:r>
      <w:r>
        <w:rPr>
          <w:rFonts w:ascii="Times New Roman" w:hAnsi="Times New Roman"/>
          <w:sz w:val="20"/>
          <w:u w:val="single"/>
        </w:rPr>
        <w:t>Existing Letters of Credit</w:t>
      </w:r>
      <w:r>
        <w:rPr>
          <w:rFonts w:ascii="Times New Roman" w:hAnsi="Times New Roman"/>
          <w:sz w:val="20"/>
        </w:rPr>
        <w:t xml:space="preserve">” means the Existing Canadian Letters of Credit and the Existing U.S. Letters of Credit. </w:t>
      </w:r>
    </w:p>
    <w:p>
      <w:pPr>
        <w:pStyle w:val="TextBody"/>
        <w:bidi w:val="0"/>
        <w:spacing w:before="240" w:after="0"/>
        <w:jc w:val="left"/>
        <w:rPr/>
      </w:pPr>
      <w:r>
        <w:rPr/>
        <w:t>“</w:t>
      </w:r>
      <w:r>
        <w:rPr>
          <w:rFonts w:ascii="Times New Roman" w:hAnsi="Times New Roman"/>
          <w:sz w:val="20"/>
          <w:u w:val="single"/>
        </w:rPr>
        <w:t>Existing Loan Documents</w:t>
      </w:r>
      <w:r>
        <w:rPr>
          <w:rFonts w:ascii="Times New Roman" w:hAnsi="Times New Roman"/>
          <w:sz w:val="20"/>
        </w:rPr>
        <w:t xml:space="preserve">” means the “Loan Documents” as defined in the Existing Credit Agreement. </w:t>
      </w:r>
    </w:p>
    <w:p>
      <w:pPr>
        <w:pStyle w:val="TextBody"/>
        <w:bidi w:val="0"/>
        <w:spacing w:before="240" w:after="0"/>
        <w:jc w:val="left"/>
        <w:rPr/>
      </w:pPr>
      <w:r>
        <w:rPr/>
        <w:t>“</w:t>
      </w:r>
      <w:r>
        <w:rPr>
          <w:rFonts w:ascii="Times New Roman" w:hAnsi="Times New Roman"/>
          <w:sz w:val="20"/>
          <w:u w:val="single"/>
        </w:rPr>
        <w:t>Existing PNC Letter of Credit</w:t>
      </w:r>
      <w:r>
        <w:rPr>
          <w:rFonts w:ascii="Times New Roman" w:hAnsi="Times New Roman"/>
          <w:sz w:val="20"/>
        </w:rPr>
        <w:t xml:space="preserve">” means the letter of credit listed on </w:t>
      </w:r>
      <w:r>
        <w:rPr>
          <w:rFonts w:ascii="Times New Roman" w:hAnsi="Times New Roman"/>
          <w:sz w:val="20"/>
          <w:u w:val="single"/>
        </w:rPr>
        <w:t>Annex I</w:t>
      </w:r>
      <w:r>
        <w:rPr>
          <w:rFonts w:ascii="Times New Roman" w:hAnsi="Times New Roman"/>
          <w:sz w:val="20"/>
        </w:rPr>
        <w:t xml:space="preserve"> attached to the Seventh Amendment at Exhibit C. </w:t>
      </w:r>
    </w:p>
    <w:p>
      <w:pPr>
        <w:pStyle w:val="TextBody"/>
        <w:bidi w:val="0"/>
        <w:spacing w:before="240" w:after="0"/>
        <w:jc w:val="left"/>
        <w:rPr/>
      </w:pPr>
      <w:r>
        <w:rPr/>
        <w:t>“</w:t>
      </w:r>
      <w:r>
        <w:rPr>
          <w:rFonts w:ascii="Times New Roman" w:hAnsi="Times New Roman"/>
          <w:sz w:val="20"/>
          <w:u w:val="single"/>
        </w:rPr>
        <w:t>Existing U.S. Administrative Agent</w:t>
      </w:r>
      <w:r>
        <w:rPr>
          <w:rFonts w:ascii="Times New Roman" w:hAnsi="Times New Roman"/>
          <w:sz w:val="20"/>
        </w:rPr>
        <w:t xml:space="preserve">” has the meaning assigned to such term in the recitals of this Agreement. </w:t>
      </w:r>
    </w:p>
    <w:p>
      <w:pPr>
        <w:pStyle w:val="TextBody"/>
        <w:bidi w:val="0"/>
        <w:spacing w:before="240" w:after="0"/>
        <w:jc w:val="left"/>
        <w:rPr/>
      </w:pPr>
      <w:r>
        <w:rPr/>
        <w:t>“</w:t>
      </w:r>
      <w:r>
        <w:rPr>
          <w:rFonts w:ascii="Times New Roman" w:hAnsi="Times New Roman"/>
          <w:sz w:val="20"/>
          <w:u w:val="single"/>
        </w:rPr>
        <w:t>Existing U.S. Letters of Credit</w:t>
      </w:r>
      <w:r>
        <w:rPr>
          <w:rFonts w:ascii="Times New Roman" w:hAnsi="Times New Roman"/>
          <w:sz w:val="20"/>
        </w:rPr>
        <w:t xml:space="preserve">” means the letters of credit listed on </w:t>
      </w:r>
      <w:r>
        <w:rPr>
          <w:rFonts w:ascii="Times New Roman" w:hAnsi="Times New Roman"/>
          <w:sz w:val="20"/>
          <w:u w:val="single"/>
        </w:rPr>
        <w:t>Schedule 2.06</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Code, as of the </w:t>
      </w:r>
      <w:r>
        <w:rPr>
          <w:rFonts w:ascii="Times New Roman" w:hAnsi="Times New Roman"/>
          <w:strike/>
          <w:color w:val="FF0000"/>
          <w:sz w:val="20"/>
        </w:rPr>
        <w:t>Fourth Restatement</w:t>
      </w:r>
      <w:r>
        <w:rPr>
          <w:rFonts w:ascii="Times New Roman" w:hAnsi="Times New Roman"/>
          <w:color w:val="0000FF"/>
          <w:sz w:val="20"/>
          <w:u w:val="single"/>
          <w:bdr w:val="double" w:sz="2" w:space="1" w:color="000000"/>
        </w:rPr>
        <w:t>Ninth Amendment Effective</w:t>
      </w:r>
      <w:r>
        <w:rPr>
          <w:rFonts w:ascii="Times New Roman" w:hAnsi="Times New Roman"/>
          <w:sz w:val="20"/>
        </w:rPr>
        <w:t xml:space="preserve"> Date (or any amended or successor version that is substantively comparable and not materially more onerous to comply with), any current or future regulations or official interpretations thereof and any agreement entered into pursuant to Section 1471(b)(1) of the Code and any applicable intergovernmental agreements with respect thereto and applicable fiscal or regulatory legislation rules, practices or other official implementing guidance thereunder or pursuant to such intergovernmental agreements. </w:t>
      </w:r>
    </w:p>
    <w:p>
      <w:pPr>
        <w:pStyle w:val="TextBody"/>
        <w:bidi w:val="0"/>
        <w:spacing w:before="240" w:after="0"/>
        <w:jc w:val="left"/>
        <w:rPr/>
      </w:pPr>
      <w:r>
        <w:rPr/>
        <w:t>“</w:t>
      </w:r>
      <w:r>
        <w:rPr>
          <w:rFonts w:ascii="Times New Roman" w:hAnsi="Times New Roman"/>
          <w:sz w:val="20"/>
          <w:u w:val="single"/>
        </w:rPr>
        <w:t>Federal Funds Effective Rate</w:t>
      </w:r>
      <w:r>
        <w:rPr>
          <w:rFonts w:ascii="Times New Roman" w:hAnsi="Times New Roman"/>
          <w:sz w:val="20"/>
        </w:rPr>
        <w:t xml:space="preserve">” means, for any day, the rate calculated by the Federal Reserve Bank of New York based on such day’s federal funds transactions by depository institutions (as determined in such manner as published by the Federal Reserve Bank of New York on the Federal Reserve Bank of New York’s Website from time to time) and published on the next succeeding Business Day by the Federal Reserve Bank of New York as the federal funds effective rate; </w:t>
      </w:r>
      <w:r>
        <w:rPr>
          <w:rFonts w:ascii="Times New Roman" w:hAnsi="Times New Roman"/>
          <w:sz w:val="20"/>
          <w:u w:val="single"/>
        </w:rPr>
        <w:t>provided</w:t>
      </w:r>
      <w:r>
        <w:rPr>
          <w:rFonts w:ascii="Times New Roman" w:hAnsi="Times New Roman"/>
          <w:sz w:val="20"/>
        </w:rPr>
        <w:t xml:space="preserve">, that if the Federal Funds Effective Rate for any day is less than zero, the Federal Funds Effective Rate for such day will be deemed to be zero. </w:t>
      </w:r>
    </w:p>
    <w:p>
      <w:pPr>
        <w:pStyle w:val="TextBody"/>
        <w:bidi w:val="0"/>
        <w:spacing w:before="240" w:after="0"/>
        <w:jc w:val="left"/>
        <w:rPr/>
      </w:pPr>
      <w:r>
        <w:rPr/>
        <w:t>“</w:t>
      </w:r>
      <w:r>
        <w:rPr>
          <w:rFonts w:ascii="Times New Roman" w:hAnsi="Times New Roman"/>
          <w:sz w:val="20"/>
          <w:u w:val="single"/>
        </w:rPr>
        <w:t>Federal Reserve Bank of New York’s Website</w:t>
      </w:r>
      <w:r>
        <w:rPr>
          <w:rFonts w:ascii="Times New Roman" w:hAnsi="Times New Roman"/>
          <w:sz w:val="20"/>
        </w:rPr>
        <w:t xml:space="preserve">” means the website of the Federal Reserve Bank of New York at http://www.newyorkfed.org, or any successor source. </w:t>
      </w:r>
    </w:p>
    <w:p>
      <w:pPr>
        <w:pStyle w:val="TextBody"/>
        <w:bidi w:val="0"/>
        <w:spacing w:before="24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of the United States of America. </w:t>
      </w:r>
    </w:p>
    <w:p>
      <w:pPr>
        <w:pStyle w:val="TextBody"/>
        <w:bidi w:val="0"/>
        <w:spacing w:before="240" w:after="0"/>
        <w:jc w:val="left"/>
        <w:rPr/>
      </w:pPr>
      <w:r>
        <w:rPr/>
        <w:t>“</w:t>
      </w:r>
      <w:r>
        <w:rPr>
          <w:rFonts w:ascii="Times New Roman" w:hAnsi="Times New Roman"/>
          <w:sz w:val="20"/>
          <w:u w:val="single"/>
        </w:rPr>
        <w:t>Fee Letter</w:t>
      </w:r>
      <w:r>
        <w:rPr>
          <w:rFonts w:ascii="Times New Roman" w:hAnsi="Times New Roman"/>
          <w:sz w:val="20"/>
        </w:rPr>
        <w:t xml:space="preserve">” means that certain fee letter, dated as of January 10, 2020, by and among Holdings, Barclays, Canadian Imperial Bank of Commerce, New York Branch, Fifth Third Bank, National Association, PNC Bank, National Association, PNC Capital Markets LLC, The Toronto-Dominion Bank, New York Branch, TD Securities (USA) LLC, and U.S. Bank National Association, as amended by that certain amendment to commitment letter and fee letter, dated as of February 3, 2020. </w:t>
      </w:r>
    </w:p>
    <w:p>
      <w:pPr>
        <w:pStyle w:val="TextBody"/>
        <w:bidi w:val="0"/>
        <w:spacing w:before="240" w:after="0"/>
        <w:jc w:val="left"/>
        <w:rPr/>
      </w:pPr>
      <w:r>
        <w:rPr/>
        <w:t>“</w:t>
      </w:r>
      <w:r>
        <w:rPr>
          <w:rFonts w:ascii="Times New Roman" w:hAnsi="Times New Roman"/>
          <w:sz w:val="20"/>
          <w:u w:val="single"/>
        </w:rPr>
        <w:t>Financial Officer</w:t>
      </w:r>
      <w:r>
        <w:rPr>
          <w:rFonts w:ascii="Times New Roman" w:hAnsi="Times New Roman"/>
          <w:sz w:val="20"/>
        </w:rPr>
        <w:t xml:space="preserve">” means the chief financial officer, principal accounting officer, treasurer, assistant treasurer or corporate controller of a Borrower or other officer so designated by the Borrower. </w:t>
      </w:r>
    </w:p>
    <w:p>
      <w:pPr>
        <w:pStyle w:val="TextBody"/>
        <w:bidi w:val="0"/>
        <w:spacing w:before="240" w:after="0"/>
        <w:jc w:val="left"/>
        <w:rPr/>
      </w:pPr>
      <w:r>
        <w:rPr/>
        <w:t>“</w:t>
      </w:r>
      <w:r>
        <w:rPr>
          <w:rFonts w:ascii="Times New Roman" w:hAnsi="Times New Roman"/>
          <w:sz w:val="20"/>
          <w:u w:val="single"/>
        </w:rPr>
        <w:t>First Amendment</w:t>
      </w:r>
      <w:r>
        <w:rPr>
          <w:rFonts w:ascii="Times New Roman" w:hAnsi="Times New Roman"/>
          <w:sz w:val="20"/>
        </w:rPr>
        <w:t xml:space="preserve">” means that certain First Amendment to Fourth Amended and Restated Credit Agreement, dated as of December 14, 2020, by and among the Borrowers, the Lenders party thereto and the Administrative Agent. </w:t>
      </w:r>
    </w:p>
    <w:p>
      <w:pPr>
        <w:pStyle w:val="TextBody"/>
        <w:bidi w:val="0"/>
        <w:spacing w:before="240" w:after="0"/>
        <w:jc w:val="left"/>
        <w:rPr/>
      </w:pPr>
      <w:r>
        <w:rPr/>
        <w:t>“</w:t>
      </w:r>
      <w:r>
        <w:rPr>
          <w:rFonts w:ascii="Times New Roman" w:hAnsi="Times New Roman"/>
          <w:sz w:val="20"/>
          <w:u w:val="single"/>
        </w:rPr>
        <w:t>Fixed Charge Coverage Ratio</w:t>
      </w:r>
      <w:r>
        <w:rPr>
          <w:rFonts w:ascii="Times New Roman" w:hAnsi="Times New Roman"/>
          <w:sz w:val="20"/>
        </w:rPr>
        <w:t xml:space="preserve">” means, for any period of four consecutive fiscal quarters, the ratio of (a) EBITDA for such period to (b) Fixed Charges for such period, all calculated for Holdings and its Restricted Subsidiaries on a consolidated basis in accordance with GAAP. </w:t>
      </w:r>
    </w:p>
    <w:p>
      <w:pPr>
        <w:pStyle w:val="TextBody"/>
        <w:bidi w:val="0"/>
        <w:spacing w:before="240" w:after="0"/>
        <w:jc w:val="left"/>
        <w:rPr/>
      </w:pPr>
      <w:r>
        <w:rPr/>
        <w:t>“</w:t>
      </w:r>
      <w:r>
        <w:rPr>
          <w:rFonts w:ascii="Times New Roman" w:hAnsi="Times New Roman"/>
          <w:sz w:val="20"/>
          <w:u w:val="single"/>
        </w:rPr>
        <w:t>Fixed Charge Coverage Trigger Event</w:t>
      </w:r>
      <w:r>
        <w:rPr>
          <w:rFonts w:ascii="Times New Roman" w:hAnsi="Times New Roman"/>
          <w:sz w:val="20"/>
        </w:rPr>
        <w:t xml:space="preserve">” means any day on which either (a) a Specified Event of Default shall occur or (b) Aggregate Availability shall fall below the Aggregate Availability Trigger Amount. </w:t>
      </w:r>
    </w:p>
    <w:p>
      <w:pPr>
        <w:pStyle w:val="TextBody"/>
        <w:bidi w:val="0"/>
        <w:spacing w:before="240" w:after="0"/>
        <w:jc w:val="left"/>
        <w:rPr/>
      </w:pPr>
      <w:r>
        <w:rPr/>
        <w:t>“</w:t>
      </w:r>
      <w:r>
        <w:rPr>
          <w:rFonts w:ascii="Times New Roman" w:hAnsi="Times New Roman"/>
          <w:sz w:val="20"/>
          <w:u w:val="single"/>
        </w:rPr>
        <w:t>Fixed Charge Coverage Trigger Period</w:t>
      </w:r>
      <w:r>
        <w:rPr>
          <w:rFonts w:ascii="Times New Roman" w:hAnsi="Times New Roman"/>
          <w:sz w:val="20"/>
        </w:rPr>
        <w:t xml:space="preserve">” means the period (a) commencing on the occurrence of a Fixed Charge Coverage Trigger Event and (b) continuing until the date on which Aggregate Availability has exceeded the Aggregate Availability Trigger Amount for thirty (30) consecutive days and no Specified Event of Default exists. </w:t>
      </w:r>
    </w:p>
    <w:p>
      <w:pPr>
        <w:pStyle w:val="TextBody"/>
        <w:bidi w:val="0"/>
        <w:spacing w:before="240" w:after="0"/>
        <w:jc w:val="left"/>
        <w:rPr/>
      </w:pPr>
      <w:r>
        <w:rPr/>
        <w:t>“</w:t>
      </w:r>
      <w:r>
        <w:rPr>
          <w:rFonts w:ascii="Times New Roman" w:hAnsi="Times New Roman"/>
          <w:sz w:val="20"/>
          <w:u w:val="single"/>
        </w:rPr>
        <w:t>Fixed Charges</w:t>
      </w:r>
      <w:r>
        <w:rPr>
          <w:rFonts w:ascii="Times New Roman" w:hAnsi="Times New Roman"/>
          <w:sz w:val="20"/>
        </w:rPr>
        <w:t xml:space="preserve">” means, with reference to any period, without duplication, (i) cash Interest Expense, </w:t>
      </w:r>
      <w:r>
        <w:rPr>
          <w:rFonts w:ascii="Times New Roman" w:hAnsi="Times New Roman"/>
          <w:sz w:val="20"/>
          <w:u w:val="single"/>
        </w:rPr>
        <w:t>plus</w:t>
      </w:r>
      <w:r>
        <w:rPr>
          <w:rFonts w:ascii="Times New Roman" w:hAnsi="Times New Roman"/>
          <w:sz w:val="20"/>
        </w:rPr>
        <w:t xml:space="preserve"> (ii) scheduled cash principal payments on Indebtedness made during such period (excluding (A) any scheduled payment on Indebtedness to the extent funded with additional Indebtedness permitted under Section 6.01 and (B) principal payments in respect of (x) the Revolving Loans or (y) Indebtedness owing under the Receivables Securitization Agreements), </w:t>
      </w:r>
      <w:r>
        <w:rPr>
          <w:rFonts w:ascii="Times New Roman" w:hAnsi="Times New Roman"/>
          <w:sz w:val="20"/>
          <w:u w:val="single"/>
        </w:rPr>
        <w:t>plus</w:t>
      </w:r>
      <w:r>
        <w:rPr>
          <w:rFonts w:ascii="Times New Roman" w:hAnsi="Times New Roman"/>
          <w:sz w:val="20"/>
        </w:rPr>
        <w:t xml:space="preserve"> (iii) expense for taxes paid in cash for such period, </w:t>
      </w:r>
      <w:r>
        <w:rPr>
          <w:rFonts w:ascii="Times New Roman" w:hAnsi="Times New Roman"/>
          <w:sz w:val="20"/>
          <w:u w:val="single"/>
        </w:rPr>
        <w:t>plus</w:t>
      </w:r>
      <w:r>
        <w:rPr>
          <w:rFonts w:ascii="Times New Roman" w:hAnsi="Times New Roman"/>
          <w:sz w:val="20"/>
        </w:rPr>
        <w:t xml:space="preserve"> (iv) Restricted Payments made by Holdings and paid in cash during such period (other than Restricted Payments made pursuant to Section 6.08(a)(ix)), </w:t>
      </w:r>
      <w:r>
        <w:rPr>
          <w:rFonts w:ascii="Times New Roman" w:hAnsi="Times New Roman"/>
          <w:sz w:val="20"/>
          <w:u w:val="single"/>
        </w:rPr>
        <w:t>plus</w:t>
      </w:r>
      <w:r>
        <w:rPr>
          <w:rFonts w:ascii="Times New Roman" w:hAnsi="Times New Roman"/>
          <w:sz w:val="20"/>
        </w:rPr>
        <w:t xml:space="preserve"> (v) Capital Lease Obligation payments and unfinanced Capital Expenditures made in cash made during such period (other than any such Capital Lease Obligation payments or Capital Expenditures to the extent that such Capital Lease Obligation payments or Capital Expenditures are made with proceeds from (A) any sale of assets permitted by this Agreement, (B) sale of Equity Interests permitted by this Agreement (other than in connection with the Anixter Acquisition), (C) trade-ins of machinery, equipment or motor vehicles or (D) insurance covering any loss or damage to Collateral), all calculated for Holdings and its Restricted Subsidiaries on a consolidated basis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Foreign Banking Services</w:t>
      </w:r>
      <w:r>
        <w:rPr>
          <w:rFonts w:ascii="Times New Roman" w:hAnsi="Times New Roman"/>
          <w:sz w:val="20"/>
        </w:rPr>
        <w:t xml:space="preserve">” means each and any of the following bank services provided to one or more of Holdings’ Foreign Subsidiaries by any Lender or any Affiliate of a Lender (or any Person that was a Lender or an Affiliate of a Lender at the time the service was initially provided, or in the case of any services in effect on the Fourth Restatement Date, was a Lender or an Affiliate of a Lender as of such date) solely in connection with or related to Foreign Credit Extensions extended by such Lender or its Affiliates to such Foreign Subsidiaries of Holdings: (a) credit cards for commercial customers (including, without limitation, “commercial credit cards” and purchasing cards), (b) stored value cards, (c) credit cards issued to employees of Holdings’ Foreign Subsidiaries for travel, entertainment and similar expenses, (d) supply chain finance arrangements, and (e) treasury management services (including, without limitation, controlled disbursement, automated clearinghouse transactions, return items, overdrafts and depository network services). </w:t>
      </w:r>
    </w:p>
    <w:p>
      <w:pPr>
        <w:pStyle w:val="TextBody"/>
        <w:bidi w:val="0"/>
        <w:spacing w:before="240" w:after="0"/>
        <w:jc w:val="left"/>
        <w:rPr/>
      </w:pPr>
      <w:r>
        <w:rPr/>
        <w:t>“</w:t>
      </w:r>
      <w:r>
        <w:rPr>
          <w:rFonts w:ascii="Times New Roman" w:hAnsi="Times New Roman"/>
          <w:sz w:val="20"/>
          <w:u w:val="single"/>
        </w:rPr>
        <w:t>Foreign Banking Services Obligations</w:t>
      </w:r>
      <w:r>
        <w:rPr>
          <w:rFonts w:ascii="Times New Roman" w:hAnsi="Times New Roman"/>
          <w:sz w:val="20"/>
        </w:rPr>
        <w:t xml:space="preserve">” of Holdings’ Foreign Subsidiaries means any and all obligations of such Foreign Subsidiaries, whether absolute or contingent and howsoever and whensoever created, arising, evidenced or acquired (including all renewals, extensions and modifications thereof and substitutions therefor) in connection with Foreign Banking Services. </w:t>
      </w:r>
    </w:p>
    <w:p>
      <w:pPr>
        <w:pStyle w:val="TextBody"/>
        <w:bidi w:val="0"/>
        <w:spacing w:before="240" w:after="0"/>
        <w:jc w:val="left"/>
        <w:rPr/>
      </w:pPr>
      <w:r>
        <w:rPr/>
        <w:t>“</w:t>
      </w:r>
      <w:r>
        <w:rPr>
          <w:rFonts w:ascii="Times New Roman" w:hAnsi="Times New Roman"/>
          <w:sz w:val="20"/>
          <w:u w:val="single"/>
        </w:rPr>
        <w:t>Foreign Credit Extensions</w:t>
      </w:r>
      <w:r>
        <w:rPr>
          <w:rFonts w:ascii="Times New Roman" w:hAnsi="Times New Roman"/>
          <w:sz w:val="20"/>
        </w:rPr>
        <w:t xml:space="preserve">” means credit extended by any Lender (or any of its affiliates) to one or more of Holdings’ Foreign Subsidiaries, including Letters of Credit issued for the accounts of Holdings’ Foreign Subsidiaries (other than Letters of Credit issued under this Agreement), working capital and other loans made by any Lender (or any of its Affiliates) to Holdings’ Foreign Subsidiaries, guarantees by Barclays or any Lender (or any of its Affiliates) of indebtedness of Holdings’ Foreign Subsidiaries, international trade instruments issued or guaranteed by any Lender (or any of its affiliates) for the accounts of Holdings’ Foreign Subsidiaries, or other similar extensions of credit by any Lender (or any of its Affiliates) to Holdings’ Foreign Subsidiaries. </w:t>
      </w:r>
    </w:p>
    <w:p>
      <w:pPr>
        <w:pStyle w:val="TextBody"/>
        <w:bidi w:val="0"/>
        <w:spacing w:before="240" w:after="0"/>
        <w:jc w:val="left"/>
        <w:rPr/>
      </w:pPr>
      <w:r>
        <w:rPr/>
        <w:t>“</w:t>
      </w:r>
      <w:r>
        <w:rPr>
          <w:rFonts w:ascii="Times New Roman" w:hAnsi="Times New Roman"/>
          <w:sz w:val="20"/>
          <w:u w:val="single"/>
        </w:rPr>
        <w:t>Foreign Credit Reserves</w:t>
      </w:r>
      <w:r>
        <w:rPr>
          <w:rFonts w:ascii="Times New Roman" w:hAnsi="Times New Roman"/>
          <w:sz w:val="20"/>
        </w:rPr>
        <w:t xml:space="preserve">” means reserves (in an amount of dollars constituting the Dollar Amount of the currency in which such credit extension is denominated) established by the Administrative Agent in its Permitted Discretion in respect of Foreign Credit Extensions. </w:t>
      </w:r>
    </w:p>
    <w:p>
      <w:pPr>
        <w:pStyle w:val="TextBody"/>
        <w:bidi w:val="0"/>
        <w:spacing w:before="240" w:after="0"/>
        <w:jc w:val="left"/>
        <w:rPr/>
      </w:pPr>
      <w:r>
        <w:rPr/>
        <w:t>“</w:t>
      </w:r>
      <w:r>
        <w:rPr>
          <w:rFonts w:ascii="Times New Roman" w:hAnsi="Times New Roman"/>
          <w:sz w:val="20"/>
          <w:u w:val="single"/>
        </w:rPr>
        <w:t>Foreign Subsidiary</w:t>
      </w:r>
      <w:r>
        <w:rPr>
          <w:rFonts w:ascii="Times New Roman" w:hAnsi="Times New Roman"/>
          <w:sz w:val="20"/>
        </w:rPr>
        <w:t xml:space="preserve">” means, with respect to any Person, each subsidiary of such Person that is not a Domestic Subsidiary or a Canadian Subsidiary of such Person. </w:t>
      </w:r>
    </w:p>
    <w:p>
      <w:pPr>
        <w:pStyle w:val="TextBody"/>
        <w:bidi w:val="0"/>
        <w:spacing w:before="240" w:after="0"/>
        <w:jc w:val="left"/>
        <w:rPr/>
      </w:pPr>
      <w:r>
        <w:rPr>
          <w:strike/>
          <w:color w:val="FF0000"/>
        </w:rPr>
        <w:t>“</w:t>
      </w:r>
      <w:r>
        <w:rPr>
          <w:rFonts w:ascii="Times New Roman" w:hAnsi="Times New Roman"/>
          <w:strike/>
          <w:color w:val="FF0000"/>
          <w:sz w:val="20"/>
          <w:u w:val="single"/>
        </w:rPr>
        <w:t>Fourth Amendment</w:t>
      </w:r>
      <w:r>
        <w:rPr>
          <w:rFonts w:ascii="Times New Roman" w:hAnsi="Times New Roman"/>
          <w:strike/>
          <w:color w:val="FF0000"/>
          <w:sz w:val="20"/>
        </w:rPr>
        <w:t xml:space="preserve">” means that certain Fourth Amendment to Fourth </w:t>
      </w:r>
      <w:r>
        <w:rPr>
          <w:rFonts w:ascii="Times New Roman" w:hAnsi="Times New Roman"/>
          <w:strike/>
          <w:color w:val="008000"/>
          <w:sz w:val="20"/>
        </w:rPr>
        <w:t>Amended and Restated Credit Agreement, dated as of the</w:t>
      </w:r>
      <w:r>
        <w:rPr>
          <w:rFonts w:ascii="Times New Roman" w:hAnsi="Times New Roman"/>
          <w:sz w:val="20"/>
        </w:rPr>
        <w:t xml:space="preserve"> </w:t>
      </w:r>
      <w:r>
        <w:rPr>
          <w:rFonts w:ascii="Times New Roman" w:hAnsi="Times New Roman"/>
          <w:strike/>
          <w:color w:val="FF0000"/>
          <w:sz w:val="20"/>
        </w:rPr>
        <w:t>Fourth</w:t>
      </w:r>
      <w:r>
        <w:rPr>
          <w:rFonts w:ascii="Times New Roman" w:hAnsi="Times New Roman"/>
          <w:strike/>
          <w:color w:val="008000"/>
          <w:sz w:val="20"/>
        </w:rPr>
        <w:t xml:space="preserve"> Amendment Effective Date, by and among the Borrowers, the Lenders party thereto and the Administrative Agent.</w:t>
      </w:r>
      <w:r>
        <w:rPr>
          <w:rFonts w:ascii="Times New Roman" w:hAnsi="Times New Roman"/>
          <w:sz w:val="20"/>
        </w:rPr>
        <w:t xml:space="preserve"> </w:t>
      </w:r>
    </w:p>
    <w:p>
      <w:pPr>
        <w:pStyle w:val="TextBody"/>
        <w:bidi w:val="0"/>
        <w:spacing w:before="240" w:after="0"/>
        <w:jc w:val="left"/>
        <w:rPr/>
      </w:pPr>
      <w:r>
        <w:rPr>
          <w:strike/>
          <w:color w:val="FF0000"/>
          <w:u w:val="single"/>
        </w:rPr>
        <w:t>“</w:t>
      </w:r>
      <w:r>
        <w:rPr>
          <w:rFonts w:ascii="Times New Roman" w:hAnsi="Times New Roman"/>
          <w:strike/>
          <w:color w:val="FF0000"/>
          <w:sz w:val="20"/>
          <w:u w:val="single"/>
        </w:rPr>
        <w:t>Fourth Amendment Effective Date</w:t>
      </w:r>
      <w:r>
        <w:rPr>
          <w:rFonts w:ascii="Times New Roman" w:hAnsi="Times New Roman"/>
          <w:strike/>
          <w:color w:val="FF0000"/>
          <w:sz w:val="20"/>
        </w:rPr>
        <w:t>” means October 31, 2022.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Fourth Restatement Date</w:t>
      </w:r>
      <w:r>
        <w:rPr>
          <w:rFonts w:ascii="Times New Roman" w:hAnsi="Times New Roman"/>
          <w:sz w:val="20"/>
        </w:rPr>
        <w:t xml:space="preserve">” means the date on which the conditions specified in Section 4.01 are satisfied (or waived in accordance with Section 9.02). </w:t>
      </w:r>
    </w:p>
    <w:p>
      <w:pPr>
        <w:pStyle w:val="TextBody"/>
        <w:bidi w:val="0"/>
        <w:spacing w:before="240" w:after="0"/>
        <w:jc w:val="left"/>
        <w:rPr/>
      </w:pPr>
      <w:r>
        <w:rPr/>
        <w:t>“</w:t>
      </w:r>
      <w:r>
        <w:rPr>
          <w:rFonts w:ascii="Times New Roman" w:hAnsi="Times New Roman"/>
          <w:sz w:val="20"/>
          <w:u w:val="single"/>
        </w:rPr>
        <w:t>Fundamental Change Transaction</w:t>
      </w:r>
      <w:r>
        <w:rPr>
          <w:rFonts w:ascii="Times New Roman" w:hAnsi="Times New Roman"/>
          <w:sz w:val="20"/>
        </w:rPr>
        <w:t xml:space="preserve">” has the meaning assigned to such term in Section 6.03(a). </w:t>
      </w:r>
    </w:p>
    <w:p>
      <w:pPr>
        <w:pStyle w:val="TextBody"/>
        <w:bidi w:val="0"/>
        <w:spacing w:before="240" w:after="0"/>
        <w:jc w:val="left"/>
        <w:rPr/>
      </w:pPr>
      <w:r>
        <w:rPr/>
        <w:t>“</w:t>
      </w:r>
      <w:r>
        <w:rPr>
          <w:rFonts w:ascii="Times New Roman" w:hAnsi="Times New Roman"/>
          <w:sz w:val="20"/>
          <w:u w:val="single"/>
        </w:rPr>
        <w:t>Funding Accounts</w:t>
      </w:r>
      <w:r>
        <w:rPr>
          <w:rFonts w:ascii="Times New Roman" w:hAnsi="Times New Roman"/>
          <w:sz w:val="20"/>
        </w:rPr>
        <w:t xml:space="preserve">” has the meaning assigned to such term in Section 4.01(g).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of America; </w:t>
      </w:r>
      <w:r>
        <w:rPr>
          <w:rFonts w:ascii="Times New Roman" w:hAnsi="Times New Roman"/>
          <w:sz w:val="20"/>
          <w:u w:val="single"/>
        </w:rPr>
        <w:t>provided</w:t>
      </w:r>
      <w:r>
        <w:rPr>
          <w:rFonts w:ascii="Times New Roman" w:hAnsi="Times New Roman"/>
          <w:sz w:val="20"/>
        </w:rPr>
        <w:t>, however, that with respect to any determination involving a Canadian Loan Party on a standalone basis, “</w:t>
      </w:r>
      <w:r>
        <w:rPr>
          <w:rFonts w:ascii="Times New Roman" w:hAnsi="Times New Roman"/>
          <w:sz w:val="20"/>
          <w:u w:val="single"/>
        </w:rPr>
        <w:t>GAAP</w:t>
      </w:r>
      <w:r>
        <w:rPr>
          <w:rFonts w:ascii="Times New Roman" w:hAnsi="Times New Roman"/>
          <w:sz w:val="20"/>
        </w:rPr>
        <w:t xml:space="preserve">” means generally accepted accounting principles in Canada.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Canada, any other nation or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Guarantee</w:t>
      </w:r>
      <w:r>
        <w:rPr>
          <w:rFonts w:ascii="Times New Roman" w:hAnsi="Times New Roman"/>
          <w:sz w:val="20"/>
        </w:rPr>
        <w:t>” of or by any Person (the “</w:t>
      </w:r>
      <w:r>
        <w:rPr>
          <w:rFonts w:ascii="Times New Roman" w:hAnsi="Times New Roman"/>
          <w:sz w:val="20"/>
          <w:u w:val="single"/>
        </w:rPr>
        <w:t>guarantor</w:t>
      </w:r>
      <w:r>
        <w:rPr>
          <w:rFonts w:ascii="Times New Roman" w:hAnsi="Times New Roman"/>
          <w:sz w:val="20"/>
        </w:rPr>
        <w:t>”) means any obligation, contingent or otherwise, of the guarantor guaranteeing or having the economic effect of guaranteeing any Indebtedness or other obligation of any 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sz w:val="20"/>
          <w:u w:val="single"/>
        </w:rPr>
        <w:t>provided,</w:t>
      </w:r>
      <w:r>
        <w:rPr>
          <w:rFonts w:ascii="Times New Roman" w:hAnsi="Times New Roman"/>
          <w:sz w:val="20"/>
        </w:rPr>
        <w:t xml:space="preserve"> that the term Guarantee shall not include endorsements for collection or deposit in the ordinary course of business.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in each case above as regulated pursuant to any Environmental Law. </w:t>
      </w:r>
    </w:p>
    <w:p>
      <w:pPr>
        <w:pStyle w:val="TextBody"/>
        <w:bidi w:val="0"/>
        <w:spacing w:before="240" w:after="0"/>
        <w:jc w:val="left"/>
        <w:rPr/>
      </w:pPr>
      <w:r>
        <w:rPr/>
        <w:t>“</w:t>
      </w:r>
      <w:r>
        <w:rPr>
          <w:rFonts w:ascii="Times New Roman" w:hAnsi="Times New Roman"/>
          <w:sz w:val="20"/>
          <w:u w:val="single"/>
        </w:rPr>
        <w:t>Holdings</w:t>
      </w:r>
      <w:r>
        <w:rPr>
          <w:rFonts w:ascii="Times New Roman" w:hAnsi="Times New Roman"/>
          <w:sz w:val="20"/>
        </w:rPr>
        <w:t xml:space="preserve">” means WESCO International, Inc., a Delaware corporation. </w:t>
      </w:r>
    </w:p>
    <w:p>
      <w:pPr>
        <w:pStyle w:val="TextBody"/>
        <w:bidi w:val="0"/>
        <w:spacing w:before="240" w:after="0"/>
        <w:jc w:val="left"/>
        <w:rPr/>
      </w:pPr>
      <w:r>
        <w:rPr/>
        <w:t>“</w:t>
      </w:r>
      <w:r>
        <w:rPr>
          <w:rFonts w:ascii="Times New Roman" w:hAnsi="Times New Roman"/>
          <w:sz w:val="20"/>
          <w:u w:val="single"/>
        </w:rPr>
        <w:t>IFRS</w:t>
      </w:r>
      <w:r>
        <w:rPr>
          <w:rFonts w:ascii="Times New Roman" w:hAnsi="Times New Roman"/>
          <w:sz w:val="20"/>
        </w:rPr>
        <w:t xml:space="preserve">” means the body of pronouncements issued by the International Accounting Standards Board (IASB), including International Financial Reporting Standards and interpretations approved by the IASB, International Accounting Standards and Standing Interpretations Committee interpretations approved by the predecessor International Accounting Standards Committee and adapted for use in the European Union. </w:t>
      </w:r>
    </w:p>
    <w:p>
      <w:pPr>
        <w:pStyle w:val="TextBody"/>
        <w:bidi w:val="0"/>
        <w:spacing w:before="240" w:after="0"/>
        <w:jc w:val="left"/>
        <w:rPr/>
      </w:pPr>
      <w:r>
        <w:rPr/>
        <w:t>“</w:t>
      </w:r>
      <w:r>
        <w:rPr>
          <w:rFonts w:ascii="Times New Roman" w:hAnsi="Times New Roman"/>
          <w:sz w:val="20"/>
          <w:u w:val="single"/>
        </w:rPr>
        <w:t>Immaterial Canadian Subsidiary</w:t>
      </w:r>
      <w:r>
        <w:rPr>
          <w:rFonts w:ascii="Times New Roman" w:hAnsi="Times New Roman"/>
          <w:sz w:val="20"/>
        </w:rPr>
        <w:t xml:space="preserve">” means any Canadian Subsidiary, whether existing as of the Fourth Restatement Date or formed or acquired thereafter, (i) the revenues of which, as of </w:t>
      </w:r>
      <w:r>
        <w:rPr>
          <w:rFonts w:ascii="Times New Roman" w:hAnsi="Times New Roman"/>
          <w:color w:val="0000FF"/>
          <w:sz w:val="20"/>
          <w:u w:val="single"/>
          <w:bdr w:val="double" w:sz="2" w:space="1" w:color="000000"/>
        </w:rPr>
        <w:t>the</w:t>
      </w:r>
      <w:r>
        <w:rPr>
          <w:rFonts w:ascii="Times New Roman" w:hAnsi="Times New Roman"/>
          <w:sz w:val="20"/>
        </w:rPr>
        <w:t xml:space="preserve"> end of any fiscal year, for the period of four consecutive fiscal quarters then ended, were less than 5% of the consolidated revenues of Holdings and its Domestic Subsidiaries and Canadian Subsidiaries which are Restricted Subsidiaries for such period and (ii) the consolidated assets of which, as of </w:t>
      </w:r>
      <w:r>
        <w:rPr>
          <w:rFonts w:ascii="Times New Roman" w:hAnsi="Times New Roman"/>
          <w:color w:val="0000FF"/>
          <w:sz w:val="20"/>
          <w:u w:val="single"/>
          <w:bdr w:val="double" w:sz="2" w:space="1" w:color="000000"/>
        </w:rPr>
        <w:t>the</w:t>
      </w:r>
      <w:r>
        <w:rPr>
          <w:rFonts w:ascii="Times New Roman" w:hAnsi="Times New Roman"/>
          <w:sz w:val="20"/>
        </w:rPr>
        <w:t xml:space="preserve"> end of any fiscal year, were less than 5% of the consolidated total assets of Holdings and its Domestic Subsidiaries and Canadian Subsidiaries which are Restricted Subsidiaries as of the end of such fiscal year, in each case as reflected on the most recent annual or quarterly consolidated financial statements of Holdings and its Subsidiaries. </w:t>
      </w:r>
    </w:p>
    <w:p>
      <w:pPr>
        <w:pStyle w:val="TextBody"/>
        <w:bidi w:val="0"/>
        <w:spacing w:before="240" w:after="0"/>
        <w:jc w:val="left"/>
        <w:rPr/>
      </w:pPr>
      <w:r>
        <w:rPr/>
        <w:t>“</w:t>
      </w:r>
      <w:r>
        <w:rPr>
          <w:rFonts w:ascii="Times New Roman" w:hAnsi="Times New Roman"/>
          <w:sz w:val="20"/>
          <w:u w:val="single"/>
        </w:rPr>
        <w:t>Immaterial Domestic Subsidiary</w:t>
      </w:r>
      <w:r>
        <w:rPr>
          <w:rFonts w:ascii="Times New Roman" w:hAnsi="Times New Roman"/>
          <w:sz w:val="20"/>
        </w:rPr>
        <w:t xml:space="preserve">” means any Domestic Subsidiary, whether existing as of the Fourth Restatement Date or formed or acquired thereafter, (i) the revenues of which, as of </w:t>
      </w:r>
      <w:r>
        <w:rPr>
          <w:rFonts w:ascii="Times New Roman" w:hAnsi="Times New Roman"/>
          <w:color w:val="0000FF"/>
          <w:sz w:val="20"/>
          <w:u w:val="single"/>
          <w:bdr w:val="double" w:sz="2" w:space="1" w:color="000000"/>
        </w:rPr>
        <w:t>the</w:t>
      </w:r>
      <w:r>
        <w:rPr>
          <w:rFonts w:ascii="Times New Roman" w:hAnsi="Times New Roman"/>
          <w:sz w:val="20"/>
        </w:rPr>
        <w:t xml:space="preserve"> end of any fiscal year, for the period of four consecutive fiscal quarters then ended, were less than 5% of the consolidated revenues of Holdings and its Domestic Subsidiaries and Canadian Subsidiaries which are Restricted Subsidiaries for such period and (ii) the consolidated assets of which, as of the end of any fiscal year, were less than 5% of the consolidated total assets of Holdings and its Domestic Subsidiaries and Canadian Subsidiaries which are Restricted Subsidiaries as of </w:t>
      </w:r>
      <w:r>
        <w:rPr>
          <w:rFonts w:ascii="Times New Roman" w:hAnsi="Times New Roman"/>
          <w:color w:val="0000FF"/>
          <w:sz w:val="20"/>
          <w:u w:val="single"/>
          <w:bdr w:val="double" w:sz="2" w:space="1" w:color="000000"/>
        </w:rPr>
        <w:t>the</w:t>
      </w:r>
      <w:r>
        <w:rPr>
          <w:rFonts w:ascii="Times New Roman" w:hAnsi="Times New Roman"/>
          <w:sz w:val="20"/>
        </w:rPr>
        <w:t xml:space="preserve"> end of such fiscal year, in each case as reflected on the most recent annual or quarterly consolidated financial statements of Holdings and its Subsidiaries. </w:t>
      </w:r>
    </w:p>
    <w:p>
      <w:pPr>
        <w:pStyle w:val="TextBody"/>
        <w:bidi w:val="0"/>
        <w:spacing w:before="240" w:after="0"/>
        <w:jc w:val="left"/>
        <w:rPr/>
      </w:pPr>
      <w:r>
        <w:rPr/>
        <w:t>“</w:t>
      </w:r>
      <w:r>
        <w:rPr>
          <w:rFonts w:ascii="Times New Roman" w:hAnsi="Times New Roman"/>
          <w:sz w:val="20"/>
          <w:u w:val="single"/>
        </w:rPr>
        <w:t>Immaterial Foreign Subsidiary</w:t>
      </w:r>
      <w:r>
        <w:rPr>
          <w:rFonts w:ascii="Times New Roman" w:hAnsi="Times New Roman"/>
          <w:sz w:val="20"/>
        </w:rPr>
        <w:t xml:space="preserve">” means any Foreign Subsidiary, whether existing as of the Fourth Restatement Date or formed or acquired thereafter (i) the revenues of which, as of </w:t>
      </w:r>
      <w:r>
        <w:rPr>
          <w:rFonts w:ascii="Times New Roman" w:hAnsi="Times New Roman"/>
          <w:color w:val="0000FF"/>
          <w:sz w:val="20"/>
          <w:u w:val="single"/>
          <w:bdr w:val="double" w:sz="2" w:space="1" w:color="000000"/>
        </w:rPr>
        <w:t>the</w:t>
      </w:r>
      <w:r>
        <w:rPr>
          <w:rFonts w:ascii="Times New Roman" w:hAnsi="Times New Roman"/>
          <w:sz w:val="20"/>
        </w:rPr>
        <w:t xml:space="preserve"> end of any fiscal year, for the period of four consecutive fiscal quarters then ended, were less than 5% of the consolidated revenues of Holdings and its Domestic Subsidiaries and Canadian Subsidiaries which are Restricted Subsidiaries for such period and (ii) the consolidated assets of which, as of the end of any fiscal year, were less than 5% of the consolidated total assets of Holdings and its Domestic Subsidiaries and Canadian Subsidiaries which are Restricted Subsidiaries as of </w:t>
      </w:r>
      <w:r>
        <w:rPr>
          <w:rFonts w:ascii="Times New Roman" w:hAnsi="Times New Roman"/>
          <w:color w:val="0000FF"/>
          <w:sz w:val="20"/>
          <w:u w:val="single"/>
          <w:bdr w:val="double" w:sz="2" w:space="1" w:color="000000"/>
        </w:rPr>
        <w:t>the</w:t>
      </w:r>
      <w:r>
        <w:rPr>
          <w:rFonts w:ascii="Times New Roman" w:hAnsi="Times New Roman"/>
          <w:sz w:val="20"/>
        </w:rPr>
        <w:t xml:space="preserve"> end of such fiscal year, in each case as reflected on the most recent annual or quarterly consolidated financial statements of Holdings and its Subsidiaries.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of any Person means, without duplication, (a) all obligations of such Person for borrowed money,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under any liquidated earn-out to the extent such obligations remain unpaid after becoming due and owing, (l) Swap Agreement Obligations of such Person (measured as provided in the definition of “Material Indebtedness”) other than those related to a Permitted TEU Purchase Contract, Permitted TEU Capped Call Transaction or a Permitted Forward and (m) any other Off-Balance Sheet Liability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the foregoing clause (a), Other Taxes.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assigned to such term in Section 9.03(b). </w:t>
      </w:r>
    </w:p>
    <w:p>
      <w:pPr>
        <w:pStyle w:val="TextBody"/>
        <w:bidi w:val="0"/>
        <w:spacing w:before="240" w:after="0"/>
        <w:jc w:val="left"/>
        <w:rPr/>
      </w:pPr>
      <w:r>
        <w:rPr/>
        <w:t>“</w:t>
      </w:r>
      <w:r>
        <w:rPr>
          <w:rFonts w:ascii="Times New Roman" w:hAnsi="Times New Roman"/>
          <w:sz w:val="20"/>
          <w:u w:val="single"/>
        </w:rPr>
        <w:t>Intercompany Guarantee</w:t>
      </w:r>
      <w:r>
        <w:rPr>
          <w:rFonts w:ascii="Times New Roman" w:hAnsi="Times New Roman"/>
          <w:sz w:val="20"/>
        </w:rPr>
        <w:t xml:space="preserve">” means a guaranty by any Loan Party of an Intercompany Obligation of another Loan Party. </w:t>
      </w:r>
    </w:p>
    <w:p>
      <w:pPr>
        <w:pStyle w:val="TextBody"/>
        <w:bidi w:val="0"/>
        <w:spacing w:before="240" w:after="0"/>
        <w:jc w:val="left"/>
        <w:rPr/>
      </w:pPr>
      <w:r>
        <w:rPr/>
        <w:t>“</w:t>
      </w:r>
      <w:r>
        <w:rPr>
          <w:rFonts w:ascii="Times New Roman" w:hAnsi="Times New Roman"/>
          <w:sz w:val="20"/>
          <w:u w:val="single"/>
        </w:rPr>
        <w:t>Intercompany Loan</w:t>
      </w:r>
      <w:r>
        <w:rPr>
          <w:rFonts w:ascii="Times New Roman" w:hAnsi="Times New Roman"/>
          <w:sz w:val="20"/>
        </w:rPr>
        <w:t xml:space="preserve">” means a loan or advance made by one Loan Party to another Loan Party, whether or not evidenced by a promissory note or other instrument. </w:t>
      </w:r>
    </w:p>
    <w:p>
      <w:pPr>
        <w:pStyle w:val="TextBody"/>
        <w:bidi w:val="0"/>
        <w:spacing w:before="240" w:after="0"/>
        <w:jc w:val="left"/>
        <w:rPr/>
      </w:pPr>
      <w:r>
        <w:rPr/>
        <w:t>“</w:t>
      </w:r>
      <w:r>
        <w:rPr>
          <w:rFonts w:ascii="Times New Roman" w:hAnsi="Times New Roman"/>
          <w:sz w:val="20"/>
          <w:u w:val="single"/>
        </w:rPr>
        <w:t>Intercompany Note</w:t>
      </w:r>
      <w:r>
        <w:rPr>
          <w:rFonts w:ascii="Times New Roman" w:hAnsi="Times New Roman"/>
          <w:sz w:val="20"/>
        </w:rPr>
        <w:t xml:space="preserve">” means any promissory note or other instrument evidencing an Intercompany Obligation. </w:t>
      </w:r>
    </w:p>
    <w:p>
      <w:pPr>
        <w:pStyle w:val="TextBody"/>
        <w:bidi w:val="0"/>
        <w:spacing w:before="240" w:after="0"/>
        <w:jc w:val="left"/>
        <w:rPr/>
      </w:pPr>
      <w:r>
        <w:rPr/>
        <w:t>“</w:t>
      </w:r>
      <w:r>
        <w:rPr>
          <w:rFonts w:ascii="Times New Roman" w:hAnsi="Times New Roman"/>
          <w:sz w:val="20"/>
          <w:u w:val="single"/>
        </w:rPr>
        <w:t>Intercompany Obligation</w:t>
      </w:r>
      <w:r>
        <w:rPr>
          <w:rFonts w:ascii="Times New Roman" w:hAnsi="Times New Roman"/>
          <w:sz w:val="20"/>
        </w:rPr>
        <w:t xml:space="preserve">” means any liability or obligation, contingent or otherwise, of one or more Loan Parties to one or more other Loan Parties, whether in respect of an Intercompany Loan or an Intercompany Guarantee, or in respect of property or other goods sold or delivered or for services rendered, or under a conditional sale or other title retention agreement, and, in each case, whether or not evidenced by an Intercompany Note. </w:t>
      </w:r>
    </w:p>
    <w:p>
      <w:pPr>
        <w:pStyle w:val="TextBody"/>
        <w:bidi w:val="0"/>
        <w:spacing w:before="240" w:after="0"/>
        <w:jc w:val="left"/>
        <w:rPr/>
      </w:pPr>
      <w:r>
        <w:rPr/>
        <w:t>“</w:t>
      </w:r>
      <w:r>
        <w:rPr>
          <w:rFonts w:ascii="Times New Roman" w:hAnsi="Times New Roman"/>
          <w:sz w:val="20"/>
          <w:u w:val="single"/>
        </w:rPr>
        <w:t>Interest Election Request</w:t>
      </w:r>
      <w:r>
        <w:rPr>
          <w:rFonts w:ascii="Times New Roman" w:hAnsi="Times New Roman"/>
          <w:sz w:val="20"/>
        </w:rPr>
        <w:t xml:space="preserve">” means a request by the Borrower Representative to convert or continue a Revolving Borrowing in accordance with Section 2.08. </w:t>
      </w:r>
    </w:p>
    <w:p>
      <w:pPr>
        <w:pStyle w:val="TextBody"/>
        <w:bidi w:val="0"/>
        <w:spacing w:before="240" w:after="0"/>
        <w:jc w:val="left"/>
        <w:rPr/>
      </w:pPr>
      <w:r>
        <w:rPr/>
        <w:t>“</w:t>
      </w:r>
      <w:r>
        <w:rPr>
          <w:rFonts w:ascii="Times New Roman" w:hAnsi="Times New Roman"/>
          <w:sz w:val="20"/>
          <w:u w:val="single"/>
        </w:rPr>
        <w:t>Interest Expense</w:t>
      </w:r>
      <w:r>
        <w:rPr>
          <w:rFonts w:ascii="Times New Roman" w:hAnsi="Times New Roman"/>
          <w:sz w:val="20"/>
        </w:rPr>
        <w:t xml:space="preserve">” means, with reference to any period, total interest expense (whether cash or non-cash interest expense and including interest expense attributable to Capital Lease Obligations) of Holdings and its Restricted Subsidiaries for such period with respect to all outstanding Indebtedness of Holdings and its Restricted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calculated on a consolidated basis for Holdings and its Restricted Subsidiaries for such period in accordance with GAAP.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with respect to any ABR Loan, Canadian Prime Rate Loan (other than a Swingline Loan), Daily Simple SOFR Loan or Daily Compounded CORRA Loan, the first Business Day of each April, July, October and January for the immediately prior quarter and the Maturity Date, and (b) with respect to any Term SOFR Loan or Term CORRA Loan, the last day of the Interest Period applicable to the Borrowing of which such Loan is a part and, in the case of a Term SOFR Borrowing with an Interest Period of more than three months’ duration, each day prior to the last day of such Interest Period that occurs at intervals of three months’ duration after the first day of such Interest Period and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Interest Period</w:t>
      </w:r>
      <w:r>
        <w:rPr>
          <w:rFonts w:ascii="Times New Roman" w:hAnsi="Times New Roman"/>
          <w:sz w:val="20"/>
        </w:rPr>
        <w:t xml:space="preserve">” means with respect to: (a) any Term SOFR Borrowing, the period commencing on the date of such Borrowing and ending on the numerically corresponding day in the calendar month that is one, three or six months thereafter, as the Borrower Representative may elect and (b) any Term CORRA Loan, the initial period (subject to availability) of one or three months commencing on and including the date of the borrowing, continuation or conversion date, as the case may be, with respect to such Term CORRA Loan and excluding the last day of such initial period, and thereafter, each successive period (subject to availability) of approximately one or three months as selected by the Borrower Representative; </w:t>
      </w:r>
      <w:r>
        <w:rPr>
          <w:rFonts w:ascii="Times New Roman" w:hAnsi="Times New Roman"/>
          <w:sz w:val="20"/>
          <w:u w:val="single"/>
        </w:rPr>
        <w:t>provided,</w:t>
      </w:r>
      <w:r>
        <w:rPr>
          <w:rFonts w:ascii="Times New Roman" w:hAnsi="Times New Roman"/>
          <w:sz w:val="20"/>
        </w:rPr>
        <w:t xml:space="preserve"> that, in each case,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Term CORRA Borrowing or a Term SOFR Borrowing, thereafter shall be the effective date of the most recent conversion or continuation of such Borrowing. </w:t>
      </w:r>
    </w:p>
    <w:p>
      <w:pPr>
        <w:pStyle w:val="TextBody"/>
        <w:bidi w:val="0"/>
        <w:spacing w:before="240" w:after="0"/>
        <w:jc w:val="left"/>
        <w:rPr/>
      </w:pPr>
      <w:r>
        <w:rPr/>
        <w:t>“</w:t>
      </w:r>
      <w:r>
        <w:rPr>
          <w:rFonts w:ascii="Times New Roman" w:hAnsi="Times New Roman"/>
          <w:sz w:val="20"/>
          <w:u w:val="single"/>
        </w:rPr>
        <w:t>Intermediate Holding Company</w:t>
      </w:r>
      <w:r>
        <w:rPr>
          <w:rFonts w:ascii="Times New Roman" w:hAnsi="Times New Roman"/>
          <w:sz w:val="20"/>
        </w:rPr>
        <w:t xml:space="preserve">” means a Subsidiary which has no Indebtedness (other than pursuant to the Loan Documents or intercompany Indebtedness to Holdings or any Restricted Subsidiary of Holdings not prohibited by Section 6.01) and holds no material assets other than Equity Interests in another Subsidiary. </w:t>
      </w:r>
    </w:p>
    <w:p>
      <w:pPr>
        <w:pStyle w:val="TextBody"/>
        <w:bidi w:val="0"/>
        <w:spacing w:before="240" w:after="0"/>
        <w:jc w:val="left"/>
        <w:rPr/>
      </w:pPr>
      <w:r>
        <w:rPr/>
        <w:t>“</w:t>
      </w:r>
      <w:r>
        <w:rPr>
          <w:rFonts w:ascii="Times New Roman" w:hAnsi="Times New Roman"/>
          <w:sz w:val="20"/>
          <w:u w:val="single"/>
        </w:rPr>
        <w:t>Inventory</w:t>
      </w:r>
      <w:r>
        <w:rPr>
          <w:rFonts w:ascii="Times New Roman" w:hAnsi="Times New Roman"/>
          <w:sz w:val="20"/>
        </w:rPr>
        <w:t xml:space="preserve">” has the meaning assigned to such term in the U.S. Security Agreement.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means, for any Person: (a) the acquisition (whether for cash, property, services or securities or otherwise) of capital stock, bonds, notes, debentures, partnership, limited liability company or other ownership interests or other securities of any other Person or any agreement to make any such acquisition (including any “short sale” or any sale of any securities at a time when such securities are not owned by the Person entering into such short sale); (b) the making of any deposit with, or advance, loan or other extension of credit to, any other Person (including the purchase of property from another Person subject to an understanding or agreement, contingent or otherwise, to resell such property to such Person); or (c) the entering into of any Guarantee of, or other contingent obligation with respect to, Indebtedness or other liability of any other Person and (without duplication) any amount committed to be advanced, lent or extended to such Person. Notwithstanding the foregoing, Capital Expenditures shall not be deemed “</w:t>
      </w:r>
      <w:r>
        <w:rPr>
          <w:rFonts w:ascii="Times New Roman" w:hAnsi="Times New Roman"/>
          <w:sz w:val="20"/>
          <w:u w:val="single"/>
        </w:rPr>
        <w:t>Investments</w:t>
      </w:r>
      <w:r>
        <w:rPr>
          <w:rFonts w:ascii="Times New Roman" w:hAnsi="Times New Roman"/>
          <w:sz w:val="20"/>
        </w:rPr>
        <w:t xml:space="preserve">” for purposes hereof.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Issuing Bank</w:t>
      </w:r>
      <w:r>
        <w:rPr>
          <w:rFonts w:ascii="Times New Roman" w:hAnsi="Times New Roman"/>
          <w:sz w:val="20"/>
        </w:rPr>
        <w:t>” means individually and collectively (a) with respect to U.S. Letters of Credit, each of Barclays, Bank of America</w:t>
      </w:r>
      <w:r>
        <w:rPr>
          <w:rFonts w:ascii="Times New Roman" w:hAnsi="Times New Roman"/>
          <w:color w:val="0000FF"/>
          <w:sz w:val="20"/>
          <w:u w:val="single"/>
          <w:bdr w:val="double" w:sz="2" w:space="1" w:color="000000"/>
        </w:rPr>
        <w:t>,</w:t>
      </w:r>
      <w:r>
        <w:rPr>
          <w:rFonts w:ascii="Times New Roman" w:hAnsi="Times New Roman"/>
          <w:sz w:val="20"/>
        </w:rPr>
        <w:t xml:space="preserve"> N.A., Canadian Imperial Bank of Commerce, New York Branch, Citizens Bank, Fifth Third Bank, National Association, HSBC Bank USA, National Association, PNC Bank, National Association, The Bank of Nova Scotia, TD Bank, N.A., U.S. Bank National Association, Wells Fargo Bank, National Association, Citibank, N.A., Goldman Sachs Bank USA</w:t>
      </w:r>
      <w:r>
        <w:rPr>
          <w:rFonts w:ascii="Times New Roman" w:hAnsi="Times New Roman"/>
          <w:color w:val="0000FF"/>
          <w:sz w:val="20"/>
          <w:u w:val="single"/>
          <w:bdr w:val="double" w:sz="2" w:space="1" w:color="000000"/>
        </w:rPr>
        <w:t>, Morgan Stanley Bank, N.A.</w:t>
      </w:r>
      <w:r>
        <w:rPr>
          <w:rFonts w:ascii="Times New Roman" w:hAnsi="Times New Roman"/>
          <w:sz w:val="20"/>
        </w:rPr>
        <w:t xml:space="preserve"> and any other Lender proposed by the Borrower Representative that has agreed to act as an Issuing Bank with respect to U.S. Letters of Credit and is reasonably acceptable to the Administrative Agent, each in its capacity as an issuer of U.S. Letters of Credit hereunder, and its successors in such capacity as provided in Section 2.06(j) and (b) with respect to Canadian Letters of Credit, each of Barclays, Bank of America N.A., Canadian Imperial Bank of Commerce, New York Branch, Citizens Bank, Fifth Third Bank, National Association, HSBC Bank USA, National Association, PNC Bank, National Association, The Bank of Nova Scotia, TD Bank, N.A., U.S. Bank National Association, Wells Fargo Bank, National Association, Citibank, N.A., Goldman Sachs Bank USA</w:t>
      </w:r>
      <w:r>
        <w:rPr>
          <w:rFonts w:ascii="Times New Roman" w:hAnsi="Times New Roman"/>
          <w:color w:val="0000FF"/>
          <w:sz w:val="20"/>
          <w:u w:val="single"/>
          <w:bdr w:val="double" w:sz="2" w:space="1" w:color="000000"/>
        </w:rPr>
        <w:t>, Morgan Stanley Bank, N.A.</w:t>
      </w:r>
      <w:r>
        <w:rPr>
          <w:rFonts w:ascii="Times New Roman" w:hAnsi="Times New Roman"/>
          <w:sz w:val="20"/>
        </w:rPr>
        <w:t xml:space="preserve"> and any other Lender proposed by the Borrower Representative that has agreed to act as an Issuing Bank with respect to Canadian Letters of Credit and is reasonably acceptable to the Administrative Agent, each in its capacity as an issuer of Canadian Letters of Credit hereunder, and its successors in such capacity as provided in Section 2.06(j). The Issuing Bank may, in its discretion, arrange for one or more Letters of Credit to be issued by Affiliates of such Issuing Bank, in which case the term “</w:t>
      </w:r>
      <w:r>
        <w:rPr>
          <w:rFonts w:ascii="Times New Roman" w:hAnsi="Times New Roman"/>
          <w:sz w:val="20"/>
          <w:u w:val="single"/>
        </w:rPr>
        <w:t>Issuing Banks</w:t>
      </w:r>
      <w:r>
        <w:rPr>
          <w:rFonts w:ascii="Times New Roman" w:hAnsi="Times New Roman"/>
          <w:sz w:val="20"/>
        </w:rPr>
        <w:t xml:space="preserve">” shall include any such Affiliate with respect to Letters of Credit issued by such Affiliate. At any time there is more than one Issuing Bank, all singular references to the Issuing Bank shall mean any Issuing Bank, either Issuing Bank, each Issuing Bank, the Issuing Bank that has issued the applicable Letter of Credit, or both (or all) Issuing Banks, as the context may require. </w:t>
      </w:r>
    </w:p>
    <w:p>
      <w:pPr>
        <w:pStyle w:val="TextBody"/>
        <w:bidi w:val="0"/>
        <w:spacing w:before="240" w:after="0"/>
        <w:jc w:val="left"/>
        <w:rPr/>
      </w:pPr>
      <w:r>
        <w:rPr/>
        <w:t>“</w:t>
      </w:r>
      <w:r>
        <w:rPr>
          <w:rFonts w:ascii="Times New Roman" w:hAnsi="Times New Roman"/>
          <w:sz w:val="20"/>
          <w:u w:val="single"/>
        </w:rPr>
        <w:t>ITA</w:t>
      </w:r>
      <w:r>
        <w:rPr>
          <w:rFonts w:ascii="Times New Roman" w:hAnsi="Times New Roman"/>
          <w:sz w:val="20"/>
        </w:rPr>
        <w:t xml:space="preserve">” means the </w:t>
      </w:r>
      <w:r>
        <w:rPr>
          <w:rFonts w:ascii="Times New Roman" w:hAnsi="Times New Roman"/>
          <w:i/>
          <w:sz w:val="20"/>
        </w:rPr>
        <w:t>Income Tax Act</w:t>
      </w:r>
      <w:r>
        <w:rPr>
          <w:rFonts w:ascii="Times New Roman" w:hAnsi="Times New Roman"/>
          <w:sz w:val="20"/>
        </w:rPr>
        <w:t xml:space="preserve"> (Canada) and the regulations thereunder,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Joinder Agreement</w:t>
      </w:r>
      <w:r>
        <w:rPr>
          <w:rFonts w:ascii="Times New Roman" w:hAnsi="Times New Roman"/>
          <w:sz w:val="20"/>
        </w:rPr>
        <w:t xml:space="preserve">” has the meaning assigned to such term in Section 5.13. </w:t>
      </w:r>
    </w:p>
    <w:p>
      <w:pPr>
        <w:pStyle w:val="TextBody"/>
        <w:bidi w:val="0"/>
        <w:spacing w:before="240" w:after="0"/>
        <w:jc w:val="left"/>
        <w:rPr/>
      </w:pPr>
      <w:r>
        <w:rPr/>
        <w:t>“</w:t>
      </w:r>
      <w:r>
        <w:rPr>
          <w:rFonts w:ascii="Times New Roman" w:hAnsi="Times New Roman"/>
          <w:sz w:val="20"/>
          <w:u w:val="single"/>
        </w:rPr>
        <w:t>LC Aggregate Maximum Amount</w:t>
      </w:r>
      <w:r>
        <w:rPr>
          <w:rFonts w:ascii="Times New Roman" w:hAnsi="Times New Roman"/>
          <w:sz w:val="20"/>
        </w:rPr>
        <w:t xml:space="preserve">” means $200,000,000. </w:t>
      </w:r>
    </w:p>
    <w:p>
      <w:pPr>
        <w:pStyle w:val="TextBody"/>
        <w:bidi w:val="0"/>
        <w:spacing w:before="240" w:after="0"/>
        <w:jc w:val="left"/>
        <w:rPr/>
      </w:pPr>
      <w:r>
        <w:rPr/>
        <w:t>“</w:t>
      </w:r>
      <w:r>
        <w:rPr>
          <w:rFonts w:ascii="Times New Roman" w:hAnsi="Times New Roman"/>
          <w:sz w:val="20"/>
          <w:u w:val="single"/>
        </w:rPr>
        <w:t>LC Alternative Currency</w:t>
      </w:r>
      <w:r>
        <w:rPr>
          <w:rFonts w:ascii="Times New Roman" w:hAnsi="Times New Roman"/>
          <w:sz w:val="20"/>
        </w:rPr>
        <w:t xml:space="preserve">” means any lawful currency (other than dollars or Canadian Dollars) acceptable to the Issuing Banks and which is freely transferable and convertible into dollars in the United States or London currency market, as applicable, and is freely available to the applicable Issuing Bank in the London interbank deposit market. </w:t>
      </w:r>
    </w:p>
    <w:p>
      <w:pPr>
        <w:pStyle w:val="TextBody"/>
        <w:bidi w:val="0"/>
        <w:spacing w:before="240" w:after="0"/>
        <w:jc w:val="left"/>
        <w:rPr/>
      </w:pPr>
      <w:r>
        <w:rPr/>
        <w:t>“</w:t>
      </w:r>
      <w:r>
        <w:rPr>
          <w:rFonts w:ascii="Times New Roman" w:hAnsi="Times New Roman"/>
          <w:sz w:val="20"/>
          <w:u w:val="single"/>
        </w:rPr>
        <w:t>LC Alternative Currency Sublimit</w:t>
      </w:r>
      <w:r>
        <w:rPr>
          <w:rFonts w:ascii="Times New Roman" w:hAnsi="Times New Roman"/>
          <w:sz w:val="20"/>
        </w:rPr>
        <w:t xml:space="preserve">” means $50,000,000. </w:t>
      </w:r>
    </w:p>
    <w:p>
      <w:pPr>
        <w:pStyle w:val="TextBody"/>
        <w:bidi w:val="0"/>
        <w:spacing w:before="240" w:after="0"/>
        <w:jc w:val="left"/>
        <w:rPr/>
      </w:pPr>
      <w:r>
        <w:rPr/>
        <w:t>“</w:t>
      </w:r>
      <w:r>
        <w:rPr>
          <w:rFonts w:ascii="Times New Roman" w:hAnsi="Times New Roman"/>
          <w:sz w:val="20"/>
          <w:u w:val="single"/>
        </w:rPr>
        <w:t>LC Collateral Account</w:t>
      </w:r>
      <w:r>
        <w:rPr>
          <w:rFonts w:ascii="Times New Roman" w:hAnsi="Times New Roman"/>
          <w:sz w:val="20"/>
        </w:rPr>
        <w:t xml:space="preserve">” has the meaning assigned to such term in Section 2.06(k). </w:t>
      </w:r>
    </w:p>
    <w:p>
      <w:pPr>
        <w:pStyle w:val="TextBody"/>
        <w:bidi w:val="0"/>
        <w:spacing w:before="240" w:after="0"/>
        <w:jc w:val="left"/>
        <w:rPr/>
      </w:pPr>
      <w:r>
        <w:rPr/>
        <w:t>“</w:t>
      </w:r>
      <w:r>
        <w:rPr>
          <w:rFonts w:ascii="Times New Roman" w:hAnsi="Times New Roman"/>
          <w:sz w:val="20"/>
          <w:u w:val="single"/>
        </w:rPr>
        <w:t>LC Disbursement</w:t>
      </w:r>
      <w:r>
        <w:rPr>
          <w:rFonts w:ascii="Times New Roman" w:hAnsi="Times New Roman"/>
          <w:sz w:val="20"/>
        </w:rPr>
        <w:t xml:space="preserve">” means a payment made by the Issuing Bank pursuant to a Letter of Credit, </w:t>
      </w:r>
      <w:r>
        <w:rPr>
          <w:rFonts w:ascii="Times New Roman" w:hAnsi="Times New Roman"/>
          <w:sz w:val="20"/>
          <w:u w:val="single"/>
        </w:rPr>
        <w:t>provided</w:t>
      </w:r>
      <w:r>
        <w:rPr>
          <w:rFonts w:ascii="Times New Roman" w:hAnsi="Times New Roman"/>
          <w:sz w:val="20"/>
        </w:rPr>
        <w:t xml:space="preserve"> that, with respect to any component of any such amount in an LC Alternative Currency under a U.S. Letter of Credit, such amount shall be the Dollar Amount thereof. </w:t>
      </w:r>
    </w:p>
    <w:p>
      <w:pPr>
        <w:pStyle w:val="TextBody"/>
        <w:bidi w:val="0"/>
        <w:spacing w:before="240" w:after="0"/>
        <w:jc w:val="left"/>
        <w:rPr/>
      </w:pPr>
      <w:r>
        <w:rPr/>
        <w:t>“</w:t>
      </w:r>
      <w:r>
        <w:rPr>
          <w:rFonts w:ascii="Times New Roman" w:hAnsi="Times New Roman"/>
          <w:sz w:val="20"/>
          <w:u w:val="single"/>
        </w:rPr>
        <w:t>LC Exposure</w:t>
      </w:r>
      <w:r>
        <w:rPr>
          <w:rFonts w:ascii="Times New Roman" w:hAnsi="Times New Roman"/>
          <w:sz w:val="20"/>
        </w:rPr>
        <w:t xml:space="preserve">” means, at any time, the sum of the U.S. LC Exposure and the Canadian LC Exposure. </w:t>
      </w:r>
    </w:p>
    <w:p>
      <w:pPr>
        <w:pStyle w:val="TextBody"/>
        <w:bidi w:val="0"/>
        <w:spacing w:before="240" w:after="0"/>
        <w:jc w:val="left"/>
        <w:rPr/>
      </w:pPr>
      <w:r>
        <w:rPr/>
        <w:t>“</w:t>
      </w:r>
      <w:r>
        <w:rPr>
          <w:rFonts w:ascii="Times New Roman" w:hAnsi="Times New Roman"/>
          <w:sz w:val="20"/>
          <w:u w:val="single"/>
        </w:rPr>
        <w:t>LC Individual Sublimit</w:t>
      </w:r>
      <w:r>
        <w:rPr>
          <w:rFonts w:ascii="Times New Roman" w:hAnsi="Times New Roman"/>
          <w:sz w:val="20"/>
        </w:rPr>
        <w:t xml:space="preserve">” means (a) </w:t>
      </w:r>
      <w:r>
        <w:rPr>
          <w:rFonts w:ascii="Times New Roman" w:hAnsi="Times New Roman"/>
          <w:strike/>
          <w:color w:val="FF0000"/>
          <w:sz w:val="20"/>
        </w:rPr>
        <w:t>$10,000,000</w:t>
      </w:r>
      <w:r>
        <w:rPr>
          <w:rFonts w:ascii="Times New Roman" w:hAnsi="Times New Roman"/>
          <w:color w:val="0000FF"/>
          <w:sz w:val="20"/>
          <w:u w:val="single"/>
          <w:bdr w:val="double" w:sz="2" w:space="1" w:color="000000"/>
        </w:rPr>
        <w:t>15,000,000</w:t>
      </w:r>
      <w:r>
        <w:rPr>
          <w:rFonts w:ascii="Times New Roman" w:hAnsi="Times New Roman"/>
          <w:color w:val="0000FF"/>
          <w:sz w:val="20"/>
        </w:rPr>
        <w:t xml:space="preserve"> </w:t>
      </w:r>
      <w:r>
        <w:rPr>
          <w:rFonts w:ascii="Times New Roman" w:hAnsi="Times New Roman"/>
          <w:sz w:val="20"/>
        </w:rPr>
        <w:t xml:space="preserve">for Barclays, in its capacity as an Issuing Bank, (b) $25,000,000 for Bank of America N.A. in its capacity as an Issuing Bank, (c) $5,000,000 for Canadian Imperial Bank of Commerce, New York Branch in its capacity as an Issuing Bank, (d) $5,000,000 for Citizens Bank in its capacity as an Issuing Bank, (e) </w:t>
      </w:r>
      <w:r>
        <w:rPr>
          <w:rFonts w:ascii="Times New Roman" w:hAnsi="Times New Roman"/>
          <w:strike/>
          <w:color w:val="FF0000"/>
          <w:sz w:val="20"/>
        </w:rPr>
        <w:t>$15,000,000</w:t>
      </w:r>
      <w:r>
        <w:rPr>
          <w:rFonts w:ascii="Times New Roman" w:hAnsi="Times New Roman"/>
          <w:color w:val="0000FF"/>
          <w:sz w:val="20"/>
          <w:u w:val="single"/>
          <w:bdr w:val="double" w:sz="2" w:space="1" w:color="000000"/>
        </w:rPr>
        <w:t>5,000,000</w:t>
      </w:r>
      <w:r>
        <w:rPr>
          <w:rFonts w:ascii="Times New Roman" w:hAnsi="Times New Roman"/>
          <w:sz w:val="20"/>
        </w:rPr>
        <w:t xml:space="preserve"> for HSBC Bank USA, National Association in its capacity as an Issuing Bank, (f) $20,000,000 for The Bank of Nova Scotia in its capacity as an Issuing Bank, (g) $5,000,000 for Fifth Third Bank, National Association in its capacity as an Issuing Bank, (h) $5,000,000 for PNC Bank, National Association, in its capacity as an Issuing Bank, (i) $5,000,000 for TD Bank, N.A., in its capacity as an Issuing Bank, (j) $5,000,000 for U.S. Bank National Association in its capacity as an Issuing Bank, (k) $40,000,000 for Wells Fargo Bank, National Association in its capacity as an Issuing Bank, (l) $5,000,000 for Citibank, N.A., in its capacity as an Issuing Bank, (m) $5,000,000 for Goldman Sachs Bank USA, in its capacity as an Issuing Bank, </w:t>
      </w:r>
      <w:r>
        <w:rPr>
          <w:rFonts w:ascii="Times New Roman" w:hAnsi="Times New Roman"/>
          <w:strike/>
          <w:color w:val="FF0000"/>
          <w:sz w:val="20"/>
        </w:rPr>
        <w:t xml:space="preserve">and </w:t>
      </w:r>
      <w:r>
        <w:rPr>
          <w:rFonts w:ascii="Times New Roman" w:hAnsi="Times New Roman"/>
          <w:sz w:val="20"/>
        </w:rPr>
        <w:t xml:space="preserve">(n) </w:t>
      </w:r>
      <w:r>
        <w:rPr>
          <w:rFonts w:ascii="Times New Roman" w:hAnsi="Times New Roman"/>
          <w:color w:val="0000FF"/>
          <w:sz w:val="20"/>
          <w:u w:val="single"/>
          <w:bdr w:val="double" w:sz="2" w:space="1" w:color="000000"/>
        </w:rPr>
        <w:t>$5,000,000 for Morgan Stanley Bank, N.A., in its capacity as an Issuing Bank, and (o)</w:t>
      </w:r>
      <w:r>
        <w:rPr>
          <w:rFonts w:ascii="Times New Roman" w:hAnsi="Times New Roman"/>
          <w:sz w:val="20"/>
        </w:rPr>
        <w:t xml:space="preserve"> with respect to any other Issuing Bank, such amount agreed to by the Borrowers and such Issuing Bank; </w:t>
      </w:r>
      <w:r>
        <w:rPr>
          <w:rFonts w:ascii="Times New Roman" w:hAnsi="Times New Roman"/>
          <w:sz w:val="20"/>
          <w:u w:val="single"/>
        </w:rPr>
        <w:t>provided</w:t>
      </w:r>
      <w:r>
        <w:rPr>
          <w:rFonts w:ascii="Times New Roman" w:hAnsi="Times New Roman"/>
          <w:sz w:val="20"/>
        </w:rPr>
        <w:t xml:space="preserve"> that, at the request of the Borrowers, any Issuing Bank may, in its sole discretion, without the necessity of obtaining the consent of the Administrative Agent or any Lender, elect to increase its LC Individual Sublimit in an amount not to exceed the Revolving Commitment of the applicable Lender so long as after giving effect to such increase, the aggregate LC Individual Sublimit of all Issuing Banks does not exceed the LC Aggregate Maximum Amount; provided, further that the foregoing sublimits apply to the applicable Lender and its Affiliates. </w:t>
      </w:r>
    </w:p>
    <w:p>
      <w:pPr>
        <w:pStyle w:val="TextBody"/>
        <w:bidi w:val="0"/>
        <w:spacing w:before="240" w:after="0"/>
        <w:jc w:val="left"/>
        <w:rPr/>
      </w:pPr>
      <w:r>
        <w:rPr/>
        <w:t>“</w:t>
      </w:r>
      <w:r>
        <w:rPr>
          <w:rFonts w:ascii="Times New Roman" w:hAnsi="Times New Roman"/>
          <w:sz w:val="20"/>
          <w:u w:val="single"/>
        </w:rPr>
        <w:t>LCT Election</w:t>
      </w:r>
      <w:r>
        <w:rPr>
          <w:rFonts w:ascii="Times New Roman" w:hAnsi="Times New Roman"/>
          <w:sz w:val="20"/>
        </w:rPr>
        <w:t xml:space="preserve">” has the meaning assigned to such term in Section 1.08. </w:t>
      </w:r>
    </w:p>
    <w:p>
      <w:pPr>
        <w:pStyle w:val="TextBody"/>
        <w:bidi w:val="0"/>
        <w:spacing w:before="240" w:after="0"/>
        <w:jc w:val="left"/>
        <w:rPr/>
      </w:pPr>
      <w:r>
        <w:rPr/>
        <w:t>“</w:t>
      </w:r>
      <w:r>
        <w:rPr>
          <w:rFonts w:ascii="Times New Roman" w:hAnsi="Times New Roman"/>
          <w:sz w:val="20"/>
          <w:u w:val="single"/>
        </w:rPr>
        <w:t>LCT Specified Transaction</w:t>
      </w:r>
      <w:r>
        <w:rPr>
          <w:rFonts w:ascii="Times New Roman" w:hAnsi="Times New Roman"/>
          <w:sz w:val="20"/>
        </w:rPr>
        <w:t xml:space="preserve">” has the meaning assigned to such term in Section 1.08. </w:t>
      </w:r>
    </w:p>
    <w:p>
      <w:pPr>
        <w:pStyle w:val="TextBody"/>
        <w:bidi w:val="0"/>
        <w:spacing w:before="240" w:after="0"/>
        <w:jc w:val="left"/>
        <w:rPr/>
      </w:pPr>
      <w:r>
        <w:rPr/>
        <w:t>“</w:t>
      </w:r>
      <w:r>
        <w:rPr>
          <w:rFonts w:ascii="Times New Roman" w:hAnsi="Times New Roman"/>
          <w:sz w:val="20"/>
          <w:u w:val="single"/>
        </w:rPr>
        <w:t>LCT Test Date</w:t>
      </w:r>
      <w:r>
        <w:rPr>
          <w:rFonts w:ascii="Times New Roman" w:hAnsi="Times New Roman"/>
          <w:sz w:val="20"/>
        </w:rPr>
        <w:t xml:space="preserve">” has the meaning assigned to such term in Section 1.08. </w:t>
      </w:r>
    </w:p>
    <w:p>
      <w:pPr>
        <w:pStyle w:val="TextBody"/>
        <w:bidi w:val="0"/>
        <w:spacing w:before="240" w:after="0"/>
        <w:jc w:val="left"/>
        <w:rPr/>
      </w:pPr>
      <w:r>
        <w:rPr/>
        <w:t>“</w:t>
      </w:r>
      <w:r>
        <w:rPr>
          <w:rFonts w:ascii="Times New Roman" w:hAnsi="Times New Roman"/>
          <w:sz w:val="20"/>
          <w:u w:val="single"/>
        </w:rPr>
        <w:t>Lender Parties</w:t>
      </w:r>
      <w:r>
        <w:rPr>
          <w:rFonts w:ascii="Times New Roman" w:hAnsi="Times New Roman"/>
          <w:sz w:val="20"/>
        </w:rPr>
        <w:t xml:space="preserve">” means, individually and collectively as the context may require, the Administrative Agent, the Lenders and the Issuing Banks.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means, individually and collectively as the context may require, the Canadian Lenders and the U.S. Lenders. Unless the context otherwise requires, the term “Lenders” includes the Swingline Lenders. </w:t>
      </w:r>
    </w:p>
    <w:p>
      <w:pPr>
        <w:pStyle w:val="TextBody"/>
        <w:bidi w:val="0"/>
        <w:spacing w:before="240" w:after="0"/>
        <w:jc w:val="left"/>
        <w:rPr/>
      </w:pPr>
      <w:r>
        <w:rPr/>
        <w:t>“</w:t>
      </w:r>
      <w:r>
        <w:rPr>
          <w:rFonts w:ascii="Times New Roman" w:hAnsi="Times New Roman"/>
          <w:sz w:val="20"/>
          <w:u w:val="single"/>
        </w:rPr>
        <w:t>Letter of Credit</w:t>
      </w:r>
      <w:r>
        <w:rPr>
          <w:rFonts w:ascii="Times New Roman" w:hAnsi="Times New Roman"/>
          <w:sz w:val="20"/>
        </w:rPr>
        <w:t xml:space="preserve">” means any letter of credit issued pursuant to this Agreement.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Limited Condition Transaction</w:t>
      </w:r>
      <w:r>
        <w:rPr>
          <w:rFonts w:ascii="Times New Roman" w:hAnsi="Times New Roman"/>
          <w:sz w:val="20"/>
        </w:rPr>
        <w:t xml:space="preserve">” means any Investment the consummation of which is not conditioned on the availability of, or on obtaining, third party financing. </w:t>
      </w:r>
    </w:p>
    <w:p>
      <w:pPr>
        <w:pStyle w:val="TextBody"/>
        <w:bidi w:val="0"/>
        <w:spacing w:before="240" w:after="0"/>
        <w:jc w:val="left"/>
        <w:rPr/>
      </w:pPr>
      <w:r>
        <w:rPr/>
        <w:t>“</w:t>
      </w:r>
      <w:r>
        <w:rPr>
          <w:rFonts w:ascii="Times New Roman" w:hAnsi="Times New Roman"/>
          <w:sz w:val="20"/>
          <w:u w:val="single"/>
        </w:rPr>
        <w:t>Liquidity</w:t>
      </w:r>
      <w:r>
        <w:rPr>
          <w:rFonts w:ascii="Times New Roman" w:hAnsi="Times New Roman"/>
          <w:sz w:val="20"/>
        </w:rPr>
        <w:t xml:space="preserve">” means, at any time, the sum of (a) Combined Availability and (b) unrestricted cash held at such time in Deposit Accounts subject to Control Agreements.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individually and collectively as the context may require, this Agreement, any promissory notes issued pursuant to this Agreement, any Letter of Credit applications, the Collateral Documents, each Loan Guaranty, each Canadian Guarantee, the Receivables Intercreditor Agreement, any Permitted Term Debt Intercreditor Agreement, the Affiliate Subordination Agreement and each additional guaranty entered into by a Canadian Loan Party pursuant to Section 5.13, and all other agreements, instruments, documents and certificates identified in Section 4.01 executed and delivered to, or in favor of, the Administrative Agent or any Lenders and including all other pledges, powers of attorney, consents, assignments, contracts, notices, letter of credit agreements, letter of credit applications and any agreements between the Borrower Representative and the Issuing Bank regarding the Issuing Bank’s LC Individual Sublimit or the respective rights and obligations between the applicable Borrower and the Issuing Bank in connection with the issuance by the Issuing Bank of Letters of Credit,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w:t>
      </w:r>
    </w:p>
    <w:p>
      <w:pPr>
        <w:pStyle w:val="TextBody"/>
        <w:bidi w:val="0"/>
        <w:spacing w:before="240" w:after="0"/>
        <w:jc w:val="left"/>
        <w:rPr/>
      </w:pPr>
      <w:r>
        <w:rPr/>
        <w:t>“</w:t>
      </w:r>
      <w:r>
        <w:rPr>
          <w:rFonts w:ascii="Times New Roman" w:hAnsi="Times New Roman"/>
          <w:sz w:val="20"/>
          <w:u w:val="single"/>
        </w:rPr>
        <w:t>Loan Guarantor</w:t>
      </w:r>
      <w:r>
        <w:rPr>
          <w:rFonts w:ascii="Times New Roman" w:hAnsi="Times New Roman"/>
          <w:sz w:val="20"/>
        </w:rPr>
        <w:t xml:space="preserve">” means (a) with respect to the U.S. Obligations, each U.S. Borrower, each U.S. Loan Guarantor and any other Person that becomes a U.S. Loan Guarantor pursuant to Section 5.13; and (b) with respect to the Canadian Obligations, each Loan Party and any other Person that becomes a Loan Guarantor pursuant to Section 5.13. </w:t>
      </w:r>
    </w:p>
    <w:p>
      <w:pPr>
        <w:pStyle w:val="TextBody"/>
        <w:bidi w:val="0"/>
        <w:spacing w:before="240" w:after="0"/>
        <w:jc w:val="left"/>
        <w:rPr/>
      </w:pPr>
      <w:r>
        <w:rPr/>
        <w:t>“</w:t>
      </w:r>
      <w:r>
        <w:rPr>
          <w:rFonts w:ascii="Times New Roman" w:hAnsi="Times New Roman"/>
          <w:sz w:val="20"/>
          <w:u w:val="single"/>
        </w:rPr>
        <w:t>Loan Guaranty</w:t>
      </w:r>
      <w:r>
        <w:rPr>
          <w:rFonts w:ascii="Times New Roman" w:hAnsi="Times New Roman"/>
          <w:sz w:val="20"/>
        </w:rPr>
        <w:t>” means (a) each U.S. Loan Party Guaranty and (b) each other separate Guarantee in form and substance reasonably satisfactory to the Administrative Agent delivered by each Loan Guarantor that is a Foreign Subsidiary of Holdings (</w:t>
      </w:r>
      <w:r>
        <w:rPr>
          <w:rFonts w:ascii="Times New Roman" w:hAnsi="Times New Roman"/>
          <w:sz w:val="20"/>
          <w:u w:val="single"/>
        </w:rPr>
        <w:t>provided,</w:t>
      </w:r>
      <w:r>
        <w:rPr>
          <w:rFonts w:ascii="Times New Roman" w:hAnsi="Times New Roman"/>
          <w:sz w:val="20"/>
        </w:rPr>
        <w:t xml:space="preserve"> that any Guarantee provided by a Foreign Subsidiary of Holdings shall be governed by the laws of the country in which such Foreign Subsidiary is located), as the same may be amended or modified and in effect from time to time. </w:t>
      </w:r>
    </w:p>
    <w:p>
      <w:pPr>
        <w:pStyle w:val="TextBody"/>
        <w:bidi w:val="0"/>
        <w:spacing w:before="240" w:after="0"/>
        <w:jc w:val="left"/>
        <w:rPr/>
      </w:pPr>
      <w:r>
        <w:rPr/>
        <w:t>“</w:t>
      </w:r>
      <w:r>
        <w:rPr>
          <w:rFonts w:ascii="Times New Roman" w:hAnsi="Times New Roman"/>
          <w:sz w:val="20"/>
          <w:u w:val="single"/>
        </w:rPr>
        <w:t>Loan Parties</w:t>
      </w:r>
      <w:r>
        <w:rPr>
          <w:rFonts w:ascii="Times New Roman" w:hAnsi="Times New Roman"/>
          <w:sz w:val="20"/>
        </w:rPr>
        <w:t xml:space="preserve">” means, individually and collectively as the context may require, the U.S. Loan Parties and the Canadian Loan Parties. </w:t>
      </w:r>
    </w:p>
    <w:p>
      <w:pPr>
        <w:pStyle w:val="TextBody"/>
        <w:bidi w:val="0"/>
        <w:spacing w:before="240" w:after="0"/>
        <w:jc w:val="left"/>
        <w:rPr/>
      </w:pPr>
      <w:r>
        <w:rPr/>
        <w:t>“</w:t>
      </w:r>
      <w:r>
        <w:rPr>
          <w:rFonts w:ascii="Times New Roman" w:hAnsi="Times New Roman"/>
          <w:sz w:val="20"/>
          <w:u w:val="single"/>
        </w:rPr>
        <w:t>Loans</w:t>
      </w:r>
      <w:r>
        <w:rPr>
          <w:rFonts w:ascii="Times New Roman" w:hAnsi="Times New Roman"/>
          <w:sz w:val="20"/>
        </w:rPr>
        <w:t xml:space="preserve">” means the loans and advances made by the Lenders pursuant to this Agreement, including Swingline Loans, Overadvances and Protective Advances. </w:t>
      </w:r>
    </w:p>
    <w:p>
      <w:pPr>
        <w:pStyle w:val="TextBody"/>
        <w:bidi w:val="0"/>
        <w:spacing w:before="240" w:after="0"/>
        <w:jc w:val="left"/>
        <w:rPr/>
      </w:pPr>
      <w:r>
        <w:rPr/>
        <w:t>“</w:t>
      </w:r>
      <w:r>
        <w:rPr>
          <w:rFonts w:ascii="Times New Roman" w:hAnsi="Times New Roman"/>
          <w:sz w:val="20"/>
          <w:u w:val="single"/>
        </w:rPr>
        <w:t>Lock Box</w:t>
      </w:r>
      <w:r>
        <w:rPr>
          <w:rFonts w:ascii="Times New Roman" w:hAnsi="Times New Roman"/>
          <w:sz w:val="20"/>
        </w:rPr>
        <w:t xml:space="preserve">” means a postal lock box established by any Person with any banking institution, securities intermediary or other financial institution.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 material adverse effect on (a) the business, assets, operations or financial condition, of Holdings and its Subsidiaries taken as a whole, (b) the ability of the Loan Parties, taken as a whole, to perform any of their obligations under the Loan Documents to which they are a party, (c) the Collateral, the Administrative Agent’s Liens (for the benefit of the Lender Parties or the Canadian Lender Parties, as the case may be) on the Collateral or the priority of such Liens (this clause (c) to be taken as a whole), or (d) the rights of or benefits available to the Administrative Agent, any Issuing Bank or the Lenders under any of the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Material Indebtedness</w:t>
      </w:r>
      <w:r>
        <w:rPr>
          <w:rFonts w:ascii="Times New Roman" w:hAnsi="Times New Roman"/>
          <w:sz w:val="20"/>
        </w:rPr>
        <w:t xml:space="preserve">” means Indebtedness (other than the Loans and Letters of Credit and any Intercompany Obligations), or obligations in respect of one or more Swap Agreements, of any one or more of Holdings and its Restricted Subsidiaries in an aggregate principal amount exceeding the Threshold Amount. For purposes of determining Material Indebtedness, the “obligations” of any Loan Party or any Restricted Subsidiary in respect of any Swap Agreement at any time shall be the maximum aggregate amount (giving effect to any netting agreements) that such Loan Party or such Restricted Subsidiary would be required to pay if such Swap Agreement were terminated at such time.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means the earliest of: (a) the Scheduled Maturity Date, (b) the date that is 91 days prior to the final scheduled maturity date of any Specified Indebtedness unless as of such 91st day (i) the aggregate amount of such Specified Indebtedness does not exceed </w:t>
      </w:r>
      <w:r>
        <w:rPr>
          <w:rFonts w:ascii="Times New Roman" w:hAnsi="Times New Roman"/>
          <w:strike/>
          <w:color w:val="FF0000"/>
          <w:sz w:val="20"/>
        </w:rPr>
        <w:t>$375,000,000</w:t>
      </w:r>
      <w:r>
        <w:rPr>
          <w:rFonts w:ascii="Times New Roman" w:hAnsi="Times New Roman"/>
          <w:color w:val="0000FF"/>
          <w:sz w:val="20"/>
          <w:u w:val="single"/>
          <w:bdr w:val="double" w:sz="2" w:space="1" w:color="000000"/>
        </w:rPr>
        <w:t>550,000,000</w:t>
      </w:r>
      <w:r>
        <w:rPr>
          <w:rFonts w:ascii="Times New Roman" w:hAnsi="Times New Roman"/>
          <w:sz w:val="20"/>
        </w:rPr>
        <w:t xml:space="preserve"> , (ii) the Borrower Representative has received a binding commitment to refinance such Specified Indebtedness on or prior to the maturity date of such Specified Indebtedness (subject only to reasonable and customary conditions (as reasonably determined by the Borrower Representative)) so that upon receipt of the net proceeds thereof such Indebtedness no longer constitutes Specified Indebtedness and such refinancing is permitted by this Agreement and matures no earlier than 91 days after the Scheduled Maturity Date or (iii) there shall exist Reserves in an amount equal to or greater than the amount remaining outstanding under such Specified Indebtedness in excess of </w:t>
      </w:r>
      <w:r>
        <w:rPr>
          <w:rFonts w:ascii="Times New Roman" w:hAnsi="Times New Roman"/>
          <w:strike/>
          <w:color w:val="FF0000"/>
          <w:sz w:val="20"/>
        </w:rPr>
        <w:t>$375,000,000</w:t>
      </w:r>
      <w:r>
        <w:rPr>
          <w:rFonts w:ascii="Times New Roman" w:hAnsi="Times New Roman"/>
          <w:color w:val="0000FF"/>
          <w:sz w:val="20"/>
          <w:u w:val="single"/>
          <w:bdr w:val="double" w:sz="2" w:space="1" w:color="000000"/>
        </w:rPr>
        <w:t>550,000,000</w:t>
      </w:r>
      <w:r>
        <w:rPr>
          <w:rFonts w:ascii="Times New Roman" w:hAnsi="Times New Roman"/>
          <w:sz w:val="20"/>
        </w:rPr>
        <w:t xml:space="preserve"> ; and (c) the final scheduled maturity date of any Bridge Debt that constitutes Specified Indebtedness, unless on such maturity date (i) all such Bridge Debt in excess of </w:t>
      </w:r>
      <w:r>
        <w:rPr>
          <w:rFonts w:ascii="Times New Roman" w:hAnsi="Times New Roman"/>
          <w:strike/>
          <w:color w:val="FF0000"/>
          <w:sz w:val="20"/>
        </w:rPr>
        <w:t>$375,000,000</w:t>
      </w:r>
      <w:r>
        <w:rPr>
          <w:rFonts w:ascii="Times New Roman" w:hAnsi="Times New Roman"/>
          <w:color w:val="0000FF"/>
          <w:sz w:val="20"/>
          <w:u w:val="single"/>
          <w:bdr w:val="double" w:sz="2" w:space="1" w:color="000000"/>
        </w:rPr>
        <w:t>550,000,000</w:t>
      </w:r>
      <w:r>
        <w:rPr>
          <w:rFonts w:ascii="Times New Roman" w:hAnsi="Times New Roman"/>
          <w:sz w:val="20"/>
        </w:rPr>
        <w:t xml:space="preserve"> is refinanced with Indebtedness that is permitted by this agreement and matures no earlier than 91 days after the Scheduled Maturity Date or (ii) not more than $</w:t>
      </w:r>
      <w:r>
        <w:rPr>
          <w:rFonts w:ascii="Times New Roman" w:hAnsi="Times New Roman"/>
          <w:strike/>
          <w:color w:val="FF0000"/>
          <w:sz w:val="20"/>
        </w:rPr>
        <w:t>375,000,000</w:t>
      </w:r>
      <w:r>
        <w:rPr>
          <w:rFonts w:ascii="Times New Roman" w:hAnsi="Times New Roman"/>
          <w:color w:val="0000FF"/>
          <w:sz w:val="20"/>
          <w:u w:val="single"/>
          <w:bdr w:val="double" w:sz="2" w:space="1" w:color="000000"/>
        </w:rPr>
        <w:t>550,000,000</w:t>
      </w:r>
      <w:r>
        <w:rPr>
          <w:rFonts w:ascii="Times New Roman" w:hAnsi="Times New Roman"/>
          <w:sz w:val="20"/>
        </w:rPr>
        <w:t xml:space="preserve"> of such Bridge Debt remains outstanding. For purposes of this definition, “refinance” shall include any transaction that has the effect of extending the maturity date. </w:t>
      </w:r>
    </w:p>
    <w:p>
      <w:pPr>
        <w:pStyle w:val="TextBody"/>
        <w:bidi w:val="0"/>
        <w:spacing w:before="240" w:after="0"/>
        <w:jc w:val="left"/>
        <w:rPr/>
      </w:pPr>
      <w:r>
        <w:rPr/>
        <w:t>“</w:t>
      </w:r>
      <w:r>
        <w:rPr>
          <w:rFonts w:ascii="Times New Roman" w:hAnsi="Times New Roman"/>
          <w:sz w:val="20"/>
          <w:u w:val="single"/>
        </w:rPr>
        <w:t>MaxCell Patents</w:t>
      </w:r>
      <w:r>
        <w:rPr>
          <w:rFonts w:ascii="Times New Roman" w:hAnsi="Times New Roman"/>
          <w:sz w:val="20"/>
        </w:rPr>
        <w:t xml:space="preserve">” means domestic and international patents and patents pending associated with the fabric innerduct and conduit divider system known as MaxCell. </w:t>
      </w:r>
    </w:p>
    <w:p>
      <w:pPr>
        <w:pStyle w:val="TextBody"/>
        <w:bidi w:val="0"/>
        <w:spacing w:before="240" w:after="0"/>
        <w:jc w:val="left"/>
        <w:rPr/>
      </w:pPr>
      <w:r>
        <w:rPr/>
        <w:t>“</w:t>
      </w:r>
      <w:r>
        <w:rPr>
          <w:rFonts w:ascii="Times New Roman" w:hAnsi="Times New Roman"/>
          <w:sz w:val="20"/>
          <w:u w:val="single"/>
        </w:rPr>
        <w:t>Monthly Financial Statement Trigger Period</w:t>
      </w:r>
      <w:r>
        <w:rPr>
          <w:rFonts w:ascii="Times New Roman" w:hAnsi="Times New Roman"/>
          <w:sz w:val="20"/>
        </w:rPr>
        <w:t xml:space="preserve">” means the period (a) commencing on the day that (i) an Event of Default occurs or (ii) Combined Availability falls below the Combined Availability Trigger Amount; and (b) continuing until the date on which, at all times during the preceding thirty (30) consecutive days, (i) no Event of Default has existed and (ii) Combined Availability has been greater than the Combined Availability Trigger Amount. </w:t>
      </w:r>
    </w:p>
    <w:p>
      <w:pPr>
        <w:pStyle w:val="TextBody"/>
        <w:bidi w:val="0"/>
        <w:spacing w:before="240" w:after="0"/>
        <w:jc w:val="left"/>
        <w:rPr/>
      </w:pPr>
      <w:r>
        <w:rPr/>
        <w:t>“</w:t>
      </w:r>
      <w:r>
        <w:rPr>
          <w:rFonts w:ascii="Times New Roman" w:hAnsi="Times New Roman"/>
          <w:sz w:val="20"/>
          <w:u w:val="single"/>
        </w:rPr>
        <w:t>Monthly Reporting Trigger Period</w:t>
      </w:r>
      <w:r>
        <w:rPr>
          <w:rFonts w:ascii="Times New Roman" w:hAnsi="Times New Roman"/>
          <w:sz w:val="20"/>
        </w:rPr>
        <w:t xml:space="preserve">” means any period (a) commencing on the day that Aggregate Credit Exposure shall have been greater than or equal to 20% of the lesser at such time of (i) the Aggregate Revolving Commitments and (ii) the Aggregate Borrowing Base for three (3) consecutive Business Days and (b) continuing until the date on which Aggregate Credit Exposure shall have been less than 20% of the lesser at such time of (i) the Aggregate Revolving Commitments and (ii) the Aggregate Borrowing Base for 365 consecutive days. For the avoidance of doubt, the parties acknowledge and agree that as of the Fourth Restatement Date, a Monthly Reporting Trigger is not in effect.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 multiemployer plan as defined in Section 4001(a)(3) of ERISA. </w:t>
      </w:r>
    </w:p>
    <w:p>
      <w:pPr>
        <w:pStyle w:val="TextBody"/>
        <w:bidi w:val="0"/>
        <w:spacing w:before="240" w:after="0"/>
        <w:jc w:val="left"/>
        <w:rPr/>
      </w:pPr>
      <w:r>
        <w:rPr/>
        <w:t>“</w:t>
      </w:r>
      <w:r>
        <w:rPr>
          <w:rFonts w:ascii="Times New Roman" w:hAnsi="Times New Roman"/>
          <w:sz w:val="20"/>
          <w:u w:val="single"/>
        </w:rPr>
        <w:t>Net Income</w:t>
      </w:r>
      <w:r>
        <w:rPr>
          <w:rFonts w:ascii="Times New Roman" w:hAnsi="Times New Roman"/>
          <w:sz w:val="20"/>
        </w:rPr>
        <w:t xml:space="preserve">” means, for any period, the consolidated net income (or loss) of Holdings and its Restricted Subsidiaries, determined on a consolidated basis in accordance with GAAP; </w:t>
      </w:r>
      <w:r>
        <w:rPr>
          <w:rFonts w:ascii="Times New Roman" w:hAnsi="Times New Roman"/>
          <w:sz w:val="20"/>
          <w:u w:val="single"/>
        </w:rPr>
        <w:t>provided</w:t>
      </w:r>
      <w:r>
        <w:rPr>
          <w:rFonts w:ascii="Times New Roman" w:hAnsi="Times New Roman"/>
          <w:sz w:val="20"/>
        </w:rPr>
        <w:t xml:space="preserve"> that there shall be excluded (a) the income (or deficit) of any Person accrued prior to the date it becomes a Restricted Subsidiary or is merged into or consolidated with Holdings or any of its Restricted Subsidiaries, (b) the income (or deficit) of any Person (other than a Restricted Subsidiary) in which Holdings or any of its Subsidiaries has an ownership interest, except to the extent that any such income is actually received by Holdings or a Restricted Subsidiary in the form of dividends or similar distributions and (c) the undistributed earnings of any Restricted Subsidiary to the extent that the declaration or payment of dividends or similar distributions by such Restricted Subsidiary is prohibited by the terms of any contractual obligation (other than under any Loan Document) or Requirement of Law applicable to such Restricted Subsidiary. </w:t>
      </w:r>
    </w:p>
    <w:p>
      <w:pPr>
        <w:pStyle w:val="TextBody"/>
        <w:bidi w:val="0"/>
        <w:spacing w:before="240" w:after="0"/>
        <w:jc w:val="left"/>
        <w:rPr/>
      </w:pPr>
      <w:r>
        <w:rPr/>
        <w:t>“</w:t>
      </w:r>
      <w:r>
        <w:rPr>
          <w:rFonts w:ascii="Times New Roman" w:hAnsi="Times New Roman"/>
          <w:sz w:val="20"/>
          <w:u w:val="single"/>
        </w:rPr>
        <w:t>Net Orderly Liquidation Value</w:t>
      </w:r>
      <w:r>
        <w:rPr>
          <w:rFonts w:ascii="Times New Roman" w:hAnsi="Times New Roman"/>
          <w:sz w:val="20"/>
        </w:rPr>
        <w:t xml:space="preserve">” means, with respect to Inventory of any Person, the orderly liquidation value thereof as determined in a manner acceptable to the Administrative Agent in its Permitted Discretion by an appraiser reasonably acceptable to the Administrative Agent, net of all costs of liquidation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Proceeds</w:t>
      </w:r>
      <w:r>
        <w:rPr>
          <w:rFonts w:ascii="Times New Roman" w:hAnsi="Times New Roman"/>
          <w:sz w:val="20"/>
        </w:rPr>
        <w:t xml:space="preserve">”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w:t>
      </w:r>
    </w:p>
    <w:p>
      <w:pPr>
        <w:pStyle w:val="TextBody"/>
        <w:bidi w:val="0"/>
        <w:spacing w:before="240" w:after="0"/>
        <w:jc w:val="left"/>
        <w:rPr/>
      </w:pPr>
      <w:r>
        <w:rPr/>
        <w:t>“</w:t>
      </w:r>
      <w:r>
        <w:rPr>
          <w:rFonts w:ascii="Times New Roman" w:hAnsi="Times New Roman"/>
          <w:color w:val="0000FF"/>
          <w:sz w:val="20"/>
          <w:u w:val="single"/>
          <w:bdr w:val="double" w:sz="2" w:space="1" w:color="000000"/>
        </w:rPr>
        <w:t>Ninth Amendment” means that certain Ninth</w:t>
      </w:r>
      <w:r>
        <w:rPr>
          <w:rFonts w:ascii="Times New Roman" w:hAnsi="Times New Roman"/>
          <w:color w:val="008000"/>
          <w:sz w:val="20"/>
          <w:u w:val="single"/>
          <w:bdr w:val="double" w:sz="2" w:space="1" w:color="000000"/>
        </w:rPr>
        <w:t xml:space="preserve"> Amendment to Fourth Amended and Restated Credit Agreement, dated as of the</w:t>
      </w:r>
      <w:r>
        <w:rPr>
          <w:rFonts w:ascii="Times New Roman" w:hAnsi="Times New Roman"/>
          <w:color w:val="0000FF"/>
          <w:sz w:val="20"/>
          <w:u w:val="single"/>
          <w:bdr w:val="double" w:sz="2" w:space="1" w:color="000000"/>
        </w:rPr>
        <w:t xml:space="preserve"> Ninth</w:t>
      </w:r>
      <w:r>
        <w:rPr>
          <w:rFonts w:ascii="Times New Roman" w:hAnsi="Times New Roman"/>
          <w:color w:val="008000"/>
          <w:sz w:val="20"/>
          <w:u w:val="single"/>
          <w:bdr w:val="double" w:sz="2" w:space="1" w:color="000000"/>
        </w:rPr>
        <w:t xml:space="preserve"> Amendment Effective Date, by and among the Borrowers, the Lenders party thereto and the Administrative Agent.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color w:val="0000FF"/>
          <w:sz w:val="20"/>
          <w:u w:val="single"/>
          <w:bdr w:val="double" w:sz="2" w:space="1" w:color="000000"/>
        </w:rPr>
        <w:t>Ninth Amendment Effective Date” means September 17, 2026.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Non-Consenting Lender</w:t>
      </w:r>
      <w:r>
        <w:rPr>
          <w:rFonts w:ascii="Times New Roman" w:hAnsi="Times New Roman"/>
          <w:sz w:val="20"/>
        </w:rPr>
        <w:t xml:space="preserve">” has the meaning assigned to such term in Section 9.02(d). </w:t>
      </w:r>
    </w:p>
    <w:p>
      <w:pPr>
        <w:pStyle w:val="TextBody"/>
        <w:bidi w:val="0"/>
        <w:spacing w:before="240" w:after="0"/>
        <w:jc w:val="left"/>
        <w:rPr/>
      </w:pPr>
      <w:r>
        <w:rPr/>
        <w:t>“</w:t>
      </w:r>
      <w:r>
        <w:rPr>
          <w:rFonts w:ascii="Times New Roman" w:hAnsi="Times New Roman"/>
          <w:sz w:val="20"/>
          <w:u w:val="single"/>
        </w:rPr>
        <w:t>Non-U.S. Lender</w:t>
      </w:r>
      <w:r>
        <w:rPr>
          <w:rFonts w:ascii="Times New Roman" w:hAnsi="Times New Roman"/>
          <w:sz w:val="20"/>
        </w:rPr>
        <w:t xml:space="preserve">” means a Lender that is not a U.S. Person. </w:t>
      </w:r>
    </w:p>
    <w:p>
      <w:pPr>
        <w:pStyle w:val="TextBody"/>
        <w:bidi w:val="0"/>
        <w:spacing w:before="240" w:after="0"/>
        <w:jc w:val="left"/>
        <w:rPr/>
      </w:pPr>
      <w:r>
        <w:rPr/>
        <w:t>“</w:t>
      </w:r>
      <w:r>
        <w:rPr>
          <w:rFonts w:ascii="Times New Roman" w:hAnsi="Times New Roman"/>
          <w:sz w:val="20"/>
          <w:u w:val="single"/>
        </w:rPr>
        <w:t>Note Proceeds</w:t>
      </w:r>
      <w:r>
        <w:rPr>
          <w:rFonts w:ascii="Times New Roman" w:hAnsi="Times New Roman"/>
          <w:sz w:val="20"/>
        </w:rPr>
        <w:t xml:space="preserve">” means the net cash proceeds received by WESCO Distribution, Inc. in connection with the issuance of any series of notes on or after the Seventh Amendment Effective Date.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means, individually and collectively as the context may require, the U.S. Obligations and the Canadian Obligations.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240" w:after="0"/>
        <w:jc w:val="left"/>
        <w:rPr/>
      </w:pPr>
      <w:r>
        <w:rPr/>
        <w:t>“</w:t>
      </w:r>
      <w:r>
        <w:rPr>
          <w:rFonts w:ascii="Times New Roman" w:hAnsi="Times New Roman"/>
          <w:sz w:val="20"/>
          <w:u w:val="single"/>
        </w:rPr>
        <w:t>Off-Balance Sheet Liability</w:t>
      </w:r>
      <w:r>
        <w:rPr>
          <w:rFonts w:ascii="Times New Roman" w:hAnsi="Times New Roman"/>
          <w:sz w:val="20"/>
        </w:rPr>
        <w:t xml:space="preserve">”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engaged in any other transaction pursuant to or enforced any Loan Document, or sold or assigned an interest in any Loan Document). </w:t>
      </w:r>
    </w:p>
    <w:p>
      <w:pPr>
        <w:pStyle w:val="TextBody"/>
        <w:bidi w:val="0"/>
        <w:spacing w:before="240" w:after="0"/>
        <w:jc w:val="left"/>
        <w:rPr/>
      </w:pPr>
      <w:r>
        <w:rPr/>
        <w:t>“</w:t>
      </w:r>
      <w:r>
        <w:rPr>
          <w:rFonts w:ascii="Times New Roman" w:hAnsi="Times New Roman"/>
          <w:sz w:val="20"/>
          <w:u w:val="single"/>
        </w:rPr>
        <w:t>Other Taxes</w:t>
      </w:r>
      <w:r>
        <w:rPr>
          <w:rFonts w:ascii="Times New Roman" w:hAnsi="Times New Roman"/>
          <w:sz w:val="20"/>
        </w:rPr>
        <w:t xml:space="preserve">” means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Loan Document, except any such Taxes that are Other Connection Taxes imposed with respect to an assignment (other than an assignment under Section 2.19(b)). </w:t>
      </w:r>
    </w:p>
    <w:p>
      <w:pPr>
        <w:pStyle w:val="TextBody"/>
        <w:bidi w:val="0"/>
        <w:spacing w:before="240" w:after="0"/>
        <w:jc w:val="left"/>
        <w:rPr/>
      </w:pPr>
      <w:r>
        <w:rPr/>
        <w:t>“</w:t>
      </w:r>
      <w:r>
        <w:rPr>
          <w:rFonts w:ascii="Times New Roman" w:hAnsi="Times New Roman"/>
          <w:sz w:val="20"/>
          <w:u w:val="single"/>
        </w:rPr>
        <w:t>Outbound Investment Rules</w:t>
      </w:r>
      <w:r>
        <w:rPr>
          <w:rFonts w:ascii="Times New Roman" w:hAnsi="Times New Roman"/>
          <w:sz w:val="20"/>
        </w:rPr>
        <w:t xml:space="preserve">” means the regulations administered and enforced, together with any related public guidance issued, by the United States Treasury Department under U.S. Executive Order 14105 of August 9, 2023 and, as of the date of this Agreement, and as codified at 31 C.F.R. § 850.101 et seq, or any similar law or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Overadvances</w:t>
      </w:r>
      <w:r>
        <w:rPr>
          <w:rFonts w:ascii="Times New Roman" w:hAnsi="Times New Roman"/>
          <w:sz w:val="20"/>
        </w:rPr>
        <w:t xml:space="preserve">” means, individually and collectively as the context may require, the U.S. Overadvances and the Canadian Overadvances.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means, with respect to any Lender, the Person as to which such Lender is, directly or indirectly, a subsidiary.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set forth in Section 9.04.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set forth in Section 9.04. </w:t>
      </w:r>
    </w:p>
    <w:p>
      <w:pPr>
        <w:pStyle w:val="TextBody"/>
        <w:bidi w:val="0"/>
        <w:spacing w:before="240" w:after="0"/>
        <w:jc w:val="left"/>
        <w:rPr/>
      </w:pPr>
      <w:r>
        <w:rPr/>
        <w:t>“</w:t>
      </w:r>
      <w:r>
        <w:rPr>
          <w:rFonts w:ascii="Times New Roman" w:hAnsi="Times New Roman"/>
          <w:sz w:val="20"/>
          <w:u w:val="single"/>
        </w:rPr>
        <w:t>Payment Conditions</w:t>
      </w:r>
      <w:r>
        <w:rPr>
          <w:rFonts w:ascii="Times New Roman" w:hAnsi="Times New Roman"/>
          <w:sz w:val="20"/>
        </w:rPr>
        <w:t xml:space="preserve">” shall be deemed to be satisfied with respect to a transaction if: </w:t>
      </w:r>
    </w:p>
    <w:p>
      <w:pPr>
        <w:pStyle w:val="TextBody"/>
        <w:bidi w:val="0"/>
        <w:spacing w:before="120" w:after="0"/>
        <w:jc w:val="left"/>
        <w:rPr>
          <w:rFonts w:ascii="Times New Roman" w:hAnsi="Times New Roman"/>
          <w:sz w:val="20"/>
        </w:rPr>
      </w:pPr>
      <w:r>
        <w:rPr>
          <w:rFonts w:ascii="Times New Roman" w:hAnsi="Times New Roman"/>
          <w:sz w:val="20"/>
        </w:rPr>
        <w:t xml:space="preserve">(a) no Default has occurred and is continuing or would result immediately after giving effect to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(b) for the period of thirty (30) consecutive days prior to, and as of the date of, such transaction, in each case, after giving effect to such transaction, Specified Combined Availability exceeds the Combined Availability Trigger Amount; </w:t>
      </w:r>
      <w:r>
        <w:rPr>
          <w:rFonts w:ascii="Times New Roman" w:hAnsi="Times New Roman"/>
          <w:sz w:val="20"/>
          <w:u w:val="single"/>
        </w:rPr>
        <w:t>provided</w:t>
      </w:r>
      <w:r>
        <w:rPr>
          <w:rFonts w:ascii="Times New Roman" w:hAnsi="Times New Roman"/>
          <w:sz w:val="20"/>
        </w:rPr>
        <w:t xml:space="preserve"> that (A) in calculating Specified Combined Availability for the thirty day period prior to such transaction for purposes of this clause (b), Specified Combined Availability for such thirty day period shall be determined on a pro forma basis, as if such transaction had occurred (and any Revolving Loans or loans, transfers or sales made under the Receivables Securitization Agreements to fund such transaction had been made) on the first day of such period and (B), if at any time during such thirty day period, Specified Combined Availability shall be less than the Combined Availability Trigger Amount and (x) the Borrowers shall raise additional capital through the issuance of Equity Interests by Holdings or the incurrence of Indebtedness permitted under Section 6.01 and utilize a portion of the proceeds of such additional capital raise to pay down outstanding Revolving Loans or outstanding amounts owing under the Receivables Securitization Agreements or (y) the Aggregate Revolving Commitments are increased pursuant to Section 2.09(e) hereof or the Securitization Purchase Limit is increased pursuant to the Receivables Securitization Agreements, for purposes of determining whether the Borrowers have met the foregoing test, Specified Combined Availability shall be determined on a pro forma basis, as if such capital raise and pay down of outstanding Revolving Loans or amounts owing under the Receivables Securitization Agreements or such increase in the Aggregate Revolving Commitments or Securitization Purchase Limit, as applicable, had occurred on the first day of such thirty day period; </w:t>
      </w:r>
    </w:p>
    <w:p>
      <w:pPr>
        <w:pStyle w:val="TextBody"/>
        <w:bidi w:val="0"/>
        <w:spacing w:before="240" w:after="0"/>
        <w:jc w:val="left"/>
        <w:rPr>
          <w:rFonts w:ascii="Times New Roman" w:hAnsi="Times New Roman"/>
          <w:sz w:val="20"/>
        </w:rPr>
      </w:pPr>
      <w:r>
        <w:rPr>
          <w:rFonts w:ascii="Times New Roman" w:hAnsi="Times New Roman"/>
          <w:sz w:val="20"/>
        </w:rPr>
        <w:t xml:space="preserve">(c) immediately after giving effect to such transaction, the Fixed Charge Coverage Ratio (calculated for the period of four consecutive fiscal quarters then most recently ended as if such transaction had been made on the first day of such period) shall be not less than 1.1 to 1.0; and </w:t>
      </w:r>
    </w:p>
    <w:p>
      <w:pPr>
        <w:pStyle w:val="TextBody"/>
        <w:bidi w:val="0"/>
        <w:spacing w:before="240" w:after="0"/>
        <w:jc w:val="left"/>
        <w:rPr>
          <w:rFonts w:ascii="Times New Roman" w:hAnsi="Times New Roman"/>
          <w:sz w:val="20"/>
        </w:rPr>
      </w:pPr>
      <w:r>
        <w:rPr>
          <w:rFonts w:ascii="Times New Roman" w:hAnsi="Times New Roman"/>
          <w:sz w:val="20"/>
        </w:rPr>
        <w:t xml:space="preserve">(d) in connection with any incurrence of Indebtedness, any sale, transfer or other disposition (or series of related sales, transfers or other dispositions), any Investment (or series of related Investments) or any Restricted Payment (or series of related Restricted Payments) in an aggregate amount in excess of </w:t>
      </w:r>
      <w:r>
        <w:rPr>
          <w:rFonts w:ascii="Times New Roman" w:hAnsi="Times New Roman"/>
          <w:strike/>
          <w:color w:val="FF0000"/>
          <w:sz w:val="20"/>
        </w:rPr>
        <w:t>$50,000,000</w:t>
      </w:r>
      <w:r>
        <w:rPr>
          <w:rFonts w:ascii="Times New Roman" w:hAnsi="Times New Roman"/>
          <w:color w:val="0000FF"/>
          <w:sz w:val="20"/>
          <w:u w:val="single"/>
          <w:bdr w:val="double" w:sz="2" w:space="1" w:color="000000"/>
        </w:rPr>
        <w:t xml:space="preserve">100,000,000 </w:t>
      </w:r>
      <w:r>
        <w:rPr>
          <w:rFonts w:ascii="Times New Roman" w:hAnsi="Times New Roman"/>
          <w:sz w:val="20"/>
        </w:rPr>
        <w:t xml:space="preserve">, the Borrower Representative shall have delivered to the Administrative Agent a written certification as to (and reasonably detailed calculations of) the Fixed Charge Coverage Ratio demonstrating compliance with the foregoing clause (c) and of Specified Combined Availability demonstrating compliance with the foregoing clause (b), which certification and calculations shall be reasonably satisfactory in form and detail to the Administrative Agent. </w:t>
      </w:r>
    </w:p>
    <w:p>
      <w:pPr>
        <w:pStyle w:val="TextBody"/>
        <w:bidi w:val="0"/>
        <w:spacing w:before="240" w:after="0"/>
        <w:jc w:val="left"/>
        <w:rPr/>
      </w:pPr>
      <w:r>
        <w:rPr/>
        <w:t>“</w:t>
      </w:r>
      <w:r>
        <w:rPr>
          <w:rFonts w:ascii="Times New Roman" w:hAnsi="Times New Roman"/>
          <w:sz w:val="20"/>
          <w:u w:val="single"/>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240" w:after="0"/>
        <w:jc w:val="left"/>
        <w:rPr/>
      </w:pPr>
      <w:r>
        <w:rPr/>
        <w:t>“</w:t>
      </w:r>
      <w:r>
        <w:rPr>
          <w:rFonts w:ascii="Times New Roman" w:hAnsi="Times New Roman"/>
          <w:sz w:val="20"/>
          <w:u w:val="single"/>
        </w:rPr>
        <w:t>Pension Event</w:t>
      </w:r>
      <w:r>
        <w:rPr>
          <w:rFonts w:ascii="Times New Roman" w:hAnsi="Times New Roman"/>
          <w:sz w:val="20"/>
        </w:rPr>
        <w:t xml:space="preserve">” means: (a) the whole or partial withdrawal of a Canadian Loan Party from a Canadian Pension Plan during a plan year; or (b) the filing of a notice of interest to terminate in whole or in part a Canadian Pension Plan or the treatment of a Canadian Pension Plan amendment as a termination or partial termination; or (c) the institution of proceedings by any Governmental Authority to terminate in whole or in part or have a trustee appointed to administer a Canadian Pension Plan; or (d) any other event or condition which might reasonably constitute grounds for the termination of, winding up or partial termination of winding up or the appointment of trustee to administer, any Canadian Pension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Periodic Term CORRA Determination Day</w:t>
      </w:r>
      <w:r>
        <w:rPr>
          <w:rFonts w:ascii="Times New Roman" w:hAnsi="Times New Roman"/>
          <w:sz w:val="20"/>
        </w:rPr>
        <w:t xml:space="preserve">” has the meaning assigned to such term in the definition of “Term CORRA”. </w:t>
      </w:r>
    </w:p>
    <w:p>
      <w:pPr>
        <w:pStyle w:val="TextBody"/>
        <w:bidi w:val="0"/>
        <w:spacing w:before="240" w:after="0"/>
        <w:jc w:val="left"/>
        <w:rPr/>
      </w:pPr>
      <w:r>
        <w:rPr/>
        <w:t>“</w:t>
      </w:r>
      <w:r>
        <w:rPr>
          <w:rFonts w:ascii="Times New Roman" w:hAnsi="Times New Roman"/>
          <w:sz w:val="20"/>
          <w:u w:val="single"/>
        </w:rPr>
        <w:t>Periodic Term SOFR Determination Day</w:t>
      </w:r>
      <w:r>
        <w:rPr>
          <w:rFonts w:ascii="Times New Roman" w:hAnsi="Times New Roman"/>
          <w:sz w:val="20"/>
        </w:rPr>
        <w:t xml:space="preserve">” has the meaning assigned to such term in the definition of “Term SOFR”. </w:t>
      </w:r>
    </w:p>
    <w:p>
      <w:pPr>
        <w:pStyle w:val="TextBody"/>
        <w:bidi w:val="0"/>
        <w:spacing w:before="240" w:after="0"/>
        <w:jc w:val="left"/>
        <w:rPr/>
      </w:pPr>
      <w:r>
        <w:rPr/>
        <w:t>“</w:t>
      </w:r>
      <w:r>
        <w:rPr>
          <w:rFonts w:ascii="Times New Roman" w:hAnsi="Times New Roman"/>
          <w:sz w:val="20"/>
          <w:u w:val="single"/>
        </w:rPr>
        <w:t>Permitted Acquisition</w:t>
      </w:r>
      <w:r>
        <w:rPr>
          <w:rFonts w:ascii="Times New Roman" w:hAnsi="Times New Roman"/>
          <w:sz w:val="20"/>
        </w:rPr>
        <w:t xml:space="preserve">” means (i) the Rahi Acquisition and (ii) subject to Section 1.08, any Acquisition by any Borrower or Loan Guarantor in a transaction that satisfies each of the following requirements: (a) such Acquisition is not a hostile acquisition or contested by the Person to be acquired; (b) both before and after giving effect to such Acquisition, each of the representations and warranties in the Loan Documents is true and correct in all material respects (or if such representation or warranty relates to an earlier date, as of such earlier date) (except that such materiality qualifier shall not be applicable to any representations and warranties that already are qualified or modified by materiality in the context thereof); (c) at the time of, and immediately after giving effect to the consummation of such Acquisition, the conditions set forth in clauses (a), (b) and (d) of the definition of Payment Conditions are satisfied with respect to such Acquisition; (d) in the case of any Acquisition for Total Consideration in excess of $350,000,000, </w:t>
      </w:r>
      <w:r>
        <w:rPr>
          <w:rFonts w:ascii="Times New Roman" w:hAnsi="Times New Roman"/>
          <w:strike/>
          <w:color w:val="FF0000"/>
          <w:sz w:val="20"/>
        </w:rPr>
        <w:t>(i) as soon as available, but not less than ten (10) days (or such shorter period as may be agreed to by the Administrative Agent in its Permitted Discretion) prior to such Acquisition, the Borrowers</w:t>
      </w:r>
      <w:r>
        <w:rPr>
          <w:rFonts w:ascii="Times New Roman" w:hAnsi="Times New Roman"/>
          <w:color w:val="0000FF"/>
          <w:sz w:val="20"/>
          <w:u w:val="single"/>
          <w:bdr w:val="double" w:sz="2" w:space="1" w:color="000000"/>
        </w:rPr>
        <w:t>the Borrower Representative shall</w:t>
      </w:r>
      <w:r>
        <w:rPr>
          <w:rFonts w:ascii="Times New Roman" w:hAnsi="Times New Roman"/>
          <w:sz w:val="20"/>
        </w:rPr>
        <w:t xml:space="preserve"> have provided the Administrative Agent </w:t>
      </w:r>
      <w:r>
        <w:rPr>
          <w:rFonts w:ascii="Times New Roman" w:hAnsi="Times New Roman"/>
          <w:strike/>
          <w:color w:val="FF0000"/>
          <w:sz w:val="20"/>
        </w:rPr>
        <w:t>with notice of such Acquisition and</w:t>
      </w:r>
      <w:r>
        <w:rPr>
          <w:rFonts w:ascii="Times New Roman" w:hAnsi="Times New Roman"/>
          <w:strike/>
          <w:color w:val="008000"/>
          <w:sz w:val="20"/>
        </w:rPr>
        <w:t xml:space="preserve"> a summary of the material terms of such Acquisition and </w:t>
      </w:r>
      <w:r>
        <w:rPr>
          <w:rFonts w:ascii="Times New Roman" w:hAnsi="Times New Roman"/>
          <w:strike/>
          <w:color w:val="FF0000"/>
          <w:sz w:val="20"/>
        </w:rPr>
        <w:t>(ii) as soon as available, but</w:t>
      </w:r>
      <w:r>
        <w:rPr>
          <w:rFonts w:ascii="Times New Roman" w:hAnsi="Times New Roman"/>
          <w:color w:val="0000FF"/>
          <w:sz w:val="20"/>
          <w:u w:val="single"/>
          <w:bdr w:val="double" w:sz="2" w:space="1" w:color="000000"/>
        </w:rPr>
        <w:t>,</w:t>
      </w:r>
      <w:r>
        <w:rPr>
          <w:rFonts w:ascii="Times New Roman" w:hAnsi="Times New Roman"/>
          <w:sz w:val="20"/>
        </w:rPr>
        <w:t xml:space="preserve"> not less than five (5) days (or such shorter period as may be agreed to by the Administrative Agent in its Permitted Discretion) prior to such Acquisition, </w:t>
      </w:r>
      <w:r>
        <w:rPr>
          <w:rFonts w:ascii="Times New Roman" w:hAnsi="Times New Roman"/>
          <w:strike/>
          <w:color w:val="FF0000"/>
          <w:sz w:val="20"/>
        </w:rPr>
        <w:t xml:space="preserve">the Borrowers shall have provided the Administrative Agent with </w:t>
      </w:r>
      <w:r>
        <w:rPr>
          <w:rFonts w:ascii="Times New Roman" w:hAnsi="Times New Roman"/>
          <w:color w:val="0000FF"/>
          <w:sz w:val="20"/>
          <w:u w:val="single"/>
          <w:bdr w:val="double" w:sz="2" w:space="1" w:color="000000"/>
        </w:rPr>
        <w:t xml:space="preserve">notice of such Acquisition, </w:t>
      </w:r>
      <w:r>
        <w:rPr>
          <w:rFonts w:ascii="Times New Roman" w:hAnsi="Times New Roman"/>
          <w:color w:val="008000"/>
          <w:sz w:val="20"/>
          <w:u w:val="single"/>
          <w:bdr w:val="double" w:sz="2" w:space="1" w:color="000000"/>
        </w:rPr>
        <w:t xml:space="preserve">a summary of the material terms of such Acquisition and </w:t>
      </w:r>
      <w:r>
        <w:rPr>
          <w:rFonts w:ascii="Times New Roman" w:hAnsi="Times New Roman"/>
          <w:sz w:val="20"/>
        </w:rPr>
        <w:t xml:space="preserve">a copy of all available business and financial information reasonably requested by Administrative Agent (in each case, to the extent available) including pro forma financial statements, statements of cash flow, and Aggregate Availability, Canadian Availability and U.S. Availability projections; and (e) to the extent the acquirer is a Loan Party, a material portion of the assets being acquired are located within the United States or Canada, or the Person whose Equity Interests are being acquired is organized in a jurisdiction located within the United States or Canada; provided that, notwithstanding anything herein to the contrary, the Borrowers may designate any Acquisition that would otherwise qualify as a Permitted Acquisition but for the foregoing clause (e) as a Permitted Acquisition so long as the aggregate Total Consideration for all Permitted Acquisitions so designated </w:t>
      </w:r>
      <w:r>
        <w:rPr>
          <w:rFonts w:ascii="Times New Roman" w:hAnsi="Times New Roman"/>
          <w:color w:val="0000FF"/>
          <w:sz w:val="20"/>
          <w:u w:val="single"/>
          <w:bdr w:val="double" w:sz="2" w:space="1" w:color="000000"/>
        </w:rPr>
        <w:t>after the Ninth Amendment Effective Date</w:t>
      </w:r>
      <w:r>
        <w:rPr>
          <w:rFonts w:ascii="Times New Roman" w:hAnsi="Times New Roman"/>
          <w:sz w:val="20"/>
        </w:rPr>
        <w:t xml:space="preserve"> pursuant to this proviso does not exceed the Threshold Amount. Unless otherwise consented to in writing by the Administrative Agent, in no event will assets acquired pursuant to a Permitted Acquisition constitute assets eligible for inclusion in the Aggregate Borrowing Base prior to completion of a field examination and other due diligence acceptable to Administrative Agent in its Permitted Discretion; </w:t>
      </w:r>
      <w:r>
        <w:rPr>
          <w:rFonts w:ascii="Times New Roman" w:hAnsi="Times New Roman"/>
          <w:sz w:val="20"/>
          <w:u w:val="single"/>
        </w:rPr>
        <w:t>provided</w:t>
      </w:r>
      <w:r>
        <w:rPr>
          <w:rFonts w:ascii="Times New Roman" w:hAnsi="Times New Roman"/>
          <w:sz w:val="20"/>
        </w:rPr>
        <w:t xml:space="preserve"> that with respect to any Permitted Acquisition as to which the aggregate value of the assets being acquired by any U.S. Loan Party or Canadian Loan Party is less than 10% of the Aggregate Borrowing Base, respectively (each determined prior to giving effect to any inclusion of any such assets in the Aggregate Borrowing Base, as applicable), Accounts or Inventory acquired in connection with such Permitted Acquisition which would otherwise constitute Eligible Accounts and Eligible Inventory may be included in the Aggregate Borrowing Base, as applicable, without a field examination for a period of ninety (90) days after the consummation of such Permitted Acquisition, it being understood that, unless otherwise agreed by the Administrative Agent in its Permitted Discretion, such Accounts and Inventory will cease to be included in the Aggregate Borrowing Base from and after the 90th day after the consummation of such Permitted Acquisition if the Administrative Agent has not received a field examination and other due diligence acceptable to the Administrative Agent by such 90th day. </w:t>
      </w:r>
    </w:p>
    <w:p>
      <w:pPr>
        <w:pStyle w:val="TextBody"/>
        <w:bidi w:val="0"/>
        <w:spacing w:before="240" w:after="0"/>
        <w:jc w:val="left"/>
        <w:rPr/>
      </w:pPr>
      <w:r>
        <w:rPr/>
        <w:t>“</w:t>
      </w:r>
      <w:r>
        <w:rPr>
          <w:rFonts w:ascii="Times New Roman" w:hAnsi="Times New Roman"/>
          <w:sz w:val="20"/>
          <w:u w:val="single"/>
        </w:rPr>
        <w:t>Permitted Discretion</w:t>
      </w:r>
      <w:r>
        <w:rPr>
          <w:rFonts w:ascii="Times New Roman" w:hAnsi="Times New Roman"/>
          <w:sz w:val="20"/>
        </w:rPr>
        <w:t xml:space="preserve">” means a determination made in good faith and in the exercise of reasonable (from the perspective of a secured asset-based lender) business judgment. </w:t>
      </w:r>
    </w:p>
    <w:p>
      <w:pPr>
        <w:pStyle w:val="TextBody"/>
        <w:bidi w:val="0"/>
        <w:spacing w:before="240" w:after="0"/>
        <w:jc w:val="left"/>
        <w:rPr/>
      </w:pPr>
      <w:r>
        <w:rPr/>
        <w:t>“</w:t>
      </w:r>
      <w:r>
        <w:rPr>
          <w:rFonts w:ascii="Times New Roman" w:hAnsi="Times New Roman"/>
          <w:sz w:val="20"/>
          <w:u w:val="single"/>
        </w:rPr>
        <w:t>Permitted Encumbrances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Liens imposed by law for (i) Taxes, assessments or other governmental charges that are not yet due, or (ii) Taxes, assessments or other governmental charges in an aggregate amount not in excess of $50,000,000 that are overdue by not more than 30 days; </w:t>
      </w:r>
    </w:p>
    <w:p>
      <w:pPr>
        <w:pStyle w:val="TextBody"/>
        <w:bidi w:val="0"/>
        <w:spacing w:before="240" w:after="0"/>
        <w:jc w:val="left"/>
        <w:rPr>
          <w:rFonts w:ascii="Times New Roman" w:hAnsi="Times New Roman"/>
          <w:sz w:val="20"/>
        </w:rPr>
      </w:pPr>
      <w:r>
        <w:rPr>
          <w:rFonts w:ascii="Times New Roman" w:hAnsi="Times New Roman"/>
          <w:sz w:val="20"/>
        </w:rPr>
        <w:t xml:space="preserve">(b) carriers’, warehousemen’s, mechanics’, materialmen’s, repairmen’s and other like Liens imposed by law, arising in the ordinary course of business and securing obligations that are not overdue by more than 60 days or are being contested in compliance with Section 5.04;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pledges and deposits made in the ordinary course of business in compliance with workers’ compensation, unemployment insurance and other social security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(d) deposits to secure the performance of bids, trade contracts, leases, statutory obligations, surety and appeal bonds, performance bonds and other obligations of a like nature, in each case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 judgment Liens in respect of judgments that do not constitute an Event of Default under clause (l) of Article VII; and </w:t>
      </w:r>
    </w:p>
    <w:p>
      <w:pPr>
        <w:pStyle w:val="TextBody"/>
        <w:bidi w:val="0"/>
        <w:spacing w:before="240" w:after="0"/>
        <w:jc w:val="left"/>
        <w:rPr>
          <w:rFonts w:ascii="Times New Roman" w:hAnsi="Times New Roman"/>
          <w:sz w:val="20"/>
        </w:rPr>
      </w:pPr>
      <w:r>
        <w:rPr>
          <w:rFonts w:ascii="Times New Roman" w:hAnsi="Times New Roman"/>
          <w:sz w:val="20"/>
        </w:rPr>
        <w:t xml:space="preserve">(f) 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any Borrower or any Subsidiary;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the term “Permitted Encumbrances” shall not include any Lien securing Indebtedness except with respect to clause (e) above (to the extent that any such judgment constitutes Indebtedness). </w:t>
      </w:r>
    </w:p>
    <w:p>
      <w:pPr>
        <w:pStyle w:val="TextBody"/>
        <w:bidi w:val="0"/>
        <w:spacing w:before="240" w:after="0"/>
        <w:jc w:val="left"/>
        <w:rPr/>
      </w:pPr>
      <w:r>
        <w:rPr/>
        <w:t>“</w:t>
      </w:r>
      <w:r>
        <w:rPr>
          <w:rFonts w:ascii="Times New Roman" w:hAnsi="Times New Roman"/>
          <w:sz w:val="20"/>
          <w:u w:val="single"/>
        </w:rPr>
        <w:t>Permitted Forward</w:t>
      </w:r>
      <w:r>
        <w:rPr>
          <w:rFonts w:ascii="Times New Roman" w:hAnsi="Times New Roman"/>
          <w:sz w:val="20"/>
        </w:rPr>
        <w:t xml:space="preserve">” means any Swap Agreements relating to forward sales of the common stock of any Loan Party pursuant to an effective registration statement of such Loan Party filed with the SEC (including any prospectus related thereto). </w:t>
      </w:r>
    </w:p>
    <w:p>
      <w:pPr>
        <w:pStyle w:val="TextBody"/>
        <w:bidi w:val="0"/>
        <w:spacing w:before="240" w:after="0"/>
        <w:jc w:val="left"/>
        <w:rPr/>
      </w:pPr>
      <w:r>
        <w:rPr/>
        <w:t>“</w:t>
      </w:r>
      <w:r>
        <w:rPr>
          <w:rFonts w:ascii="Times New Roman" w:hAnsi="Times New Roman"/>
          <w:sz w:val="20"/>
          <w:u w:val="single"/>
        </w:rPr>
        <w:t>Permitted Investments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direct obligations of, or obligations the principal of and interest on which are unconditionally guaranteed by, the United States of America or Canada (or by any agency thereof to the extent such obligations are backed by the full faith and credit of such government), in each case maturing within one year from the date of acquisition thereof; </w:t>
      </w:r>
    </w:p>
    <w:p>
      <w:pPr>
        <w:pStyle w:val="TextBody"/>
        <w:bidi w:val="0"/>
        <w:spacing w:before="240" w:after="0"/>
        <w:jc w:val="left"/>
        <w:rPr>
          <w:rFonts w:ascii="Times New Roman" w:hAnsi="Times New Roman"/>
          <w:sz w:val="20"/>
        </w:rPr>
      </w:pPr>
      <w:r>
        <w:rPr>
          <w:rFonts w:ascii="Times New Roman" w:hAnsi="Times New Roman"/>
          <w:sz w:val="20"/>
        </w:rPr>
        <w:t xml:space="preserve">(b) investments in commercial paper maturing within 270 days from the date of acquisition thereof and having, at such date of acquisition, the highest credit rating obtainable from S&amp;P or from Moody’s; </w:t>
      </w:r>
    </w:p>
    <w:p>
      <w:pPr>
        <w:pStyle w:val="TextBody"/>
        <w:bidi w:val="0"/>
        <w:spacing w:before="240" w:after="0"/>
        <w:jc w:val="left"/>
        <w:rPr>
          <w:rFonts w:ascii="Times New Roman" w:hAnsi="Times New Roman"/>
          <w:sz w:val="20"/>
        </w:rPr>
      </w:pPr>
      <w:r>
        <w:rPr>
          <w:rFonts w:ascii="Times New Roman" w:hAnsi="Times New Roman"/>
          <w:sz w:val="20"/>
        </w:rPr>
        <w:t xml:space="preserve">(c)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Canada or any State or province thereof which has a combined capital and surplus and undivided profits of not less than $500,000,000 or any Lender or an Affiliate of a Lender; </w:t>
      </w:r>
    </w:p>
    <w:p>
      <w:pPr>
        <w:pStyle w:val="TextBody"/>
        <w:bidi w:val="0"/>
        <w:spacing w:before="240" w:after="0"/>
        <w:jc w:val="left"/>
        <w:rPr>
          <w:rFonts w:ascii="Times New Roman" w:hAnsi="Times New Roman"/>
          <w:sz w:val="20"/>
        </w:rPr>
      </w:pPr>
      <w:r>
        <w:rPr>
          <w:rFonts w:ascii="Times New Roman" w:hAnsi="Times New Roman"/>
          <w:sz w:val="20"/>
        </w:rPr>
        <w:t xml:space="preserve">(d) fully collateralized repurchase agreements with a term of not more than 30 days for securities described in clause (a) above and entered into with a financial institution satisfying the criteria described in clause (c) above; </w:t>
      </w:r>
    </w:p>
    <w:p>
      <w:pPr>
        <w:pStyle w:val="TextBody"/>
        <w:bidi w:val="0"/>
        <w:spacing w:before="240" w:after="0"/>
        <w:jc w:val="left"/>
        <w:rPr>
          <w:rFonts w:ascii="Times New Roman" w:hAnsi="Times New Roman"/>
          <w:sz w:val="20"/>
        </w:rPr>
      </w:pPr>
      <w:r>
        <w:rPr>
          <w:rFonts w:ascii="Times New Roman" w:hAnsi="Times New Roman"/>
          <w:sz w:val="20"/>
        </w:rPr>
        <w:t xml:space="preserve">(e) money market funds that (i) comply with the criteria set forth in Securities and Exchange Commission Rule 2a-7 under the Investment Company Act of 1940, (ii) are rated AAA by S&amp;P and AAA by Moody’s, and (iii) have portfolio assets of at least $500,000,000; and </w:t>
      </w:r>
    </w:p>
    <w:p>
      <w:pPr>
        <w:pStyle w:val="TextBody"/>
        <w:bidi w:val="0"/>
        <w:spacing w:before="240" w:after="0"/>
        <w:jc w:val="left"/>
        <w:rPr>
          <w:rFonts w:ascii="Times New Roman" w:hAnsi="Times New Roman"/>
          <w:sz w:val="20"/>
        </w:rPr>
      </w:pPr>
      <w:r>
        <w:rPr>
          <w:rFonts w:ascii="Times New Roman" w:hAnsi="Times New Roman"/>
          <w:sz w:val="20"/>
        </w:rPr>
        <w:t xml:space="preserve">(f) other Investments that are similar to the foregoing, are of comparable credit quality and are customarily used by companies in such jurisdiction for cash management purposes or approved by the Administrative Agent. </w:t>
      </w:r>
    </w:p>
    <w:p>
      <w:pPr>
        <w:pStyle w:val="TextBody"/>
        <w:bidi w:val="0"/>
        <w:spacing w:before="240" w:after="0"/>
        <w:jc w:val="left"/>
        <w:rPr/>
      </w:pPr>
      <w:r>
        <w:rPr/>
        <w:t>“</w:t>
      </w:r>
      <w:r>
        <w:rPr>
          <w:rFonts w:ascii="Times New Roman" w:hAnsi="Times New Roman"/>
          <w:sz w:val="20"/>
          <w:u w:val="single"/>
        </w:rPr>
        <w:t>Permitted Lien</w:t>
      </w:r>
      <w:r>
        <w:rPr>
          <w:rFonts w:ascii="Times New Roman" w:hAnsi="Times New Roman"/>
          <w:sz w:val="20"/>
        </w:rPr>
        <w:t xml:space="preserve">” means any Lien permitted under Section 6.02. </w:t>
      </w:r>
    </w:p>
    <w:p>
      <w:pPr>
        <w:pStyle w:val="TextBody"/>
        <w:bidi w:val="0"/>
        <w:spacing w:before="240" w:after="0"/>
        <w:jc w:val="left"/>
        <w:rPr/>
      </w:pPr>
      <w:r>
        <w:rPr/>
        <w:t>“</w:t>
      </w:r>
      <w:r>
        <w:rPr>
          <w:rFonts w:ascii="Times New Roman" w:hAnsi="Times New Roman"/>
          <w:sz w:val="20"/>
          <w:u w:val="single"/>
        </w:rPr>
        <w:t>Permitted Term Debt</w:t>
      </w:r>
      <w:r>
        <w:rPr>
          <w:rFonts w:ascii="Times New Roman" w:hAnsi="Times New Roman"/>
          <w:sz w:val="20"/>
        </w:rPr>
        <w:t xml:space="preserve">” shall have the meaning assigned to such term in Section 6.01(x). </w:t>
      </w:r>
    </w:p>
    <w:p>
      <w:pPr>
        <w:pStyle w:val="TextBody"/>
        <w:bidi w:val="0"/>
        <w:spacing w:before="240" w:after="0"/>
        <w:jc w:val="left"/>
        <w:rPr/>
      </w:pPr>
      <w:r>
        <w:rPr/>
        <w:t>“</w:t>
      </w:r>
      <w:r>
        <w:rPr>
          <w:rFonts w:ascii="Times New Roman" w:hAnsi="Times New Roman"/>
          <w:sz w:val="20"/>
          <w:u w:val="single"/>
        </w:rPr>
        <w:t>Permitted Term Debt Agent</w:t>
      </w:r>
      <w:r>
        <w:rPr>
          <w:rFonts w:ascii="Times New Roman" w:hAnsi="Times New Roman"/>
          <w:sz w:val="20"/>
        </w:rPr>
        <w:t xml:space="preserve">” means any person acting as administrative agent or collateral agent pursuant to Permitted Term Debt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Term Debt Documents</w:t>
      </w:r>
      <w:r>
        <w:rPr>
          <w:rFonts w:ascii="Times New Roman" w:hAnsi="Times New Roman"/>
          <w:sz w:val="20"/>
        </w:rPr>
        <w:t xml:space="preserve">” means each Permitted Term Loan Agreement, each Permitted Term Debt Security Document, and each other “loan document,” “credit document” or document included in a similar term under and as defined in any such Permitted Term Loan Agreement (other than any Permitted Term Debt Intercreditor Agreement). </w:t>
      </w:r>
    </w:p>
    <w:p>
      <w:pPr>
        <w:pStyle w:val="TextBody"/>
        <w:bidi w:val="0"/>
        <w:spacing w:before="240" w:after="0"/>
        <w:jc w:val="left"/>
        <w:rPr/>
      </w:pPr>
      <w:r>
        <w:rPr/>
        <w:t>“</w:t>
      </w:r>
      <w:r>
        <w:rPr>
          <w:rFonts w:ascii="Times New Roman" w:hAnsi="Times New Roman"/>
          <w:sz w:val="20"/>
          <w:u w:val="single"/>
        </w:rPr>
        <w:t>Permitted Term Debt Intercreditor Agreement</w:t>
      </w:r>
      <w:r>
        <w:rPr>
          <w:rFonts w:ascii="Times New Roman" w:hAnsi="Times New Roman"/>
          <w:sz w:val="20"/>
        </w:rPr>
        <w:t xml:space="preserve">” means any intercreditor agreement(s) executed and delivered after the Fourth Restatement Date by the Administrative Agent, any Permitted Term Debt Agent and the Borrower Representative in connection with any Permitted Term Debt in form and substance reasonably acceptable to the Administrative Agent (including, without limitation, any intercreditor agreement in substantially the form attached hereto as </w:t>
      </w:r>
      <w:r>
        <w:rPr>
          <w:rFonts w:ascii="Times New Roman" w:hAnsi="Times New Roman"/>
          <w:sz w:val="20"/>
          <w:u w:val="single"/>
        </w:rPr>
        <w:t>Exhibit I</w:t>
      </w:r>
      <w:r>
        <w:rPr>
          <w:rFonts w:ascii="Times New Roman" w:hAnsi="Times New Roman"/>
          <w:sz w:val="20"/>
        </w:rPr>
        <w:t xml:space="preserve">, with such changes as shall be agreed upon among the parties thereto), providing, among other things, that (i) the Liens of the Administrative Agent on the ABL Priority Collateral shall be senior to the Liens of the Permitted Term Debt Agent on the ABL Priority Collateral and (ii) the Liens of the Permitted Term Debt Agent on the Term Loan Priority Collateral shall be senior to the Liens of the Administrative Agent on the Term Loan Priority Collateral. </w:t>
      </w:r>
    </w:p>
    <w:p>
      <w:pPr>
        <w:pStyle w:val="TextBody"/>
        <w:bidi w:val="0"/>
        <w:spacing w:before="240" w:after="0"/>
        <w:jc w:val="left"/>
        <w:rPr/>
      </w:pPr>
      <w:r>
        <w:rPr/>
        <w:t>“</w:t>
      </w:r>
      <w:r>
        <w:rPr>
          <w:rFonts w:ascii="Times New Roman" w:hAnsi="Times New Roman"/>
          <w:sz w:val="20"/>
          <w:u w:val="single"/>
        </w:rPr>
        <w:t>Permitted Term Debt Security Documents</w:t>
      </w:r>
      <w:r>
        <w:rPr>
          <w:rFonts w:ascii="Times New Roman" w:hAnsi="Times New Roman"/>
          <w:sz w:val="20"/>
        </w:rPr>
        <w:t>” means any security documents, collateral documents or other similar documents entered into by any of the Loan Parties in connection with any Permitted Term Loan Agreement to create or perfect Liens on assets of the Loan Parties as security for the Permitted Term Debt, and any other documents that are designated under any Permitted Term Loan Agreement as “</w:t>
      </w:r>
      <w:r>
        <w:rPr>
          <w:rFonts w:ascii="Times New Roman" w:hAnsi="Times New Roman"/>
          <w:sz w:val="20"/>
          <w:u w:val="single"/>
        </w:rPr>
        <w:t>Term Loan Security Documents</w:t>
      </w:r>
      <w:r>
        <w:rPr>
          <w:rFonts w:ascii="Times New Roman" w:hAnsi="Times New Roman"/>
          <w:sz w:val="20"/>
        </w:rPr>
        <w:t xml:space="preserve">” for purposes of a Permitted Term Debt Intercreditor Agreement. </w:t>
      </w:r>
    </w:p>
    <w:p>
      <w:pPr>
        <w:pStyle w:val="TextBody"/>
        <w:bidi w:val="0"/>
        <w:spacing w:before="240" w:after="0"/>
        <w:jc w:val="left"/>
        <w:rPr/>
      </w:pPr>
      <w:r>
        <w:rPr/>
        <w:t>“</w:t>
      </w:r>
      <w:r>
        <w:rPr>
          <w:rFonts w:ascii="Times New Roman" w:hAnsi="Times New Roman"/>
          <w:sz w:val="20"/>
          <w:u w:val="single"/>
        </w:rPr>
        <w:t>Permitted Term Loan Agreement</w:t>
      </w:r>
      <w:r>
        <w:rPr>
          <w:rFonts w:ascii="Times New Roman" w:hAnsi="Times New Roman"/>
          <w:sz w:val="20"/>
        </w:rPr>
        <w:t xml:space="preserve">” means any credit agreement, loan agreement or other similar definitive document entered into by any Loan Party after the Fourth Restatement Date with respect to the Permitted Term Debt. </w:t>
      </w:r>
    </w:p>
    <w:p>
      <w:pPr>
        <w:pStyle w:val="TextBody"/>
        <w:bidi w:val="0"/>
        <w:spacing w:before="240" w:after="0"/>
        <w:jc w:val="left"/>
        <w:rPr/>
      </w:pPr>
      <w:r>
        <w:rPr/>
        <w:t>“</w:t>
      </w:r>
      <w:r>
        <w:rPr>
          <w:rFonts w:ascii="Times New Roman" w:hAnsi="Times New Roman"/>
          <w:sz w:val="20"/>
          <w:u w:val="single"/>
        </w:rPr>
        <w:t>Permitted TEU Capped Call Transaction</w:t>
      </w:r>
      <w:r>
        <w:rPr>
          <w:rFonts w:ascii="Times New Roman" w:hAnsi="Times New Roman"/>
          <w:sz w:val="20"/>
        </w:rPr>
        <w:t xml:space="preserve">” means any Swap Agreement in the form of a capped call option pursuant to which Holdings acquires an option requiring the counterparty thereto to deliver to Holdings shares of Holdings’ common stock (or other securities or property following a merger event or other change in the common stock of Holdings) from time to time upon exercise of such option entered into by Holdings in connection with the issuance of customary tangible equity units; </w:t>
      </w:r>
      <w:r>
        <w:rPr>
          <w:rFonts w:ascii="Times New Roman" w:hAnsi="Times New Roman"/>
          <w:sz w:val="20"/>
          <w:u w:val="single"/>
        </w:rPr>
        <w:t>provided</w:t>
      </w:r>
      <w:r>
        <w:rPr>
          <w:rFonts w:ascii="Times New Roman" w:hAnsi="Times New Roman"/>
          <w:sz w:val="20"/>
        </w:rPr>
        <w:t xml:space="preserve"> that (i) the terms, conditions and covenants of each such Swap Agreement shall be customary for swap agreements of such type as determined by the Borrower Representative in good faith and (ii) the purchase price for such Permitted TEU Capped Call Transaction does not exceed the net proceeds received by Borrower Representative from the issuance of the related tangible equity units. </w:t>
      </w:r>
    </w:p>
    <w:p>
      <w:pPr>
        <w:pStyle w:val="TextBody"/>
        <w:bidi w:val="0"/>
        <w:spacing w:before="240" w:after="0"/>
        <w:jc w:val="left"/>
        <w:rPr/>
      </w:pPr>
      <w:r>
        <w:rPr/>
        <w:t>“</w:t>
      </w:r>
      <w:r>
        <w:rPr>
          <w:rFonts w:ascii="Times New Roman" w:hAnsi="Times New Roman"/>
          <w:sz w:val="20"/>
          <w:u w:val="single"/>
        </w:rPr>
        <w:t>Permitted TEU Purchase Contract</w:t>
      </w:r>
      <w:r>
        <w:rPr>
          <w:rFonts w:ascii="Times New Roman" w:hAnsi="Times New Roman"/>
          <w:sz w:val="20"/>
        </w:rPr>
        <w:t xml:space="preserve">” means one or more purchase contracts of Holdings that obligates Holdings to deliver a variable number of shares of Holdings’ common stock (or other securities or property following a merger event or other change in the common stock of Holdings) initially issued as a component of customary tangible equity units; </w:t>
      </w:r>
      <w:r>
        <w:rPr>
          <w:rFonts w:ascii="Times New Roman" w:hAnsi="Times New Roman"/>
          <w:sz w:val="20"/>
          <w:u w:val="single"/>
        </w:rPr>
        <w:t>provided</w:t>
      </w:r>
      <w:r>
        <w:rPr>
          <w:rFonts w:ascii="Times New Roman" w:hAnsi="Times New Roman"/>
          <w:sz w:val="20"/>
        </w:rPr>
        <w:t xml:space="preserve"> that the terms, conditions and covenants of such purchase contracts must be customary for purchase contracts of such type (as determined by the Borrower Representative in good faith).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corporation, limited liability company, unlimited liability company, trust, joint venture, association, company, partnership, Governmental Authority or other entity.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 </w:t>
      </w:r>
    </w:p>
    <w:p>
      <w:pPr>
        <w:pStyle w:val="TextBody"/>
        <w:bidi w:val="0"/>
        <w:spacing w:before="240" w:after="0"/>
        <w:jc w:val="left"/>
        <w:rPr/>
      </w:pPr>
      <w:r>
        <w:rPr/>
        <w:t>“</w:t>
      </w:r>
      <w:r>
        <w:rPr>
          <w:rFonts w:ascii="Times New Roman" w:hAnsi="Times New Roman"/>
          <w:sz w:val="20"/>
          <w:u w:val="single"/>
        </w:rPr>
        <w:t>Plan Asset Regulations</w:t>
      </w:r>
      <w:r>
        <w:rPr>
          <w:rFonts w:ascii="Times New Roman" w:hAnsi="Times New Roman"/>
          <w:sz w:val="20"/>
        </w:rPr>
        <w:t xml:space="preserve">” means 29 CFR § 2510.3-101 et seq., as modified by Section 3(42) of ERISA, as amended from time to time. </w:t>
      </w:r>
    </w:p>
    <w:p>
      <w:pPr>
        <w:pStyle w:val="TextBody"/>
        <w:bidi w:val="0"/>
        <w:spacing w:before="240" w:after="0"/>
        <w:jc w:val="left"/>
        <w:rPr/>
      </w:pPr>
      <w:r>
        <w:rPr/>
        <w:t>“</w:t>
      </w:r>
      <w:r>
        <w:rPr>
          <w:rFonts w:ascii="Times New Roman" w:hAnsi="Times New Roman"/>
          <w:sz w:val="20"/>
          <w:u w:val="single"/>
        </w:rPr>
        <w:t>Pledged Cash</w:t>
      </w:r>
      <w:r>
        <w:rPr>
          <w:rFonts w:ascii="Times New Roman" w:hAnsi="Times New Roman"/>
          <w:sz w:val="20"/>
        </w:rPr>
        <w:t xml:space="preserve">” means cash of the Loan Parties (a) which has been pledged to the Administrative Agent as security for the Obligations and in which the Administrative Agent has a perfected, first priority Lien (subject to Permitted Encumbrances with respect to any Pledged Cash domiciled in a bank account in Canada and statutory liens in favor of the depository bank), and (b) which is on deposit in one or more segregated Deposit Accounts (which for avoidance of doubt shall not include any operating account of any Loan Party) maintained with Barclays or another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commercial bank in the name of the Administrative Agent and under the sole dominion and control of the Administrative Agent (other than in the case of a bank account in Canada), each of which segregated Deposit Accounts is subject to a Control Agreement among Barclays or such bank (as applicable), as depositary, the Administrative Agent and the applicable Loan Party, which Control Agreement provides the Administrative Agent with exclusive dominion and full control over such Deposit Account and all cash held therein and does not permit the Loan Parties to make withdrawals from or otherwise give instructions with respect to the investment or disposition of the cash held in such Deposit Account. </w:t>
      </w:r>
    </w:p>
    <w:p>
      <w:pPr>
        <w:pStyle w:val="TextBody"/>
        <w:bidi w:val="0"/>
        <w:spacing w:before="240" w:after="0"/>
        <w:jc w:val="left"/>
        <w:rPr/>
      </w:pPr>
      <w:r>
        <w:rPr/>
        <w:t>“</w:t>
      </w:r>
      <w:r>
        <w:rPr>
          <w:rFonts w:ascii="Times New Roman" w:hAnsi="Times New Roman"/>
          <w:sz w:val="20"/>
          <w:u w:val="single"/>
        </w:rPr>
        <w:t>PPSA</w:t>
      </w:r>
      <w:r>
        <w:rPr>
          <w:rFonts w:ascii="Times New Roman" w:hAnsi="Times New Roman"/>
          <w:sz w:val="20"/>
        </w:rPr>
        <w:t xml:space="preserve">” means the </w:t>
      </w:r>
      <w:r>
        <w:rPr>
          <w:rFonts w:ascii="Times New Roman" w:hAnsi="Times New Roman"/>
          <w:i/>
          <w:sz w:val="20"/>
        </w:rPr>
        <w:t>Personal Property Security Act</w:t>
      </w:r>
      <w:r>
        <w:rPr>
          <w:rFonts w:ascii="Times New Roman" w:hAnsi="Times New Roman"/>
          <w:sz w:val="20"/>
        </w:rPr>
        <w:t xml:space="preserve"> (Ontario), including the regulations thereto and related Minister’s Orders, </w:t>
      </w:r>
      <w:r>
        <w:rPr>
          <w:rFonts w:ascii="Times New Roman" w:hAnsi="Times New Roman"/>
          <w:sz w:val="20"/>
          <w:u w:val="single"/>
        </w:rPr>
        <w:t>provided</w:t>
      </w:r>
      <w:r>
        <w:rPr>
          <w:rFonts w:ascii="Times New Roman" w:hAnsi="Times New Roman"/>
          <w:sz w:val="20"/>
        </w:rPr>
        <w:t xml:space="preserve"> that if perfection or the effect of perfection or non-perfection or the priority of any Lien created hereunder or under any other Loan Document on the Collateral is governed by the personal property security legislation or other applicable legislation with respect to personal property security in effect in a jurisdiction in Canada other than the Province of Ontario, “PPSA” means the Personal Property Security Act or such other applicable legislation in effect from time to time in such other jurisdiction in Canada (including the Civil Code of Quebec) for purposes of the provisions hereof relating to such perfection, effect of perfection or non-perfection or priority. </w:t>
      </w:r>
    </w:p>
    <w:p>
      <w:pPr>
        <w:pStyle w:val="TextBody"/>
        <w:bidi w:val="0"/>
        <w:spacing w:before="240" w:after="0"/>
        <w:jc w:val="left"/>
        <w:rPr/>
      </w:pPr>
      <w:r>
        <w:rPr/>
        <w:t>“</w:t>
      </w:r>
      <w:r>
        <w:rPr>
          <w:rFonts w:ascii="Times New Roman" w:hAnsi="Times New Roman"/>
          <w:sz w:val="20"/>
          <w:u w:val="single"/>
        </w:rPr>
        <w:t>Preferred Equity</w:t>
      </w:r>
      <w:r>
        <w:rPr>
          <w:rFonts w:ascii="Times New Roman" w:hAnsi="Times New Roman"/>
          <w:sz w:val="20"/>
        </w:rPr>
        <w:t xml:space="preserve">” means preferred stock issued by WESCO International, Inc. in accordance with the terms of the Anixter Acquisition Agreement. </w:t>
      </w:r>
    </w:p>
    <w:p>
      <w:pPr>
        <w:pStyle w:val="TextBody"/>
        <w:bidi w:val="0"/>
        <w:spacing w:before="240" w:after="0"/>
        <w:jc w:val="left"/>
        <w:rPr/>
      </w:pPr>
      <w:r>
        <w:rPr/>
        <w:t>“</w:t>
      </w:r>
      <w:r>
        <w:rPr>
          <w:rFonts w:ascii="Times New Roman" w:hAnsi="Times New Roman"/>
          <w:sz w:val="20"/>
          <w:u w:val="single"/>
        </w:rPr>
        <w:t>Prepayment Event</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any sale, transfer or other disposition (including pursuant to a sale and leaseback transaction) of any ABL Priority Collateral of any Loan Party, other than dispositions described in Section 6.05(a), (b), (c), (e), (f), (g), (h), (i), (j), (k), (l), (m), (n)(ii), (p), (r) and (s); or </w:t>
      </w:r>
    </w:p>
    <w:p>
      <w:pPr>
        <w:pStyle w:val="TextBody"/>
        <w:bidi w:val="0"/>
        <w:spacing w:before="240" w:after="0"/>
        <w:jc w:val="left"/>
        <w:rPr>
          <w:rFonts w:ascii="Times New Roman" w:hAnsi="Times New Roman"/>
          <w:sz w:val="20"/>
        </w:rPr>
      </w:pPr>
      <w:r>
        <w:rPr>
          <w:rFonts w:ascii="Times New Roman" w:hAnsi="Times New Roman"/>
          <w:sz w:val="20"/>
        </w:rPr>
        <w:t xml:space="preserve">(b) any casualty or other insured damage to, or any taking under power of eminent domain or by condemnation or similar proceeding of, any ABL Priority Collateral of any Loan Party. </w:t>
      </w:r>
    </w:p>
    <w:p>
      <w:pPr>
        <w:pStyle w:val="TextBody"/>
        <w:bidi w:val="0"/>
        <w:spacing w:before="240" w:after="0"/>
        <w:jc w:val="left"/>
        <w:rPr/>
      </w:pPr>
      <w:r>
        <w:rPr/>
        <w:t>“</w:t>
      </w:r>
      <w:r>
        <w:rPr>
          <w:rFonts w:ascii="Times New Roman" w:hAnsi="Times New Roman"/>
          <w:sz w:val="20"/>
          <w:u w:val="single"/>
        </w:rPr>
        <w:t>Prepayment Notice</w:t>
      </w:r>
      <w:r>
        <w:rPr>
          <w:rFonts w:ascii="Times New Roman" w:hAnsi="Times New Roman"/>
          <w:sz w:val="20"/>
        </w:rPr>
        <w:t xml:space="preserve">” means a notice by the Borrower Representative regarding a </w:t>
      </w:r>
      <w:r>
        <w:rPr>
          <w:rFonts w:ascii="Times New Roman" w:hAnsi="Times New Roman"/>
          <w:strike/>
          <w:color w:val="FF0000"/>
          <w:sz w:val="20"/>
        </w:rPr>
        <w:t>prepayemt</w:t>
      </w:r>
      <w:r>
        <w:rPr>
          <w:rFonts w:ascii="Times New Roman" w:hAnsi="Times New Roman"/>
          <w:color w:val="0000FF"/>
          <w:sz w:val="20"/>
          <w:u w:val="single"/>
          <w:bdr w:val="double" w:sz="2" w:space="1" w:color="000000"/>
        </w:rPr>
        <w:t>prepayment</w:t>
      </w:r>
      <w:r>
        <w:rPr>
          <w:rFonts w:ascii="Times New Roman" w:hAnsi="Times New Roman"/>
          <w:sz w:val="20"/>
        </w:rPr>
        <w:t xml:space="preserve"> in accordance with Section 2.11 substantially in the form of </w:t>
      </w:r>
      <w:r>
        <w:rPr>
          <w:rFonts w:ascii="Times New Roman" w:hAnsi="Times New Roman"/>
          <w:sz w:val="20"/>
          <w:u w:val="single"/>
        </w:rPr>
        <w:t>Exhibit K</w:t>
      </w:r>
      <w:r>
        <w:rPr>
          <w:rFonts w:ascii="Times New Roman" w:hAnsi="Times New Roman"/>
          <w:sz w:val="20"/>
        </w:rPr>
        <w:t xml:space="preserve"> attached hereto.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w:t>
      </w:r>
    </w:p>
    <w:p>
      <w:pPr>
        <w:pStyle w:val="TextBody"/>
        <w:bidi w:val="0"/>
        <w:spacing w:before="240" w:after="0"/>
        <w:jc w:val="left"/>
        <w:rPr/>
      </w:pPr>
      <w:r>
        <w:rPr/>
        <w:t>“</w:t>
      </w:r>
      <w:r>
        <w:rPr>
          <w:rFonts w:ascii="Times New Roman" w:hAnsi="Times New Roman"/>
          <w:sz w:val="20"/>
          <w:u w:val="single"/>
        </w:rPr>
        <w:t>Priority Payables Reserve</w:t>
      </w:r>
      <w:r>
        <w:rPr>
          <w:rFonts w:ascii="Times New Roman" w:hAnsi="Times New Roman"/>
          <w:sz w:val="20"/>
        </w:rPr>
        <w:t xml:space="preserve">” means reserves for amounts secured by any Liens, choate or inchoate, which rank or are capable of ranking in priority to the Administrative Agent’s or any other Canadian Lender Parties’ Liens, including without limitation, in the Permitted Discretion of the Administrative Agent, any such amounts due and not paid for wages, vacation pay, amounts due and not paid under any legislation relating to workers’ compensation or to employment insurance, all amounts deducted or withheld and not paid and remitted when due under the ITA, amounts currently or past due and not paid for realty, municipal or similar taxes (to the extent impacting personal or moveable property) and all amounts currently or past due and not contributed, remitted or paid to or under any Canadian Pension Plan or under the Canada Pension Plan, the </w:t>
      </w:r>
      <w:r>
        <w:rPr>
          <w:rFonts w:ascii="Times New Roman" w:hAnsi="Times New Roman"/>
          <w:i/>
          <w:sz w:val="20"/>
        </w:rPr>
        <w:t>Pension Benefits Act</w:t>
      </w:r>
      <w:r>
        <w:rPr>
          <w:rFonts w:ascii="Times New Roman" w:hAnsi="Times New Roman"/>
          <w:sz w:val="20"/>
        </w:rPr>
        <w:t xml:space="preserve"> (Ontario) or any similar legislation, other than amounts included in the Wage Earner Protection Act Reserve. </w:t>
      </w:r>
    </w:p>
    <w:p>
      <w:pPr>
        <w:pStyle w:val="TextBody"/>
        <w:bidi w:val="0"/>
        <w:spacing w:before="240" w:after="0"/>
        <w:jc w:val="left"/>
        <w:rPr/>
      </w:pPr>
      <w:r>
        <w:rPr/>
        <w:t>“</w:t>
      </w:r>
      <w:r>
        <w:rPr>
          <w:rFonts w:ascii="Times New Roman" w:hAnsi="Times New Roman"/>
          <w:sz w:val="20"/>
          <w:u w:val="single"/>
        </w:rPr>
        <w:t>Proceeds of Crime Act</w:t>
      </w:r>
      <w:r>
        <w:rPr>
          <w:rFonts w:ascii="Times New Roman" w:hAnsi="Times New Roman"/>
          <w:sz w:val="20"/>
        </w:rPr>
        <w:t xml:space="preserve">” means the </w:t>
      </w:r>
      <w:r>
        <w:rPr>
          <w:rFonts w:ascii="Times New Roman" w:hAnsi="Times New Roman"/>
          <w:i/>
          <w:sz w:val="20"/>
        </w:rPr>
        <w:t>Proceeds of Crime (Money Laundering) and Terrorist Financing Act</w:t>
      </w:r>
      <w:r>
        <w:rPr>
          <w:rFonts w:ascii="Times New Roman" w:hAnsi="Times New Roman"/>
          <w:sz w:val="20"/>
        </w:rPr>
        <w:t xml:space="preserve"> (Canada), as amended from time to time, and including all regulations thereunder. </w:t>
      </w:r>
    </w:p>
    <w:p>
      <w:pPr>
        <w:pStyle w:val="TextBody"/>
        <w:bidi w:val="0"/>
        <w:spacing w:before="240" w:after="0"/>
        <w:jc w:val="left"/>
        <w:rPr/>
      </w:pPr>
      <w:r>
        <w:rPr/>
        <w:t>“</w:t>
      </w:r>
      <w:r>
        <w:rPr>
          <w:rFonts w:ascii="Times New Roman" w:hAnsi="Times New Roman"/>
          <w:sz w:val="20"/>
          <w:u w:val="single"/>
        </w:rPr>
        <w:t>Projections</w:t>
      </w:r>
      <w:r>
        <w:rPr>
          <w:rFonts w:ascii="Times New Roman" w:hAnsi="Times New Roman"/>
          <w:sz w:val="20"/>
        </w:rPr>
        <w:t xml:space="preserve">” has the meaning assigned to such term in Section 5.01(e). </w:t>
      </w:r>
    </w:p>
    <w:p>
      <w:pPr>
        <w:pStyle w:val="TextBody"/>
        <w:bidi w:val="0"/>
        <w:spacing w:before="240" w:after="0"/>
        <w:jc w:val="left"/>
        <w:rPr/>
      </w:pPr>
      <w:r>
        <w:rPr/>
        <w:t>“</w:t>
      </w:r>
      <w:r>
        <w:rPr>
          <w:rFonts w:ascii="Times New Roman" w:hAnsi="Times New Roman"/>
          <w:sz w:val="20"/>
          <w:u w:val="single"/>
        </w:rPr>
        <w:t>Protective Advance</w:t>
      </w:r>
      <w:r>
        <w:rPr>
          <w:rFonts w:ascii="Times New Roman" w:hAnsi="Times New Roman"/>
          <w:sz w:val="20"/>
        </w:rPr>
        <w:t xml:space="preserve">” means, individually and collectively as the context may require, the U.S. Protective Advances and the Canadian Protective Advances.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sz w:val="20"/>
          <w:u w:val="single"/>
        </w:rPr>
        <w:t>Qualified ECP Guarantor</w:t>
      </w:r>
      <w:r>
        <w:rPr>
          <w:rFonts w:ascii="Times New Roman" w:hAnsi="Times New Roman"/>
          <w:sz w:val="20"/>
        </w:rPr>
        <w:t xml:space="preserve">”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w:t>
      </w:r>
    </w:p>
    <w:p>
      <w:pPr>
        <w:pStyle w:val="TextBody"/>
        <w:bidi w:val="0"/>
        <w:spacing w:before="240" w:after="0"/>
        <w:jc w:val="left"/>
        <w:rPr/>
      </w:pPr>
      <w:r>
        <w:rPr/>
        <w:t>“</w:t>
      </w:r>
      <w:r>
        <w:rPr>
          <w:rFonts w:ascii="Times New Roman" w:hAnsi="Times New Roman"/>
          <w:sz w:val="20"/>
          <w:u w:val="single"/>
        </w:rPr>
        <w:t>Rahi</w:t>
      </w:r>
      <w:r>
        <w:rPr>
          <w:rFonts w:ascii="Times New Roman" w:hAnsi="Times New Roman"/>
          <w:sz w:val="20"/>
        </w:rPr>
        <w:t xml:space="preserve">” means Rahi Systems Holdings US, Inc., a Delaware corporation. </w:t>
      </w:r>
    </w:p>
    <w:p>
      <w:pPr>
        <w:pStyle w:val="TextBody"/>
        <w:bidi w:val="0"/>
        <w:spacing w:before="240" w:after="0"/>
        <w:jc w:val="left"/>
        <w:rPr/>
      </w:pPr>
      <w:r>
        <w:rPr/>
        <w:t>“</w:t>
      </w:r>
      <w:r>
        <w:rPr>
          <w:rFonts w:ascii="Times New Roman" w:hAnsi="Times New Roman"/>
          <w:sz w:val="20"/>
          <w:u w:val="single"/>
        </w:rPr>
        <w:t>Rahi Acquisition</w:t>
      </w:r>
      <w:r>
        <w:rPr>
          <w:rFonts w:ascii="Times New Roman" w:hAnsi="Times New Roman"/>
          <w:sz w:val="20"/>
        </w:rPr>
        <w:t xml:space="preserve">” means the acquisition by WESCO Distribution, Inc. of Rahi and its subsidiaries pursuant to the Rahi Acquisition Agreement. </w:t>
      </w:r>
    </w:p>
    <w:p>
      <w:pPr>
        <w:pStyle w:val="TextBody"/>
        <w:bidi w:val="0"/>
        <w:spacing w:before="240" w:after="0"/>
        <w:jc w:val="left"/>
        <w:rPr/>
      </w:pPr>
      <w:r>
        <w:rPr/>
        <w:t>“</w:t>
      </w:r>
      <w:r>
        <w:rPr>
          <w:rFonts w:ascii="Times New Roman" w:hAnsi="Times New Roman"/>
          <w:sz w:val="20"/>
          <w:u w:val="single"/>
        </w:rPr>
        <w:t>Rahi Acquisition Agreement</w:t>
      </w:r>
      <w:r>
        <w:rPr>
          <w:rFonts w:ascii="Times New Roman" w:hAnsi="Times New Roman"/>
          <w:sz w:val="20"/>
        </w:rPr>
        <w:t xml:space="preserve">” means that certain Securities Purchase Agreement, dated as of September 7, 2022, by and among WESCO Distribution, Inc., as the buyer, Rahi, as the company, and the other Persons party thereto, as sellers. </w:t>
      </w:r>
    </w:p>
    <w:p>
      <w:pPr>
        <w:pStyle w:val="TextBody"/>
        <w:bidi w:val="0"/>
        <w:spacing w:before="240" w:after="0"/>
        <w:jc w:val="left"/>
        <w:rPr/>
      </w:pPr>
      <w:r>
        <w:rPr/>
        <w:t>“</w:t>
      </w:r>
      <w:r>
        <w:rPr>
          <w:rFonts w:ascii="Times New Roman" w:hAnsi="Times New Roman"/>
          <w:sz w:val="20"/>
          <w:u w:val="single"/>
        </w:rPr>
        <w:t>Real Estate Subsidiaries</w:t>
      </w:r>
      <w:r>
        <w:rPr>
          <w:rFonts w:ascii="Times New Roman" w:hAnsi="Times New Roman"/>
          <w:sz w:val="20"/>
        </w:rPr>
        <w:t xml:space="preserve">” means WESCO Real Estate I, LLC, WESCO Real Estate II, LLC, WESCO Real Estate III, LLC, and WESCO Real Estate IV, LLC, each of which is a Delaware limited liability company. </w:t>
      </w:r>
    </w:p>
    <w:p>
      <w:pPr>
        <w:pStyle w:val="TextBody"/>
        <w:bidi w:val="0"/>
        <w:spacing w:before="240" w:after="0"/>
        <w:jc w:val="left"/>
        <w:rPr/>
      </w:pPr>
      <w:r>
        <w:rPr/>
        <w:t>“</w:t>
      </w:r>
      <w:r>
        <w:rPr>
          <w:rFonts w:ascii="Times New Roman" w:hAnsi="Times New Roman"/>
          <w:sz w:val="20"/>
          <w:u w:val="single"/>
        </w:rPr>
        <w:t>Receivables Intercreditor Agreement</w:t>
      </w:r>
      <w:r>
        <w:rPr>
          <w:rFonts w:ascii="Times New Roman" w:hAnsi="Times New Roman"/>
          <w:sz w:val="20"/>
        </w:rPr>
        <w:t xml:space="preserve">” means (i) that certain Intercreditor Agreement, dated as of the Fourth Restatement Date, by and among the Administrative Agent, the Borrower Representative, WESCO Receivables and PNC Bank National Association as receivables agent, as the same may be amended, supplemented or otherwise modified from time to time and (ii) any other similar intercreditor agreement(s) executed and delivered after the Fourth Restatement Date by the Administrative Agent in connection with the Receivables Securitization Agreements. </w:t>
      </w:r>
    </w:p>
    <w:p>
      <w:pPr>
        <w:pStyle w:val="TextBody"/>
        <w:bidi w:val="0"/>
        <w:spacing w:before="240" w:after="0"/>
        <w:jc w:val="left"/>
        <w:rPr/>
      </w:pPr>
      <w:r>
        <w:rPr/>
        <w:t>“</w:t>
      </w:r>
      <w:r>
        <w:rPr>
          <w:rFonts w:ascii="Times New Roman" w:hAnsi="Times New Roman"/>
          <w:sz w:val="20"/>
          <w:u w:val="single"/>
        </w:rPr>
        <w:t>Receivables Securitization</w:t>
      </w:r>
      <w:r>
        <w:rPr>
          <w:rFonts w:ascii="Times New Roman" w:hAnsi="Times New Roman"/>
          <w:sz w:val="20"/>
        </w:rPr>
        <w:t xml:space="preserve">” means the transactions contemplated by the Receivables Securitization Agreements. </w:t>
      </w:r>
    </w:p>
    <w:p>
      <w:pPr>
        <w:pStyle w:val="TextBody"/>
        <w:bidi w:val="0"/>
        <w:spacing w:before="240" w:after="0"/>
        <w:jc w:val="left"/>
        <w:rPr/>
      </w:pPr>
      <w:r>
        <w:rPr/>
        <w:t>“</w:t>
      </w:r>
      <w:r>
        <w:rPr>
          <w:rFonts w:ascii="Times New Roman" w:hAnsi="Times New Roman"/>
          <w:sz w:val="20"/>
          <w:u w:val="single"/>
        </w:rPr>
        <w:t>Receivables Securitization Agreements</w:t>
      </w:r>
      <w:r>
        <w:rPr>
          <w:rFonts w:ascii="Times New Roman" w:hAnsi="Times New Roman"/>
          <w:sz w:val="20"/>
        </w:rPr>
        <w:t xml:space="preserve">” means (a) that certain Fifth Amended and Restated Receivables Purchase Agreement, dated as of the Fourth Restatement Date, among WESCO Receivables, as seller, the Borrower Representative, as servicer, the purchasers from time to time party thereto, and PNC Bank National Association, as administrator, (b) that certain Second Amended and Restated Purchase and Sale Agreement, dated as of the Fourth Restatement Date, among WESCO Receivables, the Borrower Representative and the other parties from time to time party thereto, and (c) all other documents executed or delivered in connection therewith, in each case, as amended, restated, supplemented, modified, renewed, refinanced or replaced from time to time in accordance with Section 6.11 (including, for greater certainty, amendments, renewals, refinancings and replacements which increase the maximum amount available under such facilities which are not prohibited by Section 6.11). </w:t>
      </w:r>
    </w:p>
    <w:p>
      <w:pPr>
        <w:pStyle w:val="TextBody"/>
        <w:bidi w:val="0"/>
        <w:spacing w:before="240" w:after="0"/>
        <w:jc w:val="left"/>
        <w:rPr/>
      </w:pPr>
      <w:r>
        <w:rPr/>
        <w:t>“</w:t>
      </w:r>
      <w:r>
        <w:rPr>
          <w:rFonts w:ascii="Times New Roman" w:hAnsi="Times New Roman"/>
          <w:sz w:val="20"/>
          <w:u w:val="single"/>
        </w:rPr>
        <w:t>Recipient</w:t>
      </w:r>
      <w:r>
        <w:rPr>
          <w:rFonts w:ascii="Times New Roman" w:hAnsi="Times New Roman"/>
          <w:sz w:val="20"/>
        </w:rPr>
        <w:t xml:space="preserve">” means (a) the Administrative Agent, (b) any Lender and (c) any Issuing Bank, as applicable.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set forth in Section 9.04.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specified Person, such Person’s Affiliates and the respective directors, officers, employees, agents and advisors of such Person and such Person’s Affiliates. </w:t>
      </w:r>
    </w:p>
    <w:p>
      <w:pPr>
        <w:pStyle w:val="TextBody"/>
        <w:bidi w:val="0"/>
        <w:spacing w:before="240" w:after="0"/>
        <w:jc w:val="left"/>
        <w:rPr/>
      </w:pPr>
      <w:r>
        <w:rPr/>
        <w:t>“</w:t>
      </w:r>
      <w:r>
        <w:rPr>
          <w:rFonts w:ascii="Times New Roman" w:hAnsi="Times New Roman"/>
          <w:sz w:val="20"/>
          <w:u w:val="single"/>
        </w:rPr>
        <w:t>Relevant Canadian Governmental Body</w:t>
      </w:r>
      <w:r>
        <w:rPr>
          <w:rFonts w:ascii="Times New Roman" w:hAnsi="Times New Roman"/>
          <w:sz w:val="20"/>
        </w:rPr>
        <w:t xml:space="preserve">” means the Bank of Canada, or a committee officially endorsed or convened by the Bank of Canada, or any successor thereto.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Relevant Rate</w:t>
      </w:r>
      <w:r>
        <w:rPr>
          <w:rFonts w:ascii="Times New Roman" w:hAnsi="Times New Roman"/>
          <w:sz w:val="20"/>
        </w:rPr>
        <w:t>” means (</w:t>
      </w:r>
      <w:r>
        <w:rPr>
          <w:rFonts w:ascii="Times New Roman" w:hAnsi="Times New Roman"/>
          <w:sz w:val="20"/>
          <w:u w:val="single"/>
        </w:rPr>
        <w:t>a</w:t>
      </w:r>
      <w:r>
        <w:rPr>
          <w:rFonts w:ascii="Times New Roman" w:hAnsi="Times New Roman"/>
          <w:sz w:val="20"/>
        </w:rPr>
        <w:t>) with respect to any Term SOFR Borrowing, Term SOFR, (</w:t>
      </w:r>
      <w:r>
        <w:rPr>
          <w:rFonts w:ascii="Times New Roman" w:hAnsi="Times New Roman"/>
          <w:sz w:val="20"/>
          <w:u w:val="single"/>
        </w:rPr>
        <w:t>b</w:t>
      </w:r>
      <w:r>
        <w:rPr>
          <w:rFonts w:ascii="Times New Roman" w:hAnsi="Times New Roman"/>
          <w:sz w:val="20"/>
        </w:rPr>
        <w:t>) with respect to any Daily Simple SOFR Borrowing, Daily Simple SOFR, (</w:t>
      </w:r>
      <w:r>
        <w:rPr>
          <w:rFonts w:ascii="Times New Roman" w:hAnsi="Times New Roman"/>
          <w:sz w:val="20"/>
          <w:u w:val="single"/>
        </w:rPr>
        <w:t>c</w:t>
      </w:r>
      <w:r>
        <w:rPr>
          <w:rFonts w:ascii="Times New Roman" w:hAnsi="Times New Roman"/>
          <w:sz w:val="20"/>
        </w:rPr>
        <w:t xml:space="preserve">) with respect to any Term CORRA Borrowing, Term CORRA and (d) with respect to any Daily Compounded CORRA Borrowing, Daily Compounded CORRA, as applicable. </w:t>
      </w:r>
    </w:p>
    <w:p>
      <w:pPr>
        <w:pStyle w:val="TextBody"/>
        <w:bidi w:val="0"/>
        <w:spacing w:before="240" w:after="0"/>
        <w:jc w:val="left"/>
        <w:rPr/>
      </w:pPr>
      <w:r>
        <w:rPr/>
        <w:t>“</w:t>
      </w:r>
      <w:r>
        <w:rPr>
          <w:rFonts w:ascii="Times New Roman" w:hAnsi="Times New Roman"/>
          <w:sz w:val="20"/>
          <w:u w:val="single"/>
        </w:rPr>
        <w:t>Rent Reserve</w:t>
      </w:r>
      <w:r>
        <w:rPr>
          <w:rFonts w:ascii="Times New Roman" w:hAnsi="Times New Roman"/>
          <w:sz w:val="20"/>
        </w:rPr>
        <w:t xml:space="preserve">” means with respect to any leased facility, warehouse, distribution center, depot or other place where any Inventory is located, a reserve equal to three (3) months’ rent at such leased facility, warehouse, distribution center, depot or other place. </w:t>
      </w:r>
    </w:p>
    <w:p>
      <w:pPr>
        <w:pStyle w:val="TextBody"/>
        <w:bidi w:val="0"/>
        <w:spacing w:before="240" w:after="0"/>
        <w:jc w:val="left"/>
        <w:rPr/>
      </w:pPr>
      <w:r>
        <w:rPr/>
        <w:t>“</w:t>
      </w:r>
      <w:r>
        <w:rPr>
          <w:rFonts w:ascii="Times New Roman" w:hAnsi="Times New Roman"/>
          <w:sz w:val="20"/>
          <w:u w:val="single"/>
        </w:rPr>
        <w:t>Report</w:t>
      </w:r>
      <w:r>
        <w:rPr>
          <w:rFonts w:ascii="Times New Roman" w:hAnsi="Times New Roman"/>
          <w:sz w:val="20"/>
        </w:rPr>
        <w:t xml:space="preserve">”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 </w:t>
      </w:r>
    </w:p>
    <w:p>
      <w:pPr>
        <w:pStyle w:val="TextBody"/>
        <w:bidi w:val="0"/>
        <w:spacing w:before="240" w:after="0"/>
        <w:jc w:val="left"/>
        <w:rPr/>
      </w:pPr>
      <w:r>
        <w:rPr/>
        <w:t>“</w:t>
      </w:r>
      <w:r>
        <w:rPr>
          <w:rFonts w:ascii="Times New Roman" w:hAnsi="Times New Roman"/>
          <w:sz w:val="20"/>
          <w:u w:val="single"/>
        </w:rPr>
        <w:t>Required Lenders</w:t>
      </w:r>
      <w:r>
        <w:rPr>
          <w:rFonts w:ascii="Times New Roman" w:hAnsi="Times New Roman"/>
          <w:sz w:val="20"/>
        </w:rPr>
        <w:t xml:space="preserve">” means, at any time, Lenders (other than Defaulting Lenders) having Aggregate Credit Exposure and unused Revolving Commitments representing more than 50% of the sum of the total Aggregate Credit Exposure and total unused Revolving Commitments at such time. </w:t>
      </w:r>
    </w:p>
    <w:p>
      <w:pPr>
        <w:pStyle w:val="TextBody"/>
        <w:bidi w:val="0"/>
        <w:spacing w:before="240" w:after="0"/>
        <w:jc w:val="left"/>
        <w:rPr/>
      </w:pPr>
      <w:r>
        <w:rPr/>
        <w:t>“</w:t>
      </w:r>
      <w:r>
        <w:rPr>
          <w:rFonts w:ascii="Times New Roman" w:hAnsi="Times New Roman"/>
          <w:sz w:val="20"/>
          <w:u w:val="single"/>
        </w:rPr>
        <w:t>Requirement of Law</w:t>
      </w:r>
      <w:r>
        <w:rPr>
          <w:rFonts w:ascii="Times New Roman" w:hAnsi="Times New Roman"/>
          <w:sz w:val="20"/>
        </w:rPr>
        <w:t xml:space="preserve">”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 </w:t>
      </w:r>
    </w:p>
    <w:p>
      <w:pPr>
        <w:pStyle w:val="TextBody"/>
        <w:bidi w:val="0"/>
        <w:spacing w:before="240" w:after="0"/>
        <w:jc w:val="left"/>
        <w:rPr/>
      </w:pPr>
      <w:r>
        <w:rPr/>
        <w:t>“</w:t>
      </w:r>
      <w:r>
        <w:rPr>
          <w:rFonts w:ascii="Times New Roman" w:hAnsi="Times New Roman"/>
          <w:sz w:val="20"/>
          <w:u w:val="single"/>
        </w:rPr>
        <w:t>Reserves</w:t>
      </w:r>
      <w:r>
        <w:rPr>
          <w:rFonts w:ascii="Times New Roman" w:hAnsi="Times New Roman"/>
          <w:sz w:val="20"/>
        </w:rPr>
        <w:t xml:space="preserve">” means any and all reserves which the Administrative Agent deems necessary, in its Permitted Discretion, to maintain (including, without limitation, reserves for accrued and unpaid interest on the Secured Obligations, Priority Payables Reserves, Wage Earner Protection Act Reserve, Banking Services Reserves, Foreign Credit Reserves, Rent Reserves, Dilution Reserves, reserves for consignee’s, warehousemen’s and bailee’s charges, reserves for Inventory shrinkage, reserves for customs charges and shipping charges related to any Inventory in transit, reserves for Swap Agreement Obligations, reserves for any Unfunded Pension Liability in any Canadian Pension Plan, and reserves for taxes, fees, assessments, and other governmental charges) with respect to the Collateral or any Loan Party; </w:t>
      </w:r>
      <w:r>
        <w:rPr>
          <w:rFonts w:ascii="Times New Roman" w:hAnsi="Times New Roman"/>
          <w:sz w:val="20"/>
          <w:u w:val="single"/>
        </w:rPr>
        <w:t>provided</w:t>
      </w:r>
      <w:r>
        <w:rPr>
          <w:rFonts w:ascii="Times New Roman" w:hAnsi="Times New Roman"/>
          <w:sz w:val="20"/>
        </w:rPr>
        <w:t xml:space="preserve"> that to the extent any reserve (including, without limitation, any Priority Payables Reserve, Wage Earner Protection Act Reserve, Banking Services Reserve, Foreign Credit Reserve, reserve for Swap Agreement Obligations or reserve for Unfunded Pension Liability in any Canadian Pension Plan) with respect to any specific item, claim, liability or potential claim or liability is deducted by the Administrative Agent in the computation of the U.S. Borrowing Base, such reserve for such specific item, claim, liability or potential claim or liability shall not be deducted in the computation of the Canadian Borrowing Base, and vice-versa, it being the intention of the parties to avoid duplication of reserves with respect to any specific item, claim, liability or potential claim or liability in the computation of the Aggregate Borrowing Base, Canadian Borrowing Base and U.S. Borrowing Base; </w:t>
      </w:r>
      <w:r>
        <w:rPr>
          <w:rFonts w:ascii="Times New Roman" w:hAnsi="Times New Roman"/>
          <w:sz w:val="20"/>
          <w:u w:val="single"/>
        </w:rPr>
        <w:t>provided</w:t>
      </w:r>
      <w:r>
        <w:rPr>
          <w:rFonts w:ascii="Times New Roman" w:hAnsi="Times New Roman"/>
          <w:sz w:val="20"/>
        </w:rPr>
        <w:t xml:space="preserve"> that the Administrative Agent may reserve any amount of any Eligible Securitization Receivables in excess of $40,000,000 for which a surety bond has been issued by any Loan Party.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Restricted Payment</w:t>
      </w:r>
      <w:r>
        <w:rPr>
          <w:rFonts w:ascii="Times New Roman" w:hAnsi="Times New Roman"/>
          <w:sz w:val="20"/>
        </w:rPr>
        <w:t xml:space="preserve">” means any dividend or other distribution (whether in cash, securities or other property) with respect to any Equity Interests in any Loan Party, or any payment (whether in cash, securities or other property), including any sinking fund or similar deposit, on account of the purchase, redemption, retirement, acquisition, cancellation or termination of any such Equity Interests in Holdings or any option, warrant or other right to acquire any such Equity Interests in Holdings; </w:t>
      </w:r>
      <w:r>
        <w:rPr>
          <w:rFonts w:ascii="Times New Roman" w:hAnsi="Times New Roman"/>
          <w:sz w:val="20"/>
          <w:u w:val="single"/>
        </w:rPr>
        <w:t>provided</w:t>
      </w:r>
      <w:r>
        <w:rPr>
          <w:rFonts w:ascii="Times New Roman" w:hAnsi="Times New Roman"/>
          <w:sz w:val="20"/>
        </w:rPr>
        <w:t xml:space="preserve">, that any payment with respect to, or early unwind or settlement of, any Permitted TEU Capped Call Transaction, in each case, in accordance with the terms of the agreement governing such Permitted TEU Capped Call Transaction shall not constitute a Restricted Payment. </w:t>
      </w:r>
    </w:p>
    <w:p>
      <w:pPr>
        <w:pStyle w:val="TextBody"/>
        <w:bidi w:val="0"/>
        <w:spacing w:before="240" w:after="0"/>
        <w:jc w:val="left"/>
        <w:rPr/>
      </w:pPr>
      <w:r>
        <w:rPr/>
        <w:t>“</w:t>
      </w:r>
      <w:r>
        <w:rPr>
          <w:rFonts w:ascii="Times New Roman" w:hAnsi="Times New Roman"/>
          <w:sz w:val="20"/>
          <w:u w:val="single"/>
        </w:rPr>
        <w:t>Restricted Subsidiary</w:t>
      </w:r>
      <w:r>
        <w:rPr>
          <w:rFonts w:ascii="Times New Roman" w:hAnsi="Times New Roman"/>
          <w:sz w:val="20"/>
        </w:rPr>
        <w:t xml:space="preserve">” means any Subsidiary of Holdings other than an Unrestricted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Revaluation Date</w:t>
      </w:r>
      <w:r>
        <w:rPr>
          <w:rFonts w:ascii="Times New Roman" w:hAnsi="Times New Roman"/>
          <w:sz w:val="20"/>
        </w:rPr>
        <w:t xml:space="preserve">” means (a) with respect to any Loan denominated in Canadian Dollars, each of the following: (i) each date of a Borrowing, (ii) each date of a continuation of such Loan pursuant to Section 2.08, (iii) the date any Borrowing Base Certificate is delivered, and (iv) such additional dates as the Administrative Agent shall determine or the Required Lenders shall require, and (b) with respect to any Letter of Credit denominated in Canadian Dollars or any LC Alternative Currency, each of the following: (i) each date of issuance of such Letter of Credit, (ii) each date of an amendment of such Letter of Credit having the effect of increasing the amount thereof (solely with respect to the increased amount), (iii) each date of any payment by the applicable Issuing Bank under such Letter of Credit, (iv) the date any Borrowing Base Certificate is delivered and (v) such additional dates as the Administrative Agent or the applicable Issuing Bank shall determine or the Required Lenders shall require. </w:t>
      </w:r>
    </w:p>
    <w:p>
      <w:pPr>
        <w:pStyle w:val="TextBody"/>
        <w:bidi w:val="0"/>
        <w:spacing w:before="240" w:after="0"/>
        <w:jc w:val="left"/>
        <w:rPr/>
      </w:pPr>
      <w:r>
        <w:rPr/>
        <w:t>“</w:t>
      </w:r>
      <w:r>
        <w:rPr>
          <w:rFonts w:ascii="Times New Roman" w:hAnsi="Times New Roman"/>
          <w:sz w:val="20"/>
          <w:u w:val="single"/>
        </w:rPr>
        <w:t>Revolving Commitment</w:t>
      </w:r>
      <w:r>
        <w:rPr>
          <w:rFonts w:ascii="Times New Roman" w:hAnsi="Times New Roman"/>
          <w:sz w:val="20"/>
        </w:rPr>
        <w:t xml:space="preserve">” means, with respect to each Lender, the commitment of such Lender to make Revolving Loans and to acquire participations in Letters of Credit, Overadvances and Swingline Loans hereunder, which commitment may be (a) comprised of both a U.S. Commitment and a Canadian Commitment or solely a U.S. Commitment, as set forth on the </w:t>
      </w:r>
      <w:r>
        <w:rPr>
          <w:rFonts w:ascii="Times New Roman" w:hAnsi="Times New Roman"/>
          <w:sz w:val="20"/>
          <w:u w:val="single"/>
        </w:rPr>
        <w:t>Revolving Commitment Schedule</w:t>
      </w:r>
      <w:r>
        <w:rPr>
          <w:rFonts w:ascii="Times New Roman" w:hAnsi="Times New Roman"/>
          <w:sz w:val="20"/>
        </w:rPr>
        <w:t xml:space="preserve"> or in the Assignment and Assumption pursuant to which such Lender shall have assumed its Revolving Commitment, as applicable, and (b) reduced or increased from time to time pursuant to (i) Section 2.09 and (ii) assignments by or to such Lender pursuant to Section 9.04. As of the </w:t>
      </w:r>
      <w:r>
        <w:rPr>
          <w:rFonts w:ascii="Times New Roman" w:hAnsi="Times New Roman"/>
          <w:strike/>
          <w:color w:val="FF0000"/>
          <w:sz w:val="20"/>
        </w:rPr>
        <w:t>Seventh</w:t>
      </w:r>
      <w:r>
        <w:rPr>
          <w:rFonts w:ascii="Times New Roman" w:hAnsi="Times New Roman"/>
          <w:color w:val="0000FF"/>
          <w:sz w:val="20"/>
          <w:u w:val="single"/>
          <w:bdr w:val="double" w:sz="2" w:space="1" w:color="000000"/>
        </w:rPr>
        <w:t>Ninth</w:t>
      </w:r>
      <w:r>
        <w:rPr>
          <w:rFonts w:ascii="Times New Roman" w:hAnsi="Times New Roman"/>
          <w:sz w:val="20"/>
        </w:rPr>
        <w:t xml:space="preserve"> Amendment Effective Date, the Aggregate Revolving Commitments total $</w:t>
      </w:r>
      <w:r>
        <w:rPr>
          <w:rFonts w:ascii="Times New Roman" w:hAnsi="Times New Roman"/>
          <w:strike/>
          <w:color w:val="FF0000"/>
          <w:sz w:val="20"/>
        </w:rPr>
        <w:t>1,725,000,000</w:t>
      </w:r>
      <w:r>
        <w:rPr>
          <w:rFonts w:ascii="Times New Roman" w:hAnsi="Times New Roman"/>
          <w:color w:val="0000FF"/>
          <w:sz w:val="20"/>
          <w:u w:val="single"/>
          <w:bdr w:val="double" w:sz="2" w:space="1" w:color="000000"/>
        </w:rPr>
        <w:t xml:space="preserve">1,850,000,000 </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Revolving Commitment Schedule</w:t>
      </w:r>
      <w:r>
        <w:rPr>
          <w:rFonts w:ascii="Times New Roman" w:hAnsi="Times New Roman"/>
          <w:sz w:val="20"/>
        </w:rPr>
        <w:t xml:space="preserve">” means the Schedule attached hereto identified as such. </w:t>
      </w:r>
    </w:p>
    <w:p>
      <w:pPr>
        <w:pStyle w:val="TextBody"/>
        <w:bidi w:val="0"/>
        <w:spacing w:before="240" w:after="0"/>
        <w:jc w:val="left"/>
        <w:rPr/>
      </w:pPr>
      <w:r>
        <w:rPr/>
        <w:t>“</w:t>
      </w:r>
      <w:r>
        <w:rPr>
          <w:rFonts w:ascii="Times New Roman" w:hAnsi="Times New Roman"/>
          <w:sz w:val="20"/>
          <w:u w:val="single"/>
        </w:rPr>
        <w:t>Revolving Exposure</w:t>
      </w:r>
      <w:r>
        <w:rPr>
          <w:rFonts w:ascii="Times New Roman" w:hAnsi="Times New Roman"/>
          <w:sz w:val="20"/>
        </w:rPr>
        <w:t xml:space="preserve">” means, individually and collectively as the context may require, the U.S. Revolving Exposure and the Canadian Revolving Exposure. </w:t>
      </w:r>
    </w:p>
    <w:p>
      <w:pPr>
        <w:pStyle w:val="TextBody"/>
        <w:bidi w:val="0"/>
        <w:spacing w:before="240" w:after="0"/>
        <w:jc w:val="left"/>
        <w:rPr/>
      </w:pPr>
      <w:r>
        <w:rPr/>
        <w:t>“</w:t>
      </w:r>
      <w:r>
        <w:rPr>
          <w:rFonts w:ascii="Times New Roman" w:hAnsi="Times New Roman"/>
          <w:sz w:val="20"/>
          <w:u w:val="single"/>
        </w:rPr>
        <w:t>Revolving Lender</w:t>
      </w:r>
      <w:r>
        <w:rPr>
          <w:rFonts w:ascii="Times New Roman" w:hAnsi="Times New Roman"/>
          <w:sz w:val="20"/>
        </w:rPr>
        <w:t xml:space="preserve">” means, as of any date of determination, a Lender with a Revolving Commitment or, if the Revolving Commitments have terminated or expired, a Lender with Revolving Exposure. </w:t>
      </w:r>
    </w:p>
    <w:p>
      <w:pPr>
        <w:pStyle w:val="TextBody"/>
        <w:bidi w:val="0"/>
        <w:spacing w:before="240" w:after="0"/>
        <w:jc w:val="left"/>
        <w:rPr/>
      </w:pPr>
      <w:r>
        <w:rPr/>
        <w:t>“</w:t>
      </w:r>
      <w:r>
        <w:rPr>
          <w:rFonts w:ascii="Times New Roman" w:hAnsi="Times New Roman"/>
          <w:sz w:val="20"/>
          <w:u w:val="single"/>
        </w:rPr>
        <w:t>Revolving Loan</w:t>
      </w:r>
      <w:r>
        <w:rPr>
          <w:rFonts w:ascii="Times New Roman" w:hAnsi="Times New Roman"/>
          <w:sz w:val="20"/>
        </w:rPr>
        <w:t xml:space="preserve">” means a Loan made pursuant to Section 2.01.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Standard &amp; Poor’s Ratings Services, a division of The McGraw Hill Companies, Inc.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at any time, a country or territory which is itself the subject of comprehensive Sanctions (including, as of the date of this Agreement, the Crimea, the so-called Donetsk People’s Republic, the so-called Luhansk People’s Republic, and the non-government-controlled areas of the Zaporizhzhia and Kherson regions of Ukraine, Cuba, Iran, </w:t>
      </w:r>
      <w:r>
        <w:rPr>
          <w:rFonts w:ascii="Times New Roman" w:hAnsi="Times New Roman"/>
          <w:color w:val="0000FF"/>
          <w:sz w:val="20"/>
          <w:u w:val="single"/>
          <w:bdr w:val="double" w:sz="2" w:space="1" w:color="000000"/>
        </w:rPr>
        <w:t>and</w:t>
      </w:r>
      <w:r>
        <w:rPr>
          <w:rFonts w:ascii="Times New Roman" w:hAnsi="Times New Roman"/>
          <w:sz w:val="20"/>
        </w:rPr>
        <w:t xml:space="preserve"> North Korea</w:t>
      </w:r>
      <w:r>
        <w:rPr>
          <w:rFonts w:ascii="Times New Roman" w:hAnsi="Times New Roman"/>
          <w:strike/>
          <w:color w:val="FF0000"/>
          <w:sz w:val="20"/>
        </w:rPr>
        <w:t>, and Syria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at any time, (a) any Person listed in any Sanctions-related list of designated Persons maintained by OFAC, the U.S. Department of State, the Government of Canada, the government of any province or territory of Canada or by the United Nations Security Council, the European Union or any European Union member state, or </w:t>
      </w:r>
      <w:r>
        <w:rPr>
          <w:rFonts w:ascii="Times New Roman" w:hAnsi="Times New Roman"/>
          <w:strike/>
          <w:color w:val="FF0000"/>
          <w:sz w:val="20"/>
        </w:rPr>
        <w:t xml:space="preserve">His Majesty’s Treasury of </w:t>
      </w:r>
      <w:r>
        <w:rPr>
          <w:rFonts w:ascii="Times New Roman" w:hAnsi="Times New Roman"/>
          <w:sz w:val="20"/>
        </w:rPr>
        <w:t xml:space="preserve">the United Kingdom, (b) any Person that constitutes a Canadian Blocked Person, (c) any Person located, organized or resident in a Sanctioned Country, (d) any Person owned, 50% or more, or controlled by any such Person or Persons described in the foregoing clauses (a) through (c), or (e) any Person otherwise the subject of any Sanctions.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economic or financial sanctions or trade embargoes imposed, administered or enforced from time to time by (a) the U.S. government, including those administered by OFAC or the U.S. Department of State, (b) the United Nations Security Council, the European Union, any European Union member state or His Majesty’s Treasury of the United Kingdom, or (c) the Government of Canada. </w:t>
      </w:r>
    </w:p>
    <w:p>
      <w:pPr>
        <w:pStyle w:val="TextBody"/>
        <w:bidi w:val="0"/>
        <w:spacing w:before="240" w:after="0"/>
        <w:jc w:val="left"/>
        <w:rPr/>
      </w:pPr>
      <w:r>
        <w:rPr/>
        <w:t>“</w:t>
      </w:r>
      <w:r>
        <w:rPr>
          <w:rFonts w:ascii="Times New Roman" w:hAnsi="Times New Roman"/>
          <w:sz w:val="20"/>
          <w:u w:val="single"/>
        </w:rPr>
        <w:t>Scheduled Maturity Date</w:t>
      </w:r>
      <w:r>
        <w:rPr>
          <w:rFonts w:ascii="Times New Roman" w:hAnsi="Times New Roman"/>
          <w:sz w:val="20"/>
        </w:rPr>
        <w:t xml:space="preserve">” means </w:t>
      </w:r>
      <w:r>
        <w:rPr>
          <w:rFonts w:ascii="Times New Roman" w:hAnsi="Times New Roman"/>
          <w:strike/>
          <w:color w:val="FF0000"/>
          <w:sz w:val="20"/>
        </w:rPr>
        <w:t>February 28, 2030</w:t>
      </w:r>
      <w:r>
        <w:rPr>
          <w:rFonts w:ascii="Times New Roman" w:hAnsi="Times New Roman"/>
          <w:color w:val="0000FF"/>
          <w:sz w:val="20"/>
          <w:u w:val="single"/>
          <w:bdr w:val="double" w:sz="2" w:space="1" w:color="000000"/>
        </w:rPr>
        <w:t>September 17, 2031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Securities and Exchange Commission of the U.S. </w:t>
      </w:r>
    </w:p>
    <w:p>
      <w:pPr>
        <w:pStyle w:val="TextBody"/>
        <w:bidi w:val="0"/>
        <w:spacing w:before="240" w:after="0"/>
        <w:jc w:val="left"/>
        <w:rPr/>
      </w:pPr>
      <w:r>
        <w:rPr>
          <w:strike/>
          <w:color w:val="FF0000"/>
        </w:rPr>
        <w:t>“</w:t>
      </w:r>
      <w:r>
        <w:rPr>
          <w:rFonts w:ascii="Times New Roman" w:hAnsi="Times New Roman"/>
          <w:strike/>
          <w:color w:val="FF0000"/>
          <w:sz w:val="20"/>
          <w:u w:val="single"/>
        </w:rPr>
        <w:t>Second Amendment</w:t>
      </w:r>
      <w:r>
        <w:rPr>
          <w:rFonts w:ascii="Times New Roman" w:hAnsi="Times New Roman"/>
          <w:strike/>
          <w:color w:val="FF0000"/>
          <w:sz w:val="20"/>
        </w:rPr>
        <w:t xml:space="preserve">” means that certain Second </w:t>
      </w:r>
      <w:r>
        <w:rPr>
          <w:rFonts w:ascii="Times New Roman" w:hAnsi="Times New Roman"/>
          <w:strike/>
          <w:color w:val="008000"/>
          <w:sz w:val="20"/>
        </w:rPr>
        <w:t>Amendment to Fourth Amended and Restated Credit Agreement,</w:t>
      </w:r>
      <w:r>
        <w:rPr>
          <w:rFonts w:ascii="Times New Roman" w:hAnsi="Times New Roman"/>
          <w:strike/>
          <w:color w:val="FF0000"/>
          <w:sz w:val="20"/>
        </w:rPr>
        <w:t xml:space="preserve"> dated as of the Second Amendment Effective Date, by and among the Borrowers, the other Loan Parties party thereto, the Lenders party thereto and the Administrative Agent.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strike/>
          <w:color w:val="FF0000"/>
        </w:rPr>
        <w:t>“</w:t>
      </w:r>
      <w:r>
        <w:rPr>
          <w:rFonts w:ascii="Times New Roman" w:hAnsi="Times New Roman"/>
          <w:strike/>
          <w:color w:val="FF0000"/>
          <w:sz w:val="20"/>
          <w:u w:val="single"/>
        </w:rPr>
        <w:t>Second Amendment Effective Date</w:t>
      </w:r>
      <w:r>
        <w:rPr>
          <w:rFonts w:ascii="Times New Roman" w:hAnsi="Times New Roman"/>
          <w:strike/>
          <w:color w:val="FF0000"/>
          <w:sz w:val="20"/>
        </w:rPr>
        <w:t>” means March 1, 2022.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Secured Indebtedness</w:t>
      </w:r>
      <w:r>
        <w:rPr>
          <w:rFonts w:ascii="Times New Roman" w:hAnsi="Times New Roman"/>
          <w:sz w:val="20"/>
        </w:rPr>
        <w:t xml:space="preserve">” means, at any date, the portion of Total Funded Indebtedness that is secured by a Lien on any property or assets of Holdings or any of its Restricted Subsidiaries at such date. </w:t>
      </w:r>
    </w:p>
    <w:p>
      <w:pPr>
        <w:pStyle w:val="TextBody"/>
        <w:bidi w:val="0"/>
        <w:spacing w:before="240" w:after="0"/>
        <w:jc w:val="left"/>
        <w:rPr/>
      </w:pPr>
      <w:r>
        <w:rPr/>
        <w:t>“</w:t>
      </w:r>
      <w:r>
        <w:rPr>
          <w:rFonts w:ascii="Times New Roman" w:hAnsi="Times New Roman"/>
          <w:sz w:val="20"/>
          <w:u w:val="single"/>
        </w:rPr>
        <w:t>Secured Leverage Ratio</w:t>
      </w:r>
      <w:r>
        <w:rPr>
          <w:rFonts w:ascii="Times New Roman" w:hAnsi="Times New Roman"/>
          <w:sz w:val="20"/>
        </w:rPr>
        <w:t xml:space="preserve">” means, on any date, the ratio of (a)(i) Secured Indebtedness on such date </w:t>
      </w:r>
      <w:r>
        <w:rPr>
          <w:rFonts w:ascii="Times New Roman" w:hAnsi="Times New Roman"/>
          <w:sz w:val="20"/>
          <w:u w:val="single"/>
        </w:rPr>
        <w:t>less</w:t>
      </w:r>
      <w:r>
        <w:rPr>
          <w:rFonts w:ascii="Times New Roman" w:hAnsi="Times New Roman"/>
          <w:sz w:val="20"/>
        </w:rPr>
        <w:t xml:space="preserve"> (ii) the aggregate amount not in excess of $50,000,000 of unrestricted cash held at such time in Deposit Accounts subject to Control Agreements to (b) EBITDA for the then most recently ended period of four consecutive fiscal quarters for which financial statements are available, </w:t>
      </w:r>
      <w:r>
        <w:rPr>
          <w:rFonts w:ascii="Times New Roman" w:hAnsi="Times New Roman"/>
          <w:sz w:val="20"/>
          <w:u w:val="single"/>
        </w:rPr>
        <w:t>provided</w:t>
      </w:r>
      <w:r>
        <w:rPr>
          <w:rFonts w:ascii="Times New Roman" w:hAnsi="Times New Roman"/>
          <w:sz w:val="20"/>
        </w:rPr>
        <w:t xml:space="preserve"> that, to the extent any Borrower or any Restricted Subsidiary makes any acquisition permitted pursuant to Section 6.04 or disposition of assets outside the ordinary course of business that is permitted by Section 6.05 during the period of four fiscal quarters of Holdings most recently ended, the Secured Leverage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of the Borrower Representative), as if such acquisition or such disposition (and any related incurrence, repayment or assumption of Secured Indebtedness) had occurred </w:t>
      </w:r>
      <w:r>
        <w:rPr>
          <w:rFonts w:ascii="Times New Roman" w:hAnsi="Times New Roman"/>
          <w:strike/>
          <w:color w:val="FF0000"/>
          <w:sz w:val="20"/>
        </w:rPr>
        <w:t>in</w:t>
      </w:r>
      <w:r>
        <w:rPr>
          <w:rFonts w:ascii="Times New Roman" w:hAnsi="Times New Roman"/>
          <w:color w:val="0000FF"/>
          <w:sz w:val="20"/>
          <w:u w:val="single"/>
          <w:bdr w:val="double" w:sz="2" w:space="1" w:color="000000"/>
        </w:rPr>
        <w:t>on</w:t>
      </w:r>
      <w:r>
        <w:rPr>
          <w:rFonts w:ascii="Times New Roman" w:hAnsi="Times New Roman"/>
          <w:sz w:val="20"/>
        </w:rPr>
        <w:t xml:space="preserve"> the first day of such four quarter period. </w:t>
      </w:r>
    </w:p>
    <w:p>
      <w:pPr>
        <w:pStyle w:val="TextBody"/>
        <w:bidi w:val="0"/>
        <w:spacing w:before="240" w:after="0"/>
        <w:jc w:val="left"/>
        <w:rPr/>
      </w:pPr>
      <w:r>
        <w:rPr/>
        <w:t>“</w:t>
      </w:r>
      <w:r>
        <w:rPr>
          <w:rFonts w:ascii="Times New Roman" w:hAnsi="Times New Roman"/>
          <w:sz w:val="20"/>
          <w:u w:val="single"/>
        </w:rPr>
        <w:t>Secured Obligations</w:t>
      </w:r>
      <w:r>
        <w:rPr>
          <w:rFonts w:ascii="Times New Roman" w:hAnsi="Times New Roman"/>
          <w:sz w:val="20"/>
        </w:rPr>
        <w:t xml:space="preserve">” means, individually and collectively as the context may require, the U.S. Secured Obligations and the Canadian Secured Obligations. </w:t>
      </w:r>
    </w:p>
    <w:p>
      <w:pPr>
        <w:pStyle w:val="TextBody"/>
        <w:bidi w:val="0"/>
        <w:spacing w:before="240" w:after="0"/>
        <w:jc w:val="left"/>
        <w:rPr/>
      </w:pPr>
      <w:r>
        <w:rPr/>
        <w:t>“</w:t>
      </w:r>
      <w:r>
        <w:rPr>
          <w:rFonts w:ascii="Times New Roman" w:hAnsi="Times New Roman"/>
          <w:sz w:val="20"/>
          <w:u w:val="single"/>
        </w:rPr>
        <w:t>Securities Account</w:t>
      </w:r>
      <w:r>
        <w:rPr>
          <w:rFonts w:ascii="Times New Roman" w:hAnsi="Times New Roman"/>
          <w:sz w:val="20"/>
        </w:rPr>
        <w:t xml:space="preserve">” has the meaning assigned to such term in Article 8 of the UCC or the Securities Transfer Act of Ontario, as applicable. </w:t>
      </w:r>
    </w:p>
    <w:p>
      <w:pPr>
        <w:pStyle w:val="TextBody"/>
        <w:bidi w:val="0"/>
        <w:spacing w:before="240" w:after="0"/>
        <w:jc w:val="left"/>
        <w:rPr/>
      </w:pPr>
      <w:r>
        <w:rPr/>
        <w:t>“</w:t>
      </w:r>
      <w:r>
        <w:rPr>
          <w:rFonts w:ascii="Times New Roman" w:hAnsi="Times New Roman"/>
          <w:sz w:val="20"/>
          <w:u w:val="single"/>
        </w:rPr>
        <w:t>Securitization Additional Availability</w:t>
      </w:r>
      <w:r>
        <w:rPr>
          <w:rFonts w:ascii="Times New Roman" w:hAnsi="Times New Roman"/>
          <w:sz w:val="20"/>
        </w:rPr>
        <w:t xml:space="preserve">” means (a) 85% of the book value of Eligible Securitization Receivables </w:t>
      </w:r>
      <w:r>
        <w:rPr>
          <w:rFonts w:ascii="Times New Roman" w:hAnsi="Times New Roman"/>
          <w:sz w:val="20"/>
          <w:u w:val="single"/>
        </w:rPr>
        <w:t>less</w:t>
      </w:r>
      <w:r>
        <w:rPr>
          <w:rFonts w:ascii="Times New Roman" w:hAnsi="Times New Roman"/>
          <w:sz w:val="20"/>
        </w:rPr>
        <w:t xml:space="preserve"> (b) Reserves, </w:t>
      </w:r>
      <w:r>
        <w:rPr>
          <w:rFonts w:ascii="Times New Roman" w:hAnsi="Times New Roman"/>
          <w:sz w:val="20"/>
          <w:u w:val="single"/>
        </w:rPr>
        <w:t>less</w:t>
      </w:r>
      <w:r>
        <w:rPr>
          <w:rFonts w:ascii="Times New Roman" w:hAnsi="Times New Roman"/>
          <w:sz w:val="20"/>
        </w:rPr>
        <w:t xml:space="preserve"> (c) the greater of (i) the amount of credit actually extended to WESCO Receivables by the Securitization Lenders, and (ii) the Securitization Maximum Potential Capital (but not in excess of the Securitization Purchase Limit); </w:t>
      </w:r>
      <w:r>
        <w:rPr>
          <w:rFonts w:ascii="Times New Roman" w:hAnsi="Times New Roman"/>
          <w:sz w:val="20"/>
          <w:u w:val="single"/>
        </w:rPr>
        <w:t>provided,</w:t>
      </w:r>
      <w:r>
        <w:rPr>
          <w:rFonts w:ascii="Times New Roman" w:hAnsi="Times New Roman"/>
          <w:sz w:val="20"/>
        </w:rPr>
        <w:t xml:space="preserve"> that, notwithstanding the foregoing, in no event shall Securitization Additional Availability exceed the lesser of (A) $</w:t>
      </w:r>
      <w:r>
        <w:rPr>
          <w:rFonts w:ascii="Times New Roman" w:hAnsi="Times New Roman"/>
          <w:strike/>
          <w:color w:val="FF0000"/>
          <w:sz w:val="20"/>
        </w:rPr>
        <w:t>301,875,000</w:t>
      </w:r>
      <w:r>
        <w:rPr>
          <w:rFonts w:ascii="Times New Roman" w:hAnsi="Times New Roman"/>
          <w:color w:val="0000FF"/>
          <w:sz w:val="20"/>
          <w:u w:val="single"/>
          <w:bdr w:val="double" w:sz="2" w:space="1" w:color="000000"/>
        </w:rPr>
        <w:t>323,750,000</w:t>
      </w:r>
      <w:r>
        <w:rPr>
          <w:rFonts w:ascii="Times New Roman" w:hAnsi="Times New Roman"/>
          <w:sz w:val="20"/>
        </w:rPr>
        <w:t xml:space="preserve"> and (B) seventeen and one half percent (17.5%) of the lesser at such time of (1) the Aggregate Revolving Commitments and (2) the Aggregate Borrowing Base. </w:t>
      </w:r>
    </w:p>
    <w:p>
      <w:pPr>
        <w:pStyle w:val="TextBody"/>
        <w:bidi w:val="0"/>
        <w:spacing w:before="240" w:after="0"/>
        <w:jc w:val="left"/>
        <w:rPr/>
      </w:pPr>
      <w:r>
        <w:rPr/>
        <w:t>“</w:t>
      </w:r>
      <w:r>
        <w:rPr>
          <w:rFonts w:ascii="Times New Roman" w:hAnsi="Times New Roman"/>
          <w:sz w:val="20"/>
          <w:u w:val="single"/>
        </w:rPr>
        <w:t>Securitization Availability</w:t>
      </w:r>
      <w:r>
        <w:rPr>
          <w:rFonts w:ascii="Times New Roman" w:hAnsi="Times New Roman"/>
          <w:sz w:val="20"/>
        </w:rPr>
        <w:t xml:space="preserve">” means, at any time, the available borrowing capacity of WESCO Receivables under the Receivables Securitization Agreements, which available borrowing capacity is equal to (a) the lesser, at such time, of (i) the Securitization Maximum Potential Capital and (ii) the Securitization Purchase Limit </w:t>
      </w:r>
      <w:r>
        <w:rPr>
          <w:rFonts w:ascii="Times New Roman" w:hAnsi="Times New Roman"/>
          <w:sz w:val="20"/>
          <w:u w:val="single"/>
        </w:rPr>
        <w:t>minus</w:t>
      </w:r>
      <w:r>
        <w:rPr>
          <w:rFonts w:ascii="Times New Roman" w:hAnsi="Times New Roman"/>
          <w:sz w:val="20"/>
        </w:rPr>
        <w:t xml:space="preserve"> (b) the amount of credit extended at such time to WESCO Receivables by the Securitization Lenders. </w:t>
      </w:r>
    </w:p>
    <w:p>
      <w:pPr>
        <w:pStyle w:val="TextBody"/>
        <w:bidi w:val="0"/>
        <w:spacing w:before="240" w:after="0"/>
        <w:jc w:val="left"/>
        <w:rPr/>
      </w:pPr>
      <w:r>
        <w:rPr/>
        <w:t>“</w:t>
      </w:r>
      <w:r>
        <w:rPr>
          <w:rFonts w:ascii="Times New Roman" w:hAnsi="Times New Roman"/>
          <w:sz w:val="20"/>
          <w:u w:val="single"/>
        </w:rPr>
        <w:t>Securitization Lenders</w:t>
      </w:r>
      <w:r>
        <w:rPr>
          <w:rFonts w:ascii="Times New Roman" w:hAnsi="Times New Roman"/>
          <w:sz w:val="20"/>
        </w:rPr>
        <w:t xml:space="preserve">” means the purchasers (i.e., the lenders) of Eligible Accounts that have been sold to WESCO Receivables under the Receivables Securitization Agreements. </w:t>
      </w:r>
    </w:p>
    <w:p>
      <w:pPr>
        <w:pStyle w:val="TextBody"/>
        <w:bidi w:val="0"/>
        <w:spacing w:before="240" w:after="0"/>
        <w:jc w:val="left"/>
        <w:rPr/>
      </w:pPr>
      <w:r>
        <w:rPr/>
        <w:t>“</w:t>
      </w:r>
      <w:r>
        <w:rPr>
          <w:rFonts w:ascii="Times New Roman" w:hAnsi="Times New Roman"/>
          <w:sz w:val="20"/>
          <w:u w:val="single"/>
        </w:rPr>
        <w:t>Securitization Maximum Potential Capital</w:t>
      </w:r>
      <w:r>
        <w:rPr>
          <w:rFonts w:ascii="Times New Roman" w:hAnsi="Times New Roman"/>
          <w:sz w:val="20"/>
        </w:rPr>
        <w:t>” means, at any time, the maximum amount of credit that could be extended to WESCO Receivables at such time (based on Eligible Securitization Receivables) by the Securitization Lenders under the Receivables Securitization Agreements, which amount is set forth on the monthly reports delivered by WESCO Receivables to the Securitization Lenders as the “</w:t>
      </w:r>
      <w:r>
        <w:rPr>
          <w:rFonts w:ascii="Times New Roman" w:hAnsi="Times New Roman"/>
          <w:sz w:val="20"/>
          <w:u w:val="single"/>
        </w:rPr>
        <w:t>Maximum Potential Capital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Securitization Purchase Limit</w:t>
      </w:r>
      <w:r>
        <w:rPr>
          <w:rFonts w:ascii="Times New Roman" w:hAnsi="Times New Roman"/>
          <w:sz w:val="20"/>
        </w:rPr>
        <w:t xml:space="preserve">” means on any date the aggregate commitment of the Securitization Lenders under the Receivables Securitization Agreements, as the same may be increased or decreased from time to time under the Receivables Securitization Agreements. </w:t>
      </w:r>
    </w:p>
    <w:p>
      <w:pPr>
        <w:pStyle w:val="TextBody"/>
        <w:bidi w:val="0"/>
        <w:spacing w:before="240" w:after="0"/>
        <w:jc w:val="left"/>
        <w:rPr/>
      </w:pPr>
      <w:r>
        <w:rPr/>
        <w:t>“</w:t>
      </w:r>
      <w:r>
        <w:rPr>
          <w:rFonts w:ascii="Times New Roman" w:hAnsi="Times New Roman"/>
          <w:sz w:val="20"/>
          <w:u w:val="single"/>
        </w:rPr>
        <w:t>Senior Notes</w:t>
      </w:r>
      <w:r>
        <w:rPr>
          <w:rFonts w:ascii="Times New Roman" w:hAnsi="Times New Roman"/>
          <w:sz w:val="20"/>
        </w:rPr>
        <w:t xml:space="preserve">” means, collectively, </w:t>
      </w:r>
      <w:r>
        <w:rPr>
          <w:rFonts w:ascii="Times New Roman" w:hAnsi="Times New Roman"/>
          <w:strike/>
          <w:color w:val="FF0000"/>
          <w:sz w:val="20"/>
        </w:rPr>
        <w:t xml:space="preserve">the 2028 Senior Notes, </w:t>
      </w:r>
      <w:r>
        <w:rPr>
          <w:rFonts w:ascii="Times New Roman" w:hAnsi="Times New Roman"/>
          <w:sz w:val="20"/>
        </w:rPr>
        <w:t xml:space="preserve">the 2029 Senior Notes, the 2032 Senior Notes </w:t>
      </w:r>
      <w:r>
        <w:rPr>
          <w:rFonts w:ascii="Times New Roman" w:hAnsi="Times New Roman"/>
          <w:strike/>
          <w:color w:val="FF0000"/>
          <w:sz w:val="20"/>
        </w:rPr>
        <w:t>and</w:t>
      </w:r>
      <w:r>
        <w:rPr>
          <w:rFonts w:ascii="Times New Roman" w:hAnsi="Times New Roman"/>
          <w:color w:val="0000FF"/>
          <w:sz w:val="20"/>
          <w:u w:val="single"/>
          <w:bdr w:val="double" w:sz="2" w:space="1" w:color="000000"/>
        </w:rPr>
        <w:t>, the 2031 Senior Notes,</w:t>
      </w:r>
      <w:r>
        <w:rPr>
          <w:rFonts w:ascii="Times New Roman" w:hAnsi="Times New Roman"/>
          <w:sz w:val="20"/>
        </w:rPr>
        <w:t xml:space="preserve"> the 2033 Senior Notes</w:t>
      </w:r>
      <w:r>
        <w:rPr>
          <w:rFonts w:ascii="Times New Roman" w:hAnsi="Times New Roman"/>
          <w:color w:val="0000FF"/>
          <w:sz w:val="20"/>
          <w:u w:val="single"/>
          <w:bdr w:val="double" w:sz="2" w:space="1" w:color="000000"/>
        </w:rPr>
        <w:t xml:space="preserve"> and the 2034 Senior Notes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Senior Notes Indentures</w:t>
      </w:r>
      <w:r>
        <w:rPr>
          <w:rFonts w:ascii="Times New Roman" w:hAnsi="Times New Roman"/>
          <w:sz w:val="20"/>
        </w:rPr>
        <w:t xml:space="preserve">” means, collectively, the </w:t>
      </w:r>
      <w:r>
        <w:rPr>
          <w:rFonts w:ascii="Times New Roman" w:hAnsi="Times New Roman"/>
          <w:strike/>
          <w:color w:val="FF0000"/>
          <w:sz w:val="20"/>
        </w:rPr>
        <w:t>2028 Senior Notes Indenture, the</w:t>
      </w:r>
      <w:r>
        <w:rPr>
          <w:rFonts w:ascii="Times New Roman" w:hAnsi="Times New Roman"/>
          <w:sz w:val="20"/>
        </w:rPr>
        <w:t xml:space="preserve"> 2029 / 2032 Senior Notes Indenture</w:t>
      </w:r>
      <w:r>
        <w:rPr>
          <w:rFonts w:ascii="Times New Roman" w:hAnsi="Times New Roman"/>
          <w:strike/>
          <w:color w:val="FF0000"/>
          <w:sz w:val="20"/>
        </w:rPr>
        <w:t xml:space="preserve"> and</w:t>
      </w:r>
      <w:r>
        <w:rPr>
          <w:rFonts w:ascii="Times New Roman" w:hAnsi="Times New Roman"/>
          <w:color w:val="0000FF"/>
          <w:sz w:val="20"/>
          <w:u w:val="single"/>
          <w:bdr w:val="double" w:sz="2" w:space="1" w:color="000000"/>
        </w:rPr>
        <w:t>,</w:t>
      </w:r>
      <w:r>
        <w:rPr>
          <w:rFonts w:ascii="Times New Roman" w:hAnsi="Times New Roman"/>
          <w:sz w:val="20"/>
        </w:rPr>
        <w:t xml:space="preserve"> the 2033 Senior Notes Indenture</w:t>
      </w:r>
      <w:r>
        <w:rPr>
          <w:rFonts w:ascii="Times New Roman" w:hAnsi="Times New Roman"/>
          <w:color w:val="0000FF"/>
          <w:sz w:val="20"/>
          <w:u w:val="single"/>
          <w:bdr w:val="double" w:sz="2" w:space="1" w:color="000000"/>
        </w:rPr>
        <w:t xml:space="preserve"> and the 2031 / 2034 Senior Notes Indenture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Settlement</w:t>
      </w:r>
      <w:r>
        <w:rPr>
          <w:rFonts w:ascii="Times New Roman" w:hAnsi="Times New Roman"/>
          <w:sz w:val="20"/>
        </w:rPr>
        <w:t xml:space="preserve">” has the meaning assigned to such term in Section 2.05(g). </w:t>
      </w:r>
    </w:p>
    <w:p>
      <w:pPr>
        <w:pStyle w:val="TextBody"/>
        <w:bidi w:val="0"/>
        <w:spacing w:before="240" w:after="0"/>
        <w:jc w:val="left"/>
        <w:rPr/>
      </w:pPr>
      <w:r>
        <w:rPr/>
        <w:t>“</w:t>
      </w:r>
      <w:r>
        <w:rPr>
          <w:rFonts w:ascii="Times New Roman" w:hAnsi="Times New Roman"/>
          <w:sz w:val="20"/>
          <w:u w:val="single"/>
        </w:rPr>
        <w:t>Settlement Date</w:t>
      </w:r>
      <w:r>
        <w:rPr>
          <w:rFonts w:ascii="Times New Roman" w:hAnsi="Times New Roman"/>
          <w:sz w:val="20"/>
        </w:rPr>
        <w:t xml:space="preserve">” has the meaning assigned to such term in Section 2.05(g). </w:t>
      </w:r>
    </w:p>
    <w:p>
      <w:pPr>
        <w:pStyle w:val="TextBody"/>
        <w:bidi w:val="0"/>
        <w:spacing w:before="240" w:after="0"/>
        <w:jc w:val="left"/>
        <w:rPr/>
      </w:pPr>
      <w:r>
        <w:rPr/>
        <w:t>“</w:t>
      </w:r>
      <w:r>
        <w:rPr>
          <w:rFonts w:ascii="Times New Roman" w:hAnsi="Times New Roman"/>
          <w:sz w:val="20"/>
          <w:u w:val="single"/>
        </w:rPr>
        <w:t>Seventh Amendment</w:t>
      </w:r>
      <w:r>
        <w:rPr>
          <w:rFonts w:ascii="Times New Roman" w:hAnsi="Times New Roman"/>
          <w:sz w:val="20"/>
        </w:rPr>
        <w:t xml:space="preserve">” means that certain Seventh Amendment to Fourth Amended and Restated Credit Agreement, dated as of the Seventh Amendment Effective Date, by and among the Borrowers, the Lenders party thereto and the Administrative Agent. </w:t>
      </w:r>
    </w:p>
    <w:p>
      <w:pPr>
        <w:pStyle w:val="TextBody"/>
        <w:bidi w:val="0"/>
        <w:spacing w:before="240" w:after="0"/>
        <w:jc w:val="left"/>
        <w:rPr/>
      </w:pPr>
      <w:r>
        <w:rPr/>
        <w:t>“</w:t>
      </w:r>
      <w:r>
        <w:rPr>
          <w:rFonts w:ascii="Times New Roman" w:hAnsi="Times New Roman"/>
          <w:sz w:val="20"/>
          <w:u w:val="single"/>
        </w:rPr>
        <w:t>Seventh Amendment Effective Date</w:t>
      </w:r>
      <w:r>
        <w:rPr>
          <w:rFonts w:ascii="Times New Roman" w:hAnsi="Times New Roman"/>
          <w:sz w:val="20"/>
        </w:rPr>
        <w:t xml:space="preserve">” means February 28, 2025. </w:t>
      </w:r>
    </w:p>
    <w:p>
      <w:pPr>
        <w:pStyle w:val="TextBody"/>
        <w:bidi w:val="0"/>
        <w:spacing w:before="240" w:after="0"/>
        <w:jc w:val="left"/>
        <w:rPr/>
      </w:pPr>
      <w:r>
        <w:rPr/>
        <w:t>“</w:t>
      </w:r>
      <w:r>
        <w:rPr>
          <w:rFonts w:ascii="Times New Roman" w:hAnsi="Times New Roman"/>
          <w:sz w:val="20"/>
          <w:u w:val="single"/>
        </w:rPr>
        <w:t>Significant Subsidiary</w:t>
      </w:r>
      <w:r>
        <w:rPr>
          <w:rFonts w:ascii="Times New Roman" w:hAnsi="Times New Roman"/>
          <w:sz w:val="20"/>
        </w:rPr>
        <w:t xml:space="preserve">” shall mean, with respect to paragraphs (i), (j) and (k) of Article VII hereof, on any date of determination, (a) any Restricted Subsidiary that, together with its Subsidiaries that constitute Restricted Subsidiaries, would constitute a “significant subsidiary” as set forth in Rule 1-02(w) of Regulation S-X under the Securities Act, and (b) any Restricted Subsidiary which, when aggregated with all other Restricted Subsidiaries that are not otherwise Significant Subsidiaries and as to which any event described in paragraph (i), (j) or (k) of Article VII hereof has occurred, would collectively satisfy the criteria for the determination of a Significant Subsidiary under clause (a) of this definition.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 </w:t>
      </w:r>
    </w:p>
    <w:p>
      <w:pPr>
        <w:pStyle w:val="TextBody"/>
        <w:bidi w:val="0"/>
        <w:spacing w:before="240" w:after="0"/>
        <w:jc w:val="left"/>
        <w:rPr/>
      </w:pPr>
      <w:r>
        <w:rPr/>
        <w:t>“</w:t>
      </w:r>
      <w:r>
        <w:rPr>
          <w:rFonts w:ascii="Times New Roman" w:hAnsi="Times New Roman"/>
          <w:sz w:val="20"/>
          <w:u w:val="single"/>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Administrator’s Website</w:t>
      </w:r>
      <w:r>
        <w:rPr>
          <w:rFonts w:ascii="Times New Roman" w:hAnsi="Times New Roman"/>
          <w:sz w:val="20"/>
        </w:rPr>
        <w:t xml:space="preserve">” means the website of the Federal Reserve Bank of New York,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sz w:val="20"/>
          <w:u w:val="single"/>
        </w:rPr>
        <w:t>SOFR Borrowing</w:t>
      </w:r>
      <w:r>
        <w:rPr>
          <w:rFonts w:ascii="Times New Roman" w:hAnsi="Times New Roman"/>
          <w:sz w:val="20"/>
        </w:rPr>
        <w:t xml:space="preserve">” means, as to any Borrowing, the SOFR Loans comprising such Borrowing. </w:t>
      </w:r>
    </w:p>
    <w:p>
      <w:pPr>
        <w:pStyle w:val="TextBody"/>
        <w:bidi w:val="0"/>
        <w:spacing w:before="240" w:after="0"/>
        <w:jc w:val="left"/>
        <w:rPr/>
      </w:pPr>
      <w:r>
        <w:rPr/>
        <w:t>“</w:t>
      </w:r>
      <w:r>
        <w:rPr>
          <w:rFonts w:ascii="Times New Roman" w:hAnsi="Times New Roman"/>
          <w:sz w:val="20"/>
          <w:u w:val="single"/>
        </w:rPr>
        <w:t>SOFR Loan</w:t>
      </w:r>
      <w:r>
        <w:rPr>
          <w:rFonts w:ascii="Times New Roman" w:hAnsi="Times New Roman"/>
          <w:sz w:val="20"/>
        </w:rPr>
        <w:t xml:space="preserve">” means a Loan that bears interest at a rate based on Term SOFR or Daily Simple SOFR, other than pursuant to clause (c) of the definition of “Alternate Base Rate”. </w:t>
      </w:r>
    </w:p>
    <w:p>
      <w:pPr>
        <w:pStyle w:val="TextBody"/>
        <w:bidi w:val="0"/>
        <w:spacing w:before="240" w:after="0"/>
        <w:jc w:val="left"/>
        <w:rPr/>
      </w:pPr>
      <w:r>
        <w:rPr/>
        <w:t>“</w:t>
      </w:r>
      <w:r>
        <w:rPr>
          <w:rFonts w:ascii="Times New Roman" w:hAnsi="Times New Roman"/>
          <w:sz w:val="20"/>
          <w:u w:val="single"/>
        </w:rPr>
        <w:t>SOFR Rate Day</w:t>
      </w:r>
      <w:r>
        <w:rPr>
          <w:rFonts w:ascii="Times New Roman" w:hAnsi="Times New Roman"/>
          <w:sz w:val="20"/>
        </w:rPr>
        <w:t xml:space="preserve">” has the meaning assigned to such term in the definition of “Daily Simple SOFR”. </w:t>
      </w:r>
    </w:p>
    <w:p>
      <w:pPr>
        <w:pStyle w:val="TextBody"/>
        <w:bidi w:val="0"/>
        <w:spacing w:before="240" w:after="0"/>
        <w:jc w:val="left"/>
        <w:rPr/>
      </w:pPr>
      <w:r>
        <w:rPr/>
        <w:t>“</w:t>
      </w:r>
      <w:r>
        <w:rPr>
          <w:rFonts w:ascii="Times New Roman" w:hAnsi="Times New Roman"/>
          <w:sz w:val="20"/>
          <w:u w:val="single"/>
        </w:rPr>
        <w:t>Specified Combined Availability</w:t>
      </w:r>
      <w:r>
        <w:rPr>
          <w:rFonts w:ascii="Times New Roman" w:hAnsi="Times New Roman"/>
          <w:sz w:val="20"/>
        </w:rPr>
        <w:t xml:space="preserve">” shall mean, at any time, the sum of (a) Combined Availability plus (b) the amount, if positive, by which the Aggregate Borrowing Base in effect at such time exceeds the Aggregate Revolving Commitments at such time; </w:t>
      </w:r>
      <w:r>
        <w:rPr>
          <w:rFonts w:ascii="Times New Roman" w:hAnsi="Times New Roman"/>
          <w:sz w:val="20"/>
          <w:u w:val="single"/>
        </w:rPr>
        <w:t>provided</w:t>
      </w:r>
      <w:r>
        <w:rPr>
          <w:rFonts w:ascii="Times New Roman" w:hAnsi="Times New Roman"/>
          <w:sz w:val="20"/>
        </w:rPr>
        <w:t xml:space="preserve"> that the amount attributable to clause (b) of this definition shall not exceed </w:t>
      </w:r>
      <w:r>
        <w:rPr>
          <w:rFonts w:ascii="Times New Roman" w:hAnsi="Times New Roman"/>
          <w:strike/>
          <w:color w:val="FF0000"/>
          <w:sz w:val="20"/>
        </w:rPr>
        <w:t>2.5</w:t>
      </w:r>
      <w:r>
        <w:rPr>
          <w:rFonts w:ascii="Times New Roman" w:hAnsi="Times New Roman"/>
          <w:color w:val="0000FF"/>
          <w:sz w:val="20"/>
          <w:u w:val="single"/>
          <w:bdr w:val="double" w:sz="2" w:space="1" w:color="000000"/>
        </w:rPr>
        <w:t>5.0</w:t>
      </w:r>
      <w:r>
        <w:rPr>
          <w:rFonts w:ascii="Times New Roman" w:hAnsi="Times New Roman"/>
          <w:sz w:val="20"/>
        </w:rPr>
        <w:t xml:space="preserve">% of the aggregate amount of the Aggregate Revolving Commitments at such time. </w:t>
      </w:r>
    </w:p>
    <w:p>
      <w:pPr>
        <w:pStyle w:val="TextBody"/>
        <w:bidi w:val="0"/>
        <w:spacing w:before="240" w:after="0"/>
        <w:jc w:val="left"/>
        <w:rPr/>
      </w:pPr>
      <w:r>
        <w:rPr/>
        <w:t>“</w:t>
      </w:r>
      <w:r>
        <w:rPr>
          <w:rFonts w:ascii="Times New Roman" w:hAnsi="Times New Roman"/>
          <w:sz w:val="20"/>
          <w:u w:val="single"/>
        </w:rPr>
        <w:t>Specified Event of Default</w:t>
      </w:r>
      <w:r>
        <w:rPr>
          <w:rFonts w:ascii="Times New Roman" w:hAnsi="Times New Roman"/>
          <w:sz w:val="20"/>
        </w:rPr>
        <w:t xml:space="preserve">” any Event of Default of type specified in clauses (a), (b), (d), (e)(i), (i), (j) or (k) of Article VII. </w:t>
      </w:r>
    </w:p>
    <w:p>
      <w:pPr>
        <w:pStyle w:val="TextBody"/>
        <w:bidi w:val="0"/>
        <w:spacing w:before="240" w:after="0"/>
        <w:jc w:val="left"/>
        <w:rPr/>
      </w:pPr>
      <w:r>
        <w:rPr/>
        <w:t>“</w:t>
      </w:r>
      <w:r>
        <w:rPr>
          <w:rFonts w:ascii="Times New Roman" w:hAnsi="Times New Roman"/>
          <w:sz w:val="20"/>
          <w:u w:val="single"/>
        </w:rPr>
        <w:t>Specified Foreign Credit Extensions</w:t>
      </w:r>
      <w:r>
        <w:rPr>
          <w:rFonts w:ascii="Times New Roman" w:hAnsi="Times New Roman"/>
          <w:sz w:val="20"/>
        </w:rPr>
        <w:t xml:space="preserve">” means Foreign Credit Extensions of which the Administrative Agent has received notice in accordance with Section 2.22. </w:t>
      </w:r>
    </w:p>
    <w:p>
      <w:pPr>
        <w:pStyle w:val="TextBody"/>
        <w:bidi w:val="0"/>
        <w:spacing w:before="240" w:after="0"/>
        <w:jc w:val="left"/>
        <w:rPr/>
      </w:pPr>
      <w:r>
        <w:rPr/>
        <w:t>“</w:t>
      </w:r>
      <w:r>
        <w:rPr>
          <w:rFonts w:ascii="Times New Roman" w:hAnsi="Times New Roman"/>
          <w:sz w:val="20"/>
          <w:u w:val="single"/>
        </w:rPr>
        <w:t>Specified Indebtedness</w:t>
      </w:r>
      <w:r>
        <w:rPr>
          <w:rFonts w:ascii="Times New Roman" w:hAnsi="Times New Roman"/>
          <w:sz w:val="20"/>
        </w:rPr>
        <w:t>” means Indebtedness (other than the Loans and Letters of Credit and any Intercompany Obligations), or obligations in respect of one or more Swap Agreements, of any one or more of Holdings and its Restricted Subsidiaries in an aggregate principal amount exceeding $</w:t>
      </w:r>
      <w:r>
        <w:rPr>
          <w:rFonts w:ascii="Times New Roman" w:hAnsi="Times New Roman"/>
          <w:strike/>
          <w:color w:val="FF0000"/>
          <w:sz w:val="20"/>
        </w:rPr>
        <w:t>375,000,000</w:t>
      </w:r>
      <w:r>
        <w:rPr>
          <w:rFonts w:ascii="Times New Roman" w:hAnsi="Times New Roman"/>
          <w:color w:val="0000FF"/>
          <w:sz w:val="20"/>
          <w:u w:val="single"/>
          <w:bdr w:val="double" w:sz="2" w:space="1" w:color="000000"/>
        </w:rPr>
        <w:t xml:space="preserve">550,000,000 </w:t>
      </w:r>
      <w:r>
        <w:rPr>
          <w:rFonts w:ascii="Times New Roman" w:hAnsi="Times New Roman"/>
          <w:sz w:val="20"/>
        </w:rPr>
        <w:t xml:space="preserve">. For purposes of determining Specified Indebtedness, the “obligations” of any Loan Party or any Restricted Subsidiary in respect of any Swap Agreement at any time shall be the maximum aggregate amount (giving effect to any netting agreements) that such Loan Party or such Restricted Subsidiary would be required to pay if such Swap Agreement were terminated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Specified Representations</w:t>
      </w:r>
      <w:r>
        <w:rPr>
          <w:rFonts w:ascii="Times New Roman" w:hAnsi="Times New Roman"/>
          <w:sz w:val="20"/>
        </w:rPr>
        <w:t xml:space="preserve">” means the representations and warranties under Sections 3.01, 3.02, 3.03(d), 3.08, 3.13(c), 3.13(d), 3.16, 3.20(c) (solely with respect to the use of proceeds of any Loans made on the Fourth Restatement Date) and 3.23. </w:t>
      </w:r>
    </w:p>
    <w:p>
      <w:pPr>
        <w:pStyle w:val="TextBody"/>
        <w:bidi w:val="0"/>
        <w:spacing w:before="240" w:after="0"/>
        <w:jc w:val="left"/>
        <w:rPr/>
      </w:pPr>
      <w:r>
        <w:rPr/>
        <w:t>“</w:t>
      </w:r>
      <w:r>
        <w:rPr>
          <w:rFonts w:ascii="Times New Roman" w:hAnsi="Times New Roman"/>
          <w:sz w:val="20"/>
          <w:u w:val="single"/>
        </w:rPr>
        <w:t>Standby LC Exposure</w:t>
      </w:r>
      <w:r>
        <w:rPr>
          <w:rFonts w:ascii="Times New Roman" w:hAnsi="Times New Roman"/>
          <w:sz w:val="20"/>
        </w:rPr>
        <w:t xml:space="preserve">” means, at any time, the sum of (a) the aggregate undrawn amount of all outstanding standby Letters of Credit at such time </w:t>
      </w:r>
      <w:r>
        <w:rPr>
          <w:rFonts w:ascii="Times New Roman" w:hAnsi="Times New Roman"/>
          <w:sz w:val="20"/>
          <w:u w:val="single"/>
        </w:rPr>
        <w:t>plus</w:t>
      </w:r>
      <w:r>
        <w:rPr>
          <w:rFonts w:ascii="Times New Roman" w:hAnsi="Times New Roman"/>
          <w:sz w:val="20"/>
        </w:rPr>
        <w:t xml:space="preserve"> (b) the aggregate amount of all LC Disbursements relating to standby Letters of Credit that have not yet been reimbursed by or on behalf of the Borrowers at such time. The Standby LC Exposure of any Revolving Lender at any time shall be its Applicable Percentage of the total Standby LC Exposure at such time. </w:t>
      </w:r>
    </w:p>
    <w:p>
      <w:pPr>
        <w:pStyle w:val="TextBody"/>
        <w:bidi w:val="0"/>
        <w:spacing w:before="240" w:after="0"/>
        <w:jc w:val="left"/>
        <w:rPr/>
      </w:pPr>
      <w:r>
        <w:rPr/>
        <w:t>“</w:t>
      </w:r>
      <w:r>
        <w:rPr>
          <w:rFonts w:ascii="Times New Roman" w:hAnsi="Times New Roman"/>
          <w:sz w:val="20"/>
          <w:u w:val="single"/>
        </w:rPr>
        <w:t>Subordinated Indebtedness</w:t>
      </w:r>
      <w:r>
        <w:rPr>
          <w:rFonts w:ascii="Times New Roman" w:hAnsi="Times New Roman"/>
          <w:sz w:val="20"/>
        </w:rPr>
        <w:t xml:space="preserve">” of a Person means any Indebtedness of such Person the payment of which is subordinated to payment of the Secured Obligations to the written satisfaction of the Administrative Agent in its Permitted Discretion.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means, with respect to any Person (the “</w:t>
      </w:r>
      <w:r>
        <w:rPr>
          <w:rFonts w:ascii="Times New Roman" w:hAnsi="Times New Roman"/>
          <w:sz w:val="20"/>
          <w:u w:val="single"/>
        </w:rPr>
        <w:t>parent</w:t>
      </w:r>
      <w:r>
        <w:rPr>
          <w:rFonts w:ascii="Times New Roman" w:hAnsi="Times New Roman"/>
          <w:sz w:val="20"/>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any direct or indirect subsidiary of a Loan Party, as applicable. </w:t>
      </w:r>
    </w:p>
    <w:p>
      <w:pPr>
        <w:pStyle w:val="TextBody"/>
        <w:bidi w:val="0"/>
        <w:spacing w:before="240" w:after="0"/>
        <w:jc w:val="left"/>
        <w:rPr/>
      </w:pPr>
      <w:r>
        <w:rPr/>
        <w:t>“</w:t>
      </w:r>
      <w:r>
        <w:rPr>
          <w:rFonts w:ascii="Times New Roman" w:hAnsi="Times New Roman"/>
          <w:sz w:val="20"/>
          <w:u w:val="single"/>
        </w:rPr>
        <w:t>Supermajority Revolving Lenders</w:t>
      </w:r>
      <w:r>
        <w:rPr>
          <w:rFonts w:ascii="Times New Roman" w:hAnsi="Times New Roman"/>
          <w:sz w:val="20"/>
        </w:rPr>
        <w:t xml:space="preserve">” means, at any time, Lenders (other than Defaulting Lenders) having Revolving Exposure and unused Revolving Commitments representing at least 66 2/3% of the sum of the Aggregate Revolving Exposure and unused Revolving Commitments. </w:t>
      </w:r>
    </w:p>
    <w:p>
      <w:pPr>
        <w:pStyle w:val="TextBody"/>
        <w:bidi w:val="0"/>
        <w:spacing w:before="240" w:after="0"/>
        <w:jc w:val="left"/>
        <w:rPr/>
      </w:pPr>
      <w:r>
        <w:rPr/>
        <w:t>“</w:t>
      </w:r>
      <w:r>
        <w:rPr>
          <w:rFonts w:ascii="Times New Roman" w:hAnsi="Times New Roman"/>
          <w:sz w:val="20"/>
          <w:u w:val="single"/>
        </w:rPr>
        <w:t>Supported QFC</w:t>
      </w:r>
      <w:r>
        <w:rPr>
          <w:rFonts w:ascii="Times New Roman" w:hAnsi="Times New Roman"/>
          <w:sz w:val="20"/>
        </w:rPr>
        <w:t xml:space="preserve">” has the meaning assigned to such term in Section 9.26. </w:t>
      </w:r>
    </w:p>
    <w:p>
      <w:pPr>
        <w:pStyle w:val="TextBody"/>
        <w:bidi w:val="0"/>
        <w:spacing w:before="240" w:after="0"/>
        <w:jc w:val="left"/>
        <w:rPr/>
      </w:pPr>
      <w:r>
        <w:rPr/>
        <w:t>“</w:t>
      </w:r>
      <w:r>
        <w:rPr>
          <w:rFonts w:ascii="Times New Roman" w:hAnsi="Times New Roman"/>
          <w:sz w:val="20"/>
          <w:u w:val="single"/>
        </w:rPr>
        <w:t>Swap Agreement</w:t>
      </w:r>
      <w:r>
        <w:rPr>
          <w:rFonts w:ascii="Times New Roman" w:hAnsi="Times New Roman"/>
          <w:sz w:val="20"/>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sz w:val="20"/>
          <w:u w:val="single"/>
        </w:rPr>
        <w:t>provided</w:t>
      </w:r>
      <w:r>
        <w:rPr>
          <w:rFonts w:ascii="Times New Roman" w:hAnsi="Times New Roman"/>
          <w:sz w:val="20"/>
        </w:rPr>
        <w:t xml:space="preserve"> that no phantom stock or similar plan providing for payments only on account of services provided by current or former directors, officers, employees or consultants of the Borrowers or the Subsidiaries shall be a Swap Agreement; </w:t>
      </w:r>
      <w:r>
        <w:rPr>
          <w:rFonts w:ascii="Times New Roman" w:hAnsi="Times New Roman"/>
          <w:sz w:val="20"/>
          <w:u w:val="single"/>
        </w:rPr>
        <w:t>provided</w:t>
      </w:r>
      <w:r>
        <w:rPr>
          <w:rFonts w:ascii="Times New Roman" w:hAnsi="Times New Roman"/>
          <w:sz w:val="20"/>
        </w:rPr>
        <w:t xml:space="preserve">, further, that any Permitted TEU Purchase Contract shall not constitute a Swap Agreement. </w:t>
      </w:r>
    </w:p>
    <w:p>
      <w:pPr>
        <w:pStyle w:val="TextBody"/>
        <w:bidi w:val="0"/>
        <w:spacing w:before="240" w:after="0"/>
        <w:jc w:val="left"/>
        <w:rPr/>
      </w:pPr>
      <w:r>
        <w:rPr/>
        <w:t>“</w:t>
      </w:r>
      <w:r>
        <w:rPr>
          <w:rFonts w:ascii="Times New Roman" w:hAnsi="Times New Roman"/>
          <w:sz w:val="20"/>
          <w:u w:val="single"/>
        </w:rPr>
        <w:t>Swap Agreement Obligations</w:t>
      </w:r>
      <w:r>
        <w:rPr>
          <w:rFonts w:ascii="Times New Roman" w:hAnsi="Times New Roman"/>
          <w:sz w:val="20"/>
        </w:rPr>
        <w:t xml:space="preserve">” 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(or any Person that was a Lender or an Affiliate of a Lender at the time the agreement was initially executed, or in the case of any agreement as in effect on the Fourth Restatement Date, was a Lender or an Affiliate of a Lender as of such date), and (b) any and all cancellations, buy backs, reversals, terminations or assignments of any such Swap Agreement transaction; </w:t>
      </w:r>
      <w:r>
        <w:rPr>
          <w:rFonts w:ascii="Times New Roman" w:hAnsi="Times New Roman"/>
          <w:sz w:val="20"/>
          <w:u w:val="single"/>
        </w:rPr>
        <w:t>provided</w:t>
      </w:r>
      <w:r>
        <w:rPr>
          <w:rFonts w:ascii="Times New Roman" w:hAnsi="Times New Roman"/>
          <w:sz w:val="20"/>
        </w:rPr>
        <w:t xml:space="preserve">, however, in no event shall Swap Agreement Obligations include Excluded Swap Obligations. </w:t>
      </w:r>
    </w:p>
    <w:p>
      <w:pPr>
        <w:pStyle w:val="TextBody"/>
        <w:bidi w:val="0"/>
        <w:spacing w:before="240" w:after="0"/>
        <w:jc w:val="left"/>
        <w:rPr/>
      </w:pPr>
      <w:r>
        <w:rPr/>
        <w:t>“</w:t>
      </w:r>
      <w:r>
        <w:rPr>
          <w:rFonts w:ascii="Times New Roman" w:hAnsi="Times New Roman"/>
          <w:sz w:val="20"/>
          <w:u w:val="single"/>
        </w:rPr>
        <w:t>Swap Obligation</w:t>
      </w:r>
      <w:r>
        <w:rPr>
          <w:rFonts w:ascii="Times New Roman" w:hAnsi="Times New Roman"/>
          <w:sz w:val="20"/>
        </w:rPr>
        <w:t xml:space="preserve">” means, with respect to any Guarantor, any obligation to pay or perform under any agreement, contract or transaction that constitutes a “swap” within the meaning of section 1a(47) of the Commodity Exchange Act or any rules or regulations promulgated thereunder. </w:t>
      </w:r>
    </w:p>
    <w:p>
      <w:pPr>
        <w:pStyle w:val="TextBody"/>
        <w:bidi w:val="0"/>
        <w:spacing w:before="240" w:after="0"/>
        <w:jc w:val="left"/>
        <w:rPr/>
      </w:pPr>
      <w:r>
        <w:rPr/>
        <w:t>“</w:t>
      </w:r>
      <w:r>
        <w:rPr>
          <w:rFonts w:ascii="Times New Roman" w:hAnsi="Times New Roman"/>
          <w:sz w:val="20"/>
          <w:u w:val="single"/>
        </w:rPr>
        <w:t>Swingline Exposure</w:t>
      </w:r>
      <w:r>
        <w:rPr>
          <w:rFonts w:ascii="Times New Roman" w:hAnsi="Times New Roman"/>
          <w:sz w:val="20"/>
        </w:rPr>
        <w:t xml:space="preserve">” means, at any time, the sum of the aggregate undrawn amount of all outstanding Swingline Loans at such time. The Swingline Exposure of any Revolving Lender at any time shall be its Applicable Percentage of the total Swingline Exposure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Swingline Lender</w:t>
      </w:r>
      <w:r>
        <w:rPr>
          <w:rFonts w:ascii="Times New Roman" w:hAnsi="Times New Roman"/>
          <w:sz w:val="20"/>
        </w:rPr>
        <w:t xml:space="preserve">” means Barclays, in its capacity as the lender of Swingline Loans hereunder. </w:t>
      </w:r>
    </w:p>
    <w:p>
      <w:pPr>
        <w:pStyle w:val="TextBody"/>
        <w:bidi w:val="0"/>
        <w:spacing w:before="240" w:after="0"/>
        <w:jc w:val="left"/>
        <w:rPr/>
      </w:pPr>
      <w:r>
        <w:rPr/>
        <w:t>“</w:t>
      </w:r>
      <w:r>
        <w:rPr>
          <w:rFonts w:ascii="Times New Roman" w:hAnsi="Times New Roman"/>
          <w:sz w:val="20"/>
          <w:u w:val="single"/>
        </w:rPr>
        <w:t>Swingline Loan</w:t>
      </w:r>
      <w:r>
        <w:rPr>
          <w:rFonts w:ascii="Times New Roman" w:hAnsi="Times New Roman"/>
          <w:sz w:val="20"/>
        </w:rPr>
        <w:t xml:space="preserve">” means, individually and collectively as the context may require, each U.S. Swingline Loan and each Canadian Swingline Loan. </w:t>
      </w:r>
    </w:p>
    <w:p>
      <w:pPr>
        <w:pStyle w:val="TextBody"/>
        <w:bidi w:val="0"/>
        <w:spacing w:before="240" w:after="0"/>
        <w:jc w:val="left"/>
        <w:rPr/>
      </w:pPr>
      <w:r>
        <w:rPr/>
        <w:t>“</w:t>
      </w:r>
      <w:r>
        <w:rPr>
          <w:rFonts w:ascii="Times New Roman" w:hAnsi="Times New Roman"/>
          <w:sz w:val="20"/>
          <w:u w:val="single"/>
        </w:rPr>
        <w:t>TARGET Day</w:t>
      </w:r>
      <w:r>
        <w:rPr>
          <w:rFonts w:ascii="Times New Roman" w:hAnsi="Times New Roman"/>
          <w:sz w:val="20"/>
        </w:rPr>
        <w:t xml:space="preserve">” means any day on which (i) TARGET2 is open for settlement of payments in Euro and (ii) banks are open for dealings in deposits in Euro in the London interbank market. </w:t>
      </w:r>
    </w:p>
    <w:p>
      <w:pPr>
        <w:pStyle w:val="TextBody"/>
        <w:bidi w:val="0"/>
        <w:spacing w:before="240" w:after="0"/>
        <w:jc w:val="left"/>
        <w:rPr/>
      </w:pPr>
      <w:r>
        <w:rPr/>
        <w:t>“</w:t>
      </w:r>
      <w:r>
        <w:rPr>
          <w:rFonts w:ascii="Times New Roman" w:hAnsi="Times New Roman"/>
          <w:sz w:val="20"/>
          <w:u w:val="single"/>
        </w:rPr>
        <w:t>TARGET2</w:t>
      </w:r>
      <w:r>
        <w:rPr>
          <w:rFonts w:ascii="Times New Roman" w:hAnsi="Times New Roman"/>
          <w:sz w:val="20"/>
        </w:rPr>
        <w:t xml:space="preserve">” means the Trans-European Automated Real-Time Gross Settlement Express Transfer payment system which utilizes a single shared platform and which was launched on November 19, 2007.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Benchmark</w:t>
      </w:r>
      <w:r>
        <w:rPr>
          <w:rFonts w:ascii="Times New Roman" w:hAnsi="Times New Roman"/>
          <w:sz w:val="20"/>
        </w:rPr>
        <w:t xml:space="preserve">” when used in reference to any Loan or Borrowing, refers to whether such Loan, or the Loans comprising such Borrowing, are bearing interest at a rate determined by reference to Term SOFR. </w:t>
      </w:r>
    </w:p>
    <w:p>
      <w:pPr>
        <w:pStyle w:val="TextBody"/>
        <w:bidi w:val="0"/>
        <w:spacing w:before="240" w:after="0"/>
        <w:jc w:val="left"/>
        <w:rPr/>
      </w:pPr>
      <w:r>
        <w:rPr/>
        <w:t>“</w:t>
      </w:r>
      <w:r>
        <w:rPr>
          <w:rFonts w:ascii="Times New Roman" w:hAnsi="Times New Roman"/>
          <w:sz w:val="20"/>
          <w:u w:val="single"/>
        </w:rPr>
        <w:t>Term CORRA</w:t>
      </w:r>
      <w:r>
        <w:rPr>
          <w:rFonts w:ascii="Times New Roman" w:hAnsi="Times New Roman"/>
          <w:sz w:val="20"/>
        </w:rPr>
        <w:t>” means, for any calculation with respect to a Term CORRA Loan, the Term CORRA Reference Rate for a tenor comparable to the applicable Interest Period on the day (such day, the “</w:t>
      </w:r>
      <w:r>
        <w:rPr>
          <w:rFonts w:ascii="Times New Roman" w:hAnsi="Times New Roman"/>
          <w:sz w:val="20"/>
          <w:u w:val="single"/>
        </w:rPr>
        <w:t>Periodic Term CORRA Determination Day</w:t>
      </w:r>
      <w:r>
        <w:rPr>
          <w:rFonts w:ascii="Times New Roman" w:hAnsi="Times New Roman"/>
          <w:sz w:val="20"/>
        </w:rPr>
        <w:t>”) that is two (2)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Canadian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w:t>
      </w:r>
      <w:r>
        <w:rPr>
          <w:rFonts w:ascii="Times New Roman" w:hAnsi="Times New Roman"/>
          <w:color w:val="0000FF"/>
          <w:sz w:val="20"/>
          <w:u w:val="single"/>
          <w:bdr w:val="double" w:sz="2" w:space="1" w:color="000000"/>
        </w:rPr>
        <w:t xml:space="preserve">; provided that if </w:t>
      </w:r>
      <w:r>
        <w:rPr>
          <w:rFonts w:ascii="Times New Roman" w:hAnsi="Times New Roman"/>
          <w:color w:val="008000"/>
          <w:sz w:val="20"/>
          <w:u w:val="single"/>
          <w:bdr w:val="double" w:sz="2" w:space="1" w:color="000000"/>
        </w:rPr>
        <w:t>Term CORRA determined as provided above shall ever be less than zero, then Term CORRA shall be deemed to be zero.</w:t>
      </w:r>
      <w:r>
        <w:rPr>
          <w:rFonts w:ascii="Times New Roman" w:hAnsi="Times New Roman"/>
          <w:sz w:val="20"/>
        </w:rPr>
        <w:t xml:space="preserve"> </w:t>
      </w:r>
    </w:p>
    <w:p>
      <w:pPr>
        <w:pStyle w:val="TextBody"/>
        <w:bidi w:val="0"/>
        <w:spacing w:before="240" w:after="0"/>
        <w:jc w:val="left"/>
        <w:rPr/>
      </w:pPr>
      <w:r>
        <w:rPr>
          <w:strike/>
          <w:color w:val="FF0000"/>
        </w:rPr>
        <w:t>“</w:t>
      </w:r>
      <w:r>
        <w:rPr>
          <w:rFonts w:ascii="Times New Roman" w:hAnsi="Times New Roman"/>
          <w:strike/>
          <w:color w:val="FF0000"/>
          <w:sz w:val="20"/>
          <w:u w:val="single"/>
        </w:rPr>
        <w:t>Term CORRA Adjustment</w:t>
      </w:r>
      <w:r>
        <w:rPr>
          <w:rFonts w:ascii="Times New Roman" w:hAnsi="Times New Roman"/>
          <w:strike/>
          <w:color w:val="FF0000"/>
          <w:sz w:val="20"/>
        </w:rPr>
        <w:t>” means a percentage per annum as set forth below for the applicable Interest Period:</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5"/>
        <w:gridCol w:w="401"/>
        <w:gridCol w:w="79"/>
        <w:gridCol w:w="1134"/>
        <w:gridCol w:w="280"/>
      </w:tblGrid>
      <w:tr>
        <w:trPr/>
        <w:tc>
          <w:tcPr>
            <w:tcW w:w="5045"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45" w:type="dxa"/>
            <w:tcBorders/>
            <w:vAlign w:val="bottom"/>
          </w:tcPr>
          <w:p>
            <w:pPr>
              <w:pStyle w:val="TableContents"/>
              <w:bidi w:val="0"/>
              <w:spacing w:before="0" w:after="283"/>
              <w:jc w:val="left"/>
              <w:rPr>
                <w:b/>
                <w:strike/>
                <w:color w:val="FF0000"/>
                <w:u w:val="single"/>
              </w:rPr>
            </w:pPr>
            <w:r>
              <w:rPr>
                <w:b/>
                <w:strike/>
                <w:color w:val="FF0000"/>
                <w:u w:val="single"/>
              </w:rPr>
              <w:t>Interest Period</w:t>
            </w:r>
          </w:p>
        </w:tc>
        <w:tc>
          <w:tcPr>
            <w:tcW w:w="401" w:type="dxa"/>
            <w:tcBorders/>
            <w:vAlign w:val="bottom"/>
          </w:tcPr>
          <w:p>
            <w:pPr>
              <w:pStyle w:val="TableContents"/>
              <w:bidi w:val="0"/>
              <w:spacing w:before="0" w:after="283"/>
              <w:jc w:val="left"/>
              <w:rPr/>
            </w:pPr>
            <w:r>
              <w:rPr/>
              <w:t>  </w:t>
            </w:r>
          </w:p>
        </w:tc>
        <w:tc>
          <w:tcPr>
            <w:tcW w:w="1213" w:type="dxa"/>
            <w:gridSpan w:val="2"/>
            <w:tcBorders/>
            <w:vAlign w:val="bottom"/>
          </w:tcPr>
          <w:p>
            <w:pPr>
              <w:pStyle w:val="TableContents"/>
              <w:bidi w:val="0"/>
              <w:spacing w:before="0" w:after="283"/>
              <w:jc w:val="center"/>
              <w:rPr>
                <w:b/>
                <w:strike/>
                <w:color w:val="FF0000"/>
                <w:u w:val="single"/>
              </w:rPr>
            </w:pPr>
            <w:r>
              <w:rPr>
                <w:b/>
                <w:strike/>
                <w:color w:val="FF0000"/>
                <w:u w:val="single"/>
              </w:rPr>
              <w:t>Percentage</w:t>
            </w:r>
          </w:p>
        </w:tc>
        <w:tc>
          <w:tcPr>
            <w:tcW w:w="280" w:type="dxa"/>
            <w:tcBorders/>
            <w:vAlign w:val="bottom"/>
          </w:tcPr>
          <w:p>
            <w:pPr>
              <w:pStyle w:val="TableContents"/>
              <w:bidi w:val="0"/>
              <w:spacing w:before="0" w:after="283"/>
              <w:jc w:val="left"/>
              <w:rPr/>
            </w:pPr>
            <w:r>
              <w:rPr/>
              <w:t> </w:t>
            </w:r>
          </w:p>
        </w:tc>
      </w:tr>
      <w:tr>
        <w:trPr/>
        <w:tc>
          <w:tcPr>
            <w:tcW w:w="5045" w:type="dxa"/>
            <w:tcBorders/>
            <w:shd w:fill="CCEEFF" w:val="clear"/>
          </w:tcPr>
          <w:p>
            <w:pPr>
              <w:pStyle w:val="TableContents"/>
              <w:bidi w:val="0"/>
              <w:spacing w:before="0" w:after="0"/>
              <w:jc w:val="left"/>
              <w:rPr>
                <w:rFonts w:ascii="Times New Roman" w:hAnsi="Times New Roman"/>
                <w:strike/>
                <w:color w:val="FF0000"/>
                <w:sz w:val="20"/>
              </w:rPr>
            </w:pPr>
            <w:r>
              <w:rPr>
                <w:rFonts w:ascii="Times New Roman" w:hAnsi="Times New Roman"/>
                <w:strike/>
                <w:color w:val="FF0000"/>
                <w:sz w:val="20"/>
              </w:rPr>
              <w:t>One month</w:t>
            </w:r>
          </w:p>
        </w:tc>
        <w:tc>
          <w:tcPr>
            <w:tcW w:w="40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strike/>
                <w:color w:val="FF0000"/>
              </w:rPr>
            </w:pPr>
            <w:r>
              <w:rPr>
                <w:strike/>
                <w:color w:val="FF0000"/>
              </w:rPr>
              <w:t>0.29547</w:t>
            </w:r>
          </w:p>
        </w:tc>
        <w:tc>
          <w:tcPr>
            <w:tcW w:w="280" w:type="dxa"/>
            <w:tcBorders/>
            <w:shd w:fill="CCEEFF" w:val="clear"/>
            <w:vAlign w:val="bottom"/>
          </w:tcPr>
          <w:p>
            <w:pPr>
              <w:pStyle w:val="TableContents"/>
              <w:bidi w:val="0"/>
              <w:spacing w:before="0" w:after="283"/>
              <w:jc w:val="left"/>
              <w:rPr/>
            </w:pPr>
            <w:r>
              <w:rPr>
                <w:color w:val="FF0000"/>
              </w:rPr>
              <w:t>%</w:t>
            </w:r>
            <w:r>
              <w:rPr/>
              <w:t> </w:t>
            </w:r>
          </w:p>
        </w:tc>
      </w:tr>
      <w:tr>
        <w:trPr/>
        <w:tc>
          <w:tcPr>
            <w:tcW w:w="5045" w:type="dxa"/>
            <w:tcBorders/>
          </w:tcPr>
          <w:p>
            <w:pPr>
              <w:pStyle w:val="TableContents"/>
              <w:bidi w:val="0"/>
              <w:spacing w:before="0" w:after="0"/>
              <w:jc w:val="left"/>
              <w:rPr>
                <w:rFonts w:ascii="Times New Roman" w:hAnsi="Times New Roman"/>
                <w:strike/>
                <w:color w:val="FF0000"/>
                <w:sz w:val="20"/>
              </w:rPr>
            </w:pPr>
            <w:r>
              <w:rPr>
                <w:rFonts w:ascii="Times New Roman" w:hAnsi="Times New Roman"/>
                <w:strike/>
                <w:color w:val="FF0000"/>
                <w:sz w:val="20"/>
              </w:rPr>
              <w:t>Three months</w:t>
            </w:r>
          </w:p>
        </w:tc>
        <w:tc>
          <w:tcPr>
            <w:tcW w:w="40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strike/>
                <w:color w:val="FF0000"/>
              </w:rPr>
            </w:pPr>
            <w:r>
              <w:rPr>
                <w:strike/>
                <w:color w:val="FF0000"/>
              </w:rPr>
              <w:t>0.32138</w:t>
            </w:r>
          </w:p>
        </w:tc>
        <w:tc>
          <w:tcPr>
            <w:tcW w:w="280" w:type="dxa"/>
            <w:tcBorders/>
            <w:vAlign w:val="bottom"/>
          </w:tcPr>
          <w:p>
            <w:pPr>
              <w:pStyle w:val="TableContents"/>
              <w:bidi w:val="0"/>
              <w:spacing w:before="0" w:after="283"/>
              <w:jc w:val="left"/>
              <w:rPr/>
            </w:pPr>
            <w:r>
              <w:rPr>
                <w:color w:val="FF0000"/>
              </w:rPr>
              <w:t>%</w:t>
            </w:r>
            <w:r>
              <w:rPr/>
              <w:t> </w:t>
            </w:r>
          </w:p>
        </w:tc>
      </w:tr>
    </w:tbl>
    <w:p>
      <w:pPr>
        <w:pStyle w:val="TextBody"/>
        <w:bidi w:val="0"/>
        <w:spacing w:before="240" w:after="0"/>
        <w:jc w:val="left"/>
        <w:rPr/>
      </w:pPr>
      <w:r>
        <w:rPr/>
        <w:t>“</w:t>
      </w:r>
      <w:r>
        <w:rPr>
          <w:rFonts w:ascii="Times New Roman" w:hAnsi="Times New Roman"/>
          <w:sz w:val="20"/>
          <w:u w:val="single"/>
        </w:rPr>
        <w:t>Term CORRA Administrator</w:t>
      </w:r>
      <w:r>
        <w:rPr>
          <w:rFonts w:ascii="Times New Roman" w:hAnsi="Times New Roman"/>
          <w:sz w:val="20"/>
        </w:rPr>
        <w:t xml:space="preserve">” means CanDeal Benchmark Administration Services Inc., TSX Inc., or any successor administrator. </w:t>
      </w:r>
    </w:p>
    <w:p>
      <w:pPr>
        <w:pStyle w:val="TextBody"/>
        <w:bidi w:val="0"/>
        <w:spacing w:before="240" w:after="0"/>
        <w:jc w:val="left"/>
        <w:rPr/>
      </w:pPr>
      <w:r>
        <w:rPr/>
        <w:t>“</w:t>
      </w:r>
      <w:r>
        <w:rPr>
          <w:rFonts w:ascii="Times New Roman" w:hAnsi="Times New Roman"/>
          <w:sz w:val="20"/>
          <w:u w:val="single"/>
        </w:rPr>
        <w:t>Term CORRA Loan</w:t>
      </w:r>
      <w:r>
        <w:rPr>
          <w:rFonts w:ascii="Times New Roman" w:hAnsi="Times New Roman"/>
          <w:sz w:val="20"/>
        </w:rPr>
        <w:t>” means a Loan that bears interest at a rate based on Term CORRA</w:t>
      </w:r>
      <w:r>
        <w:rPr>
          <w:rFonts w:ascii="Times New Roman" w:hAnsi="Times New Roman"/>
          <w:strike/>
          <w:color w:val="FF0000"/>
          <w:sz w:val="20"/>
        </w:rPr>
        <w:t xml:space="preserve"> (including Adjusted Term CORRA)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 CORRA Reference Rate</w:t>
      </w:r>
      <w:r>
        <w:rPr>
          <w:rFonts w:ascii="Times New Roman" w:hAnsi="Times New Roman"/>
          <w:sz w:val="20"/>
        </w:rPr>
        <w:t xml:space="preserve">” means the forward-looking term rate based on CORRA. </w:t>
      </w:r>
    </w:p>
    <w:p>
      <w:pPr>
        <w:pStyle w:val="TextBody"/>
        <w:bidi w:val="0"/>
        <w:spacing w:before="240" w:after="0"/>
        <w:jc w:val="left"/>
        <w:rPr/>
      </w:pPr>
      <w:r>
        <w:rPr/>
        <w:t>“</w:t>
      </w:r>
      <w:r>
        <w:rPr>
          <w:rFonts w:ascii="Times New Roman" w:hAnsi="Times New Roman"/>
          <w:sz w:val="20"/>
          <w:u w:val="single"/>
        </w:rPr>
        <w:t>Term Loan Priority Collateral</w:t>
      </w:r>
      <w:r>
        <w:rPr>
          <w:rFonts w:ascii="Times New Roman" w:hAnsi="Times New Roman"/>
          <w:sz w:val="20"/>
        </w:rPr>
        <w:t xml:space="preserve">” means all Collateral other than the ABL Priority Collateral, including, without limitation, all Collateral consisting of (a) Equipment and Fixtures, (b) Fee Interests in Real Property, (c) Intellectual Property, (d) Equity Interests in Loan Parties and their subsidiaries; (e) Intercompany Loans, Intercompany Notes and Intercompany Obligations; and (f) all Proceeds from the sale or disposition of any of the items referred to in the preceding clauses (a) through (e); </w:t>
      </w:r>
      <w:r>
        <w:rPr>
          <w:rFonts w:ascii="Times New Roman" w:hAnsi="Times New Roman"/>
          <w:sz w:val="20"/>
          <w:u w:val="single"/>
        </w:rPr>
        <w:t>provided</w:t>
      </w:r>
      <w:r>
        <w:rPr>
          <w:rFonts w:ascii="Times New Roman" w:hAnsi="Times New Roman"/>
          <w:sz w:val="20"/>
        </w:rPr>
        <w:t xml:space="preserve"> that cash, cash equivalents and Securities obtained as proceeds from the sale or disposition of the items referred to in the preceding clauses (a) through (e) and that are deposited into or credited to a Deposit Account or a Securities Account shall only constitute Term Loan Priority Collateral to the extent that such cash, cash equivalents or Securities are specifically identifiable as proceeds from the sale or disposition of the items referred to in the preceding clauses (a) through (e).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 SOFR</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plus</w:t>
      </w:r>
      <w:r>
        <w:rPr>
          <w:rFonts w:ascii="Times New Roman" w:hAnsi="Times New Roman"/>
          <w:sz w:val="20"/>
        </w:rPr>
        <w:t xml:space="preserve"> the Applicable SOFR Adjustment;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the Administrative Agent shall so notify the Borrower Representative and, at the option of the Borrower Representative, (i) the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or (ii) Term SOFR on such Periodic Term SOFR Determination Day shall be deemed to equal Daily Simple SOFR on such day, and </w:t>
      </w:r>
    </w:p>
    <w:p>
      <w:pPr>
        <w:pStyle w:val="TextBody"/>
        <w:bidi w:val="0"/>
        <w:spacing w:before="240" w:after="0"/>
        <w:jc w:val="left"/>
        <w:rPr>
          <w:rFonts w:ascii="Times New Roman" w:hAnsi="Times New Roman"/>
          <w:sz w:val="20"/>
        </w:rPr>
      </w:pPr>
      <w:r>
        <w:rPr>
          <w:rFonts w:ascii="Times New Roman" w:hAnsi="Times New Roman"/>
          <w:sz w:val="20"/>
        </w:rPr>
        <w:t>(b) for any calculation with respect to an Alternate Base Rate Loan on any day, the Term SOFR Reference Rate for a tenor of one month on the day (such day, the “</w:t>
      </w:r>
      <w:r>
        <w:rPr>
          <w:rFonts w:ascii="Times New Roman" w:hAnsi="Times New Roman"/>
          <w:sz w:val="20"/>
          <w:u w:val="single"/>
        </w:rPr>
        <w:t>Base Rate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plus</w:t>
      </w:r>
      <w:r>
        <w:rPr>
          <w:rFonts w:ascii="Times New Roman" w:hAnsi="Times New Roman"/>
          <w:sz w:val="20"/>
        </w:rPr>
        <w:t xml:space="preserve"> the Applicable SOFR Adjustment;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the Administrative Agent shall so notify the Borrower Representative and, at the option of the Borrower Representative, (i) the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or (ii) Term SOFR on such Periodic Term SOFR Determination Day shall be deemed to equal Daily Simple SOFR on such day;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Term SOFR determined as provided above (including pursuant to the proviso under clause (a) or clause (b) above) shall ever be less than zero, then Term SOFR shall be deemed to be zero. </w:t>
      </w:r>
    </w:p>
    <w:p>
      <w:pPr>
        <w:pStyle w:val="TextBody"/>
        <w:bidi w:val="0"/>
        <w:spacing w:before="240" w:after="0"/>
        <w:jc w:val="left"/>
        <w:rPr/>
      </w:pPr>
      <w:r>
        <w:rPr/>
        <w:t>“</w:t>
      </w:r>
      <w:r>
        <w:rPr>
          <w:rFonts w:ascii="Times New Roman" w:hAnsi="Times New Roman"/>
          <w:sz w:val="20"/>
          <w:u w:val="single"/>
        </w:rPr>
        <w:t>Term SOFR Administrator</w:t>
      </w:r>
      <w:r>
        <w:rPr>
          <w:rFonts w:ascii="Times New Roman" w:hAnsi="Times New Roman"/>
          <w:sz w:val="20"/>
        </w:rPr>
        <w:t xml:space="preserve">” means the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Borrowing</w:t>
      </w:r>
      <w:r>
        <w:rPr>
          <w:rFonts w:ascii="Times New Roman" w:hAnsi="Times New Roman"/>
          <w:sz w:val="20"/>
        </w:rPr>
        <w:t xml:space="preserve">” means, as to any Borrowing, the Term SOFR Loans comprising such Borrowing. </w:t>
      </w:r>
    </w:p>
    <w:p>
      <w:pPr>
        <w:pStyle w:val="TextBody"/>
        <w:bidi w:val="0"/>
        <w:spacing w:before="240" w:after="0"/>
        <w:jc w:val="left"/>
        <w:rPr/>
      </w:pPr>
      <w:r>
        <w:rPr/>
        <w:t>“</w:t>
      </w:r>
      <w:r>
        <w:rPr>
          <w:rFonts w:ascii="Times New Roman" w:hAnsi="Times New Roman"/>
          <w:sz w:val="20"/>
          <w:u w:val="single"/>
        </w:rPr>
        <w:t>Term SOFR Loan</w:t>
      </w:r>
      <w:r>
        <w:rPr>
          <w:rFonts w:ascii="Times New Roman" w:hAnsi="Times New Roman"/>
          <w:sz w:val="20"/>
        </w:rPr>
        <w:t xml:space="preserve">” means a Loan that bears interest at a rate based on Term SOFR.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means the rate per annum determined by the Administrative Agent as the forward-looking term rate based on SOFR. </w:t>
      </w:r>
    </w:p>
    <w:p>
      <w:pPr>
        <w:pStyle w:val="TextBody"/>
        <w:bidi w:val="0"/>
        <w:spacing w:before="240" w:after="0"/>
        <w:jc w:val="left"/>
        <w:rPr/>
      </w:pPr>
      <w:r>
        <w:rPr/>
        <w:t>“</w:t>
      </w:r>
      <w:r>
        <w:rPr>
          <w:rFonts w:ascii="Times New Roman" w:hAnsi="Times New Roman"/>
          <w:sz w:val="20"/>
          <w:u w:val="single"/>
        </w:rPr>
        <w:t>Third Restatement Date</w:t>
      </w:r>
      <w:r>
        <w:rPr>
          <w:rFonts w:ascii="Times New Roman" w:hAnsi="Times New Roman"/>
          <w:sz w:val="20"/>
        </w:rPr>
        <w:t xml:space="preserve">” means September 26, 2019. </w:t>
      </w:r>
    </w:p>
    <w:p>
      <w:pPr>
        <w:pStyle w:val="TextBody"/>
        <w:bidi w:val="0"/>
        <w:spacing w:before="240" w:after="0"/>
        <w:jc w:val="left"/>
        <w:rPr/>
      </w:pPr>
      <w:r>
        <w:rPr/>
        <w:t>“</w:t>
      </w:r>
      <w:r>
        <w:rPr>
          <w:rFonts w:ascii="Times New Roman" w:hAnsi="Times New Roman"/>
          <w:sz w:val="20"/>
          <w:u w:val="single"/>
        </w:rPr>
        <w:t>Threshold Amount</w:t>
      </w:r>
      <w:r>
        <w:rPr>
          <w:rFonts w:ascii="Times New Roman" w:hAnsi="Times New Roman"/>
          <w:sz w:val="20"/>
        </w:rPr>
        <w:t xml:space="preserve">” means $100,000,000. </w:t>
      </w:r>
    </w:p>
    <w:p>
      <w:pPr>
        <w:pStyle w:val="TextBody"/>
        <w:bidi w:val="0"/>
        <w:spacing w:before="240" w:after="0"/>
        <w:jc w:val="left"/>
        <w:rPr/>
      </w:pPr>
      <w:r>
        <w:rPr/>
        <w:t>“</w:t>
      </w:r>
      <w:r>
        <w:rPr>
          <w:rFonts w:ascii="Times New Roman" w:hAnsi="Times New Roman"/>
          <w:sz w:val="20"/>
          <w:u w:val="single"/>
        </w:rPr>
        <w:t>Total Consideration</w:t>
      </w:r>
      <w:r>
        <w:rPr>
          <w:rFonts w:ascii="Times New Roman" w:hAnsi="Times New Roman"/>
          <w:sz w:val="20"/>
        </w:rPr>
        <w:t xml:space="preserve">” means, with respect to any Acquisition, the sum (but without duplication) of (a) cash paid in connection with any Acquisition, (b) Indebtedness payable to the seller in connection with such Acquisition, (c) the fair market value of any equity securities, including any warrants or options therefor, delivered in connection with any Acquisition, and (d) the amount of Indebtedness assumed in connection with such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Total Funded Indebtedness</w:t>
      </w:r>
      <w:r>
        <w:rPr>
          <w:rFonts w:ascii="Times New Roman" w:hAnsi="Times New Roman"/>
          <w:sz w:val="20"/>
        </w:rPr>
        <w:t xml:space="preserve">” means, at any date, the aggregate principal amount of all Indebtedness of the types described in clauses (a), (b), (f), (h), (k) and, solely to the extent such Indebtedness being guaranteed would otherwise constitute Total Funded Indebtedness, (g), determined on a consolidated basis in accordance with GAAP. </w:t>
      </w:r>
    </w:p>
    <w:p>
      <w:pPr>
        <w:pStyle w:val="TextBody"/>
        <w:bidi w:val="0"/>
        <w:spacing w:before="240" w:after="0"/>
        <w:jc w:val="left"/>
        <w:rPr/>
      </w:pPr>
      <w:r>
        <w:rPr/>
        <w:t>“</w:t>
      </w:r>
      <w:r>
        <w:rPr>
          <w:rFonts w:ascii="Times New Roman" w:hAnsi="Times New Roman"/>
          <w:sz w:val="20"/>
          <w:u w:val="single"/>
        </w:rPr>
        <w:t>Total Leverage Ratio</w:t>
      </w:r>
      <w:r>
        <w:rPr>
          <w:rFonts w:ascii="Times New Roman" w:hAnsi="Times New Roman"/>
          <w:sz w:val="20"/>
        </w:rPr>
        <w:t xml:space="preserve">” means, on any date, the ratio of (a) (i) Total Funded Indebtedness on such date </w:t>
      </w:r>
      <w:r>
        <w:rPr>
          <w:rFonts w:ascii="Times New Roman" w:hAnsi="Times New Roman"/>
          <w:sz w:val="20"/>
          <w:u w:val="single"/>
        </w:rPr>
        <w:t>less</w:t>
      </w:r>
      <w:r>
        <w:rPr>
          <w:rFonts w:ascii="Times New Roman" w:hAnsi="Times New Roman"/>
          <w:sz w:val="20"/>
        </w:rPr>
        <w:t xml:space="preserve"> (ii) the aggregate amount not in excess of $50,000,000 of unrestricted cash held at such time in Deposit Accounts subject to Control Agreements to (b) EBITDA for the then most recently ended period of four consecutive fiscal quarters for which financial statements are available, </w:t>
      </w:r>
      <w:r>
        <w:rPr>
          <w:rFonts w:ascii="Times New Roman" w:hAnsi="Times New Roman"/>
          <w:sz w:val="20"/>
          <w:u w:val="single"/>
        </w:rPr>
        <w:t>provided</w:t>
      </w:r>
      <w:r>
        <w:rPr>
          <w:rFonts w:ascii="Times New Roman" w:hAnsi="Times New Roman"/>
          <w:sz w:val="20"/>
        </w:rPr>
        <w:t xml:space="preserve"> that, to the extent any Borrower or any Restricted Subsidiary makes any acquisition permitted pursuant to Section 6.04 or disposition of assets outside the ordinary course of business that is permitted by Section 6.05 during the period of four fiscal quarters of Holdings most recently ended, the Total Leverage Ratio shall be calculated after giving pro forma effect thereto (including pro forma adjustments arising out of events which are directly attributable to the acquisition or the disposition of assets, are factually supportable and are expected to have a continuing impact, in each case as determined on a basis consistent with Article 11 of Regulation S-X of the Securities Act of 1933, as amended, as interpreted by the SEC, and as certified by a Financial Officer of the Borrower Representative), as if such acquisition or such disposition (and any related incurrence, repayment or assumption of Indebtedness) had occurred </w:t>
      </w:r>
      <w:r>
        <w:rPr>
          <w:rFonts w:ascii="Times New Roman" w:hAnsi="Times New Roman"/>
          <w:strike/>
          <w:color w:val="FF0000"/>
          <w:sz w:val="20"/>
        </w:rPr>
        <w:t>in</w:t>
      </w:r>
      <w:r>
        <w:rPr>
          <w:rFonts w:ascii="Times New Roman" w:hAnsi="Times New Roman"/>
          <w:color w:val="0000FF"/>
          <w:sz w:val="20"/>
          <w:u w:val="single"/>
          <w:bdr w:val="double" w:sz="2" w:space="1" w:color="000000"/>
        </w:rPr>
        <w:t>on</w:t>
      </w:r>
      <w:r>
        <w:rPr>
          <w:rFonts w:ascii="Times New Roman" w:hAnsi="Times New Roman"/>
          <w:sz w:val="20"/>
        </w:rPr>
        <w:t xml:space="preserve"> the first day of such four quarter period.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(i) the execution, delivery and performance by the Loan Parties (and any Foreign Subsidiaries which are party to the Canadian Security Agreement, the Canadian Guarantee or the U.S. Security Agreement) of this Agreement and the other Loan Documents, (ii) the borrowing of Loans and other credit extensions, (iii) the use of the proceeds thereof and the issuance of Letters of Credit hereunder, (iv) the granting of Liens under the Collateral Documents, (v) the Anixter Acquisition, </w:t>
      </w:r>
      <w:r>
        <w:rPr>
          <w:rFonts w:ascii="Times New Roman" w:hAnsi="Times New Roman"/>
          <w:color w:val="0000FF"/>
          <w:sz w:val="20"/>
          <w:u w:val="single"/>
          <w:bdr w:val="double" w:sz="2" w:space="1" w:color="000000"/>
        </w:rPr>
        <w:t>and</w:t>
      </w:r>
      <w:r>
        <w:rPr>
          <w:rFonts w:ascii="Times New Roman" w:hAnsi="Times New Roman"/>
          <w:sz w:val="20"/>
        </w:rPr>
        <w:t xml:space="preserve"> (vi) the (a) satisfaction and discharge and/or repayment in full of the 5.125% Senior Notes due 2021 issued by Anixter, Inc. and (b) settlement, and payment of any fees, costs, premiums and expenses in connection therewith, of any tender offer, consent solicitation, satisfaction and discharge, repayment and/or redemption in connection with the 5.50% Senior Notes due 2023 and the 6.00% Senior Notes due 2025, in each case, issued by Anixter, Inc., (vii) [reserved] and </w:t>
      </w:r>
      <w:r>
        <w:rPr>
          <w:rFonts w:ascii="Times New Roman" w:hAnsi="Times New Roman"/>
          <w:strike/>
          <w:color w:val="FF0000"/>
          <w:sz w:val="20"/>
        </w:rPr>
        <w:t>(viii) the issuance of the 2028 Senior Notes,</w:t>
      </w:r>
      <w:r>
        <w:rPr>
          <w:rFonts w:ascii="Times New Roman" w:hAnsi="Times New Roman"/>
          <w:sz w:val="20"/>
        </w:rPr>
        <w:t xml:space="preserve"> in each case, on or around the Fourth Restatement Date. </w:t>
      </w:r>
    </w:p>
    <w:p>
      <w:pPr>
        <w:pStyle w:val="TextBody"/>
        <w:bidi w:val="0"/>
        <w:spacing w:before="240" w:after="0"/>
        <w:jc w:val="left"/>
        <w:rPr/>
      </w:pPr>
      <w:r>
        <w:rPr/>
        <w:t>“</w:t>
      </w:r>
      <w:r>
        <w:rPr>
          <w:rFonts w:ascii="Times New Roman" w:hAnsi="Times New Roman"/>
          <w:sz w:val="20"/>
          <w:u w:val="single"/>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the ABR, the Canadian Prime Rate, Daily Simple SOFR, Daily Compound CORRA, a Canadian Benchmark or a Term Benchmark.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in effect from time to time in the State of New York or any other state the laws of which are required to be applied in connection with the issue of perfection of security interests.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Benchmark Replacement excluding the Benchmark Replacement Adjustment. </w:t>
      </w:r>
    </w:p>
    <w:p>
      <w:pPr>
        <w:pStyle w:val="TextBody"/>
        <w:bidi w:val="0"/>
        <w:spacing w:before="240" w:after="0"/>
        <w:jc w:val="left"/>
        <w:rPr/>
      </w:pPr>
      <w:r>
        <w:rPr/>
        <w:t>“</w:t>
      </w:r>
      <w:r>
        <w:rPr>
          <w:rFonts w:ascii="Times New Roman" w:hAnsi="Times New Roman"/>
          <w:sz w:val="20"/>
          <w:u w:val="single"/>
        </w:rPr>
        <w:t>Unadjusted Canadian Benchmark Replacement</w:t>
      </w:r>
      <w:r>
        <w:rPr>
          <w:rFonts w:ascii="Times New Roman" w:hAnsi="Times New Roman"/>
          <w:sz w:val="20"/>
        </w:rPr>
        <w:t xml:space="preserve">” means the Canadian Benchmark Replacement excluding the Canadian Benchmark Replacement Adjustment. </w:t>
      </w:r>
    </w:p>
    <w:p>
      <w:pPr>
        <w:pStyle w:val="TextBody"/>
        <w:bidi w:val="0"/>
        <w:spacing w:before="240" w:after="0"/>
        <w:jc w:val="left"/>
        <w:rPr/>
      </w:pPr>
      <w:r>
        <w:rPr/>
        <w:t>“</w:t>
      </w:r>
      <w:r>
        <w:rPr>
          <w:rFonts w:ascii="Times New Roman" w:hAnsi="Times New Roman"/>
          <w:sz w:val="20"/>
          <w:u w:val="single"/>
        </w:rPr>
        <w:t>Unfunded Pension Liability</w:t>
      </w:r>
      <w:r>
        <w:rPr>
          <w:rFonts w:ascii="Times New Roman" w:hAnsi="Times New Roman"/>
          <w:sz w:val="20"/>
        </w:rPr>
        <w:t xml:space="preserve">” means, at a point in time, with respect to any defined benefit Canadian Pension Plan, the total unfunded liability or solvency deficiency as determined by a professional actuary for the purposes of the </w:t>
      </w:r>
      <w:r>
        <w:rPr>
          <w:rFonts w:ascii="Times New Roman" w:hAnsi="Times New Roman"/>
          <w:i/>
          <w:sz w:val="20"/>
        </w:rPr>
        <w:t>Employment Pension Plans Act</w:t>
      </w:r>
      <w:r>
        <w:rPr>
          <w:rFonts w:ascii="Times New Roman" w:hAnsi="Times New Roman"/>
          <w:sz w:val="20"/>
        </w:rPr>
        <w:t xml:space="preserve"> (Alberta) or such other provincial pension standards legislation that may be applicable to the funding and solvency requirements of that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Unliquidated Obligations</w:t>
      </w:r>
      <w:r>
        <w:rPr>
          <w:rFonts w:ascii="Times New Roman" w:hAnsi="Times New Roman"/>
          <w:sz w:val="20"/>
        </w:rPr>
        <w:t xml:space="preserve">”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 </w:t>
      </w:r>
    </w:p>
    <w:p>
      <w:pPr>
        <w:pStyle w:val="TextBody"/>
        <w:bidi w:val="0"/>
        <w:spacing w:before="240" w:after="0"/>
        <w:jc w:val="left"/>
        <w:rPr/>
      </w:pPr>
      <w:r>
        <w:rPr/>
        <w:t>“</w:t>
      </w:r>
      <w:r>
        <w:rPr>
          <w:rFonts w:ascii="Times New Roman" w:hAnsi="Times New Roman"/>
          <w:sz w:val="20"/>
          <w:u w:val="single"/>
        </w:rPr>
        <w:t>Unrestricted Subsidiary</w:t>
      </w:r>
      <w:r>
        <w:rPr>
          <w:rFonts w:ascii="Times New Roman" w:hAnsi="Times New Roman"/>
          <w:sz w:val="20"/>
        </w:rPr>
        <w:t xml:space="preserve">” means (a) any Subsidiary of a Borrower that is formed or acquired after the Fourth Restatement Date that is designated as an Unrestricted Subsidiary in accordance with Section 6.13, (b) any Restricted Subsidiary designated or re-designated as an Unrestricted Subsidiary by the Borrower Representative in a written notice to the Administrative Agent and in accordance with Section 6.13, and (c) each Subsidiary of an Unrestricted Subsidiary. </w:t>
      </w:r>
    </w:p>
    <w:p>
      <w:pPr>
        <w:pStyle w:val="TextBody"/>
        <w:bidi w:val="0"/>
        <w:spacing w:before="240" w:after="0"/>
        <w:jc w:val="left"/>
        <w:rPr/>
      </w:pPr>
      <w:r>
        <w:rPr/>
        <w:t>“</w:t>
      </w:r>
      <w:r>
        <w:rPr>
          <w:rFonts w:ascii="Times New Roman" w:hAnsi="Times New Roman"/>
          <w:sz w:val="20"/>
          <w:u w:val="single"/>
        </w:rPr>
        <w:t>USA PATRIOT Act</w:t>
      </w:r>
      <w:r>
        <w:rPr>
          <w:rFonts w:ascii="Times New Roman" w:hAnsi="Times New Roman"/>
          <w:sz w:val="20"/>
        </w:rPr>
        <w:t xml:space="preserve">” has the meaning assigned to such term in Section 9.14. </w:t>
      </w:r>
    </w:p>
    <w:p>
      <w:pPr>
        <w:pStyle w:val="TextBody"/>
        <w:bidi w:val="0"/>
        <w:spacing w:before="240" w:after="0"/>
        <w:jc w:val="left"/>
        <w:rPr/>
      </w:pPr>
      <w:r>
        <w:rPr/>
        <w:t>“</w:t>
      </w:r>
      <w:r>
        <w:rPr>
          <w:rFonts w:ascii="Times New Roman" w:hAnsi="Times New Roman"/>
          <w:sz w:val="20"/>
          <w:u w:val="single"/>
        </w:rPr>
        <w:t>U.S.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sz w:val="20"/>
          <w:u w:val="single"/>
        </w:rPr>
        <w:t>U.S. Availability</w:t>
      </w:r>
      <w:r>
        <w:rPr>
          <w:rFonts w:ascii="Times New Roman" w:hAnsi="Times New Roman"/>
          <w:sz w:val="20"/>
        </w:rPr>
        <w:t xml:space="preserve">” means, as of any date of determination, (a) the lesser of (i) the total Revolving Commitments as of such date and (ii) the U.S. Borrowing Base as of such date, minus (b) the sum of (i) the total U.S. Revolving Exposure of all U.S. Lenders as of such date (calculated with respect to any Defaulting Lender as if such Defaulting Lender had funded its Applicable Percentage of all outstanding Borrowings) and (ii) the Canadian U.S. Borrowing Base Utilization as of such date. </w:t>
      </w:r>
    </w:p>
    <w:p>
      <w:pPr>
        <w:pStyle w:val="TextBody"/>
        <w:bidi w:val="0"/>
        <w:spacing w:before="240" w:after="0"/>
        <w:jc w:val="left"/>
        <w:rPr/>
      </w:pPr>
      <w:r>
        <w:rPr/>
        <w:t>“</w:t>
      </w:r>
      <w:r>
        <w:rPr>
          <w:rFonts w:ascii="Times New Roman" w:hAnsi="Times New Roman"/>
          <w:sz w:val="20"/>
          <w:u w:val="single"/>
        </w:rPr>
        <w:t>U.S. Borrower</w:t>
      </w:r>
      <w:r>
        <w:rPr>
          <w:rFonts w:ascii="Times New Roman" w:hAnsi="Times New Roman"/>
          <w:sz w:val="20"/>
        </w:rPr>
        <w:t>” or “</w:t>
      </w:r>
      <w:r>
        <w:rPr>
          <w:rFonts w:ascii="Times New Roman" w:hAnsi="Times New Roman"/>
          <w:sz w:val="20"/>
          <w:u w:val="single"/>
        </w:rPr>
        <w:t>U.S. Borrowers</w:t>
      </w:r>
      <w:r>
        <w:rPr>
          <w:rFonts w:ascii="Times New Roman" w:hAnsi="Times New Roman"/>
          <w:sz w:val="20"/>
        </w:rPr>
        <w:t>” means, individually or collectively as the context may require: (a) </w:t>
      </w:r>
      <w:r>
        <w:rPr>
          <w:rFonts w:ascii="Times New Roman" w:hAnsi="Times New Roman"/>
          <w:color w:val="0000FF"/>
          <w:sz w:val="20"/>
          <w:u w:val="single"/>
          <w:bdr w:val="double" w:sz="2" w:space="1" w:color="000000"/>
        </w:rPr>
        <w:t xml:space="preserve">as of the Ninth Amendment Effective Date, </w:t>
      </w:r>
      <w:r>
        <w:rPr>
          <w:rFonts w:ascii="Times New Roman" w:hAnsi="Times New Roman"/>
          <w:sz w:val="20"/>
        </w:rPr>
        <w:t xml:space="preserve">the entities listed on the </w:t>
      </w:r>
      <w:r>
        <w:rPr>
          <w:rFonts w:ascii="Times New Roman" w:hAnsi="Times New Roman"/>
          <w:sz w:val="20"/>
          <w:u w:val="single"/>
        </w:rPr>
        <w:t>Loan Party Schedule</w:t>
      </w:r>
      <w:r>
        <w:rPr>
          <w:rFonts w:ascii="Times New Roman" w:hAnsi="Times New Roman"/>
          <w:sz w:val="20"/>
        </w:rPr>
        <w:t xml:space="preserve"> attached hereto under the heading “U.S. Borrowers,” and (b) any Domestic Subsidiary of Holdings (other than a CFC Subsidiary Holding Company) that becomes a party to this Agreement as an additional borrower after the Fourth Restatement Date pursuant to a Joinder Agreement in accordance with Section 5.13. </w:t>
      </w:r>
    </w:p>
    <w:p>
      <w:pPr>
        <w:pStyle w:val="TextBody"/>
        <w:bidi w:val="0"/>
        <w:spacing w:before="240" w:after="0"/>
        <w:jc w:val="left"/>
        <w:rPr/>
      </w:pPr>
      <w:r>
        <w:rPr/>
        <w:t>“</w:t>
      </w:r>
      <w:r>
        <w:rPr>
          <w:rFonts w:ascii="Times New Roman" w:hAnsi="Times New Roman"/>
          <w:sz w:val="20"/>
          <w:u w:val="single"/>
        </w:rPr>
        <w:t>U.S. Borrowing Base</w:t>
      </w:r>
      <w:r>
        <w:rPr>
          <w:rFonts w:ascii="Times New Roman" w:hAnsi="Times New Roman"/>
          <w:sz w:val="20"/>
        </w:rPr>
        <w:t xml:space="preserve">” means, at any time, the sum of (a) the lesser of (i) 70% of the U.S. Loan Parties (other than Intermediate Holding Companies) Eligible Inventory, valued at the lower of cost or market value, determined on a first-in-first-out basis, at such time and (ii) the product of 90% multiplied by the Net Orderly Liquidation Value percentage identified in the most recent inventory appraisal ordered by the Administrative Agent multiplied by the U.S. Loan Parties (other than Intermediate Holding Companies) Eligible Inventory (determined after taking into account adjustments made in such appraisal in the calculation of the Net Orderly Liquidation Value percentage), valued at the lower of cost or market value, determined on a first-in-first-out basis, at such time, </w:t>
      </w:r>
      <w:r>
        <w:rPr>
          <w:rFonts w:ascii="Times New Roman" w:hAnsi="Times New Roman"/>
          <w:sz w:val="20"/>
          <w:u w:val="single"/>
        </w:rPr>
        <w:t>plus</w:t>
      </w:r>
      <w:r>
        <w:rPr>
          <w:rFonts w:ascii="Times New Roman" w:hAnsi="Times New Roman"/>
          <w:sz w:val="20"/>
        </w:rPr>
        <w:t xml:space="preserve"> (b) the Securitization Additional Availability, </w:t>
      </w:r>
      <w:r>
        <w:rPr>
          <w:rFonts w:ascii="Times New Roman" w:hAnsi="Times New Roman"/>
          <w:sz w:val="20"/>
          <w:u w:val="single"/>
        </w:rPr>
        <w:t>minus</w:t>
      </w:r>
      <w:r>
        <w:rPr>
          <w:rFonts w:ascii="Times New Roman" w:hAnsi="Times New Roman"/>
          <w:sz w:val="20"/>
        </w:rPr>
        <w:t xml:space="preserve"> (c) Reserves. </w:t>
      </w:r>
    </w:p>
    <w:p>
      <w:pPr>
        <w:pStyle w:val="TextBody"/>
        <w:bidi w:val="0"/>
        <w:spacing w:before="240" w:after="0"/>
        <w:jc w:val="left"/>
        <w:rPr/>
      </w:pPr>
      <w:r>
        <w:rPr/>
        <w:t>“</w:t>
      </w:r>
      <w:r>
        <w:rPr>
          <w:rFonts w:ascii="Times New Roman" w:hAnsi="Times New Roman"/>
          <w:sz w:val="20"/>
          <w:u w:val="single"/>
        </w:rPr>
        <w:t>U.S. Cash Management Bank</w:t>
      </w:r>
      <w:r>
        <w:rPr>
          <w:rFonts w:ascii="Times New Roman" w:hAnsi="Times New Roman"/>
          <w:sz w:val="20"/>
        </w:rPr>
        <w:t xml:space="preserve">” means (a) as of the Fourth Restatement Date, PNC Bank National Association and Bank of America, N.A., in their respective capacities as the principal depositary banks for the U.S. Loan Parties (other than the Canadian Cross-Border Loan Guarantors), and (b) at any time after the Fourth Restatement Date, any one or more of the Lenders selected by the U.S. Loan Parties (other than the Canadian Cross-Border Loan Guarantors), in consultation with the Administrative Agent, to become the successor principal depository bank for the U.S. Loan Parties (other than the Canadian Cross-Border Loan Guarantors); </w:t>
      </w:r>
      <w:r>
        <w:rPr>
          <w:rFonts w:ascii="Times New Roman" w:hAnsi="Times New Roman"/>
          <w:sz w:val="20"/>
          <w:u w:val="single"/>
        </w:rPr>
        <w:t>provided</w:t>
      </w:r>
      <w:r>
        <w:rPr>
          <w:rFonts w:ascii="Times New Roman" w:hAnsi="Times New Roman"/>
          <w:sz w:val="20"/>
        </w:rPr>
        <w:t xml:space="preserve"> that, unless the Administrative Agent otherwise consents in writing, no Person shall become the successor “U.S. Cash Management Bank” unless and until such Person shall have entered into a Control Agreement with the U.S. Loan Parties (other than the Canadian Cross-Border Loan Guarantors) and the Administrative Agent in form and substance reasonably acceptable to the Administrative Agent. </w:t>
      </w:r>
    </w:p>
    <w:p>
      <w:pPr>
        <w:pStyle w:val="TextBody"/>
        <w:bidi w:val="0"/>
        <w:spacing w:before="240" w:after="0"/>
        <w:jc w:val="left"/>
        <w:rPr/>
      </w:pPr>
      <w:r>
        <w:rPr/>
        <w:t>“</w:t>
      </w:r>
      <w:r>
        <w:rPr>
          <w:rFonts w:ascii="Times New Roman" w:hAnsi="Times New Roman"/>
          <w:sz w:val="20"/>
          <w:u w:val="single"/>
        </w:rPr>
        <w:t>U.S. Collection Account</w:t>
      </w:r>
      <w:r>
        <w:rPr>
          <w:rFonts w:ascii="Times New Roman" w:hAnsi="Times New Roman"/>
          <w:sz w:val="20"/>
        </w:rPr>
        <w:t xml:space="preserve">” means the account at Barclays (or another commercial bank in the name of the Administrative Agent and under the sole dominion and control of the Administrative Agent, and otherwise established in a manner satisfactory to the Administrative Agent), so designated by the Administrative Agent, in a written notice delivered to the Borrower Representative, to be the “U.S. Collection Account,” to which funds on deposit in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Accounts (other than Excluded Accounts) maintained by the U.S. Loan Parties (other than Canadian Cross-Border Loan Guarantors) with the U.S. Cash Management Bank and all collections and other payments received in respect of the Accounts of the U.S. Loan Parties (other than the Canadian Cross-Border Loan Guarantors) by the U.S. Cash Management Bank shall be remitted at all times (subject to the provisions of the Receivables Intercreditor Agreement) during a Cash Dominion Period. </w:t>
      </w:r>
    </w:p>
    <w:p>
      <w:pPr>
        <w:pStyle w:val="TextBody"/>
        <w:bidi w:val="0"/>
        <w:spacing w:before="240" w:after="0"/>
        <w:jc w:val="left"/>
        <w:rPr/>
      </w:pPr>
      <w:r>
        <w:rPr/>
        <w:t>“</w:t>
      </w:r>
      <w:r>
        <w:rPr>
          <w:rFonts w:ascii="Times New Roman" w:hAnsi="Times New Roman"/>
          <w:sz w:val="20"/>
          <w:u w:val="single"/>
        </w:rPr>
        <w:t>U.S. Commitment</w:t>
      </w:r>
      <w:r>
        <w:rPr>
          <w:rFonts w:ascii="Times New Roman" w:hAnsi="Times New Roman"/>
          <w:sz w:val="20"/>
        </w:rPr>
        <w:t xml:space="preserve">” means, with respect to each U.S. Lender, the commitment, if any, of such U.S. Lender to make U.S. Revolving Loans and to acquire participations in U.S. Letters of Credit, U.S. Overadvances and U.S. Swingline Loans hereunder, expressed as an amount representing the maximum possible aggregate amount of such U.S. Lender’s U.S. Revolving Exposure hereunder, as such commitment may be reduced or increased from time to time pursuant to (a) Section 2.09 and (b) assignments by or to such U.S. Lender pursuant to Section 9.04. The initial amount of each U.S. Lender’s U.S. Commitment is set forth on the </w:t>
      </w:r>
      <w:r>
        <w:rPr>
          <w:rFonts w:ascii="Times New Roman" w:hAnsi="Times New Roman"/>
          <w:sz w:val="20"/>
          <w:u w:val="single"/>
        </w:rPr>
        <w:t>Revolving Commitment Schedule</w:t>
      </w:r>
      <w:r>
        <w:rPr>
          <w:rFonts w:ascii="Times New Roman" w:hAnsi="Times New Roman"/>
          <w:sz w:val="20"/>
        </w:rPr>
        <w:t xml:space="preserve">, or in the Assignment and Assumption pursuant to which such U.S. Lender shall have assumed its U.S. Commitment, as applicable. The U.S. Commitment is a sub-facility of the Revolving Commitment and is not in addition to the Revolving Commitment.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LC Exposure</w:t>
      </w:r>
      <w:r>
        <w:rPr>
          <w:rFonts w:ascii="Times New Roman" w:hAnsi="Times New Roman"/>
          <w:sz w:val="20"/>
        </w:rPr>
        <w:t xml:space="preserve">” means, at any time, the sum of the Commercial LC Exposure and the Standby LC Exposure of the U.S. Borrowers. The U.S. LC Exposure of any U.S. Lender at any time shall be its Applicable Percentage of the total U.S. LC Exposure at such time. </w:t>
      </w:r>
    </w:p>
    <w:p>
      <w:pPr>
        <w:pStyle w:val="TextBody"/>
        <w:bidi w:val="0"/>
        <w:spacing w:before="240" w:after="0"/>
        <w:jc w:val="left"/>
        <w:rPr/>
      </w:pPr>
      <w:r>
        <w:rPr/>
        <w:t>“</w:t>
      </w:r>
      <w:r>
        <w:rPr>
          <w:rFonts w:ascii="Times New Roman" w:hAnsi="Times New Roman"/>
          <w:sz w:val="20"/>
          <w:u w:val="single"/>
        </w:rPr>
        <w:t>U.S. Lender Parties</w:t>
      </w:r>
      <w:r>
        <w:rPr>
          <w:rFonts w:ascii="Times New Roman" w:hAnsi="Times New Roman"/>
          <w:sz w:val="20"/>
        </w:rPr>
        <w:t xml:space="preserve">” means, individually and collectively as the context may require, the Administrative Agent, the U.S. Lenders, and the Issuing Banks issuing U.S. Letters of Credit. </w:t>
      </w:r>
    </w:p>
    <w:p>
      <w:pPr>
        <w:pStyle w:val="TextBody"/>
        <w:bidi w:val="0"/>
        <w:spacing w:before="240" w:after="0"/>
        <w:jc w:val="left"/>
        <w:rPr/>
      </w:pPr>
      <w:r>
        <w:rPr/>
        <w:t>“</w:t>
      </w:r>
      <w:r>
        <w:rPr>
          <w:rFonts w:ascii="Times New Roman" w:hAnsi="Times New Roman"/>
          <w:sz w:val="20"/>
          <w:u w:val="single"/>
        </w:rPr>
        <w:t>U.S. Lenders</w:t>
      </w:r>
      <w:r>
        <w:rPr>
          <w:rFonts w:ascii="Times New Roman" w:hAnsi="Times New Roman"/>
          <w:sz w:val="20"/>
        </w:rPr>
        <w:t xml:space="preserve">” means the Persons listed on the </w:t>
      </w:r>
      <w:r>
        <w:rPr>
          <w:rFonts w:ascii="Times New Roman" w:hAnsi="Times New Roman"/>
          <w:sz w:val="20"/>
          <w:u w:val="single"/>
        </w:rPr>
        <w:t>Revolving Commitment Schedule</w:t>
      </w:r>
      <w:r>
        <w:rPr>
          <w:rFonts w:ascii="Times New Roman" w:hAnsi="Times New Roman"/>
          <w:sz w:val="20"/>
        </w:rPr>
        <w:t xml:space="preserve"> as having a U.S. Commitment and any other Person that shall acquire a U.S. Commitment pursuant to an Assignment and Assumption or become a lender pursuant to an Aggregate Commitment Increase in accordance with Section 2.09, other than any such Person that ceases to be such a Person hereto pursuant to an Assignment and Assumption. Unless the context otherwise requires, the term “</w:t>
      </w:r>
      <w:r>
        <w:rPr>
          <w:rFonts w:ascii="Times New Roman" w:hAnsi="Times New Roman"/>
          <w:sz w:val="20"/>
          <w:u w:val="single"/>
        </w:rPr>
        <w:t>U.S. Lenders</w:t>
      </w:r>
      <w:r>
        <w:rPr>
          <w:rFonts w:ascii="Times New Roman" w:hAnsi="Times New Roman"/>
          <w:sz w:val="20"/>
        </w:rPr>
        <w:t xml:space="preserve">” includes the Swingline Lender in its capacity as a lender of U.S. Swingline Loans. </w:t>
      </w:r>
    </w:p>
    <w:p>
      <w:pPr>
        <w:pStyle w:val="TextBody"/>
        <w:bidi w:val="0"/>
        <w:spacing w:before="240" w:after="0"/>
        <w:jc w:val="left"/>
        <w:rPr/>
      </w:pPr>
      <w:r>
        <w:rPr/>
        <w:t>“</w:t>
      </w:r>
      <w:r>
        <w:rPr>
          <w:rFonts w:ascii="Times New Roman" w:hAnsi="Times New Roman"/>
          <w:sz w:val="20"/>
          <w:u w:val="single"/>
        </w:rPr>
        <w:t>U.S. Letter of Credit</w:t>
      </w:r>
      <w:r>
        <w:rPr>
          <w:rFonts w:ascii="Times New Roman" w:hAnsi="Times New Roman"/>
          <w:sz w:val="20"/>
        </w:rPr>
        <w:t xml:space="preserve">” means any Letter of Credit issued hereunder for the purpose of providing credit support for any U.S. Borrower, any Domestic Subsidiary or any Foreign Subsidiary. </w:t>
      </w:r>
    </w:p>
    <w:p>
      <w:pPr>
        <w:pStyle w:val="TextBody"/>
        <w:bidi w:val="0"/>
        <w:spacing w:before="240" w:after="0"/>
        <w:jc w:val="left"/>
        <w:rPr/>
      </w:pPr>
      <w:r>
        <w:rPr/>
        <w:t>“</w:t>
      </w:r>
      <w:r>
        <w:rPr>
          <w:rFonts w:ascii="Times New Roman" w:hAnsi="Times New Roman"/>
          <w:sz w:val="20"/>
          <w:u w:val="single"/>
        </w:rPr>
        <w:t>U.S. Loan Guarantors</w:t>
      </w:r>
      <w:r>
        <w:rPr>
          <w:rFonts w:ascii="Times New Roman" w:hAnsi="Times New Roman"/>
          <w:sz w:val="20"/>
        </w:rPr>
        <w:t>” means, individually or collectively, as the context may require: (a) </w:t>
      </w:r>
      <w:r>
        <w:rPr>
          <w:rFonts w:ascii="Times New Roman" w:hAnsi="Times New Roman"/>
          <w:color w:val="0000FF"/>
          <w:sz w:val="20"/>
          <w:u w:val="single"/>
          <w:bdr w:val="double" w:sz="2" w:space="1" w:color="000000"/>
        </w:rPr>
        <w:t xml:space="preserve">as of the Ninth Amendment Effective Date, </w:t>
      </w:r>
      <w:r>
        <w:rPr>
          <w:rFonts w:ascii="Times New Roman" w:hAnsi="Times New Roman"/>
          <w:sz w:val="20"/>
        </w:rPr>
        <w:t xml:space="preserve">the entities listed on the </w:t>
      </w:r>
      <w:r>
        <w:rPr>
          <w:rFonts w:ascii="Times New Roman" w:hAnsi="Times New Roman"/>
          <w:sz w:val="20"/>
          <w:u w:val="single"/>
        </w:rPr>
        <w:t>Loan Party Schedule</w:t>
      </w:r>
      <w:r>
        <w:rPr>
          <w:rFonts w:ascii="Times New Roman" w:hAnsi="Times New Roman"/>
          <w:sz w:val="20"/>
        </w:rPr>
        <w:t xml:space="preserve"> attached hereto under the heading “U.S. Loan Guarantors,” (b) any Canadian Cross-Border Loan Guarantor, (c) any Domestic Subsidiary (other than a CFC Subsidiary Holding Company) that after the Fourth Restatement Date guarantees payment of the U.S. Obligations and the Canadian Obligations pursuant to Section 5.13 and (d) the successors and assigns of the Persons described in clauses (a), (b) and (c) of this definition; </w:t>
      </w:r>
      <w:r>
        <w:rPr>
          <w:rFonts w:ascii="Times New Roman" w:hAnsi="Times New Roman"/>
          <w:sz w:val="20"/>
          <w:u w:val="single"/>
        </w:rPr>
        <w:t>provided</w:t>
      </w:r>
      <w:r>
        <w:rPr>
          <w:rFonts w:ascii="Times New Roman" w:hAnsi="Times New Roman"/>
          <w:sz w:val="20"/>
        </w:rPr>
        <w:t xml:space="preserve">, however, that for the avoidance of doubt, “U.S. Loan Guarantors” shall not include (i) WESCO Receivables, (ii) any Real Estate Subsidiary, (iii) any CFC Subsidiary or CFC Subsidiary Holding Company or (iv) any Dutch Subsidiary. </w:t>
      </w:r>
    </w:p>
    <w:p>
      <w:pPr>
        <w:pStyle w:val="TextBody"/>
        <w:bidi w:val="0"/>
        <w:spacing w:before="240" w:after="0"/>
        <w:jc w:val="left"/>
        <w:rPr/>
      </w:pPr>
      <w:r>
        <w:rPr/>
        <w:t>“</w:t>
      </w:r>
      <w:r>
        <w:rPr>
          <w:rFonts w:ascii="Times New Roman" w:hAnsi="Times New Roman"/>
          <w:sz w:val="20"/>
          <w:u w:val="single"/>
        </w:rPr>
        <w:t>U.S. Loan Parties</w:t>
      </w:r>
      <w:r>
        <w:rPr>
          <w:rFonts w:ascii="Times New Roman" w:hAnsi="Times New Roman"/>
          <w:sz w:val="20"/>
        </w:rPr>
        <w:t xml:space="preserve">” means, individually or collectively, as the context may require, the U.S. Borrowers and the U.S. Loan Guarantors. </w:t>
      </w:r>
    </w:p>
    <w:p>
      <w:pPr>
        <w:pStyle w:val="TextBody"/>
        <w:bidi w:val="0"/>
        <w:spacing w:before="240" w:after="0"/>
        <w:jc w:val="left"/>
        <w:rPr/>
      </w:pPr>
      <w:r>
        <w:rPr/>
        <w:t>“</w:t>
      </w:r>
      <w:r>
        <w:rPr>
          <w:rFonts w:ascii="Times New Roman" w:hAnsi="Times New Roman"/>
          <w:sz w:val="20"/>
          <w:u w:val="single"/>
        </w:rPr>
        <w:t>U.S. Loan Party Guaranty</w:t>
      </w:r>
      <w:r>
        <w:rPr>
          <w:rFonts w:ascii="Times New Roman" w:hAnsi="Times New Roman"/>
          <w:sz w:val="20"/>
        </w:rPr>
        <w:t xml:space="preserve">” means (i) Article VIII of the U.S. Security Agreement, and (ii) each other separate Guarantee having terms substantially similar to those set forth in Article VIII of the U.S. Security Agreement delivered by any other U.S. Loan Party after the Fourth Restatement Date, in each case, as amended or modified and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U.S. Loans</w:t>
      </w:r>
      <w:r>
        <w:rPr>
          <w:rFonts w:ascii="Times New Roman" w:hAnsi="Times New Roman"/>
          <w:sz w:val="20"/>
        </w:rPr>
        <w:t xml:space="preserve">” means, individually and collectively as the context may require, the U.S. Revolving Loans, the U.S. Swingline Loans, the U.S. Overadvances, and the U.S. Protective Advances. </w:t>
      </w:r>
    </w:p>
    <w:p>
      <w:pPr>
        <w:pStyle w:val="TextBody"/>
        <w:bidi w:val="0"/>
        <w:spacing w:before="240" w:after="0"/>
        <w:jc w:val="left"/>
        <w:rPr/>
      </w:pPr>
      <w:r>
        <w:rPr/>
        <w:t>“</w:t>
      </w:r>
      <w:r>
        <w:rPr>
          <w:rFonts w:ascii="Times New Roman" w:hAnsi="Times New Roman"/>
          <w:sz w:val="20"/>
          <w:u w:val="single"/>
        </w:rPr>
        <w:t>U.S. Obligations</w:t>
      </w:r>
      <w:r>
        <w:rPr>
          <w:rFonts w:ascii="Times New Roman" w:hAnsi="Times New Roman"/>
          <w:sz w:val="20"/>
        </w:rPr>
        <w:t xml:space="preserve">” means, with respect to the U.S. Loan Parties, all unpaid principal of and accrued and unpaid interest on the U.S. Loans, all U.S. LC Exposure, all accrued and unpaid fees and all expenses, reimbursements, indemnities and other obligations of the U.S. Loan Parties to the Lenders or to any Lender, the Administrative Agent, any Issuing Bank with respect to a U.S. Letter of Credit or any indemnified party arising under the Loan Documents. </w:t>
      </w:r>
    </w:p>
    <w:p>
      <w:pPr>
        <w:pStyle w:val="TextBody"/>
        <w:bidi w:val="0"/>
        <w:spacing w:before="240" w:after="0"/>
        <w:jc w:val="left"/>
        <w:rPr/>
      </w:pPr>
      <w:r>
        <w:rPr/>
        <w:t>“</w:t>
      </w:r>
      <w:r>
        <w:rPr>
          <w:rFonts w:ascii="Times New Roman" w:hAnsi="Times New Roman"/>
          <w:sz w:val="20"/>
          <w:u w:val="single"/>
        </w:rPr>
        <w:t>U.S. Overadvances</w:t>
      </w:r>
      <w:r>
        <w:rPr>
          <w:rFonts w:ascii="Times New Roman" w:hAnsi="Times New Roman"/>
          <w:sz w:val="20"/>
        </w:rPr>
        <w:t xml:space="preserve">” has the meaning assigned to such term in Section 2.05(c).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any Person that is a “United States Person” as defined in Section 7701(a)(30) of the Code. </w:t>
      </w:r>
    </w:p>
    <w:p>
      <w:pPr>
        <w:pStyle w:val="TextBody"/>
        <w:bidi w:val="0"/>
        <w:spacing w:before="240" w:after="0"/>
        <w:jc w:val="left"/>
        <w:rPr/>
      </w:pPr>
      <w:r>
        <w:rPr/>
        <w:t>“</w:t>
      </w:r>
      <w:r>
        <w:rPr>
          <w:rFonts w:ascii="Times New Roman" w:hAnsi="Times New Roman"/>
          <w:sz w:val="20"/>
          <w:u w:val="single"/>
        </w:rPr>
        <w:t>U.S. Protective Advance</w:t>
      </w:r>
      <w:r>
        <w:rPr>
          <w:rFonts w:ascii="Times New Roman" w:hAnsi="Times New Roman"/>
          <w:sz w:val="20"/>
        </w:rPr>
        <w:t xml:space="preserve">” has the meaning assigned to such term in Section 2.04(a). </w:t>
      </w:r>
    </w:p>
    <w:p>
      <w:pPr>
        <w:pStyle w:val="TextBody"/>
        <w:bidi w:val="0"/>
        <w:spacing w:before="240" w:after="0"/>
        <w:jc w:val="left"/>
        <w:rPr/>
      </w:pPr>
      <w:r>
        <w:rPr/>
        <w:t>“</w:t>
      </w:r>
      <w:r>
        <w:rPr>
          <w:rFonts w:ascii="Times New Roman" w:hAnsi="Times New Roman"/>
          <w:sz w:val="20"/>
          <w:u w:val="single"/>
        </w:rPr>
        <w:t>U.S. Revolving Exposure</w:t>
      </w:r>
      <w:r>
        <w:rPr>
          <w:rFonts w:ascii="Times New Roman" w:hAnsi="Times New Roman"/>
          <w:sz w:val="20"/>
        </w:rPr>
        <w:t xml:space="preserve">” means, with respect to any U.S. Lender at any time, the sum of (a) the outstanding principal amount of U.S. Revolving Loans of such U.S. Lender at such time, </w:t>
      </w:r>
      <w:r>
        <w:rPr>
          <w:rFonts w:ascii="Times New Roman" w:hAnsi="Times New Roman"/>
          <w:sz w:val="20"/>
          <w:u w:val="single"/>
        </w:rPr>
        <w:t>plus</w:t>
      </w:r>
      <w:r>
        <w:rPr>
          <w:rFonts w:ascii="Times New Roman" w:hAnsi="Times New Roman"/>
          <w:sz w:val="20"/>
        </w:rPr>
        <w:t xml:space="preserve"> (b) an amount equal to such U.S. Lender’s Applicable Percentage of the aggregate principal amount of the U.S. Swingline Loans outstanding at such time, </w:t>
      </w:r>
      <w:r>
        <w:rPr>
          <w:rFonts w:ascii="Times New Roman" w:hAnsi="Times New Roman"/>
          <w:sz w:val="20"/>
          <w:u w:val="single"/>
        </w:rPr>
        <w:t>plus</w:t>
      </w:r>
      <w:r>
        <w:rPr>
          <w:rFonts w:ascii="Times New Roman" w:hAnsi="Times New Roman"/>
          <w:sz w:val="20"/>
        </w:rPr>
        <w:t xml:space="preserve"> (c) an amount equal to such U.S. Lender’s Applicable Percentage of the aggregate U.S. LC Exposure outstanding at such time, </w:t>
      </w:r>
      <w:r>
        <w:rPr>
          <w:rFonts w:ascii="Times New Roman" w:hAnsi="Times New Roman"/>
          <w:sz w:val="20"/>
          <w:u w:val="single"/>
        </w:rPr>
        <w:t>plus</w:t>
      </w:r>
      <w:r>
        <w:rPr>
          <w:rFonts w:ascii="Times New Roman" w:hAnsi="Times New Roman"/>
          <w:sz w:val="20"/>
        </w:rPr>
        <w:t xml:space="preserve"> (d) an amount equal to such U.S. Lender’s Applicable Percentage of the aggregate principal amount of the U.S. Overadvances outstanding at such time. </w:t>
      </w:r>
    </w:p>
    <w:p>
      <w:pPr>
        <w:pStyle w:val="TextBody"/>
        <w:bidi w:val="0"/>
        <w:spacing w:before="240" w:after="0"/>
        <w:jc w:val="left"/>
        <w:rPr/>
      </w:pPr>
      <w:r>
        <w:rPr/>
        <w:t>“</w:t>
      </w:r>
      <w:r>
        <w:rPr>
          <w:rFonts w:ascii="Times New Roman" w:hAnsi="Times New Roman"/>
          <w:sz w:val="20"/>
          <w:u w:val="single"/>
        </w:rPr>
        <w:t>U.S. Revolving Loan</w:t>
      </w:r>
      <w:r>
        <w:rPr>
          <w:rFonts w:ascii="Times New Roman" w:hAnsi="Times New Roman"/>
          <w:sz w:val="20"/>
        </w:rPr>
        <w:t xml:space="preserve">” means a Revolving Loan made to the U.S. Borrowers. </w:t>
      </w:r>
    </w:p>
    <w:p>
      <w:pPr>
        <w:pStyle w:val="TextBody"/>
        <w:bidi w:val="0"/>
        <w:spacing w:before="240" w:after="0"/>
        <w:jc w:val="left"/>
        <w:rPr/>
      </w:pPr>
      <w:r>
        <w:rPr/>
        <w:t>“</w:t>
      </w:r>
      <w:r>
        <w:rPr>
          <w:rFonts w:ascii="Times New Roman" w:hAnsi="Times New Roman"/>
          <w:sz w:val="20"/>
          <w:u w:val="single"/>
        </w:rPr>
        <w:t>U.S. Secured Obligations</w:t>
      </w:r>
      <w:r>
        <w:rPr>
          <w:rFonts w:ascii="Times New Roman" w:hAnsi="Times New Roman"/>
          <w:sz w:val="20"/>
        </w:rPr>
        <w:t xml:space="preserve">” means all U.S. Obligations, together with all (a) Banking Services Obligations of the U.S. Loan Parties; (b) Swap Agreement Obligations of the U.S. Loan Parties and their Subsidiaries owing to one or more U.S. Lenders or their respective Affiliates (or any Person that was a Lender or an Affiliate of a Lender at the time the agreement was initially executed, or in the case of any agreement as in effect on the Fourth Restatement Date, was a Lender or an Affiliate of a Lender as of such date); </w:t>
      </w:r>
      <w:r>
        <w:rPr>
          <w:rFonts w:ascii="Times New Roman" w:hAnsi="Times New Roman"/>
          <w:sz w:val="20"/>
          <w:u w:val="single"/>
        </w:rPr>
        <w:t>provided</w:t>
      </w:r>
      <w:r>
        <w:rPr>
          <w:rFonts w:ascii="Times New Roman" w:hAnsi="Times New Roman"/>
          <w:sz w:val="20"/>
        </w:rPr>
        <w:t xml:space="preserve"> that promptly after any transaction relating to such Swap Obligation is executed, the U.S. Lender or Affiliate of a U.S. Lender party thereto (other than Barclays or its Affiliates) shall have delivered written notice to the Administrative Agent that such a transaction has been entered into and that it constitutes a U.S. Secured Obligation entitled to the benefits of the Collateral Documents in favor of the U.S. Lender Parties; and (c) all obligations of the U.S. Loan Parties in respect of all Guarantees provided by such U.S. Loan Parties of Indebtedness of Foreign Subsidiaries under Foreign Credit Extensions and Foreign Banking Services Obligations; </w:t>
      </w:r>
      <w:r>
        <w:rPr>
          <w:rFonts w:ascii="Times New Roman" w:hAnsi="Times New Roman"/>
          <w:sz w:val="20"/>
          <w:u w:val="single"/>
        </w:rPr>
        <w:t>provided</w:t>
      </w:r>
      <w:r>
        <w:rPr>
          <w:rFonts w:ascii="Times New Roman" w:hAnsi="Times New Roman"/>
          <w:sz w:val="20"/>
        </w:rPr>
        <w:t xml:space="preserve"> that promptly after any such Guarantee by any U.S. Loan Party relating to such Foreign Credit Extensions and Foreign Banking Services Obligations is entered into, the U.S. Lender or Affiliate of a U.S. Lender party thereto (other than Barclays or its Affiliates) shall have delivered written notice to the Administrative Agent that such a Guarantee has been entered into and that it constitutes a U.S. Secured Obligation entitled to the benefits of the Collateral Documents in favor of the U.S. Lender Parties. </w:t>
      </w:r>
    </w:p>
    <w:p>
      <w:pPr>
        <w:pStyle w:val="TextBody"/>
        <w:bidi w:val="0"/>
        <w:spacing w:before="240" w:after="0"/>
        <w:jc w:val="left"/>
        <w:rPr/>
      </w:pPr>
      <w:r>
        <w:rPr/>
        <w:t>“</w:t>
      </w:r>
      <w:r>
        <w:rPr>
          <w:rFonts w:ascii="Times New Roman" w:hAnsi="Times New Roman"/>
          <w:sz w:val="20"/>
          <w:u w:val="single"/>
        </w:rPr>
        <w:t>U.S. Security Agreement</w:t>
      </w:r>
      <w:r>
        <w:rPr>
          <w:rFonts w:ascii="Times New Roman" w:hAnsi="Times New Roman"/>
          <w:sz w:val="20"/>
        </w:rPr>
        <w:t xml:space="preserve">” means that certain Fourth Amended and Restated Pledge and Security Agreement, dated as of the Fourth Restatement Date, among the U.S. Loan Parties, the other parties that may be a party thereto from time to time and the Administrative Agent, for the benefit of the Lender Parties in substantially the form of </w:t>
      </w:r>
      <w:r>
        <w:rPr>
          <w:rFonts w:ascii="Times New Roman" w:hAnsi="Times New Roman"/>
          <w:sz w:val="20"/>
          <w:u w:val="single"/>
        </w:rPr>
        <w:t>Exhibit E</w:t>
      </w:r>
      <w:r>
        <w:rPr>
          <w:rFonts w:ascii="Times New Roman" w:hAnsi="Times New Roman"/>
          <w:sz w:val="20"/>
        </w:rPr>
        <w:t xml:space="preserve"> attached hereto, which Third Amended and Restated Pledge and Security Agreement amends and restates in its entirety the Second Amended and Restated Pledge and Security Agreement among the U.S. Loan Parties and the Existing U.S. Administrative Agent, for the benefit of the Lender Parties, dated as of the Third Restatement Date, and any other pledge or security agreement entered into after the Fourth Restatement Date by any other U.S. Loan Party (as required by this Agreement or any other Loan Document), or any other Person, in each case, as the same may be amended, restated or otherwise modified from time to time. </w:t>
      </w:r>
    </w:p>
    <w:p>
      <w:pPr>
        <w:pStyle w:val="TextBody"/>
        <w:bidi w:val="0"/>
        <w:spacing w:before="240" w:after="0"/>
        <w:jc w:val="left"/>
        <w:rPr/>
      </w:pPr>
      <w:r>
        <w:rPr/>
        <w:t>“</w:t>
      </w:r>
      <w:r>
        <w:rPr>
          <w:rFonts w:ascii="Times New Roman" w:hAnsi="Times New Roman"/>
          <w:sz w:val="20"/>
          <w:u w:val="single"/>
        </w:rPr>
        <w:t>U.S. Swingline Loan</w:t>
      </w:r>
      <w:r>
        <w:rPr>
          <w:rFonts w:ascii="Times New Roman" w:hAnsi="Times New Roman"/>
          <w:sz w:val="20"/>
        </w:rPr>
        <w:t xml:space="preserve">” means a Loan made by the Swingline Lender pursuant to Section 2.05(a). </w:t>
      </w:r>
    </w:p>
    <w:p>
      <w:pPr>
        <w:pStyle w:val="TextBody"/>
        <w:bidi w:val="0"/>
        <w:spacing w:before="240" w:after="0"/>
        <w:jc w:val="left"/>
        <w:rPr/>
      </w:pPr>
      <w:r>
        <w:rPr/>
        <w:t>“</w:t>
      </w:r>
      <w:r>
        <w:rPr>
          <w:rFonts w:ascii="Times New Roman" w:hAnsi="Times New Roman"/>
          <w:sz w:val="20"/>
          <w:u w:val="single"/>
        </w:rPr>
        <w:t>Wage Earner Protection Act Reserve</w:t>
      </w:r>
      <w:r>
        <w:rPr>
          <w:rFonts w:ascii="Times New Roman" w:hAnsi="Times New Roman"/>
          <w:sz w:val="20"/>
        </w:rPr>
        <w:t xml:space="preserve">” means, on any date of determination, a reserve established from time to time by the Administrative Agent in such amount as the Administrative Agent determines reflects the amounts that may become due under the </w:t>
      </w:r>
      <w:r>
        <w:rPr>
          <w:rFonts w:ascii="Times New Roman" w:hAnsi="Times New Roman"/>
          <w:i/>
          <w:sz w:val="20"/>
        </w:rPr>
        <w:t>Wage Earner Protection Program Act</w:t>
      </w:r>
      <w:r>
        <w:rPr>
          <w:rFonts w:ascii="Times New Roman" w:hAnsi="Times New Roman"/>
          <w:sz w:val="20"/>
        </w:rPr>
        <w:t xml:space="preserve"> (Canada) with respect to the employees of any Loan Party employed in Canada which would give rise to a Lien with priority under applicable law over the Lien of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WDC Holding</w:t>
      </w:r>
      <w:r>
        <w:rPr>
          <w:rFonts w:ascii="Times New Roman" w:hAnsi="Times New Roman"/>
          <w:sz w:val="20"/>
        </w:rPr>
        <w:t xml:space="preserve">” means WDC Holding, Inc., a Delaware corporation. </w:t>
      </w:r>
    </w:p>
    <w:p>
      <w:pPr>
        <w:pStyle w:val="TextBody"/>
        <w:bidi w:val="0"/>
        <w:spacing w:before="240" w:after="0"/>
        <w:jc w:val="left"/>
        <w:rPr/>
      </w:pPr>
      <w:r>
        <w:rPr/>
        <w:t>“</w:t>
      </w:r>
      <w:r>
        <w:rPr>
          <w:rFonts w:ascii="Times New Roman" w:hAnsi="Times New Roman"/>
          <w:sz w:val="20"/>
          <w:u w:val="single"/>
        </w:rPr>
        <w:t>Weekly Reporting Trigger Period</w:t>
      </w:r>
      <w:r>
        <w:rPr>
          <w:rFonts w:ascii="Times New Roman" w:hAnsi="Times New Roman"/>
          <w:sz w:val="20"/>
        </w:rPr>
        <w:t xml:space="preserve">” means the period (a) commencing on the day that (i) an Event of Default occurs, or (ii) Aggregate Availability falls below the Aggregate Availability Trigger Amount and (b) continuing until the date on which no Event of Default has existed and the Aggregate Availability has exceeded the Aggregate Availability Trigger Amount for thirty consecutive days. </w:t>
      </w:r>
    </w:p>
    <w:p>
      <w:pPr>
        <w:pStyle w:val="TextBody"/>
        <w:bidi w:val="0"/>
        <w:spacing w:before="240" w:after="0"/>
        <w:jc w:val="left"/>
        <w:rPr/>
      </w:pPr>
      <w:r>
        <w:rPr/>
        <w:t>“</w:t>
      </w:r>
      <w:r>
        <w:rPr>
          <w:rFonts w:ascii="Times New Roman" w:hAnsi="Times New Roman"/>
          <w:sz w:val="20"/>
          <w:u w:val="single"/>
        </w:rPr>
        <w:t>WESCO Canada I</w:t>
      </w:r>
      <w:r>
        <w:rPr>
          <w:rFonts w:ascii="Times New Roman" w:hAnsi="Times New Roman"/>
          <w:sz w:val="20"/>
        </w:rPr>
        <w:t xml:space="preserve">” means WESCO Canada I, LP, a limited partnership organized under the laws of Alberta. </w:t>
      </w:r>
    </w:p>
    <w:p>
      <w:pPr>
        <w:pStyle w:val="TextBody"/>
        <w:bidi w:val="0"/>
        <w:spacing w:before="240" w:after="0"/>
        <w:jc w:val="left"/>
        <w:rPr/>
      </w:pPr>
      <w:r>
        <w:rPr/>
        <w:t>“</w:t>
      </w:r>
      <w:r>
        <w:rPr>
          <w:rFonts w:ascii="Times New Roman" w:hAnsi="Times New Roman"/>
          <w:sz w:val="20"/>
          <w:u w:val="single"/>
        </w:rPr>
        <w:t>WESCO Receivables</w:t>
      </w:r>
      <w:r>
        <w:rPr>
          <w:rFonts w:ascii="Times New Roman" w:hAnsi="Times New Roman"/>
          <w:sz w:val="20"/>
        </w:rPr>
        <w:t xml:space="preserve">” means WESCO Receivables Corp., a Delaware corporation. </w:t>
      </w:r>
    </w:p>
    <w:p>
      <w:pPr>
        <w:pStyle w:val="TextBody"/>
        <w:bidi w:val="0"/>
        <w:spacing w:before="240" w:after="0"/>
        <w:jc w:val="left"/>
        <w:rPr/>
      </w:pPr>
      <w:r>
        <w:rPr/>
        <w:t>“</w:t>
      </w:r>
      <w:r>
        <w:rPr>
          <w:rFonts w:ascii="Times New Roman" w:hAnsi="Times New Roman"/>
          <w:sz w:val="20"/>
          <w:u w:val="single"/>
        </w:rPr>
        <w:t>WESCO Receivables Intercompany Loans</w:t>
      </w:r>
      <w:r>
        <w:rPr>
          <w:rFonts w:ascii="Times New Roman" w:hAnsi="Times New Roman"/>
          <w:sz w:val="20"/>
        </w:rPr>
        <w:t xml:space="preserve">” means all loans owing to any Loan Party from WESCO Receivables Corp., and all guarantees of such loans, whether or not such loans or guarantees are evidenced by the WESCO Receivables Intercompany Notes or any other Instruments or Documents. </w:t>
      </w:r>
    </w:p>
    <w:p>
      <w:pPr>
        <w:pStyle w:val="TextBody"/>
        <w:bidi w:val="0"/>
        <w:spacing w:before="240" w:after="0"/>
        <w:jc w:val="left"/>
        <w:rPr/>
      </w:pPr>
      <w:r>
        <w:rPr/>
        <w:t>“</w:t>
      </w:r>
      <w:r>
        <w:rPr>
          <w:rFonts w:ascii="Times New Roman" w:hAnsi="Times New Roman"/>
          <w:sz w:val="20"/>
          <w:u w:val="single"/>
        </w:rPr>
        <w:t>WESCO Receivables Intercompany Notes</w:t>
      </w:r>
      <w:r>
        <w:rPr>
          <w:rFonts w:ascii="Times New Roman" w:hAnsi="Times New Roman"/>
          <w:sz w:val="20"/>
        </w:rPr>
        <w:t xml:space="preserve">” means all promissory notes issued from time to time by WESCO Receivables Corp. in favor of certain of the Loan Parties, in each case, evidencing loans made by such Loan Parties to WESCO Receivables Corp. under the WESCO Receivables Securitization Agreements, as such notes may be amended, restated, supplemented or otherwise modified or replaced from time to time. </w:t>
      </w:r>
    </w:p>
    <w:p>
      <w:pPr>
        <w:pStyle w:val="TextBody"/>
        <w:bidi w:val="0"/>
        <w:spacing w:before="240" w:after="0"/>
        <w:jc w:val="left"/>
        <w:rPr/>
      </w:pPr>
      <w:r>
        <w:rPr/>
        <w:t>“</w:t>
      </w:r>
      <w:r>
        <w:rPr>
          <w:rFonts w:ascii="Times New Roman" w:hAnsi="Times New Roman"/>
          <w:sz w:val="20"/>
          <w:u w:val="single"/>
        </w:rPr>
        <w:t>WIS Disposition Transactions</w:t>
      </w:r>
      <w:r>
        <w:rPr>
          <w:rFonts w:ascii="Times New Roman" w:hAnsi="Times New Roman"/>
          <w:sz w:val="20"/>
        </w:rPr>
        <w:t xml:space="preserve">” means the dispositions and other transactions contemplated by the WIS Purchase Agreement. </w:t>
      </w:r>
    </w:p>
    <w:p>
      <w:pPr>
        <w:pStyle w:val="TextBody"/>
        <w:bidi w:val="0"/>
        <w:spacing w:before="240" w:after="0"/>
        <w:jc w:val="left"/>
        <w:rPr/>
      </w:pPr>
      <w:r>
        <w:rPr/>
        <w:t>“</w:t>
      </w:r>
      <w:r>
        <w:rPr>
          <w:rFonts w:ascii="Times New Roman" w:hAnsi="Times New Roman"/>
          <w:sz w:val="20"/>
          <w:u w:val="single"/>
        </w:rPr>
        <w:t>WIS Purchase Agreement</w:t>
      </w:r>
      <w:r>
        <w:rPr>
          <w:rFonts w:ascii="Times New Roman" w:hAnsi="Times New Roman"/>
          <w:sz w:val="20"/>
        </w:rPr>
        <w:t xml:space="preserve">” means that certain Purchase Agreement, dated as of February 22, 2024, between the Borrower Representative and Vallen Distribution, Inc.,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Withdrawal Liability</w:t>
      </w:r>
      <w:r>
        <w:rPr>
          <w:rFonts w:ascii="Times New Roman" w:hAnsi="Times New Roman"/>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240" w:after="0"/>
        <w:jc w:val="left"/>
        <w:rPr/>
      </w:pPr>
      <w:r>
        <w:rPr/>
        <w:t>“</w:t>
      </w:r>
      <w:r>
        <w:rPr>
          <w:rFonts w:ascii="Times New Roman" w:hAnsi="Times New Roman"/>
          <w:sz w:val="20"/>
          <w:u w:val="single"/>
        </w:rPr>
        <w:t>Withholding Agent</w:t>
      </w:r>
      <w:r>
        <w:rPr>
          <w:rFonts w:ascii="Times New Roman" w:hAnsi="Times New Roman"/>
          <w:sz w:val="20"/>
        </w:rPr>
        <w:t xml:space="preserve">” means any Loan Party or the Administrative Agent, as applicable.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u w:val="single"/>
        </w:rPr>
        <w:t>SECTION 1.02 Classification of Loans and Borrowings</w:t>
      </w:r>
      <w:r>
        <w:rPr>
          <w:rFonts w:ascii="Times New Roman" w:hAnsi="Times New Roman"/>
          <w:sz w:val="20"/>
        </w:rPr>
        <w:t xml:space="preserve">. For purposes of this Agreement, Loans may be classified and referred to by Class (e.g., a “Revolving Loan”) or by Type (e.g., a “SOFR Loan” or “Term Benchmark Loan”) or by Class and Type (e.g., a “SOFR Revolving Loan”). Borrowings also may be classified and referred to by Class (e.g., a “Revolving Borrowing”) or by Type (e.g., a “SOFR Borrowing” or “Term Benchmark Borrowing”) or by Class and Type (e.g., a “SOFR Revolving Borrowing”). </w:t>
      </w:r>
    </w:p>
    <w:p>
      <w:pPr>
        <w:pStyle w:val="TextBody"/>
        <w:bidi w:val="0"/>
        <w:spacing w:before="240" w:after="0"/>
        <w:jc w:val="left"/>
        <w:rPr>
          <w:rFonts w:ascii="Times New Roman" w:hAnsi="Times New Roman"/>
          <w:sz w:val="20"/>
        </w:rPr>
      </w:pPr>
      <w:r>
        <w:rPr>
          <w:rFonts w:ascii="Times New Roman" w:hAnsi="Times New Roman"/>
          <w:sz w:val="20"/>
          <w:u w:val="single"/>
        </w:rPr>
        <w:t>SECTION 1.03 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the word “shall.” Unless the context requires otherwise (a) any definition of or reference to any agreement, instrument or other document herein shall be construed as referring to such agreement, instrument or other document as from time to time amended, supplemented, replaced, or otherwise modified (subject to any restrictions on such amendments, supplements, replacements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in any definition to the phrase “at any time” or “for any time” shall refer to the same time or period for all calculations or determination within such definition, and (f) the words “asset” and “property” shall be construed to have the same meaning and effect and to refer to any and all tangible and intangible assets and properties, including cash, securities, accounts and contract rights. All certificates and other documents required to be provided by a specified officer of a Loan Party shall be deemed to be provided by such person solely in their capacity as such officer.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any Collateral located in the Province of Quebec or charged by any deed of hypothec (or any other Loan Document) and for all other purposes pursuant to which the interpretation or construction of a Loan Document may be subject to the laws of the Province of Quebec or a court or tribunal exercising jurisdiction in the Province of Quebec, (a) “personal property” shall be deemed to include “movable property,” (b) “real property” shall be deemed to include “immovable property,” (c) “tangible property” shall be deemed to include “corporeal property,” (d) “intangible property” shall be deemed to include “incorporeal property,” (e) “security interest” and “mortgage” shall be deemed to include a “hypothec,” (f) all references to filing, registering or recording under the UCC or the PPSA shall be deemed to include publication under the Civil Code of Québec, (g) all references to “perfection” of or “perfected” Liens shall be deemed to include a reference to the “opposability” of such Liens to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 (k) “construction liens” shall be deemed to include “legal hypothecs,” (l) “joint and several” shall be deemed to include “solidary,” (m) “gross negligence or willful misconduct” shall be deemed to be “intentional or gross fault,” (n) “beneficial ownership” shall be deemed to include “ownership on behalf of another as mandatary,” (o) “servitude” shall be deemed to include “easement,” (p) “priority” shall be deemed to include “prior claim,” (q) “survey” shall be deemed to include “certificate of location and plan,” (r) “fee simple title” shall be deemed to include “absolute ownership,” and (s) “foreclosure” shall be deemed to include the “exercise of a hypothecary right.” </w:t>
      </w:r>
    </w:p>
    <w:p>
      <w:pPr>
        <w:pStyle w:val="TextBody"/>
        <w:bidi w:val="0"/>
        <w:spacing w:before="240" w:after="0"/>
        <w:jc w:val="left"/>
        <w:rPr>
          <w:rFonts w:ascii="Times New Roman" w:hAnsi="Times New Roman"/>
          <w:sz w:val="20"/>
        </w:rPr>
      </w:pPr>
      <w:r>
        <w:rPr>
          <w:rFonts w:ascii="Times New Roman" w:hAnsi="Times New Roman"/>
          <w:sz w:val="20"/>
          <w:u w:val="single"/>
        </w:rPr>
        <w:t>SECTION 1.04 Accounting Terms; GAAP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all terms of an accounting or financial nature shall be construed in accordance with GAAP, as in effect from time to time; </w:t>
      </w:r>
      <w:r>
        <w:rPr>
          <w:rFonts w:ascii="Times New Roman" w:hAnsi="Times New Roman"/>
          <w:sz w:val="20"/>
          <w:u w:val="single"/>
        </w:rPr>
        <w:t>provided</w:t>
      </w:r>
      <w:r>
        <w:rPr>
          <w:rFonts w:ascii="Times New Roman" w:hAnsi="Times New Roman"/>
          <w:sz w:val="20"/>
        </w:rPr>
        <w:t xml:space="preserve"> that if, after the Fourth Restatement Date, the Borrowers migrate to IFRS or there occurs any change in GAAP or in the application thereof on the operation of any provision hereof and the Borrower Representative notifies the Administrative Agent that the Borrowers request an amendment to any provision hereof to eliminate the effect of such migration to IFRS or any change occurring after the Fourth Restatement Date in GAAP or in the application thereof (or if the Administrative Agent notifies the Borrower Representative that the Required Lenders request an amendment to any provision hereof for such purpose), regardless of whether any such notice is given before or after such migration to IFRS or such change in GAAP or in the application thereof, then such provision shall be interpreted on the basis of GAAP as in effect and applied immediately before such migration or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any Loan Party at “fair value,” as defined therein. </w:t>
      </w:r>
    </w:p>
    <w:p>
      <w:pPr>
        <w:pStyle w:val="TextBody"/>
        <w:bidi w:val="0"/>
        <w:spacing w:before="240" w:after="0"/>
        <w:jc w:val="left"/>
        <w:rPr>
          <w:rFonts w:ascii="Times New Roman" w:hAnsi="Times New Roman"/>
          <w:sz w:val="20"/>
        </w:rPr>
      </w:pPr>
      <w:r>
        <w:rPr>
          <w:rFonts w:ascii="Times New Roman" w:hAnsi="Times New Roman"/>
          <w:sz w:val="20"/>
        </w:rPr>
        <w:t>(b) Notwithstanding anything to the contrary contained in Section 1.04(a) or in the definition of “</w:t>
      </w:r>
      <w:r>
        <w:rPr>
          <w:rFonts w:ascii="Times New Roman" w:hAnsi="Times New Roman"/>
          <w:sz w:val="20"/>
          <w:u w:val="single"/>
        </w:rPr>
        <w:t>Capital Lease Obligations</w:t>
      </w:r>
      <w:r>
        <w:rPr>
          <w:rFonts w:ascii="Times New Roman" w:hAnsi="Times New Roman"/>
          <w:sz w:val="20"/>
        </w:rPr>
        <w:t>” or “</w:t>
      </w:r>
      <w:r>
        <w:rPr>
          <w:rFonts w:ascii="Times New Roman" w:hAnsi="Times New Roman"/>
          <w:sz w:val="20"/>
          <w:u w:val="single"/>
        </w:rPr>
        <w:t>Indebtedness,</w:t>
      </w:r>
      <w:r>
        <w:rPr>
          <w:rFonts w:ascii="Times New Roman" w:hAnsi="Times New Roman"/>
          <w:sz w:val="20"/>
        </w:rPr>
        <w:t>” any change in accounting for leases pursuant to GAAP resulting from the adoption of Financial Accounting Standards Board Accounting Standards Update No. 2016-02, Leases (Topic 842) (“</w:t>
      </w:r>
      <w:r>
        <w:rPr>
          <w:rFonts w:ascii="Times New Roman" w:hAnsi="Times New Roman"/>
          <w:sz w:val="20"/>
          <w:u w:val="single"/>
        </w:rPr>
        <w:t>FAS 842</w:t>
      </w:r>
      <w:r>
        <w:rPr>
          <w:rFonts w:ascii="Times New Roman" w:hAnsi="Times New Roman"/>
          <w:sz w:val="20"/>
        </w:rPr>
        <w:t xml:space="preserve">”),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1.05 Currency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Principal, interest, reimbursement obligations, fees, and all other amounts payable under this Agreement and the other Loan Documents to the Administrative Agent and the Lenders shall be payable in the currency in which such Obligations are denominated, </w:t>
      </w:r>
      <w:r>
        <w:rPr>
          <w:rFonts w:ascii="Times New Roman" w:hAnsi="Times New Roman"/>
          <w:sz w:val="20"/>
          <w:u w:val="single"/>
        </w:rPr>
        <w:t>provided</w:t>
      </w:r>
      <w:r>
        <w:rPr>
          <w:rFonts w:ascii="Times New Roman" w:hAnsi="Times New Roman"/>
          <w:sz w:val="20"/>
        </w:rPr>
        <w:t xml:space="preserve"> that (i) any reimbursement by a Canadian Borrower of an LC Disbursement in respect of a Canadian Letter of Credit denominated in Canadian Dollars or any payment by a Canadian Lender to the Administrative Agent or an Issuing Bank in respect of its participation with respect to any such Canadian Letter of Credit shall be payable in Canadian Dollars and (ii) any reimbursement by a U.S. Borrower of an LC Disbursement in respect of a U.S. Letter of Credit denominated in an LC Alternative Currency or any payment by a Lender to the Administrative Agent or an Issuing Bank in respect of its participation with respect to any such Letter of Credit in an LC Alternative Currency shall be payable in dollars.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other terms of this Agreement, all calculations and determinations under this Agreement of any amount in any currency other than dollars shall be deemed to refer to the Dollar Amount thereof, as the case may be, and all Borrowing Base Certificates delivered under this Agreement shall express such calculations or determinations in dollars or the Dollar Amount thereof, as the case may be. Each requisite currency translation shall be based on the Exchange Rate.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Agreement and the other Loan Documents, the Dollar Amount of any Borrowings, Loans, Letters of Credit and other Obligations shall be determined in accordance with the terms of this Agreement in respect of the most recent Revaluation Date. Such Dollar Amount shall become effective as of such Revaluation Date for such Borrowings, Loans, Letters of Credit and other Obligations and shall be the Dollar Amount employed in converting any amounts between the applicable currencies until the next Revaluation Date to occur with respect to such Borrowings, Loans, Letters of Credit and other Obligations. </w:t>
      </w:r>
    </w:p>
    <w:p>
      <w:pPr>
        <w:pStyle w:val="TextBody"/>
        <w:bidi w:val="0"/>
        <w:spacing w:before="240" w:after="0"/>
        <w:jc w:val="left"/>
        <w:rPr>
          <w:rFonts w:ascii="Times New Roman" w:hAnsi="Times New Roman"/>
          <w:sz w:val="20"/>
        </w:rPr>
      </w:pPr>
      <w:r>
        <w:rPr>
          <w:rFonts w:ascii="Times New Roman" w:hAnsi="Times New Roman"/>
          <w:sz w:val="20"/>
          <w:u w:val="single"/>
        </w:rPr>
        <w:t>SECTION 1.06 Rates</w:t>
      </w:r>
      <w:r>
        <w:rPr>
          <w:rFonts w:ascii="Times New Roman" w:hAnsi="Times New Roman"/>
          <w:sz w:val="20"/>
        </w:rPr>
        <w:t xml:space="preserve">. The Administrative Agent does not warrant or accept responsibility for, and shall not have any liability with respect to (a) the continuation of, administration of, submission of, calculation of or any other matter related to Alternate Base Rate, Canadian Prime Rate, Term CORRA, </w:t>
      </w:r>
      <w:r>
        <w:rPr>
          <w:rFonts w:ascii="Times New Roman" w:hAnsi="Times New Roman"/>
          <w:strike/>
          <w:color w:val="FF0000"/>
          <w:sz w:val="20"/>
        </w:rPr>
        <w:t>Adjusted Term CORRA, Daily Compounded CORRA, Adjusted</w:t>
      </w:r>
      <w:r>
        <w:rPr>
          <w:rFonts w:ascii="Times New Roman" w:hAnsi="Times New Roman"/>
          <w:sz w:val="20"/>
        </w:rPr>
        <w:t xml:space="preserve"> Daily Compounded CORRA, Term SOFR or Daily Simple SOFR, or any component definition thereof or rates referred to in the definition thereof, or any alternative, successor or replacement rate thereto (including any Benchmark Replacement or Canadian Benchmark Replacement), including whether the composition or characteristics of any such alternative, successor or replacement rate (including any Benchmark Replacement or Canadian Benchmark Replacement) will be similar to, or produce the same value or economic equivalence of, or have the same volume or liquidity as, Alternate Base Rate, Canadian Prime Rate, Term CORRA, </w:t>
      </w:r>
      <w:r>
        <w:rPr>
          <w:rFonts w:ascii="Times New Roman" w:hAnsi="Times New Roman"/>
          <w:strike/>
          <w:color w:val="FF0000"/>
          <w:sz w:val="20"/>
        </w:rPr>
        <w:t xml:space="preserve">Adjusted Term CORRA, Daily Compounded CORRA, Adjusted </w:t>
      </w:r>
      <w:r>
        <w:rPr>
          <w:rFonts w:ascii="Times New Roman" w:hAnsi="Times New Roman"/>
          <w:sz w:val="20"/>
        </w:rPr>
        <w:t xml:space="preserve">Daily Compounded CORRA, Term SOFR, Daily Simple SOFR or any other Benchmark or Canadian Benchmark prior to its discontinuance or unavailability, or (b) the effect, implementation or composition of any Conforming Changes. The Administrative Agent and its affiliates or other related entities may engage in transactions that affect the calculation of Alternate Base Rate, Canadian Prime Rate, Term SOFR, Daily Simple SOFR, Term CORRA, </w:t>
      </w:r>
      <w:r>
        <w:rPr>
          <w:rFonts w:ascii="Times New Roman" w:hAnsi="Times New Roman"/>
          <w:strike/>
          <w:color w:val="FF0000"/>
          <w:sz w:val="20"/>
        </w:rPr>
        <w:t xml:space="preserve">Adjusted Term CORRA, Daily Compounded CORRA, Adjusted </w:t>
      </w:r>
      <w:r>
        <w:rPr>
          <w:rFonts w:ascii="Times New Roman" w:hAnsi="Times New Roman"/>
          <w:sz w:val="20"/>
        </w:rPr>
        <w:t xml:space="preserve">Daily Compounded CORRA, any alternative, successor or replacement rate (including any Benchmark Replacement or Canadian Benchmark Replacement) or any relevant adjustments thereto, in each case, in a manner adverse to the Borrowers. The Administrative Agent may select information sources or services in its reasonable discretion to ascertain Alternate Base Rate, Canadian Prime Rate, Term CORRA, </w:t>
      </w:r>
      <w:r>
        <w:rPr>
          <w:rFonts w:ascii="Times New Roman" w:hAnsi="Times New Roman"/>
          <w:strike/>
          <w:color w:val="FF0000"/>
          <w:sz w:val="20"/>
        </w:rPr>
        <w:t xml:space="preserve">Adjusted Term CORRA, Daily Compounded CORRA, Adjusted </w:t>
      </w:r>
      <w:r>
        <w:rPr>
          <w:rFonts w:ascii="Times New Roman" w:hAnsi="Times New Roman"/>
          <w:sz w:val="20"/>
        </w:rPr>
        <w:t xml:space="preserve">Daily Compounded CORRA, Term SOFR, Daily Simple SOFR or any other Benchmark or Canadian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1.07 Pro Forma Adjustments for Investments and Dispositions</w:t>
      </w:r>
      <w:r>
        <w:rPr>
          <w:rFonts w:ascii="Times New Roman" w:hAnsi="Times New Roman"/>
          <w:sz w:val="20"/>
        </w:rPr>
        <w:t xml:space="preserve">. To the extent any Loan Party or any Restricted Subsidiary makes any Investment permitted pursuant to Section 6.04 or Disposition outside the ordinary course of business permitted by Section 6.05 during the period of four fiscal quarters of the Loan Parties most recently ended, the Fixed Charge Coverage Ratio, the Secured Leverage Ratio and the Total Leverage Ratio (as applicable) shall be calculated after giving pro forma effect thereto (including pro forma adjustments arising out of events which are directly attributable to the Investment or the Disposition, are factually supportable and are reasonably expected to have a continuing impact, in each case as determined on a basis consistent with Article 11 of Regulation S-X of the Securities Act of 1933, as amended, as interpreted by the SEC, and as certified by a Financial Officer of such Loan Party or Restricted Subsidiary), as if such Investment or such Disposition (and any related incurrence, repayment or assumption of Indebtedness) had occurred </w:t>
      </w:r>
      <w:r>
        <w:rPr>
          <w:rFonts w:ascii="Times New Roman" w:hAnsi="Times New Roman"/>
          <w:strike/>
          <w:color w:val="FF0000"/>
          <w:sz w:val="20"/>
        </w:rPr>
        <w:t>in</w:t>
      </w:r>
      <w:r>
        <w:rPr>
          <w:rFonts w:ascii="Times New Roman" w:hAnsi="Times New Roman"/>
          <w:color w:val="0000FF"/>
          <w:sz w:val="20"/>
          <w:u w:val="single"/>
          <w:bdr w:val="double" w:sz="2" w:space="1" w:color="000000"/>
        </w:rPr>
        <w:t>on</w:t>
      </w:r>
      <w:r>
        <w:rPr>
          <w:rFonts w:ascii="Times New Roman" w:hAnsi="Times New Roman"/>
          <w:sz w:val="20"/>
        </w:rPr>
        <w:t xml:space="preserve"> the first day of such four-quarter period. </w:t>
      </w:r>
    </w:p>
    <w:p>
      <w:pPr>
        <w:pStyle w:val="TextBody"/>
        <w:bidi w:val="0"/>
        <w:spacing w:before="240" w:after="0"/>
        <w:jc w:val="left"/>
        <w:rPr>
          <w:rFonts w:ascii="Times New Roman" w:hAnsi="Times New Roman"/>
          <w:sz w:val="20"/>
        </w:rPr>
      </w:pPr>
      <w:r>
        <w:rPr>
          <w:rFonts w:ascii="Times New Roman" w:hAnsi="Times New Roman"/>
          <w:sz w:val="20"/>
          <w:u w:val="single"/>
        </w:rPr>
        <w:t>SECTION 1.08 Limited Condition Transactions</w:t>
      </w:r>
      <w:r>
        <w:rPr>
          <w:rFonts w:ascii="Times New Roman" w:hAnsi="Times New Roman"/>
          <w:sz w:val="20"/>
        </w:rPr>
        <w:t>. Notwithstanding anything in this Agreement or any Loan Document to the contrary, solely in connection with a Limited Condition Transaction (a) when calculating any applicable ratio or financial test or determining whether any Default or Event of Default has occurred, is continuing or would result from the consummation of such Limited Condition Transaction, in each case, pursuant to Section 6.01, Section 6.02, Section 6.04, Section 6.05, or Section 6.08 in connection with the incurrence of Indebtedness, the creation of Liens, the making of any Disposition, the making of an Investment (including consummating a Permitted Acquisition), the making of a Restricted Payment, the designation of a Subsidiary as restricted or unrestricted or the repayment of Indebtedness in connection with such Limited Condition Transaction (each, a “</w:t>
      </w:r>
      <w:r>
        <w:rPr>
          <w:rFonts w:ascii="Times New Roman" w:hAnsi="Times New Roman"/>
          <w:sz w:val="20"/>
          <w:u w:val="single"/>
        </w:rPr>
        <w:t>LCT Specified Transaction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Borrowing hereunder shall not constitute an LCT Specified Transaction except in the case of any Borrowing with respect to any “first in, last out” incremental or (b) determining the accuracy of any representation or warranty under this Agreement or any other Loan Document in connection with a Limited Condition Transaction, the date of determination of such ratio or financial test, the accuracy of such representation or warranty (but taking into account any earlier date specified therein) or whether any Default or Event of Default has occurred, is continuing or would result therefrom shall, at the option of the Borrower Representative (the Borrower Representative’s election to exercise such option in connection with any Limited Condition Transaction, an “</w:t>
      </w:r>
      <w:r>
        <w:rPr>
          <w:rFonts w:ascii="Times New Roman" w:hAnsi="Times New Roman"/>
          <w:sz w:val="20"/>
          <w:u w:val="single"/>
        </w:rPr>
        <w:t>LCT Election</w:t>
      </w:r>
      <w:r>
        <w:rPr>
          <w:rFonts w:ascii="Times New Roman" w:hAnsi="Times New Roman"/>
          <w:sz w:val="20"/>
        </w:rPr>
        <w:t>”), be deemed to be the date the definitive agreements for such Limited Condition Transaction are entered into (the “</w:t>
      </w:r>
      <w:r>
        <w:rPr>
          <w:rFonts w:ascii="Times New Roman" w:hAnsi="Times New Roman"/>
          <w:sz w:val="20"/>
          <w:u w:val="single"/>
        </w:rPr>
        <w:t>LCT Test Date</w:t>
      </w:r>
      <w:r>
        <w:rPr>
          <w:rFonts w:ascii="Times New Roman" w:hAnsi="Times New Roman"/>
          <w:sz w:val="20"/>
        </w:rPr>
        <w:t xml:space="preserve">”). If on a pro forma basis after giving effect to such Limited Condition Transaction and the other transactions to be entered into in connection therewith (including any incurrence of Indebtedness and the use of proceeds thereof) such ratios, financial tests, representations and warranties and absence of defaults are calculated as if such Limited Condition Transaction or other transactions had occurred at the beginning of the most recent period of four consecutive fiscal quarters ending prior to the LCT Test Date for which financial statements are available, the applicable Loan Party could have taken such action on the relevant LCT Test Date in compliance with the applicable ratios or other provisions, such provisions shall be deemed to have been complied with. For the avoidance of doubt, (i) if any of such ratios, financial tests, representations and warranties or absence of defaults are exceeded or breached as a result of fluctuations in such ratio (including due to fluctuations in EBITDA), a change in facts and circumstances or other provisions at or prior to the consummation of the relevant Limited Condition Transaction, such ratios, representations and warranties and absence of defaults will not be deemed to have been exceeded, breached, or otherwise failed as a result of such fluctuations or changed circumstances solely for purposes of determining whether the Limited Condition Transaction and any related transactions is permitted hereunder and (ii) such ratios and compliance with such conditions shall not be tested at the time of consummation of such Limited Condition Transaction or related LCT Specified Transactions. If the Borrower Representative has made an LCT Election for any Limited Condition Transaction, then in connection with any subsequent calculation of any ratio or basket availability with respect to any subsequent Acquisition or Investment that any Loan Party or Restricted Subsidiary is contractually committed to consummate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any such ratio or basket shall be calculated on a pro forma basis both (i) assuming such Limited Condition Transaction and other transactions in connection therewith (including any incurrence of Indebtedness and the use of proceeds thereof) have been consummated and (ii) assuming such Limited Condition Transaction and other transactions in connection therewith (including any incurrence of Indebtedness and the use of proceeds thereof) have not been consummated.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SECTION 1.09</w:t>
      </w:r>
      <w:r>
        <w:rPr>
          <w:rFonts w:ascii="Times New Roman" w:hAnsi="Times New Roman"/>
          <w:sz w:val="20"/>
          <w:u w:val="single"/>
        </w:rPr>
        <w:t xml:space="preserve"> </w:t>
      </w:r>
      <w:r>
        <w:rPr>
          <w:rFonts w:ascii="Times New Roman" w:hAnsi="Times New Roman"/>
          <w:color w:val="0000FF"/>
          <w:sz w:val="20"/>
          <w:u w:val="single"/>
          <w:bdr w:val="double" w:sz="2" w:space="1" w:color="000000"/>
        </w:rPr>
        <w:t>Divisions and Reclassifications. Notwithstanding anything to the contrary herein, if any transaction or action would be permitted pursuant to one or more provisions described in this Agreement, the Borrowers may divide and classify such transaction or action within any covenant, basket, test or exception in any manner that complies with the covenants, baskets, tests or exceptions set forth therein, and may later divide and reclassify any such transaction or action so long as the transaction or action (as so divided and/or reclassified) would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be permitted to be made in reliance on the applicable covenant, basket, test or exception as of the date of such division or reclassification; provided that, if any financial ratio or test governing any applicable amounts incurred or transactions entered into (or consummated) in reliance on a provision of this Agreement that requires compliance with a financial ratio or test (including, without limitation, the Fixed Charge Coverage Ratio, the Secured Leverage Ratio and the Total Leverage Ratio) (any such amounts, the “Incurrence-Based Amounts”) would be satisfied in any subsequent period following the utilization of any amounts incurred or transactions entered into (or consummated) in reliance on a provision of this Agreement that does not require compliance with a financial ratio or test (any such amounts, the “Fixed Amounts”), such reclassification shall be deemed to have automatically occurred if not elected by the Borrowers; </w:t>
      </w:r>
      <w:r>
        <w:rPr>
          <w:rFonts w:ascii="Times New Roman" w:hAnsi="Times New Roman"/>
          <w:i/>
          <w:color w:val="0000FF"/>
          <w:sz w:val="20"/>
          <w:u w:val="single"/>
          <w:bdr w:val="double" w:sz="2" w:space="1" w:color="000000"/>
        </w:rPr>
        <w:t>provided, further,</w:t>
      </w:r>
      <w:r>
        <w:rPr>
          <w:rFonts w:ascii="Times New Roman" w:hAnsi="Times New Roman"/>
          <w:color w:val="0000FF"/>
          <w:sz w:val="20"/>
          <w:u w:val="single"/>
          <w:bdr w:val="double" w:sz="2" w:space="1" w:color="000000"/>
        </w:rPr>
        <w:t xml:space="preserve"> that notwithstanding anything to the contrary in this Section 1.09, the Borrowers shall not be permitted to divide, redivide or reclassify any transaction or action into or out of any covenant, basket, test or exception the availability of which is conditioned upon the satisfaction of all or any portion of the Payment Conditions, and any such transaction or action incurred, made or consummated in reliance on any such covenant, basket, test or exception shall at all times be deemed to have been incurred, made or consummated in reliance thereon; </w:t>
      </w:r>
      <w:r>
        <w:rPr>
          <w:rFonts w:ascii="Times New Roman" w:hAnsi="Times New Roman"/>
          <w:i/>
          <w:color w:val="0000FF"/>
          <w:sz w:val="20"/>
          <w:u w:val="single"/>
          <w:bdr w:val="double" w:sz="2" w:space="1" w:color="000000"/>
        </w:rPr>
        <w:t>provided further</w:t>
      </w:r>
      <w:r>
        <w:rPr>
          <w:rFonts w:ascii="Times New Roman" w:hAnsi="Times New Roman"/>
          <w:color w:val="0000FF"/>
          <w:sz w:val="20"/>
          <w:u w:val="single"/>
          <w:bdr w:val="double" w:sz="2" w:space="1" w:color="000000"/>
        </w:rPr>
        <w:t>, that all Indebtedness constituting Secured Obligations shall at all times be deemed to have been incurred in reliance on Section 6.01(a), and all Liens created pursuant to any Loan Document shall at all times be deemed to have been created in reliance on Section 6.02(a), and in each case may not be divided, classified, reclassified or redivided into any other covenant, basket, test or exception under this Agreement. In addition, with respect to any amounts incurred or transactions entered into (or consummated) in reliance on any Fixed Amounts substantially concurrently with any amounts incurred or transactions entered into (or consummated) in reliance on any Incurrence-Based Amounts, the Fixed Amounts shall be disregarded in the calculation of the financial ratio or test applicable to any substantially concurrent utilization of the Incurrence-Based Amounts.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ARTICLE II.</w:t>
      </w:r>
      <w:r>
        <w:rPr>
          <w:rFonts w:ascii="Times New Roman" w:hAnsi="Times New Roman"/>
          <w:sz w:val="20"/>
          <w:u w:val="single"/>
        </w:rPr>
        <w:t xml:space="preserve"> The Credits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2.01 Revolving Commitments</w:t>
      </w:r>
      <w:r>
        <w:rPr>
          <w:rFonts w:ascii="Times New Roman" w:hAnsi="Times New Roman"/>
          <w:sz w:val="20"/>
        </w:rPr>
        <w:t xml:space="preserve">. Subject to the terms and conditions set forth herein, (a) each U.S. Lender agrees to make U.S. Revolving Loans to the U.S. Borrowers denominated in dollars from time to time during the Availability Period, and (b) each Canadian Lender agrees to make Canadian Revolving Loans to the Canadian Borrowers denominated in either dollars or Canadian Dollars from time to time during the Availability Period, so long as, in each case after giving effect thereto: </w:t>
      </w:r>
    </w:p>
    <w:p>
      <w:pPr>
        <w:pStyle w:val="TextBody"/>
        <w:bidi w:val="0"/>
        <w:spacing w:before="120" w:after="0"/>
        <w:jc w:val="left"/>
        <w:rPr>
          <w:rFonts w:ascii="Times New Roman" w:hAnsi="Times New Roman"/>
          <w:sz w:val="20"/>
        </w:rPr>
      </w:pPr>
      <w:r>
        <w:rPr>
          <w:rFonts w:ascii="Times New Roman" w:hAnsi="Times New Roman"/>
          <w:sz w:val="20"/>
        </w:rPr>
        <w:t xml:space="preserve">(i) the U.S. Revolving Exposure, Canadian Revolving Exposure or Revolving Exposure of any Lender would not exceed such Lender’s U.S. Commitment, Canadian Commitment or Revolving Commitment,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(ii) U.S. Availability would not be less than zero; </w:t>
      </w:r>
    </w:p>
    <w:p>
      <w:pPr>
        <w:pStyle w:val="TextBody"/>
        <w:bidi w:val="0"/>
        <w:spacing w:before="120" w:after="0"/>
        <w:jc w:val="left"/>
        <w:rPr>
          <w:rFonts w:ascii="Times New Roman" w:hAnsi="Times New Roman"/>
          <w:sz w:val="20"/>
        </w:rPr>
      </w:pPr>
      <w:r>
        <w:rPr>
          <w:rFonts w:ascii="Times New Roman" w:hAnsi="Times New Roman"/>
          <w:sz w:val="20"/>
        </w:rPr>
        <w:t xml:space="preserve">(iii) Canadian Availability would not be less than zero; and </w:t>
      </w:r>
    </w:p>
    <w:p>
      <w:pPr>
        <w:pStyle w:val="TextBody"/>
        <w:bidi w:val="0"/>
        <w:spacing w:before="120" w:after="0"/>
        <w:jc w:val="left"/>
        <w:rPr>
          <w:rFonts w:ascii="Times New Roman" w:hAnsi="Times New Roman"/>
          <w:sz w:val="20"/>
        </w:rPr>
      </w:pPr>
      <w:r>
        <w:rPr>
          <w:rFonts w:ascii="Times New Roman" w:hAnsi="Times New Roman"/>
          <w:sz w:val="20"/>
        </w:rPr>
        <w:t xml:space="preserve">(iv) Aggregate Availability would not be less than zero,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Administrative Agent’s authority, in its sole discretion, to make Protective Advances and Overadvances pursuant to the terms of Section 2.04 and 2.05. Within the foregoing limits and subject to the terms and conditions set forth herein, each Borrower may borrow, prepay and reborrow Revolving Loans. On the Fourth Restatement Date, the Administrative Agent shall reallocate or terminate, as applicable, the commitments and loans outstanding under the Existing Credit Agreement in accordance with the Lenders’ respective Applicable Percentages and all loans outstanding as of the Fourth Restatement Date under the Existing Credit Agreement shall automatically and without further action by the parties hereto be deemed converted into Loans under this Agreement and shall be included in the calculations as of the Fourth Restatement Date of “Aggregate Revolving Exposure” and “Revolving Exposure.” All liabilities of the Loan Parties with respect to such Loans shall constitute Obligations and it is the intention of the Loan Parties that such Obligations shall continue to be secured by Collateral Documents. </w:t>
      </w:r>
    </w:p>
    <w:p>
      <w:pPr>
        <w:pStyle w:val="TextBody"/>
        <w:bidi w:val="0"/>
        <w:spacing w:before="240" w:after="0"/>
        <w:jc w:val="left"/>
        <w:rPr>
          <w:rFonts w:ascii="Times New Roman" w:hAnsi="Times New Roman"/>
          <w:sz w:val="20"/>
        </w:rPr>
      </w:pPr>
      <w:r>
        <w:rPr>
          <w:rFonts w:ascii="Times New Roman" w:hAnsi="Times New Roman"/>
          <w:sz w:val="20"/>
          <w:u w:val="single"/>
        </w:rPr>
        <w:t>SECTION 2.02 Loans and Borrowings</w:t>
      </w:r>
      <w:r>
        <w:rPr>
          <w:rFonts w:ascii="Times New Roman" w:hAnsi="Times New Roman"/>
          <w:sz w:val="20"/>
        </w:rPr>
        <w:t xml:space="preserve">. (a) Each Loan (other than a Swingline Loan) shall be made as part of a Borrowing consisting of Loans of the same Class and Type made by the Lenders ratably in accordance with their respective Revolving Commitments of the applicable Class. The failure of any Lender to make any Loan required to be made by it shall not relieve any other Lender of its obligations hereunder; </w:t>
      </w:r>
      <w:r>
        <w:rPr>
          <w:rFonts w:ascii="Times New Roman" w:hAnsi="Times New Roman"/>
          <w:sz w:val="20"/>
          <w:u w:val="single"/>
        </w:rPr>
        <w:t>provided</w:t>
      </w:r>
      <w:r>
        <w:rPr>
          <w:rFonts w:ascii="Times New Roman" w:hAnsi="Times New Roman"/>
          <w:sz w:val="20"/>
        </w:rPr>
        <w:t xml:space="preserve"> that the Revolving Commitments of the Lenders are several and no Lender shall be responsible for any other Lender’s failure to make Loans as required. Any Protective Advance, any Overadvance and any Swingline Loan shall be made in accordance with the procedures set forth in Sections 2.04 and 2.05.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Section 2.14: (i) each U.S. Borrowing shall be denominated in dollars; (ii) each Canadian Borrowing shall be denominated in dollars or Canadian Dollars; (iii) each U.S. Borrowing denominated in dollars shall be comprised entirely of ABR Loans or SOFR Loans, in each case, as the Borrower Representative may request in accordance herewith; (iv) each Canadian Borrowing denominated in dollars shall be comprised entirely of ABR Loans or SOFR Loans, in each case, as the Borrower Representative may request; and (v) each Canadian Borrowing denominated in Canadian Dollars shall be comprised entirely of Canadian Prime Rate Loans or Canadian CORRA Loans, in each case, as the Borrower Representative may request in accordance herewith. Each Swingline Loan shall be an ABR Loan or a Canadian Prime Rate Loan. Each Lender at its option may make any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 to repay such Loan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At the commencement of each Interest Period for any Term SOFR Revolving Borrowing, such Borrowing shall be in an aggregate amount that is an integral multiple of $1,000,000 and not less than $5,000,000. Daily Simple SOFR Revolving Borrowing shall be in an aggregate amount that is an integral multiple of $1,000,000 and not less than $5,000,000. At the commencement of each Interest Period for any Canadian CORRA Revolving Borrowing, such Borrowing shall be in an aggregate amount that is an integral multiple of $1,000,000 and not less than $5,000,000. ABR Revolving Borrowings and Canadian Prime Rate Revolving Borrowings may be in any amount. Borrowings of more than one Type and Class may be outstanding at the same time; </w:t>
      </w:r>
      <w:r>
        <w:rPr>
          <w:rFonts w:ascii="Times New Roman" w:hAnsi="Times New Roman"/>
          <w:sz w:val="20"/>
          <w:u w:val="single"/>
        </w:rPr>
        <w:t>provided</w:t>
      </w:r>
      <w:r>
        <w:rPr>
          <w:rFonts w:ascii="Times New Roman" w:hAnsi="Times New Roman"/>
          <w:sz w:val="20"/>
        </w:rPr>
        <w:t xml:space="preserve"> that there shall not at any time be more than a total of: (i) </w:t>
      </w:r>
      <w:r>
        <w:rPr>
          <w:rFonts w:ascii="Times New Roman" w:hAnsi="Times New Roman"/>
          <w:strike/>
          <w:color w:val="FF0000"/>
          <w:sz w:val="20"/>
        </w:rPr>
        <w:t>ten</w:t>
      </w:r>
      <w:r>
        <w:rPr>
          <w:rFonts w:ascii="Times New Roman" w:hAnsi="Times New Roman"/>
          <w:color w:val="0000FF"/>
          <w:sz w:val="20"/>
          <w:u w:val="single"/>
          <w:bdr w:val="double" w:sz="2" w:space="1" w:color="000000"/>
        </w:rPr>
        <w:t>twelve</w:t>
      </w:r>
      <w:r>
        <w:rPr>
          <w:rFonts w:ascii="Times New Roman" w:hAnsi="Times New Roman"/>
          <w:sz w:val="20"/>
        </w:rPr>
        <w:t xml:space="preserve"> (</w:t>
      </w:r>
      <w:r>
        <w:rPr>
          <w:rFonts w:ascii="Times New Roman" w:hAnsi="Times New Roman"/>
          <w:strike/>
          <w:color w:val="FF0000"/>
          <w:sz w:val="20"/>
        </w:rPr>
        <w:t>10</w:t>
      </w:r>
      <w:r>
        <w:rPr>
          <w:rFonts w:ascii="Times New Roman" w:hAnsi="Times New Roman"/>
          <w:color w:val="0000FF"/>
          <w:sz w:val="20"/>
          <w:u w:val="single"/>
          <w:bdr w:val="double" w:sz="2" w:space="1" w:color="000000"/>
        </w:rPr>
        <w:t>12</w:t>
      </w:r>
      <w:r>
        <w:rPr>
          <w:rFonts w:ascii="Times New Roman" w:hAnsi="Times New Roman"/>
          <w:sz w:val="20"/>
        </w:rPr>
        <w:t xml:space="preserve"> ) SOFR Borrowings outstanding; and (ii) </w:t>
      </w:r>
      <w:r>
        <w:rPr>
          <w:rFonts w:ascii="Times New Roman" w:hAnsi="Times New Roman"/>
          <w:strike/>
          <w:color w:val="FF0000"/>
          <w:sz w:val="20"/>
        </w:rPr>
        <w:t>eight</w:t>
      </w:r>
      <w:r>
        <w:rPr>
          <w:rFonts w:ascii="Times New Roman" w:hAnsi="Times New Roman"/>
          <w:color w:val="0000FF"/>
          <w:sz w:val="20"/>
          <w:u w:val="single"/>
          <w:bdr w:val="double" w:sz="2" w:space="1" w:color="000000"/>
        </w:rPr>
        <w:t>ten</w:t>
      </w:r>
      <w:r>
        <w:rPr>
          <w:rFonts w:ascii="Times New Roman" w:hAnsi="Times New Roman"/>
          <w:sz w:val="20"/>
        </w:rPr>
        <w:t xml:space="preserve"> (</w:t>
      </w:r>
      <w:r>
        <w:rPr>
          <w:rFonts w:ascii="Times New Roman" w:hAnsi="Times New Roman"/>
          <w:strike/>
          <w:color w:val="FF0000"/>
          <w:sz w:val="20"/>
        </w:rPr>
        <w:t>8</w:t>
      </w:r>
      <w:r>
        <w:rPr>
          <w:rFonts w:ascii="Times New Roman" w:hAnsi="Times New Roman"/>
          <w:color w:val="0000FF"/>
          <w:sz w:val="20"/>
          <w:u w:val="single"/>
          <w:bdr w:val="double" w:sz="2" w:space="1" w:color="000000"/>
        </w:rPr>
        <w:t>10</w:t>
      </w:r>
      <w:r>
        <w:rPr>
          <w:rFonts w:ascii="Times New Roman" w:hAnsi="Times New Roman"/>
          <w:sz w:val="20"/>
        </w:rPr>
        <w:t xml:space="preserve">) Canadian CORRA Borrowings outstanding.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of this Agreement, neither the Borrower Representative nor any Borrower shall be entitled to request, or to elect to convert or continue, any Borrowing if the Interest Period requested with respect thereto would end after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(e) Each U.S. Borrower acknowledges and agrees that it is jointly and severally liable for, and absolutely, unconditionally and irrevocably promises to pay when due, whether at stated maturity, upon acceleration or otherwise, and at all times thereafter, all U.S. Loans and all other U.S. Obligations. Each Canadian Borrower acknowledges and agrees that it is jointly and severally liable for, and absolutely, unconditionally and irrevocably promises to pay when due, whether at stated maturity, upon acceleration or otherwise, and at all times thereafter, all Canadian Loans and all other Canadian Obligations. </w:t>
      </w:r>
    </w:p>
    <w:p>
      <w:pPr>
        <w:pStyle w:val="TextBody"/>
        <w:bidi w:val="0"/>
        <w:spacing w:before="240" w:after="0"/>
        <w:jc w:val="left"/>
        <w:rPr>
          <w:rFonts w:ascii="Times New Roman" w:hAnsi="Times New Roman"/>
          <w:sz w:val="20"/>
        </w:rPr>
      </w:pPr>
      <w:r>
        <w:rPr>
          <w:rFonts w:ascii="Times New Roman" w:hAnsi="Times New Roman"/>
          <w:sz w:val="20"/>
        </w:rPr>
        <w:t xml:space="preserve">(f) All “Loans” and “Letters of Credit” as defined and issued by the Existing Lenders under the Existing Credit Agreement shall be deemed to be Loans and Letters of Credit under and as defined under this Agreement. </w:t>
      </w:r>
    </w:p>
    <w:p>
      <w:pPr>
        <w:pStyle w:val="TextBody"/>
        <w:bidi w:val="0"/>
        <w:spacing w:before="240" w:after="0"/>
        <w:jc w:val="left"/>
        <w:rPr>
          <w:rFonts w:ascii="Times New Roman" w:hAnsi="Times New Roman"/>
          <w:sz w:val="20"/>
        </w:rPr>
      </w:pPr>
      <w:r>
        <w:rPr>
          <w:rFonts w:ascii="Times New Roman" w:hAnsi="Times New Roman"/>
          <w:sz w:val="20"/>
          <w:u w:val="single"/>
        </w:rPr>
        <w:t>SECTION 2.03 Requests for Revolving Borrowings</w:t>
      </w:r>
      <w:r>
        <w:rPr>
          <w:rFonts w:ascii="Times New Roman" w:hAnsi="Times New Roman"/>
          <w:sz w:val="20"/>
        </w:rPr>
        <w:t xml:space="preserve">. To request a Revolving Borrowing, the Borrower Representative shall notify the Administrative Agent of such request either in writing (delivered by hand, facsimile or electronic mail delivery) in a form approved by the Administrative Agent and signed by the Borrower Representative (a) in the case of a SOFR Borrowing, not later than 12:00 p.m., New York City time, three Business Days before the date of the proposed Borrowing (or, in the case of any such Borrowings to be made on the Fourth Restatement Date, two Business Days), (b) in the case of a Canadian CORRA Borrowing, not later than 12:00 p.m., New York City time, three Business Days before the date of the proposed Borrowing, (c) in the case of a ABR Borrowing, not later than 12:00 p.m., New York City time, on the date of the proposed Borrowing, or (d) in the case of a Canadian Prime Rate Borrowing, not later than 10:00 a.m., New York City time, on the date of the proposed Borrowing; </w:t>
      </w:r>
      <w:r>
        <w:rPr>
          <w:rFonts w:ascii="Times New Roman" w:hAnsi="Times New Roman"/>
          <w:sz w:val="20"/>
          <w:u w:val="single"/>
        </w:rPr>
        <w:t>provided</w:t>
      </w:r>
      <w:r>
        <w:rPr>
          <w:rFonts w:ascii="Times New Roman" w:hAnsi="Times New Roman"/>
          <w:sz w:val="20"/>
        </w:rPr>
        <w:t xml:space="preserve"> that any such notice of an ABR Borrowing or a Canadian Prime Rate Borrowing to finance the reimbursement of an LC Disbursement as contemplated by Section 2.06(e) may be given not later than 3:00 p.m., New York City time, on the date of the proposed Borrowing. Such request may be conditioned on the occurrence of one or more events (including, but not limited to, any merger, acquisition, disposition, asset sale or corporate restructuring, financing or reorganization). Each such written Borrowing Request shall specify the following information in compliance with Section 2.01: </w:t>
      </w:r>
    </w:p>
    <w:p>
      <w:pPr>
        <w:pStyle w:val="TextBody"/>
        <w:bidi w:val="0"/>
        <w:spacing w:before="120" w:after="0"/>
        <w:jc w:val="left"/>
        <w:rPr>
          <w:rFonts w:ascii="Times New Roman" w:hAnsi="Times New Roman"/>
          <w:sz w:val="20"/>
        </w:rPr>
      </w:pPr>
      <w:r>
        <w:rPr>
          <w:rFonts w:ascii="Times New Roman" w:hAnsi="Times New Roman"/>
          <w:sz w:val="20"/>
        </w:rPr>
        <w:t xml:space="preserve">(i) the name of the applicable Borrower(s);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aggregate amount of the requested Borrowing and a breakdown of the separate wires comprising such Borrowing; </w:t>
      </w:r>
    </w:p>
    <w:p>
      <w:pPr>
        <w:pStyle w:val="TextBody"/>
        <w:bidi w:val="0"/>
        <w:spacing w:before="120" w:after="0"/>
        <w:jc w:val="left"/>
        <w:rPr>
          <w:rFonts w:ascii="Times New Roman" w:hAnsi="Times New Roman"/>
          <w:sz w:val="20"/>
        </w:rPr>
      </w:pPr>
      <w:r>
        <w:rPr>
          <w:rFonts w:ascii="Times New Roman" w:hAnsi="Times New Roman"/>
          <w:sz w:val="20"/>
        </w:rPr>
        <w:t xml:space="preserve">(iii) the date of such Borrowing,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 Canadian Borrowing, the applicable currency in which the Borrowing will be funded; </w:t>
      </w:r>
    </w:p>
    <w:p>
      <w:pPr>
        <w:pStyle w:val="TextBody"/>
        <w:bidi w:val="0"/>
        <w:spacing w:before="120" w:after="0"/>
        <w:jc w:val="left"/>
        <w:rPr>
          <w:rFonts w:ascii="Times New Roman" w:hAnsi="Times New Roman"/>
          <w:sz w:val="20"/>
        </w:rPr>
      </w:pPr>
      <w:r>
        <w:rPr>
          <w:rFonts w:ascii="Times New Roman" w:hAnsi="Times New Roman"/>
          <w:sz w:val="20"/>
        </w:rPr>
        <w:t xml:space="preserve">(v) whether such Borrowing is to be a ABR Borrowing, a Term SOFR Borrowing, a Daily Simple SOFR Borrowing, a Canadian Prime Rate Borrowing, a Term CORRA Borrowing or a Daily Compounded CORRA Borrowing; and </w:t>
      </w:r>
    </w:p>
    <w:p>
      <w:pPr>
        <w:pStyle w:val="TextBody"/>
        <w:bidi w:val="0"/>
        <w:spacing w:before="120" w:after="0"/>
        <w:jc w:val="left"/>
        <w:rPr>
          <w:rFonts w:ascii="Times New Roman" w:hAnsi="Times New Roman"/>
          <w:sz w:val="20"/>
        </w:rPr>
      </w:pPr>
      <w:r>
        <w:rPr>
          <w:rFonts w:ascii="Times New Roman" w:hAnsi="Times New Roman"/>
          <w:sz w:val="20"/>
        </w:rPr>
        <w:t xml:space="preserve">(vi) in the case of a Term SOFR Borrowing or a Term CORRA Borrowing, the initial Interest Period to be applicable thereto,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no election as to the Type of Revolving Borrowing is specified, then the requested Revolving Borrowing shall be (a) an ABR Borrowing in the case of a U.S. Revolving Loan or Canadian Revolving Loan requested in dollars, or (b) a Canadian Prime Rate Borrowing in the case of a Canadian Revolving Loan requested in Canadian Dollars. If no Interest Period is specified with respect to any requested Term SOFR Revolving Borrowing or Term CORRA Revolving Borrowing, then the applicable Borrower(s) shall be deemed to have selected an Interest Period of one month’s duration. Promptly following receipt of a Borrowing Request in accordance with this Section, the Administrative Agent shall advise each applicable Lender of the details thereof and of the amount of such Lender’s Loan to be made as part of the requested Borrowing. </w:t>
      </w:r>
    </w:p>
    <w:p>
      <w:pPr>
        <w:pStyle w:val="TextBody"/>
        <w:bidi w:val="0"/>
        <w:spacing w:before="240" w:after="0"/>
        <w:jc w:val="left"/>
        <w:rPr>
          <w:rFonts w:ascii="Times New Roman" w:hAnsi="Times New Roman"/>
          <w:sz w:val="20"/>
        </w:rPr>
      </w:pPr>
      <w:r>
        <w:rPr>
          <w:rFonts w:ascii="Times New Roman" w:hAnsi="Times New Roman"/>
          <w:sz w:val="20"/>
          <w:u w:val="single"/>
        </w:rPr>
        <w:t>SECTION 2.04 Protective Advances</w:t>
      </w:r>
      <w:r>
        <w:rPr>
          <w:rFonts w:ascii="Times New Roman" w:hAnsi="Times New Roman"/>
          <w:sz w:val="20"/>
        </w:rPr>
        <w:t>. (a) Subject to the limitations set forth below, the Administrative Agent is authorized by the Borrowers and the Lenders, from time to time in the Administrative Agent’s sole discretion (but shall have absolutely no obligation to), to make Loans to the U.S. Borrowers in dollars, on behalf of the U.S. Lenders (each such Loan, a “</w:t>
      </w:r>
      <w:r>
        <w:rPr>
          <w:rFonts w:ascii="Times New Roman" w:hAnsi="Times New Roman"/>
          <w:sz w:val="20"/>
          <w:u w:val="single"/>
        </w:rPr>
        <w:t>U.S. Protective Advance</w:t>
      </w:r>
      <w:r>
        <w:rPr>
          <w:rFonts w:ascii="Times New Roman" w:hAnsi="Times New Roman"/>
          <w:sz w:val="20"/>
        </w:rPr>
        <w:t>”) and Loans to the Canadian Borrowers in Canadian Dollars or dollars, on behalf of the Canadian Lenders (each such Loan, a “</w:t>
      </w:r>
      <w:r>
        <w:rPr>
          <w:rFonts w:ascii="Times New Roman" w:hAnsi="Times New Roman"/>
          <w:sz w:val="20"/>
          <w:u w:val="single"/>
        </w:rPr>
        <w:t>Canadian Protective Advance</w:t>
      </w:r>
      <w:r>
        <w:rPr>
          <w:rFonts w:ascii="Times New Roman" w:hAnsi="Times New Roman"/>
          <w:sz w:val="20"/>
        </w:rPr>
        <w:t xml:space="preserve">”), which the Administrative Agent in its Permitted Discretion, deems necessary or desirable (A) to preserve or protect the Collateral, or any portion thereof, (B) to enhance the likelihood of, or maximize the amount of, repayment of the Loans and other Obligations, or (C) to pay any other amount chargeable to or required to be paid by the applicable Borrower pursuant to the terms of this Agreement, including payments of reimbursable expenses (including costs, fees, and expenses as described in Section 9.03) and other sums payable under the Loan Documents; </w:t>
      </w:r>
      <w:r>
        <w:rPr>
          <w:rFonts w:ascii="Times New Roman" w:hAnsi="Times New Roman"/>
          <w:sz w:val="20"/>
          <w:u w:val="single"/>
        </w:rPr>
        <w:t>provided</w:t>
      </w:r>
      <w:r>
        <w:rPr>
          <w:rFonts w:ascii="Times New Roman" w:hAnsi="Times New Roman"/>
          <w:sz w:val="20"/>
        </w:rPr>
        <w:t xml:space="preserve"> that, (x) the aggregate amount of U.S. Protective Advances outstanding at any time shall not exceed $27,500,000 and (y) the aggregate amount of Canadian Protective Advances outstanding at any time shall not exceed $27,500,000, </w:t>
      </w:r>
      <w:r>
        <w:rPr>
          <w:rFonts w:ascii="Times New Roman" w:hAnsi="Times New Roman"/>
          <w:sz w:val="20"/>
          <w:u w:val="single"/>
        </w:rPr>
        <w:t>provided</w:t>
      </w:r>
      <w:r>
        <w:rPr>
          <w:rFonts w:ascii="Times New Roman" w:hAnsi="Times New Roman"/>
          <w:sz w:val="20"/>
        </w:rPr>
        <w:t xml:space="preserve"> further that, (1) the aggregate amount of outstanding U.S. Protective Advances in favor of the U.S. Borrowers </w:t>
      </w:r>
      <w:r>
        <w:rPr>
          <w:rFonts w:ascii="Times New Roman" w:hAnsi="Times New Roman"/>
          <w:sz w:val="20"/>
          <w:u w:val="single"/>
        </w:rPr>
        <w:t>plus</w:t>
      </w:r>
      <w:r>
        <w:rPr>
          <w:rFonts w:ascii="Times New Roman" w:hAnsi="Times New Roman"/>
          <w:sz w:val="20"/>
        </w:rPr>
        <w:t xml:space="preserve"> the aggregate U.S. Revolving Exposure shall not exceed (I) the aggregate U.S. Commitments </w:t>
      </w:r>
      <w:r>
        <w:rPr>
          <w:rFonts w:ascii="Times New Roman" w:hAnsi="Times New Roman"/>
          <w:sz w:val="20"/>
          <w:u w:val="single"/>
        </w:rPr>
        <w:t>minus</w:t>
      </w:r>
      <w:r>
        <w:rPr>
          <w:rFonts w:ascii="Times New Roman" w:hAnsi="Times New Roman"/>
          <w:sz w:val="20"/>
        </w:rPr>
        <w:t xml:space="preserve"> (II) the sum of (X) the Priority Payables Reserve, (Y) the Rent Reserve and (Z) the Wage Earner Protection Act Reserve, (2) the aggregate amount of outstanding Canadian Protective Advances in favor of the Canadian Borrowers </w:t>
      </w:r>
      <w:r>
        <w:rPr>
          <w:rFonts w:ascii="Times New Roman" w:hAnsi="Times New Roman"/>
          <w:sz w:val="20"/>
          <w:u w:val="single"/>
        </w:rPr>
        <w:t>plus</w:t>
      </w:r>
      <w:r>
        <w:rPr>
          <w:rFonts w:ascii="Times New Roman" w:hAnsi="Times New Roman"/>
          <w:sz w:val="20"/>
        </w:rPr>
        <w:t xml:space="preserve"> the aggregate Canadian Revolving Exposure shall not exceed the (I) aggregate Canadian Commitments </w:t>
      </w:r>
      <w:r>
        <w:rPr>
          <w:rFonts w:ascii="Times New Roman" w:hAnsi="Times New Roman"/>
          <w:sz w:val="20"/>
          <w:u w:val="single"/>
        </w:rPr>
        <w:t>minus</w:t>
      </w:r>
      <w:r>
        <w:rPr>
          <w:rFonts w:ascii="Times New Roman" w:hAnsi="Times New Roman"/>
          <w:sz w:val="20"/>
        </w:rPr>
        <w:t xml:space="preserve"> (II) the sum of (X) the Priority Payables Reserve, (Y) the Rent Reserve and (Z) the Wage Earner Protection Act Reserve, (3) the aggregate amount of all outstanding Protective Advances </w:t>
      </w:r>
      <w:r>
        <w:rPr>
          <w:rFonts w:ascii="Times New Roman" w:hAnsi="Times New Roman"/>
          <w:sz w:val="20"/>
          <w:u w:val="single"/>
        </w:rPr>
        <w:t>plus</w:t>
      </w:r>
      <w:r>
        <w:rPr>
          <w:rFonts w:ascii="Times New Roman" w:hAnsi="Times New Roman"/>
          <w:sz w:val="20"/>
        </w:rPr>
        <w:t xml:space="preserve"> the Aggregate Revolving Exposure shall not exceed (I) the Aggregate Revolving Commitments </w:t>
      </w:r>
      <w:r>
        <w:rPr>
          <w:rFonts w:ascii="Times New Roman" w:hAnsi="Times New Roman"/>
          <w:sz w:val="20"/>
          <w:u w:val="single"/>
        </w:rPr>
        <w:t>minus</w:t>
      </w:r>
      <w:r>
        <w:rPr>
          <w:rFonts w:ascii="Times New Roman" w:hAnsi="Times New Roman"/>
          <w:sz w:val="20"/>
        </w:rPr>
        <w:t xml:space="preserve"> (II) the sum of (X) the Priority Payables Reserve, (Y) the Rent Reserve and (Z) the Wage Earner Protection Act Reserve, (4) the sum of (I) the aggregate amount of all outstanding Protective Advances </w:t>
      </w:r>
      <w:r>
        <w:rPr>
          <w:rFonts w:ascii="Times New Roman" w:hAnsi="Times New Roman"/>
          <w:sz w:val="20"/>
          <w:u w:val="single"/>
        </w:rPr>
        <w:t>plus</w:t>
      </w:r>
      <w:r>
        <w:rPr>
          <w:rFonts w:ascii="Times New Roman" w:hAnsi="Times New Roman"/>
          <w:sz w:val="20"/>
        </w:rPr>
        <w:t xml:space="preserve"> (II) the aggregate amount of all outstanding Overadvances shall not exceed $110,000,000, and (5) a Protective Advance shall not be made if such Protective Advance would cause the sum of (I) any Lender’s Revolving Exposure </w:t>
      </w:r>
      <w:r>
        <w:rPr>
          <w:rFonts w:ascii="Times New Roman" w:hAnsi="Times New Roman"/>
          <w:sz w:val="20"/>
          <w:u w:val="single"/>
        </w:rPr>
        <w:t>plus</w:t>
      </w:r>
      <w:r>
        <w:rPr>
          <w:rFonts w:ascii="Times New Roman" w:hAnsi="Times New Roman"/>
          <w:sz w:val="20"/>
        </w:rPr>
        <w:t xml:space="preserve"> (II) such Lender’s Applicable Percentage (determined for purposes of this clause (II) in accordance with clause (a) of the definition of Applicable Percentage set forth in Section 1.01) of all outstanding Protective Advances to exceed such Lender’s Revolving Commitment. Protective Advances may be made even if the conditions precedent set forth in Section 4.02 have not been satisfied. The (i) U.S. Protective Advances shall be secured by the Liens in favor of the Administrative Agent (for the benefit of the Lender Parties) in and to the Collateral of the U.S. Loan Parties; and (ii) Canadian Protective Advances shall be secured by the Liens in favor of the Administrative Agent (for the benefit of the Canadian Lender Parties) in and to the Collateral of the Loan Parties. All U.S. Protective Advances shall constitute U.S. Obligations and all Canadian Protective Advances shall constitute Canadian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All U.S. Protective Advances and Canadian Protective Advances denominated in dollars shall be ABR Borrowings, and all Canadian Protective Advances denominated in Canadian Dollars shall be Canadian Prime Rate Borrowings.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(I) U.S. Availability and the conditions precedent set forth in Section 4.02 have been satisfied, the Administrative Agent may request the U.S. Lenders to make a U.S. Revolving Loan to repay a U.S. Protective Advance; and (II) Canadian Availability and the conditions precedent set forth in Section 4.02 have been satisfied, the Administrative Agent may request the Canadian Lenders to make a Canadian Revolving Loan, in the currency in which the applicable Canadian Protective Advance was denominated, to repay a Canadian Protective Advance. At any other time the Administrative Agent may require the Lenders to fund, in the currency in which the applicable Protective Advance was denominated, their risk participations described in Section 2.04(b). </w:t>
      </w:r>
    </w:p>
    <w:p>
      <w:pPr>
        <w:pStyle w:val="TextBody"/>
        <w:bidi w:val="0"/>
        <w:spacing w:before="240" w:after="0"/>
        <w:jc w:val="left"/>
        <w:rPr>
          <w:rFonts w:ascii="Times New Roman" w:hAnsi="Times New Roman"/>
          <w:sz w:val="20"/>
        </w:rPr>
      </w:pPr>
      <w:r>
        <w:rPr>
          <w:rFonts w:ascii="Times New Roman" w:hAnsi="Times New Roman"/>
          <w:sz w:val="20"/>
        </w:rPr>
        <w:t xml:space="preserve">(b) Upon the making of a U.S. Protective Advance by the Administrative Agent (whether before or after the occurrence of a Default), each U.S. Lender shall be deemed, without further action by any party hereto, to have unconditionally and irrevocably purchased from the Administrative Agent without recourse or warranty, an undivided interest and participation in such U.S. Protective Advance in proportion to its Applicable Percentage. Upon the making of a Canadian Protective Advance by the Administrative Agent (whether before or after the occurrence of a Default), each Canadian Lender shall be deemed, without further action by any party hereto, to have unconditionally and irrevocably purchased from the Administrative Agent without recourse or warranty, an undivided interest and participation in such Canadian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 </w:t>
      </w:r>
    </w:p>
    <w:p>
      <w:pPr>
        <w:pStyle w:val="TextBody"/>
        <w:bidi w:val="0"/>
        <w:spacing w:before="240" w:after="0"/>
        <w:jc w:val="left"/>
        <w:rPr>
          <w:rFonts w:ascii="Times New Roman" w:hAnsi="Times New Roman"/>
          <w:sz w:val="20"/>
        </w:rPr>
      </w:pPr>
      <w:r>
        <w:rPr>
          <w:rFonts w:ascii="Times New Roman" w:hAnsi="Times New Roman"/>
          <w:sz w:val="20"/>
          <w:u w:val="single"/>
        </w:rPr>
        <w:t>SECTION 2.05 Swingline Loans and Overadvances</w:t>
      </w:r>
      <w:r>
        <w:rPr>
          <w:rFonts w:ascii="Times New Roman" w:hAnsi="Times New Roman"/>
          <w:sz w:val="20"/>
        </w:rPr>
        <w:t>. (a) The Administrative Agent, the Swingline Lender and the Lenders agree that in order to facilitate the administration of this Agreement and the other Loan Documents, promptly after the Borrower Representative requests that an ABR Borrowing be made to the U.S. Borrowers, the Swingline Lender may elect to have the terms of this Section 2.05(a) apply to such Borrowing Request by advancing, on behalf of the U.S. Lenders and in the amount requested, same day funds to the U.S. Borrowers, on the date of the applicable Borrowing to the Funding Account(s) (each such Loan made solely by the Swingline Lender pursuant to this Section 2.05(a) is referred to in this Agreement as a “</w:t>
      </w:r>
      <w:r>
        <w:rPr>
          <w:rFonts w:ascii="Times New Roman" w:hAnsi="Times New Roman"/>
          <w:sz w:val="20"/>
          <w:u w:val="single"/>
        </w:rPr>
        <w:t>U.S. Swingline Loan</w:t>
      </w:r>
      <w:r>
        <w:rPr>
          <w:rFonts w:ascii="Times New Roman" w:hAnsi="Times New Roman"/>
          <w:sz w:val="20"/>
        </w:rPr>
        <w:t>”), with settlement among them as to the U.S. Swingline Loans to take place on a periodic basis as set forth in Section 2.05(g). Each U.S. Swingline Loan shall be subject to all the terms and conditions applicable to other ABR Loans funded by the U.S. Lenders, except that all payments thereon shall be payable to the Swingline Lender solely for its own account. The aggregate amount of U.S. Swingline Loans outstanding at any time shall not exceed $</w:t>
      </w:r>
      <w:r>
        <w:rPr>
          <w:rFonts w:ascii="Times New Roman" w:hAnsi="Times New Roman"/>
          <w:strike/>
          <w:color w:val="FF0000"/>
          <w:sz w:val="20"/>
        </w:rPr>
        <w:t>250,000,000</w:t>
      </w:r>
      <w:r>
        <w:rPr>
          <w:rFonts w:ascii="Times New Roman" w:hAnsi="Times New Roman"/>
          <w:color w:val="0000FF"/>
          <w:sz w:val="20"/>
          <w:u w:val="single"/>
          <w:bdr w:val="double" w:sz="2" w:space="1" w:color="000000"/>
        </w:rPr>
        <w:t>300,000,000</w:t>
      </w:r>
      <w:r>
        <w:rPr>
          <w:rFonts w:ascii="Times New Roman" w:hAnsi="Times New Roman"/>
          <w:sz w:val="20"/>
        </w:rPr>
        <w:t xml:space="preserve"> . The Swingline Lender shall not make any U.S. Swingline Loan if, after giving effect to such U.S. Swingline Loan (i) U.S. Availability would be less than zero or (ii) Aggregate Availability would be less than zero. All U.S. Swingline Loans shall be ABR Borrowings. </w:t>
      </w:r>
    </w:p>
    <w:p>
      <w:pPr>
        <w:pStyle w:val="TextBody"/>
        <w:bidi w:val="0"/>
        <w:spacing w:before="240" w:after="0"/>
        <w:jc w:val="left"/>
        <w:rPr>
          <w:rFonts w:ascii="Times New Roman" w:hAnsi="Times New Roman"/>
          <w:sz w:val="20"/>
        </w:rPr>
      </w:pPr>
      <w:r>
        <w:rPr>
          <w:rFonts w:ascii="Times New Roman" w:hAnsi="Times New Roman"/>
          <w:sz w:val="20"/>
        </w:rPr>
        <w:t>(b) The Administrative Agent, the Swingline Lender and the Lenders agree that in order to facilitate the administration of this Agreement and the other Loan Documents, promptly after the Borrower Representative requests that a Canadian Prime Rate Borrowing be made to the Canadian Borrowers, the Swingline Lender may elect to have the terms of this Section 2.05(b) apply to such Borrowing Request by advancing, on behalf of the Canadian Lenders and in the amount requested, same day funds to the Canadian Borrowers, on the date of the applicable Borrowing to the Funding Account(s) (each such Loan made solely by the Swingline Lender pursuant to this Section 2.05(b) is referred to in this Agreement as a “</w:t>
      </w:r>
      <w:r>
        <w:rPr>
          <w:rFonts w:ascii="Times New Roman" w:hAnsi="Times New Roman"/>
          <w:sz w:val="20"/>
          <w:u w:val="single"/>
        </w:rPr>
        <w:t>Canadian Swingline Loan</w:t>
      </w:r>
      <w:r>
        <w:rPr>
          <w:rFonts w:ascii="Times New Roman" w:hAnsi="Times New Roman"/>
          <w:sz w:val="20"/>
        </w:rPr>
        <w:t xml:space="preserve">”), with settlement among them as to the Canadian Swingline Loans to take place on a periodic basis as set forth in Section 2.05(g). Each Canadian Swingline Loan shall be subject to all the terms and conditions applicable to other Canadian Prime Rate Loans funded by the Canadian Lenders, except that all payments thereon shall be payable to the Swingline Lender solely for its own account. The aggregate amount of Canadian Swingline Loans outstanding at any time shall not exceed $50,000,000. The Swingline Lender shall not make any Canadian Swingline Loan if, after giving effect to such Swingline Loan (i) Canadian Availability would be less than zero or (ii) Aggregate Availability would be less than zero. All Canadian Swingline Loans shall be Canadian Borrowings.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Any provision of this Agreement to the contrary notwithstanding, at the request of the Borrower Representative, the Administrative Agent may in its sole discretion (but with absolutely no obligation), make U.S. Revolving Loans to the U.S. Borrowers, on behalf of the U.S. Lenders, in amounts that exceed U.S. Availability (any such excess U.S. Revolving Loans are herein referred to collectively as “</w:t>
      </w:r>
      <w:r>
        <w:rPr>
          <w:rFonts w:ascii="Times New Roman" w:hAnsi="Times New Roman"/>
          <w:sz w:val="20"/>
          <w:u w:val="single"/>
        </w:rPr>
        <w:t>U.S. Overadvances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U.S. Overadvance shall result in a Default due to U.S. Borrowers’ failure to comply with Section 2.01 for so long as such U.S. Overadvance remains outstanding in accordance with the terms of this paragraph, but solely with respect to the amount of such U.S. Overadvance. In addition, U.S. Overadvances may be made even if the condition precedent set forth in Section 4.02(c) has not been satisfied, it being understood that the conditions precedent set forth in Sections 4.02(a) and (b) shall continue to apply (subject to the proviso set forth in the immediately preceding sentence). All U.S. Overadvances shall constitute ABR Borrowings. The authority of the Administrative Agent to make U.S. Overadvances is limited to an aggregate amount not to exceed $60,000,000 at any time, no U.S. Overadvance may remain outstanding for more than forty-five (45) days, no U.S. Overadvance shall cause any U.S. Lender’s U.S. Revolving Exposure or Revolving Exposure to exceed its U.S. Commitment or Revolving Commitment (as applicable), no U.S. Overadvance shall cause the Aggregate Revolving Exposure to exceed (i) the Aggregate Revolving Commitments </w:t>
      </w:r>
      <w:r>
        <w:rPr>
          <w:rFonts w:ascii="Times New Roman" w:hAnsi="Times New Roman"/>
          <w:sz w:val="20"/>
          <w:u w:val="single"/>
        </w:rPr>
        <w:t>minus</w:t>
      </w:r>
      <w:r>
        <w:rPr>
          <w:rFonts w:ascii="Times New Roman" w:hAnsi="Times New Roman"/>
          <w:sz w:val="20"/>
        </w:rPr>
        <w:t xml:space="preserve"> (ii) the sum of (A) the Priority Payables Reserve, (B) the Rent Reserve and (C) the Wage Earner Protection Act Reserve and no U.S. Overadvance shall cause the sum of (x) the aggregate amount of all outstanding Overadvances </w:t>
      </w:r>
      <w:r>
        <w:rPr>
          <w:rFonts w:ascii="Times New Roman" w:hAnsi="Times New Roman"/>
          <w:sz w:val="20"/>
          <w:u w:val="single"/>
        </w:rPr>
        <w:t>plus</w:t>
      </w:r>
      <w:r>
        <w:rPr>
          <w:rFonts w:ascii="Times New Roman" w:hAnsi="Times New Roman"/>
          <w:sz w:val="20"/>
        </w:rPr>
        <w:t xml:space="preserve"> (y) the aggregate amount of all outstanding Protective Advances to exceed $110,000,000 </w:t>
      </w:r>
      <w:r>
        <w:rPr>
          <w:rFonts w:ascii="Times New Roman" w:hAnsi="Times New Roman"/>
          <w:sz w:val="20"/>
          <w:u w:val="single"/>
        </w:rPr>
        <w:t>provided</w:t>
      </w:r>
      <w:r>
        <w:rPr>
          <w:rFonts w:ascii="Times New Roman" w:hAnsi="Times New Roman"/>
          <w:sz w:val="20"/>
        </w:rPr>
        <w:t xml:space="preserve"> that, the Supermajority Revolving Lenders may at any time revoke the Administrative Agent’s authorization to make U.S. Overadvances. Any such revocation must be in writing and shall become effective prospectively upon the Administrative Agent’s receipt thereof. </w:t>
      </w:r>
    </w:p>
    <w:p>
      <w:pPr>
        <w:pStyle w:val="TextBody"/>
        <w:bidi w:val="0"/>
        <w:spacing w:before="240" w:after="0"/>
        <w:jc w:val="left"/>
        <w:rPr>
          <w:rFonts w:ascii="Times New Roman" w:hAnsi="Times New Roman"/>
          <w:sz w:val="20"/>
        </w:rPr>
      </w:pPr>
      <w:r>
        <w:rPr>
          <w:rFonts w:ascii="Times New Roman" w:hAnsi="Times New Roman"/>
          <w:sz w:val="20"/>
        </w:rPr>
        <w:t>(d) Any provision of this Agreement to the contrary notwithstanding, at the request of the Borrower Representative, the Administrative Agent may in its sole discretion (but with absolutely no obligation), make Canadian Revolving Loans to the Canadian Borrowers, on behalf of the Canadian Lenders, in amounts that exceed Canadian Availability (any such excess Canadian Revolving Loans are herein referred to collectively as “</w:t>
      </w:r>
      <w:r>
        <w:rPr>
          <w:rFonts w:ascii="Times New Roman" w:hAnsi="Times New Roman"/>
          <w:sz w:val="20"/>
          <w:u w:val="single"/>
        </w:rPr>
        <w:t>Canadian Overadvances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Canadian Overadvance shall result in a Default due to Canadian Borrowers’ failure to comply with Section 2.01 for so long as such Canadian Overadvance remains outstanding in accordance with the terms of this paragraph, but solely with respect to the amount of such Canadian Overadvance. In addition, Canadian Overadvances may be made even if the condition precedent set forth in Section 4.02(c) has not been satisfied, it being understood that the conditions precedent set forth in Sections 4.02(a) and (b) shall continue to apply (subject to the proviso set forth in the immediately preceding sentence). All Canadian Overadvances shall constitute ABR Borrowings or Canadian Prime Rate Borrowings. The authority of the Administrative Agent to make Canadian Overadvances is limited to an aggregate amount not to exceed $50,000,000 at any time, no Canadian Overadvance may remain outstanding for more than forty-five (45) days, no Canadian Overadvance shall cause any Canadian Lender’s Canadian Revolving Exposure or Revolving Exposure to exceed its Canadian Commitment or Revolving Commitment (as applicable), no Canadian Overadvance shall cause the Aggregate Revolving Exposure to exceed (i) the Aggregate Revolving Commitments </w:t>
      </w:r>
      <w:r>
        <w:rPr>
          <w:rFonts w:ascii="Times New Roman" w:hAnsi="Times New Roman"/>
          <w:sz w:val="20"/>
          <w:u w:val="single"/>
        </w:rPr>
        <w:t>minus</w:t>
      </w:r>
      <w:r>
        <w:rPr>
          <w:rFonts w:ascii="Times New Roman" w:hAnsi="Times New Roman"/>
          <w:sz w:val="20"/>
        </w:rPr>
        <w:t xml:space="preserve"> (ii) the sum of (A) the Priority Payables Reserve, (B) the Rent Reserve and (C) the Wage Earners Protection Act Reserve, and no Canadian Overadvance shall cause the sum of (x) the aggregate amount of all outstanding Overadvances </w:t>
      </w:r>
      <w:r>
        <w:rPr>
          <w:rFonts w:ascii="Times New Roman" w:hAnsi="Times New Roman"/>
          <w:sz w:val="20"/>
          <w:u w:val="single"/>
        </w:rPr>
        <w:t>plus</w:t>
      </w:r>
      <w:r>
        <w:rPr>
          <w:rFonts w:ascii="Times New Roman" w:hAnsi="Times New Roman"/>
          <w:sz w:val="20"/>
        </w:rPr>
        <w:t xml:space="preserve"> (y) the aggregate amount of all outstanding Protective Advances to exceed $110,000,000 </w:t>
      </w:r>
      <w:r>
        <w:rPr>
          <w:rFonts w:ascii="Times New Roman" w:hAnsi="Times New Roman"/>
          <w:sz w:val="20"/>
          <w:u w:val="single"/>
        </w:rPr>
        <w:t>provided</w:t>
      </w:r>
      <w:r>
        <w:rPr>
          <w:rFonts w:ascii="Times New Roman" w:hAnsi="Times New Roman"/>
          <w:sz w:val="20"/>
        </w:rPr>
        <w:t xml:space="preserve"> that, the Supermajority Revolving Lenders may at any time revoke the Administrative Agent’s authorization to make Canadian Overadvances. Any such revocation must be in writing and shall become effective prospectively upon the Administrative Agent’s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(e) Upon the making of a U.S. Swingline Loan or a U.S. Overadvance (whether before or after the occurrence of a Default and regardless of whether a Settlement has been requested with respect to such U.S. Swingline Loan or U.S. Overadvance), each U.S. Lender shall be deemed, without further action by any party hereto, to have unconditionally and irrevocably purchased from the Swingline Lender or the Administrative Agent, as the case may be, without recourse or warranty, an undivided interest and participation in such U.S. Swingline Loan or U.S. Overadvance equal in amount to such U.S. Lender’s Applicable Percentage of such U.S. Swingline Loan or U.S. Overadvance. The Swingline Lender or the Administrative Agent may, at any time, require the U.S. Lenders to fund their participations in U.S. Swingline Loans or U.S. Overadvances. From and after the date, if any, on which any U.S. Lender is required to fund its participation in any U.S. Swingline Loan or U.S. Overadvance purchased hereunder, the Administrative Agent shall promptly distribute to such U.S. Lender, such U.S. Lender’s Applicable Percentage of all payments of principal and interest and all proceeds of Collateral received by the Administrative Agent in respect of such U.S. Swingline Loan or U.S. Overadvance.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Upon the making of a Canadian Swingline Loan or a Canadian Overadvance (whether before or after the occurrence of a Default and regardless of whether a Settlement has been requested with respect to such Canadian Swingline Loan or Canadian Overadvance), each Canadian Lender shall be deemed, without further action by any party hereto, to have unconditionally and irrevocably purchased from the Swingline Lender or the Administrative Agent, as the case may be, without recourse or warranty, an undivided interest and participation in such Canadian Swingline Loan or Canadian Overadvance equal in amount to such Canadian Lender’s Applicable Percentage of such Canadian Swingline Loan or Canadian Overadvance. The Swingline Lender or the Administrative Agent may, at any time, require the Canadian Lenders to fund their participations in Canadian Swingline Loans or Canadian Overadvances. From and after the date, if any, on which any Canadian Lender is required to fund its participation in any Canadian Swingline Loan or Canadian Overadvance purchased hereunder, the Administrative Agent shall promptly distribute to such Canadian Lender, such Canadian Lender’s Applicable Percentage of all payments of principal and interest and all proceeds of Collateral received by the Administrative Agent in respect of such Canadian Swingline Loan or Canadian Overadvance, as the case may be. </w:t>
      </w:r>
    </w:p>
    <w:p>
      <w:pPr>
        <w:pStyle w:val="TextBody"/>
        <w:bidi w:val="0"/>
        <w:spacing w:before="240" w:after="0"/>
        <w:jc w:val="left"/>
        <w:rPr>
          <w:rFonts w:ascii="Times New Roman" w:hAnsi="Times New Roman"/>
          <w:sz w:val="20"/>
        </w:rPr>
      </w:pPr>
      <w:r>
        <w:rPr>
          <w:rFonts w:ascii="Times New Roman" w:hAnsi="Times New Roman"/>
          <w:sz w:val="20"/>
        </w:rPr>
        <w:t>(g) The Administrative Agent, on behalf of the Swingline Lender shall request settlement (a “</w:t>
      </w:r>
      <w:r>
        <w:rPr>
          <w:rFonts w:ascii="Times New Roman" w:hAnsi="Times New Roman"/>
          <w:sz w:val="20"/>
          <w:u w:val="single"/>
        </w:rPr>
        <w:t>Settlement</w:t>
      </w:r>
      <w:r>
        <w:rPr>
          <w:rFonts w:ascii="Times New Roman" w:hAnsi="Times New Roman"/>
          <w:sz w:val="20"/>
        </w:rPr>
        <w:t>”) with the U.S. Lenders or Canadian Lenders, as applicable, on at least a weekly basis or on any more frequent date that the Administrative Agent elects, by notifying the applicable Revolving Lenders of such requested Settlement by facsimile, telephone, or electronic mail no later than 12:00 p.m., New York City time, on the date of such requested Settlement (the “</w:t>
      </w:r>
      <w:r>
        <w:rPr>
          <w:rFonts w:ascii="Times New Roman" w:hAnsi="Times New Roman"/>
          <w:sz w:val="20"/>
          <w:u w:val="single"/>
        </w:rPr>
        <w:t>Settlement Date</w:t>
      </w:r>
      <w:r>
        <w:rPr>
          <w:rFonts w:ascii="Times New Roman" w:hAnsi="Times New Roman"/>
          <w:sz w:val="20"/>
        </w:rPr>
        <w:t xml:space="preserve">”). With respect to Settlements involving U.S. Loans, each U.S. Lender (other than the Swingline Lender, in the case of the U.S. Swingline Loans) shall transfer in dollars the amount of such U.S. Lender’s Applicable Percentage of the outstanding principal amount of the applicable Loan with respect to which Settlement is requested to the Administrative Agent, to an account of the Administrative Agent as the Administrative Agent may designate, not later than 1:00 p.m., New York City time, on such Settlement Date. With respect to Settlements involving Canadian Loans, each Canadian Lender (other than the Swingline Lender, in the case of the Canadian Swingline Loans) shall transfer, in the currency in which the applicable Loan was denominated, the amount of such Canadian Lender’s Applicable Percentage of the outstanding principal amount of the applicable Loan with respect to which Settlement is requested to the Administrative Agent, to an account of the Administrative Agent as the Administrative Agent may designate, not later than 1:00 p.m., New York City time, on such Settlement Date. Settlements may occur during the existence of a Default and whether or not the applicable conditions precedent set forth in Section 4.02 have then been satisfied. Such amounts transferred to the Administrative Agent shall be applied against, as applicable, (i) the amounts of the Swingline Lender’s U.S. Swingline Loans (and, together with Swingline Lender’s Applicable Percentage of such U.S. Swingline Loan, shall constitute U.S. Revolving Loans of such U.S. Lenders, respectively) and (ii) the amounts of the Swingline Lender’s Canadian Swingline Loans (and, together with Swingline Lender’s Applicable Percentage of such Canadian Swingline Loan, shall constitute Canadian Revolving Loans of such Canadian Lenders, respectively). If any such amount is not transferred to the Administrative Agent by any Revolving Lender on such Settlement Date, the applicable Swingline Lender shall be entitled to recover such amount on demand from such Lender together with interest thereon as specified in Section 2.07. </w:t>
      </w:r>
    </w:p>
    <w:p>
      <w:pPr>
        <w:pStyle w:val="TextBody"/>
        <w:bidi w:val="0"/>
        <w:spacing w:before="240" w:after="0"/>
        <w:jc w:val="left"/>
        <w:rPr>
          <w:rFonts w:ascii="Times New Roman" w:hAnsi="Times New Roman"/>
          <w:sz w:val="20"/>
        </w:rPr>
      </w:pPr>
      <w:r>
        <w:rPr>
          <w:rFonts w:ascii="Times New Roman" w:hAnsi="Times New Roman"/>
          <w:sz w:val="20"/>
          <w:u w:val="single"/>
        </w:rPr>
        <w:t>SECTION 2.06 Letters of Credit</w:t>
      </w:r>
      <w:r>
        <w:rPr>
          <w:rFonts w:ascii="Times New Roman" w:hAnsi="Times New Roman"/>
          <w:sz w:val="20"/>
        </w:rPr>
        <w:t>. (a)</w:t>
      </w:r>
      <w:r>
        <w:rPr>
          <w:rFonts w:ascii="Times New Roman" w:hAnsi="Times New Roman"/>
          <w:sz w:val="20"/>
          <w:u w:val="single"/>
        </w:rPr>
        <w:t> General Terms; Issuing Bank Commitments; Requests for Letters of Credit</w:t>
      </w:r>
      <w:r>
        <w:rPr>
          <w:rFonts w:ascii="Times New Roman" w:hAnsi="Times New Roman"/>
          <w:sz w:val="20"/>
        </w:rPr>
        <w:t xml:space="preserve">. Subject to the terms and conditions set forth herein, the Borrower Representative may request the issuance of, and each Issuing Bank agrees, subject to its LC Individual Sublimit and in reliance upon the agreements of the Borrowers and the Lenders set forth in this Section 2.06 and elsewhere in the Agreement, to issue, Letters of Credit (denominated in dollars or in an LC Alternative Currency in the case of U.S. Letters of Credit and denominated in dollars or Canadian Dollars in the case of Canadian Letters of Credit) for the account of a Borrower or for the account of a Restricted Subsidiary, in a form reasonably acceptable to the applicable Issuing Bank and the Administrative Agent, at any time and from time to time during the Availability Period; </w:t>
      </w:r>
      <w:r>
        <w:rPr>
          <w:rFonts w:ascii="Times New Roman" w:hAnsi="Times New Roman"/>
          <w:sz w:val="20"/>
          <w:u w:val="single"/>
        </w:rPr>
        <w:t>provided</w:t>
      </w:r>
      <w:r>
        <w:rPr>
          <w:rFonts w:ascii="Times New Roman" w:hAnsi="Times New Roman"/>
          <w:sz w:val="20"/>
        </w:rPr>
        <w:t xml:space="preserve"> that, (i) unless expressly agreed by Barclays in writing, Barclays, in its capacity as an Issuing Bank shall only be required to issue standby Letters of Credit and (ii) unless expressly agreed in writing by Goldman Sachs Bank USA, Goldman Sachs Bank USA shall only be required to issue standby Letters of Credit, </w:t>
      </w:r>
      <w:r>
        <w:rPr>
          <w:rFonts w:ascii="Times New Roman" w:hAnsi="Times New Roman"/>
          <w:sz w:val="20"/>
          <w:u w:val="single"/>
        </w:rPr>
        <w:t>provided</w:t>
      </w:r>
      <w:r>
        <w:rPr>
          <w:rFonts w:ascii="Times New Roman" w:hAnsi="Times New Roman"/>
          <w:sz w:val="20"/>
        </w:rPr>
        <w:t xml:space="preserve"> further that (i) with respect to any Letter of Credit issued for the account of (x) a Domestic Subsidiary that is not a Borrower or (y) a Foreign Subsidiary, one or more of the U.S. Borrowers shall be the applicant or co-applicant with respect to such Letter of Credit, (ii) with regard to any Letter of Credit issued for the account of a Canadian Subsidiary that is not a Borrower, one or more of the Canadian Borrowers shall be the applicant or co-applicant with respect to such Letter of Credit, (iii) each U.S. Borrower and each other U.S. Loan Party irrevocably agrees that is shall be jointly and severally liable and fully responsible for any and all LC Disbursements and other obligations with respect to any Letter of Credit issued for the account of any Borrower or Restricted Subsidiary hereunder as if such Letter of Credit had been issued for the sole account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Borrower or other U.S. Loan Party, (iv) each Canadian Borrower and each other Canadian Loan Party irrevocably agrees that is shall be jointly and severally liable and fully responsible for any and all LC Disbursements and other obligations with respect to any Canadian Letter of Credit issued for the account of any Canadian Borrower or Canadian Subsidiary hereunder as if such Letter of Credit had been issued for the sole account of such Canadian Borrower or other Canadian Loan Party, (v) each U.S. Lender severally agrees to participate in all U.S. Letters of Credit issued hereunder to the extent of its Applicable Percentage, and (vi) each Canadian Lender severally agrees to participate in all Canadian Letters of Credit issued hereunder to the extent of its Applicable Percentage. In the event of any inconsistency between the terms and conditions of this Agreement and the terms and conditions of any form of letter of credit application or other agreement submitted by the Borrowers to, or entered into by the Borrowers with, an Issuing Bank relating to any Letter of Credit, the terms and conditions of this Agreement shall control. Notwithstanding anything herein to the contrary, no Issuing Bank shall have any obligation hereunder to issue, and shall not issue, any Letter of Credit (i) the proceeds of which would be made available to any Person (A) to fund any activity or business of or with any Sanctioned Person or Sanctioned Country in violation of Sanctions, or (B) in any other manner that would result in a violation of any Sanctions by any party to this Agreement, (ii) if any order, judgment or decree of any Governmental Authority or arbitrator shall by its terms enjoin or restrain such Issuing Bank from issuing such Letter of Credit, or any Change in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Fourth Restatement Date, or shall impose upon such Issuing Bank any unreimbursed loss, cost or expense which was not applicable on the Fourth Restatement Date and which such Issuing Bank in good faith deems material to it, or (iii) if the issuance of such Letter of Credit would violate one or more policies of the Issuing Bank applicable to letters of credit generally; </w:t>
      </w:r>
      <w:r>
        <w:rPr>
          <w:rFonts w:ascii="Times New Roman" w:hAnsi="Times New Roman"/>
          <w:sz w:val="20"/>
          <w:u w:val="single"/>
        </w:rPr>
        <w:t>provided</w:t>
      </w:r>
      <w:r>
        <w:rPr>
          <w:rFonts w:ascii="Times New Roman" w:hAnsi="Times New Roman"/>
          <w:sz w:val="20"/>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Fourth Restatement Date for purposes of clause (ii) above, regardless of the date enacted, adopted, issued or implemented. If any Borrower requests that the Issuing Bank issue a Letter of Credit for the account of an affiliated or unaffiliated third party (an “</w:t>
      </w:r>
      <w:r>
        <w:rPr>
          <w:rFonts w:ascii="Times New Roman" w:hAnsi="Times New Roman"/>
          <w:sz w:val="20"/>
          <w:u w:val="single"/>
        </w:rPr>
        <w:t>Account Party</w:t>
      </w:r>
      <w:r>
        <w:rPr>
          <w:rFonts w:ascii="Times New Roman" w:hAnsi="Times New Roman"/>
          <w:sz w:val="20"/>
        </w:rPr>
        <w:t xml:space="preserve">”), (i) such Account Party shall have no rights against the Issuing Bank, (ii) the Borrowers shall be responsible for the application and the obligations under this Agreement and (iii) communications (including notices) related to such Letter of Credit shall be between the Issuing Bank and the Borrower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Issuance, Amendment, Renewal, Extension; Certain Conditions</w:t>
      </w:r>
      <w:r>
        <w:rPr>
          <w:rFonts w:ascii="Times New Roman" w:hAnsi="Times New Roman"/>
          <w:sz w:val="20"/>
        </w:rPr>
        <w:t xml:space="preserve">. To request the issuance of a Letter of Credit (or the amendment, renewal or extension of an outstanding Letter of Credit), the Borrower Representative shall deliver by hand or facsimile (or transmit by electronic communication, if arrangements for doing so have been approved by the applicable Issuing Bank) to the applicable Issuing Bank and the Administrative Agent ((i) in the case of Letters of Credit to be issued in dollars, prior to 1:00 p.m., New York City time, at least three Business Days and (ii) in the case of Letters of Credit to be issued in an LC Alternative Currency, prior to 1:00 p.m., New York City time, at least five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Loan Party or Restricted Subsidiary for whose account such Letter of Credit is to be issued, the currency in which such Letter of Credit will be denominated (which may be in: (x) dollars or an LC Alternative Currency in the case of U.S. Letters of Credit and (y) dollars or Canadian Dollars in the case of Canadian Letters of Credit), the name and address of the beneficiary thereof and such other information as shall be necessary to prepare, amend, renew or extend such Letter of Credit. If requested by the applicable Issuing Bank, the applicable Borrower also shall submit a letter of credit application on the applicable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the LC Aggregate Maximum Amount, (ii) U.S. Availability shall not be less than zero, (iii) Canadian Availability shall not be less than zero, (iv) Aggregate Availability shall not be less than zero, (v) the aggregate 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Exposure with respect to all Letters of Credit issued in an LC Alternative Currency shall not exceed the LC Alternative Currency Sublimit, (vi) the LC Exposure of the applicable Issuing Bank shall not exceed such Issuing Bank’s LC Individual Sublimit, and (vii) each Lender’s U.S. Revolving Exposure, Canadian Revolving Exposure and Revolving Exposure shall not exceed such Lender’s U.S. Commitment, Canadian Commitment and Revolving Commitment,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Expiration Date</w:t>
      </w:r>
      <w:r>
        <w:rPr>
          <w:rFonts w:ascii="Times New Roman" w:hAnsi="Times New Roman"/>
          <w:sz w:val="20"/>
        </w:rPr>
        <w:t xml:space="preserve">. Each Letter of Credit shall expire at or prior to the close of business on the earlier of (i) the date that is two years (or, at the discretion of the applicable Issuing Bank, with the consent of the Administrative Agent and the Required Lenders, an agreed to longer period of time) after the date of the issuance of such Letter of Credit (or, in the case of any renewal or extension thereof, including, without limitation, any “evergreen” or automatic renewal provisions, one year after the then-current expiration date at the time of such renewal or extension) and (ii) the date that is five Business Days prior to the Maturity Date (unless such Letter of Credit has been cash collateralized in accordance with the provisions of Section 2.06(k) or otherwise in a manner reasonably satisfactory to the applicable Issuing Bank); </w:t>
      </w:r>
      <w:r>
        <w:rPr>
          <w:rFonts w:ascii="Times New Roman" w:hAnsi="Times New Roman"/>
          <w:sz w:val="20"/>
          <w:u w:val="single"/>
        </w:rPr>
        <w:t>provided,</w:t>
      </w:r>
      <w:r>
        <w:rPr>
          <w:rFonts w:ascii="Times New Roman" w:hAnsi="Times New Roman"/>
          <w:sz w:val="20"/>
        </w:rPr>
        <w:t xml:space="preserve"> that in the case of any Letter of Credit providing for annual automatic renewal, such Letter of Credit may, at the discretion of the applicable Issuing Bank, be automatically extended for a period of up to one year after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xml:space="preserve">. By the issuance of a Letter of Credit (or an amendment to a Letter of Credit increasing the amount thereof) and without any further action on the part of any Issuing Bank or the Revolving Lenders, the applicable Issuing Bank hereby grants to each U.S. Lender, with respect to a U.S. Letter of Credit, and each Canadian Lender, with respect to a Canadian Letter of Credit, and each U.S. Lender and Canadian Lender, as applicable, hereby acquires from the applicable Issuing Bank, a participation in each such Letter of Credit equal to such Lender’s Applicable Percentage of the aggregate amount available to be drawn under such Letter of Credit. In consideration and in furtherance of the foregoing, (i) with respect to each U.S. Letter of Credit, each U.S. Lender hereby absolutely and unconditionally agrees to pay in dollars to the Administrative Agent, and (ii) with respect to any Canadian Letters of Credit, each Canadian Lender hereby absolutely and unconditionally promises to pay, in the same currency in which such Canadian Letter of Credit is issued, the Administrative Agent, in each case for the account of the applicable Issuing Bank, such Lender’s Applicable Percentage of each LC Disbursement, made by such Issuing Bank and not reimbursed by the applicable Borrower on the date due as provided in paragraph (e) of this Section, or of any reimbursement payment required to be refunded to such Borrowers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Revolving Commitments, U.S. Commitments or Canadian Commitments, and that each such payment shall be made without any offset, abatement, withholding or reduction whatsoever.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Reimbursement</w:t>
      </w:r>
      <w:r>
        <w:rPr>
          <w:rFonts w:ascii="Times New Roman" w:hAnsi="Times New Roman"/>
          <w:sz w:val="20"/>
        </w:rPr>
        <w:t xml:space="preserve">. If any Issuing Bank shall make any LC Disbursement in respect of a Letter of Credit, the applicable Borrower shall reimburse such LC Disbursement by paying to the Administrative Agent (i) in the case of any U.S. Letter of Credit, in dollars and (ii) in the case of any Canadian Letter of Credit, in the same currency as the applicable LC Disbursement, an amount equal to such LC Disbursement not later than 1:00 p.m., New York City time, on the date that such LC Disbursement is made, if the Borrower Representative shall have received notice of such LC Disbursement prior to 11:00 a.m., New York City time, on such date, or, if such notice has not been received by the Borrower Representative prior to such time on such date, then not later than 2:00 p.m., New York City time, on (x) the Business Day that the Borrower Representative receives such notice, if such notice is received prior to 11:00 a.m., New York City time, on the date of receipt, or (y) the Business Day immediately following the day that the Borrower Representative receives such notice, if such notice is not received prior to such time on the date of receipt; </w:t>
      </w:r>
      <w:r>
        <w:rPr>
          <w:rFonts w:ascii="Times New Roman" w:hAnsi="Times New Roman"/>
          <w:sz w:val="20"/>
          <w:u w:val="single"/>
        </w:rPr>
        <w:t>provided</w:t>
      </w:r>
      <w:r>
        <w:rPr>
          <w:rFonts w:ascii="Times New Roman" w:hAnsi="Times New Roman"/>
          <w:sz w:val="20"/>
        </w:rPr>
        <w:t xml:space="preserve"> that the Borrowers may, subject to the conditions to borrowing set forth herein, request in accordance with Section 2.03 or 2.05 that such payment be financed with an ABR Revolving Borrowing or U.S. Swingline Loan (in the case of U.S. Letters of Credit), or a Canadian Prime Rate Revolving Borrowing or Canadian Swingline Loan (in the case of Canadian Letters of Credit), in an equivalent amount and, to the extent so financed (in the event that such LC Disbursement with respect to a U.S. Letter of Credit was made in an LC Alternative Currency, such Borrowing Request shall be for an amount in dollars equal to the Dollar Amount of such LC Disbursement), the Borrowers’ obligation to make such payment shall be discharged and replaced by the resulting ABR Revolving Borrowing, Canadian Prime Rate Revolving Borrowing or Swingline Loan. If the Borrowers fail to make such payment when due, the Administrative Agent shall notify each U.S. Lender of the applicable LC Disbursement with respect to U.S. Letters of Credit and each Canadian Lender of the applicable LC Disbursement with respect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Canadian Letters of Credit, the payment then due from the applicable Borrower in respect thereof and such Lender’s Applicable Percentage thereof. Promptly following receipt of such notice with respect to any Letter of Credit, each U.S. Lender (in the case of any U.S. Letter of Credit) and each Canadian Lender (in the case of any Canadian Letter of Credit) shall pay to the Administrative Agent its Applicable Percentage of the payment then due from the applicable Borrower, in the same manner as provided in Section 2.07 with respect to Loans made by such Lender (and Section 2.07 shall apply, </w:t>
      </w:r>
      <w:r>
        <w:rPr>
          <w:rFonts w:ascii="Times New Roman" w:hAnsi="Times New Roman"/>
          <w:i/>
          <w:sz w:val="20"/>
        </w:rPr>
        <w:t>mutatis mutandis</w:t>
      </w:r>
      <w:r>
        <w:rPr>
          <w:rFonts w:ascii="Times New Roman" w:hAnsi="Times New Roman"/>
          <w:sz w:val="20"/>
        </w:rPr>
        <w:t xml:space="preserve">, to the payment obligations of the applicable Lenders), and the Administrative Agent shall promptly pay to the applicable Issuing Bank the amounts so received by it from such Lenders. Promptly following receipt by the Administrative Agent of any payment from the Borrowers pursuant to this paragraph, the Administrative Agent shall distribute such payment to the applicable Issuing Bank or, to the extent that Revolving Lenders have made payments pursuant to this paragraph to reimburse the applicable Issuing Bank, then to such Lenders and the applicable Issuing Bank as their interests may appear. Any payment made by a Revolving Lender pursuant to this paragraph to reimburse any Issuing Bank for any LC Disbursement (other than the funding of ABR Revolving Loans, Canadian Prime Rate Revolving Loans, or a Swingline Loan as contemplated above) shall not constitute a Loan (but shall be a Secured Obligation) and shall not relieve the Borrowers of their obligation to reimburse such LC Disbursement.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Exchange Indemnification and Increased Costs</w:t>
      </w:r>
      <w:r>
        <w:rPr>
          <w:rFonts w:ascii="Times New Roman" w:hAnsi="Times New Roman"/>
          <w:sz w:val="20"/>
        </w:rPr>
        <w:t xml:space="preserve">. The U.S. Borrowers shall, upon demand from any Issuing Bank or any U.S. Lender, pay to such Issuing Bank or such U.S. Lender, the amount of (i) any loss or cost or increased cost incurred by such Issuing Bank or such U.S. Lender, (ii) any reduction in any amount payable to or in the effective return on the capital to such Issuing Bank or such U.S. Lender, (iii) any currency exchange loss, in each case with respect to clauses (i), (ii) and (iii), that such Issuing Bank or such U.S. Lender sustains as a result of the U.S. Borrowers’ repayment in dollars of any U.S. Letter of Credit that was denominated in an LC Alternative Currency or (iv) any interest or any other return, including principal, foregone by such Issuing Bank as a result of the introduction of, changeover to or operation of the Euro in any member state participating in the Euro. A certificate of the applicable Issuing Bank setting forth in reasonable detail the basis for determining such additional amount or amounts necessary to compensate such Issuing Bank shall be conclusively presumed to be correct save for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Obligations Absolute</w:t>
      </w:r>
      <w:r>
        <w:rPr>
          <w:rFonts w:ascii="Times New Roman" w:hAnsi="Times New Roman"/>
          <w:sz w:val="20"/>
        </w:rPr>
        <w:t xml:space="preserve">. The joint and several obligations of U.S. Borrowers to reimburse LC Disbursements and the obligation of the Canadian Borrowers to reimburse LC Disbursements on account of Canadian Letters of Credit, in each case, as provided in paragraph (e) of this Section shall be (subject to Section 12.01)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Revolving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hAnsi="Times New Roman"/>
          <w:sz w:val="20"/>
          <w:u w:val="single"/>
        </w:rPr>
        <w:t>provided</w:t>
      </w:r>
      <w:r>
        <w:rPr>
          <w:rFonts w:ascii="Times New Roman" w:hAnsi="Times New Roman"/>
          <w:sz w:val="20"/>
        </w:rPr>
        <w:t xml:space="preserve"> that the foregoing shall not be construed to excuse the applicable Issuing Bank from liability to the Borrowers to the extent of any direct damages (as opposed to consequential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Disbursement Procedures</w:t>
      </w:r>
      <w:r>
        <w:rPr>
          <w:rFonts w:ascii="Times New Roman" w:hAnsi="Times New Roman"/>
          <w:sz w:val="20"/>
        </w:rPr>
        <w:t xml:space="preserve">. The applicable Issuing Bank shall, promptly following its receipt thereof, examine all documents purporting to represent a demand for payment under a Letter of Credit. The applicable Issuing Bank shall promptly notify the Administrative Agent and the applicable Borrower by telephone (confirmed by facsimile or electronic mail) of such demand for payment and whether such Issuing Bank has made or will make an LC Disbursement thereunder;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Borrowers of their obligation to reimburse the applicable Issuing Bank and the applicable Revolving Lenders with respect to any such LC Disbursement.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Interim Interest</w:t>
      </w:r>
      <w:r>
        <w:rPr>
          <w:rFonts w:ascii="Times New Roman" w:hAnsi="Times New Roman"/>
          <w:sz w:val="20"/>
        </w:rPr>
        <w:t xml:space="preserve">. If any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(i) then applicable to ABR Revolving Loans in the case of LC Disbursements made in dollars or in a LC Alternative Currency; and (ii) then applicable to Canadian Prime Rate Revolving Loans in the case of LC Disbursements made in Canadian Dollars; provided that, if the applicable Borrowers fail to reimburse such LC Disbursement when due pursuant to paragraph (e) of this Section, then Section 2.13(f) shall apply. Interest accrued pursuant to this paragraph shall be for the account of the applicable Issuing Bank, except that interest accrued on and after the date of payment by any Revolving Lender pursuant to paragraph (e) of this Section to reimburse the Issuing Bank shall be for the account of such Revolving Lender to the extent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Replacement or Resignation of the Issuing Bank</w:t>
      </w:r>
      <w:r>
        <w:rPr>
          <w:rFonts w:ascii="Times New Roman" w:hAnsi="Times New Roman"/>
          <w:sz w:val="20"/>
        </w:rPr>
        <w:t>. Any Issuing Bank may be replaced at any time by written agreement among the Borrower Representative, the Administrative Agent, the Issuing Bank to be replaced and the successor Issuing Bank. Any Issuing Bank may resign by giving 30 days’ written notice to the Borrower Representative and the Administrative Agent. The Administrative Agent shall notify the Revolving Lenders of any such replacement or resignation of an Issuing Bank. At the time any such replacement or resignation shall become effective, the Borrowers shall pay all unpaid fees accrued for the account of the replaced or retiring Issuing Bank pursuant to Section 2.12(b). From and after the effective date of any such replacement, (i) the successor Issuing Bank shall have all the rights and obligations of an Issuing Bank under this Agreement with respect to Letters of Credit to be issued thereafter and (ii) references herein to the term “</w:t>
      </w:r>
      <w:r>
        <w:rPr>
          <w:rFonts w:ascii="Times New Roman" w:hAnsi="Times New Roman"/>
          <w:sz w:val="20"/>
          <w:u w:val="single"/>
        </w:rPr>
        <w:t>Issuing Bank</w:t>
      </w:r>
      <w:r>
        <w:rPr>
          <w:rFonts w:ascii="Times New Roman" w:hAnsi="Times New Roman"/>
          <w:sz w:val="20"/>
        </w:rPr>
        <w:t xml:space="preserve">” shall be deemed to refer to such successor or to any previous Issuing Bank, or to such successor and all previous Issuing Banks, as the context shall require. After the replacement or resignation of an Issuing Bank hereunder, the replaced or retiring Issuing Bank shall remain a party hereto and shall continue to have all the rights and obligations of an Issuing Bank under this Agreement with respect to Letters of Credit issued by it prior to such replacement or resignation, but shall not be required to issue additional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Cash Collateralization</w:t>
      </w:r>
      <w:r>
        <w:rPr>
          <w:rFonts w:ascii="Times New Roman" w:hAnsi="Times New Roman"/>
          <w:sz w:val="20"/>
        </w:rPr>
        <w:t>. If any Event of Default shall occur and be continuing, on the Business Day that the Borrower Representative receives notice from the Administrative Agent or the Required Lenders demanding the deposit of cash collateral pursuant to this paragraph, (i) the U.S. Borrowers shall deposit in an account with the Administrative Agent, in the name of the Administrative Agent and for the benefit of the Lender Parties (the “</w:t>
      </w:r>
      <w:r>
        <w:rPr>
          <w:rFonts w:ascii="Times New Roman" w:hAnsi="Times New Roman"/>
          <w:sz w:val="20"/>
          <w:u w:val="single"/>
        </w:rPr>
        <w:t>LC Collateral Account</w:t>
      </w:r>
      <w:r>
        <w:rPr>
          <w:rFonts w:ascii="Times New Roman" w:hAnsi="Times New Roman"/>
          <w:sz w:val="20"/>
        </w:rPr>
        <w:t>”), an amount in cash equal to 103% of the U.S. LC Exposure as of such date plus accrued and unpaid interest thereon; and (ii) the Canadian Borrowers shall deposit in an account with the Administrative Agent, in the name of the Administrative Agent and for the benefit of the Canadian Lender Parties (the “</w:t>
      </w:r>
      <w:r>
        <w:rPr>
          <w:rFonts w:ascii="Times New Roman" w:hAnsi="Times New Roman"/>
          <w:sz w:val="20"/>
          <w:u w:val="single"/>
        </w:rPr>
        <w:t>Canadian LC Collateral Account</w:t>
      </w:r>
      <w:r>
        <w:rPr>
          <w:rFonts w:ascii="Times New Roman" w:hAnsi="Times New Roman"/>
          <w:sz w:val="20"/>
        </w:rPr>
        <w:t xml:space="preserve">”), an amount in cash equal to 103% of the Canadian LC Exposure as of such date plus accrued and unpaid interest thereon; </w:t>
      </w:r>
      <w:r>
        <w:rPr>
          <w:rFonts w:ascii="Times New Roman" w:hAnsi="Times New Roman"/>
          <w:sz w:val="20"/>
          <w:u w:val="single"/>
        </w:rPr>
        <w:t>provided</w:t>
      </w:r>
      <w:r>
        <w:rPr>
          <w:rFonts w:ascii="Times New Roman" w:hAnsi="Times New Roman"/>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clauses (i) or (j) of Article VII. Such deposits shall be held by the Administrative Agent as collateral for the payment and performance of the Secured Obligations in the case of deposits in the LC Collateral Account, and the Canadian Secured Obligations in the case of deposits in the Canadian LC Collateral Account. The Administrative Agent shall have exclusive dominion and control, including the exclusive right of withdrawal, over such accounts; and (x) the U.S. Borrowers hereby grant the Administrative Agent (for the benefit of the Lender Parties) a security interest in the LC Collateral Account and (y) the Canadian Borrowers hereby grant the Administrative Agent (for the benefit of the Canadian Lender Parties) a security interest in the Canadian LC Collateral Account. Other than any interest earned on the investment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deposits, which investments shall be made at the option and sole discretion of the Administrative Agent and at the Borrowers’ risk and expense, such deposits shall not bear interest. Interest or profits, if any, on such investments shall accumulate in such account. Subject to Section 12.01, moneys in such account shall be applied by the Administrative Agent to reimburse the applicable Issuing Bank for LC Disbursements for which it has not been reimbursed and, to the extent not so applied, shall be held for the satisfaction of the reimbursement obligations of the U.S. Borrowers or the Canadian Borrowers, as applicable, for the LC Exposure at such time or, if the maturity of the Loans has been accelerated (but subject to the consent of Required Lenders), be applied, in the case of moneys in the LC Collateral Account, to satisfy other Secured Obligations or, in the case of moneys in the Canadian LC Collateral Account, to satisfy other Canadian Secured Obligations. If the Borrowers are required to provide an amount of cash collateral hereunder as a result of the occurrence of an Event of Default, such amount (to the extent not applied as aforesaid) shall be returned to the Borrowers within three Business Days after all such Events of Default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Treatment of Existing Letters of Credit</w:t>
      </w:r>
      <w:r>
        <w:rPr>
          <w:rFonts w:ascii="Times New Roman" w:hAnsi="Times New Roman"/>
          <w:sz w:val="20"/>
        </w:rPr>
        <w:t xml:space="preserve">. On the Fourth Restatement Date, (i) each Existing U.S. Letter of Credit, to the extent outstanding, shall automatically and without further action by the parties thereto be deemed converted into a U.S. Letter of Credit under this Agreement (as reflected on </w:t>
      </w:r>
      <w:r>
        <w:rPr>
          <w:rFonts w:ascii="Times New Roman" w:hAnsi="Times New Roman"/>
          <w:sz w:val="20"/>
          <w:u w:val="single"/>
        </w:rPr>
        <w:t>Schedule 2.06</w:t>
      </w:r>
      <w:r>
        <w:rPr>
          <w:rFonts w:ascii="Times New Roman" w:hAnsi="Times New Roman"/>
          <w:sz w:val="20"/>
        </w:rPr>
        <w:t xml:space="preserve">) and each Existing Canadian Letter of Credit, to the extent outstanding, shall automatically and without further action by the parties thereto be deemed converted into a Canadian Letter of Credit under this Agreement (as reflected on </w:t>
      </w:r>
      <w:r>
        <w:rPr>
          <w:rFonts w:ascii="Times New Roman" w:hAnsi="Times New Roman"/>
          <w:sz w:val="20"/>
          <w:u w:val="single"/>
        </w:rPr>
        <w:t>Schedule 2.06</w:t>
      </w:r>
      <w:r>
        <w:rPr>
          <w:rFonts w:ascii="Times New Roman" w:hAnsi="Times New Roman"/>
          <w:sz w:val="20"/>
        </w:rPr>
        <w:t xml:space="preserve">), in each case, pursuant to this Section 2.06 and subject to the provisions hereof as if each such Existing U.S. Letter of Credit and each Existing Canadian Letter of Credit had been issued on the Fourth Restatement Date, (ii) each Existing U.S. Letter of Credit shall be included in the calculation of U.S. LC Exposure and each Existing Canadian Letter of Credit shall be included in the calculation of Canadian LC Exposure, and (iii) all liabilities of the Borrowers and the other Loan Parties with respect to such Existing Letters of Credit shall constitute Obligations. On the Seventh Amendment Effective Date, (i) the Existing PNC Letter of Credit shall automatically and without further action by the parties thereto be deemed converted into a U.S. Letter of Credit under this Agreement pursuant to this </w:t>
      </w:r>
      <w:r>
        <w:rPr>
          <w:rFonts w:ascii="Times New Roman" w:hAnsi="Times New Roman"/>
          <w:sz w:val="20"/>
          <w:u w:val="single"/>
        </w:rPr>
        <w:t>Section 2.06</w:t>
      </w:r>
      <w:r>
        <w:rPr>
          <w:rFonts w:ascii="Times New Roman" w:hAnsi="Times New Roman"/>
          <w:sz w:val="20"/>
        </w:rPr>
        <w:t xml:space="preserve"> and subject to the provisions hereof as if the Existing PNC Letter of Credit had been issued on the Seventh Amendment Effective Date, (ii) the Existing PNC Letter of Credit shall be included in the calculation of U.S. LC Exposure, and (iii) all liabilities of the Borrowers and the other Loan Parties with respect to the Existing PNC Letter of Credit shall constitute Obligations.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Issuing Bank Reports to the Administrative Agent</w:t>
      </w:r>
      <w:r>
        <w:rPr>
          <w:rFonts w:ascii="Times New Roman" w:hAnsi="Times New Roman"/>
          <w:sz w:val="20"/>
        </w:rPr>
        <w:t xml:space="preserve">. Unless otherwise agreed by the Administrative Agent, such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Limitation of Liability; Direct Damages</w:t>
      </w:r>
      <w:r>
        <w:rPr>
          <w:rFonts w:ascii="Times New Roman" w:hAnsi="Times New Roman"/>
          <w:sz w:val="20"/>
        </w:rPr>
        <w:t xml:space="preserve">. The liability of the Issuing Bank (or any other Indemnitee) under, in connection with and/or arising out of this Agreement, any letter of credit application or any Letter of Credit (or pre-advice), regardless of the form or legal grounds of the action or proceeding, shall be limited to direct damages suffered by the applicant with respect to such letter of credit application or Letter of Credit that are caused directly by the Issuing Bank’s bad faith, gross negligence or willful misconduct in (i) failing to issue a Letter of Credit requested by the Borrowers when such Letter of Credit and the Borrowers are in strict compliance with the terms of this Agreement, (ii) honoring a presentation under a Letter of Credit that on its face does not at least substantially comply with the terms and conditions of such Letter of Credit, (iii) failing to honor a presentation under a Letter of Credit that strictly complies with the terms and conditions of such Letter of Credit or (iv) retaining drawing documents presented under a Letter of Credit. Such applicant’s aggregate remedies against the Issuing Bank and any Indemnitee for wrongfully honoring a presentation under any Letter of Credit or wrongfully retaining honored drawing documents shall in no event exceed the aggregate amount paid by such applicant to the Issuing Bank in respect of the honored presentation in connection with such Letter of Credit under Section 2.06(e), </w:t>
      </w:r>
      <w:r>
        <w:rPr>
          <w:rFonts w:ascii="Times New Roman" w:hAnsi="Times New Roman"/>
          <w:sz w:val="20"/>
          <w:u w:val="single"/>
        </w:rPr>
        <w:t>plus</w:t>
      </w:r>
      <w:r>
        <w:rPr>
          <w:rFonts w:ascii="Times New Roman" w:hAnsi="Times New Roman"/>
          <w:sz w:val="20"/>
        </w:rPr>
        <w:t xml:space="preserve"> interest at the rate then applicable to ABR Loans or Canadian Prime Rate Loans,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2.07</w:t>
      </w:r>
      <w:r>
        <w:rPr>
          <w:rFonts w:ascii="Times New Roman" w:hAnsi="Times New Roman"/>
          <w:sz w:val="20"/>
        </w:rPr>
        <w:t xml:space="preserve"> </w:t>
      </w:r>
      <w:r>
        <w:rPr>
          <w:rFonts w:ascii="Times New Roman" w:hAnsi="Times New Roman"/>
          <w:sz w:val="20"/>
          <w:u w:val="single"/>
        </w:rPr>
        <w:t>Funding of Borrowings</w:t>
      </w:r>
      <w:r>
        <w:rPr>
          <w:rFonts w:ascii="Times New Roman" w:hAnsi="Times New Roman"/>
          <w:sz w:val="20"/>
        </w:rPr>
        <w:t xml:space="preserve">. (a) Each Lender shall make each Loan to be made by it hereunder on the proposed date thereof by wire transfer of immediately available funds by 2:00 p.m., New York City time, to the account of the Administrative Agent most recently designated by it for such purpose by notice to the Lenders; </w:t>
      </w:r>
      <w:r>
        <w:rPr>
          <w:rFonts w:ascii="Times New Roman" w:hAnsi="Times New Roman"/>
          <w:sz w:val="20"/>
          <w:u w:val="single"/>
        </w:rPr>
        <w:t>provided</w:t>
      </w:r>
      <w:r>
        <w:rPr>
          <w:rFonts w:ascii="Times New Roman" w:hAnsi="Times New Roman"/>
          <w:sz w:val="20"/>
        </w:rPr>
        <w:t xml:space="preserve"> that, Swingline Loans shall be made as provided in Section 2.05. The Administrative Agent will make such Loans available to the Borrower Representative by promptly crediting the amounts so received, in like funds, to the Funding Account(s); </w:t>
      </w:r>
      <w:r>
        <w:rPr>
          <w:rFonts w:ascii="Times New Roman" w:hAnsi="Times New Roman"/>
          <w:sz w:val="20"/>
          <w:u w:val="single"/>
        </w:rPr>
        <w:t>provided</w:t>
      </w:r>
      <w:r>
        <w:rPr>
          <w:rFonts w:ascii="Times New Roman" w:hAnsi="Times New Roman"/>
          <w:sz w:val="20"/>
        </w:rPr>
        <w:t xml:space="preserve"> that ABR Revolving Loans made to finance the reimbursement of (i) an LC Disbursement as provided in Section 2.06(e) shall be remitted by the Administrative Agent to the applicable Issuing Bank, (ii) a U.S. Protective Advance or a U.S. Overadvance shall be retained by the Administrative Agent, and (iii) a Canadian Protective Advance or a Canadian Overadvance shall be retained by the Administrative Agent. U.S. Loans and participations in U.S. Swingline Loans and U.S. Letters of Credit will be funded by each U.S. Lender pro rata in accordance with its Applicable Percentage of the U.S. Commitments. Canadian Loans and participations in Canadian Swingline Loans and Canadian Letters of Credit will be funded by each Canadian Lender pro rata in accordance with its Applicable Percentage of the Canadian Commitments. </w:t>
      </w:r>
    </w:p>
    <w:p>
      <w:pPr>
        <w:pStyle w:val="TextBody"/>
        <w:bidi w:val="0"/>
        <w:spacing w:before="240" w:after="0"/>
        <w:jc w:val="left"/>
        <w:rPr>
          <w:rFonts w:ascii="Times New Roman" w:hAnsi="Times New Roman"/>
          <w:sz w:val="20"/>
        </w:rPr>
      </w:pPr>
      <w:r>
        <w:rPr>
          <w:rFonts w:ascii="Times New Roman" w:hAnsi="Times New Roman"/>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either the Federal Funds Effective Rate (in the case of dollar denominated amounts) or the Canadian Overnight Rate (in the case of Canadian Dollar denominated amounts) and a rate determined by the Administrative Agent in accordance with banking industry rules on interbank compensation or (ii) in the case of the Borrowers, the interest rate applicable to ABR Loans (in the case of dollar denominated amounts), or Canadian Prime Rate Loans (in the case of Canadian Dollar denominated amounts). If such Lender pays such amount to the Administrative Agent then such amount shall constitute such Lender’s Loan included in such Borrowing. </w:t>
      </w:r>
    </w:p>
    <w:p>
      <w:pPr>
        <w:pStyle w:val="TextBody"/>
        <w:bidi w:val="0"/>
        <w:spacing w:before="240" w:after="0"/>
        <w:jc w:val="left"/>
        <w:rPr>
          <w:rFonts w:ascii="Times New Roman" w:hAnsi="Times New Roman"/>
          <w:sz w:val="20"/>
        </w:rPr>
      </w:pPr>
      <w:r>
        <w:rPr>
          <w:rFonts w:ascii="Times New Roman" w:hAnsi="Times New Roman"/>
          <w:sz w:val="20"/>
          <w:u w:val="single"/>
        </w:rPr>
        <w:t>SECTION 2.08 Interest Elections</w:t>
      </w:r>
      <w:r>
        <w:rPr>
          <w:rFonts w:ascii="Times New Roman" w:hAnsi="Times New Roman"/>
          <w:sz w:val="20"/>
        </w:rPr>
        <w:t xml:space="preserve">. (a) Each Revolving Borrowing initially shall be of the Type specified in the applicable Borrowing Request and, in the case of a Term SOFR Revolving Borrowing or </w:t>
      </w:r>
      <w:r>
        <w:rPr>
          <w:rFonts w:ascii="Times New Roman" w:hAnsi="Times New Roman"/>
          <w:strike/>
          <w:color w:val="FF0000"/>
          <w:sz w:val="20"/>
        </w:rPr>
        <w:t>an Adjusted</w:t>
      </w:r>
      <w:r>
        <w:rPr>
          <w:rFonts w:ascii="Times New Roman" w:hAnsi="Times New Roman"/>
          <w:color w:val="0000FF"/>
          <w:sz w:val="20"/>
          <w:u w:val="single"/>
          <w:bdr w:val="double" w:sz="2" w:space="1" w:color="000000"/>
        </w:rPr>
        <w:t>a</w:t>
      </w:r>
      <w:r>
        <w:rPr>
          <w:rFonts w:ascii="Times New Roman" w:hAnsi="Times New Roman"/>
          <w:sz w:val="20"/>
        </w:rPr>
        <w:t xml:space="preserve"> Term CORRA Revolving Borrowing, shall have an initial Interest Period as specified in such Borrowing Request. Thereafter, the Borrower Representative may elect to convert such Borrowing to a different Type or to continue such Borrowing and, in the case of a Term SOFR Revolving Borrowing or </w:t>
      </w:r>
      <w:r>
        <w:rPr>
          <w:rFonts w:ascii="Times New Roman" w:hAnsi="Times New Roman"/>
          <w:strike/>
          <w:color w:val="FF0000"/>
          <w:sz w:val="20"/>
        </w:rPr>
        <w:t>an Adjusted</w:t>
      </w:r>
      <w:r>
        <w:rPr>
          <w:rFonts w:ascii="Times New Roman" w:hAnsi="Times New Roman"/>
          <w:color w:val="0000FF"/>
          <w:sz w:val="20"/>
          <w:u w:val="single"/>
          <w:bdr w:val="double" w:sz="2" w:space="1" w:color="000000"/>
        </w:rPr>
        <w:t>a</w:t>
      </w:r>
      <w:r>
        <w:rPr>
          <w:rFonts w:ascii="Times New Roman" w:hAnsi="Times New Roman"/>
          <w:sz w:val="20"/>
        </w:rPr>
        <w:t xml:space="preserve"> Term CORRA Revolving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r>
        <w:rPr>
          <w:rFonts w:ascii="Times New Roman" w:hAnsi="Times New Roman"/>
          <w:sz w:val="20"/>
          <w:u w:val="single"/>
        </w:rPr>
        <w:t>provided</w:t>
      </w:r>
      <w:r>
        <w:rPr>
          <w:rFonts w:ascii="Times New Roman" w:hAnsi="Times New Roman"/>
          <w:sz w:val="20"/>
        </w:rPr>
        <w:t xml:space="preserve"> that a Borrowing in one currency may only be converted to another Type of Borrowing denominated in the same currency as the Borrowing to be so converted. This Section shall not apply to Swingline Borrowings, Overadvances or Protective Advances, which may not be converted or continued. </w:t>
      </w:r>
    </w:p>
    <w:p>
      <w:pPr>
        <w:pStyle w:val="TextBody"/>
        <w:bidi w:val="0"/>
        <w:spacing w:before="240" w:after="0"/>
        <w:jc w:val="left"/>
        <w:rPr>
          <w:rFonts w:ascii="Times New Roman" w:hAnsi="Times New Roman"/>
          <w:sz w:val="20"/>
        </w:rPr>
      </w:pPr>
      <w:r>
        <w:rPr>
          <w:rFonts w:ascii="Times New Roman" w:hAnsi="Times New Roman"/>
          <w:sz w:val="20"/>
        </w:rPr>
        <w:t xml:space="preserve">(b) To make an election pursuant to this Section, the Borrower Representative shall notify the Administrative Agent of such election in writing by the time that a Borrowing Request would be required under Section 2.03 if the Borrowers were requesting a Revolving Borrowing of the Type resulting from such election to be made on the effective date of such election. Each such Interest Election Request shall be irrevocable and shall be confirmed promptly by hand delivery, facsimile or electronic mail delivery to the Administrative Agent of a written Interest Election Request in a form approved by the Administrative Agent and signed by the Borrower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Interest Election Request shall specify the following information in compliance with Section 2.02: </w:t>
      </w:r>
    </w:p>
    <w:p>
      <w:pPr>
        <w:pStyle w:val="TextBody"/>
        <w:bidi w:val="0"/>
        <w:spacing w:before="120" w:after="0"/>
        <w:jc w:val="left"/>
        <w:rPr>
          <w:rFonts w:ascii="Times New Roman" w:hAnsi="Times New Roman"/>
          <w:sz w:val="20"/>
        </w:rPr>
      </w:pPr>
      <w:r>
        <w:rPr>
          <w:rFonts w:ascii="Times New Roman" w:hAnsi="Times New Roman"/>
          <w:sz w:val="20"/>
        </w:rPr>
        <w:t xml:space="preserve">(i) 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(iii) the currency in which such Borrowing is to be funded; </w:t>
      </w:r>
    </w:p>
    <w:p>
      <w:pPr>
        <w:pStyle w:val="TextBody"/>
        <w:bidi w:val="0"/>
        <w:spacing w:before="120" w:after="0"/>
        <w:jc w:val="left"/>
        <w:rPr>
          <w:rFonts w:ascii="Times New Roman" w:hAnsi="Times New Roman"/>
          <w:sz w:val="20"/>
        </w:rPr>
      </w:pPr>
      <w:r>
        <w:rPr>
          <w:rFonts w:ascii="Times New Roman" w:hAnsi="Times New Roman"/>
          <w:sz w:val="20"/>
        </w:rPr>
        <w:t xml:space="preserve">(iv) whether the resulting Borrowing is to be an ABR Borrowing, a Canadian Prime Rate Borrowing, </w:t>
      </w:r>
      <w:r>
        <w:rPr>
          <w:rFonts w:ascii="Times New Roman" w:hAnsi="Times New Roman"/>
          <w:strike/>
          <w:color w:val="FF0000"/>
          <w:sz w:val="20"/>
        </w:rPr>
        <w:t>an Adjusted</w:t>
      </w:r>
      <w:r>
        <w:rPr>
          <w:rFonts w:ascii="Times New Roman" w:hAnsi="Times New Roman"/>
          <w:color w:val="0000FF"/>
          <w:sz w:val="20"/>
          <w:u w:val="single"/>
          <w:bdr w:val="double" w:sz="2" w:space="1" w:color="000000"/>
        </w:rPr>
        <w:t>a</w:t>
      </w:r>
      <w:r>
        <w:rPr>
          <w:rFonts w:ascii="Times New Roman" w:hAnsi="Times New Roman"/>
          <w:sz w:val="20"/>
        </w:rPr>
        <w:t xml:space="preserve"> Term CORRA Borrowing, </w:t>
      </w:r>
      <w:r>
        <w:rPr>
          <w:rFonts w:ascii="Times New Roman" w:hAnsi="Times New Roman"/>
          <w:strike/>
          <w:color w:val="FF0000"/>
          <w:sz w:val="20"/>
        </w:rPr>
        <w:t>an Adjusted</w:t>
      </w:r>
      <w:r>
        <w:rPr>
          <w:rFonts w:ascii="Times New Roman" w:hAnsi="Times New Roman"/>
          <w:color w:val="0000FF"/>
          <w:sz w:val="20"/>
          <w:u w:val="single"/>
          <w:bdr w:val="double" w:sz="2" w:space="1" w:color="000000"/>
        </w:rPr>
        <w:t>a</w:t>
      </w:r>
      <w:r>
        <w:rPr>
          <w:rFonts w:ascii="Times New Roman" w:hAnsi="Times New Roman"/>
          <w:sz w:val="20"/>
        </w:rPr>
        <w:t xml:space="preserve"> Daily Compounded CORRA Borrowing, a Daily Simple SOFR Borrowing or a Term SOFR Borrowing; and </w:t>
      </w:r>
    </w:p>
    <w:p>
      <w:pPr>
        <w:pStyle w:val="TextBody"/>
        <w:bidi w:val="0"/>
        <w:spacing w:before="120" w:after="0"/>
        <w:jc w:val="left"/>
        <w:rPr>
          <w:rFonts w:ascii="Times New Roman" w:hAnsi="Times New Roman"/>
          <w:sz w:val="20"/>
        </w:rPr>
      </w:pPr>
      <w:r>
        <w:rPr>
          <w:rFonts w:ascii="Times New Roman" w:hAnsi="Times New Roman"/>
          <w:sz w:val="20"/>
        </w:rPr>
        <w:t xml:space="preserve">(v) if the resulting Borrowing is a Term SOFR Borrowing or a Canadian CORRA Borrowing, the Interest Period to be applicable thereto after giving effect to such election, which shall be a period contemplated by the definition of the term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If any such Interest Election Request requests a Term SOFR Borrowing or a Canadian CORRA Borrowing but does not specify an Interest Period, then the Borrowers shall be deemed to have selected an Interest Period of one month’s duration. </w:t>
      </w:r>
    </w:p>
    <w:p>
      <w:pPr>
        <w:pStyle w:val="TextBody"/>
        <w:bidi w:val="0"/>
        <w:spacing w:before="240" w:after="0"/>
        <w:jc w:val="left"/>
        <w:rPr>
          <w:rFonts w:ascii="Times New Roman" w:hAnsi="Times New Roman"/>
          <w:sz w:val="20"/>
        </w:rPr>
      </w:pPr>
      <w:r>
        <w:rPr>
          <w:rFonts w:ascii="Times New Roman" w:hAnsi="Times New Roman"/>
          <w:sz w:val="20"/>
        </w:rPr>
        <w:t xml:space="preserve">(d) Promptly following receipt of an Interest Election Request by the Administrative Agent, the Administrative Agent shall advise each Lender of the details thereof and of such Lender’s portion of each resulting Borrowing. </w:t>
      </w:r>
    </w:p>
    <w:p>
      <w:pPr>
        <w:pStyle w:val="TextBody"/>
        <w:bidi w:val="0"/>
        <w:spacing w:before="240" w:after="0"/>
        <w:jc w:val="left"/>
        <w:rPr>
          <w:rFonts w:ascii="Times New Roman" w:hAnsi="Times New Roman"/>
          <w:sz w:val="20"/>
        </w:rPr>
      </w:pPr>
      <w:r>
        <w:rPr>
          <w:rFonts w:ascii="Times New Roman" w:hAnsi="Times New Roman"/>
          <w:sz w:val="20"/>
        </w:rPr>
        <w:t xml:space="preserve">(e) If the Borrower Representative fails to deliver a timely Interest Election Request with respect to a Term SOFR Borrowing prior to the end of the Interest Period applicable thereto, then, unless such Borrowing is repaid as provided herein, at the end of such Interest Period such Borrowing shall be converted to an ABR Borrowing, in the case of a Term SOFR Borrowing of either U.S. Revolving Loans or Canadian Revolving Loans denominated in dollars.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SOFR Borrowing and (ii) unless repaid, each SOFR Borrowing of U.S. Revolving Loans or Canadian Revolving Loans denominated in dollars shall be converted to an ABR Borrowing at the end of the Interest Period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(f) If the Borrower Representative fails to deliver a timely Interest Election Request with respect to a Canadian CORRA Borrowing prior to the end of the Interest Period applicable thereto, then, unless such Borrowing is repaid as provided herein, at the end of such Interest Period such Borrowing shall be converted to a Canadian Prime Rate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Canadian CORRA Borrowing and (ii) unless repaid, each Canadian CORRA Borrowing shall be converted to a Canadian Prime Rate Borrowing of the same class at the end of the Interest Period applicable thereto. </w:t>
      </w:r>
    </w:p>
    <w:p>
      <w:pPr>
        <w:pStyle w:val="TextBody"/>
        <w:bidi w:val="0"/>
        <w:spacing w:before="240" w:after="0"/>
        <w:jc w:val="left"/>
        <w:rPr>
          <w:rFonts w:ascii="Times New Roman" w:hAnsi="Times New Roman"/>
          <w:sz w:val="20"/>
        </w:rPr>
      </w:pPr>
      <w:r>
        <w:rPr>
          <w:rFonts w:ascii="Times New Roman" w:hAnsi="Times New Roman"/>
          <w:sz w:val="20"/>
          <w:u w:val="single"/>
        </w:rPr>
        <w:t>SECTION 2.09 Termination and Reduction of Commitments; Increase in Revolving Commitments</w:t>
      </w:r>
      <w:r>
        <w:rPr>
          <w:rFonts w:ascii="Times New Roman" w:hAnsi="Times New Roman"/>
          <w:sz w:val="20"/>
        </w:rPr>
        <w:t xml:space="preserve">. (a) Unless previously terminated, all Revolving Commitments shall terminate on the Maturity Date. For clarification, all U.S. Commitments and Canadian Commitments, as sub-facilities of the Revolving Commitments, shall terminate upon the termination of the Revolving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12.01, the Borrowers may at any time terminate the Revolving Commitments upon (i) the payment in full in cash of all outstanding U.S. Loans, in the case of the U.S. Commitment, and Canadian Loans, in the case of the Canadian Commitment, together with accrued and unpaid interest thereon and on any U.S. Letters of Credit, in the case of the U.S. Commitment, and Canadian Letters of Credit, in the case of the Canadian Commitment, as applicable, (ii) the cancellation and return of all outstanding U.S. Letters of Credit, in the case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 Commitment, and Canadian Letters of Credit, in the case of the Canadian Commitment (or alternatively, (A) with respect to each such U.S. Letter of Credit, the deposit in the LC Collateral Account of cash equal to 103% of the U.S. LC Exposure or with respect to each such Canadian Letter of Credit, the deposit in the Canadian LC Collateral Account of cash equal to 103% </w:t>
      </w:r>
      <w:r>
        <w:rPr>
          <w:rFonts w:ascii="Times New Roman" w:hAnsi="Times New Roman"/>
          <w:color w:val="0000FF"/>
          <w:sz w:val="20"/>
          <w:u w:val="single"/>
          <w:bdr w:val="double" w:sz="2" w:space="1" w:color="000000"/>
        </w:rPr>
        <w:t xml:space="preserve">of the </w:t>
      </w:r>
      <w:r>
        <w:rPr>
          <w:rFonts w:ascii="Times New Roman" w:hAnsi="Times New Roman"/>
          <w:sz w:val="20"/>
        </w:rPr>
        <w:t xml:space="preserve">Canadian LC Exposure, as applicable, as of such date in accordance with Section 2.06(k), or (B) with the consent of the Administrative Agent and each applicable Issuing Bank, a back-up standby letter of credit equal to 103% of the U.S. LC Exposure or Canadian LC Exposure, as applicable, as of such date), (iii) the payment in full in cash of the accrued and unpaid fees, and (iv) the payment in full in cash of all reimbursable expenses and other U.S. Obligations or Canadian Obligations, as applicable, together with accrued and unpaid interest thereon. For clarification, all U.S. Commitments and Canadian Commitments, as sub-facilities of the Revolving Commitments, shall terminate upon the termination of the Revolving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(c) Subject to Section 12.01, the Borrowers may from time to time reduce the Aggregate Revolving Commitments; </w:t>
      </w:r>
      <w:r>
        <w:rPr>
          <w:rFonts w:ascii="Times New Roman" w:hAnsi="Times New Roman"/>
          <w:sz w:val="20"/>
          <w:u w:val="single"/>
        </w:rPr>
        <w:t>provided</w:t>
      </w:r>
      <w:r>
        <w:rPr>
          <w:rFonts w:ascii="Times New Roman" w:hAnsi="Times New Roman"/>
          <w:sz w:val="20"/>
        </w:rPr>
        <w:t xml:space="preserve"> that (i) each reduction of the Aggregate Revolving Commitments shall be in an amount that is an integral multiple of $5,000,000 and not less than $5,000,000 and (ii) the Borrowers shall not reduce the Aggregate Revolving Commitments if, after giving effect to any concurrent prepayment of the Revolving Loans in accordance with Section 2.11, Aggregate Availability would be less than zero. Each reduction of the Aggregate Revolving Commitments shall be made ratably among the Lenders in accordance with their Applicable Percentages. In connection with any reduction of the Aggregate Revolving Commitments, the aggregate U.S. Commitments shall be automatically reduced on a dollar-for-dollar basis by the amount of the reduction in the Aggregate Revolving Commitments, and, to the extent that the reduction in the Aggregate Revolving Commitments would cause the Canadian Sublimit to exceed the aggregate amount of the Canadian Commitments of the Canadian Lenders, the Canadian Sublimit shall be automatically reduced so that after giving effect to the reduction in the Aggregate Revolving Commitments, the Canadian Sublimit does not exceed the aggregate amount of the Canadian Commitments of the Canadian Lenders.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Representative shall notify the Administrative Agent of any election to terminate or reduce the Revolving Commitments under paragraphs (b) or (c) of this Section at least three Business Days prior to the effective date of such termination or reduction, specifying such election and the effective date thereof. Promptly following receipt of any notice, the Administrative Agent shall advise the U.S. Lenders or the Canadian Lenders, as applicable, of the contents thereof. Each notice delivered by the Borrower Representative pursuant to this Section shall be irrevocable; </w:t>
      </w:r>
      <w:r>
        <w:rPr>
          <w:rFonts w:ascii="Times New Roman" w:hAnsi="Times New Roman"/>
          <w:sz w:val="20"/>
          <w:u w:val="single"/>
        </w:rPr>
        <w:t>provided</w:t>
      </w:r>
      <w:r>
        <w:rPr>
          <w:rFonts w:ascii="Times New Roman" w:hAnsi="Times New Roman"/>
          <w:sz w:val="20"/>
        </w:rPr>
        <w:t xml:space="preserve"> that a notice of termination of the Revolving Commitments delivered by the Borrower Representative may state that such notice is conditioned upon the effectiveness of another transaction, in which case such notice may be revoked by the Borrower Representative (by notice to the Administrative Agent on or prior to the specified effective date) if such condition is not satisfied. Any termination or reduction of the Revolving Commitments shall be permanent. </w:t>
      </w:r>
    </w:p>
    <w:p>
      <w:pPr>
        <w:pStyle w:val="TextBody"/>
        <w:bidi w:val="0"/>
        <w:spacing w:before="240" w:after="0"/>
        <w:jc w:val="left"/>
        <w:rPr>
          <w:rFonts w:ascii="Times New Roman" w:hAnsi="Times New Roman"/>
          <w:sz w:val="20"/>
        </w:rPr>
      </w:pPr>
      <w:r>
        <w:rPr>
          <w:rFonts w:ascii="Times New Roman" w:hAnsi="Times New Roman"/>
          <w:sz w:val="20"/>
        </w:rPr>
        <w:t>(e) The Borrowers shall have the right to increase the Aggregate Revolving Commitments (an “</w:t>
      </w:r>
      <w:r>
        <w:rPr>
          <w:rFonts w:ascii="Times New Roman" w:hAnsi="Times New Roman"/>
          <w:sz w:val="20"/>
          <w:u w:val="single"/>
        </w:rPr>
        <w:t>Aggregate Commitment Increase</w:t>
      </w:r>
      <w:r>
        <w:rPr>
          <w:rFonts w:ascii="Times New Roman" w:hAnsi="Times New Roman"/>
          <w:sz w:val="20"/>
        </w:rPr>
        <w:t xml:space="preserve">”) by obtaining additional Revolving Commitments, either from one or more of the Lenders or another lending institution, </w:t>
      </w:r>
      <w:r>
        <w:rPr>
          <w:rFonts w:ascii="Times New Roman" w:hAnsi="Times New Roman"/>
          <w:sz w:val="20"/>
          <w:u w:val="single"/>
        </w:rPr>
        <w:t>provided</w:t>
      </w:r>
      <w:r>
        <w:rPr>
          <w:rFonts w:ascii="Times New Roman" w:hAnsi="Times New Roman"/>
          <w:sz w:val="20"/>
        </w:rPr>
        <w:t xml:space="preserve"> that (i) any such request for an Aggregate Commitment Increase shall be in a minimum amount of $25,000,000, (ii) the Administrative Agent has approved the identity of any such new Lender, such approval not to be unreasonably withheld, delayed or conditioned, (iii) any such new Lender assumes all of the rights and obligations of a “</w:t>
      </w:r>
      <w:r>
        <w:rPr>
          <w:rFonts w:ascii="Times New Roman" w:hAnsi="Times New Roman"/>
          <w:sz w:val="20"/>
          <w:u w:val="single"/>
        </w:rPr>
        <w:t>Lender</w:t>
      </w:r>
      <w:r>
        <w:rPr>
          <w:rFonts w:ascii="Times New Roman" w:hAnsi="Times New Roman"/>
          <w:sz w:val="20"/>
        </w:rPr>
        <w:t xml:space="preserve">” hereunder, (iv) the aggregate amount of all such Aggregate Commitment Increases shall not exceed $500,000,000 (for the avoidance of doubt, after giving effect to the </w:t>
      </w:r>
      <w:r>
        <w:rPr>
          <w:rFonts w:ascii="Times New Roman" w:hAnsi="Times New Roman"/>
          <w:strike/>
          <w:color w:val="FF0000"/>
          <w:sz w:val="20"/>
        </w:rPr>
        <w:t>Seventh</w:t>
      </w:r>
      <w:r>
        <w:rPr>
          <w:rFonts w:ascii="Times New Roman" w:hAnsi="Times New Roman"/>
          <w:color w:val="0000FF"/>
          <w:sz w:val="20"/>
          <w:u w:val="single"/>
          <w:bdr w:val="double" w:sz="2" w:space="1" w:color="000000"/>
        </w:rPr>
        <w:t>Ninth</w:t>
      </w:r>
      <w:r>
        <w:rPr>
          <w:rFonts w:ascii="Times New Roman" w:hAnsi="Times New Roman"/>
          <w:sz w:val="20"/>
        </w:rPr>
        <w:t xml:space="preserve"> Amendment), (v) the conditions described in Section 2.09(f) shall be satisfied and (vi) no Lender shall have any obligation to increase its Revolving Commitment in connection with any such Aggregate Commitment Increase requested by the Borrowers hereunder. The Administrative Agent may, in consultation with the Borrower Representative, allocate the additional Revolving Commitments between U.S. Commitments and Canadian Commitments. </w:t>
      </w:r>
    </w:p>
    <w:p>
      <w:pPr>
        <w:pStyle w:val="TextBody"/>
        <w:bidi w:val="0"/>
        <w:spacing w:before="240" w:after="0"/>
        <w:jc w:val="left"/>
        <w:rPr>
          <w:rFonts w:ascii="Times New Roman" w:hAnsi="Times New Roman"/>
          <w:sz w:val="20"/>
        </w:rPr>
      </w:pPr>
      <w:r>
        <w:rPr>
          <w:rFonts w:ascii="Times New Roman" w:hAnsi="Times New Roman"/>
          <w:sz w:val="20"/>
        </w:rPr>
        <w:t xml:space="preserve">(f) Any amendment hereto for such an Aggregate Commitment Increase shall be in form and substance reasonably satisfactory to the Administrative Agent and shall only require the written signatures of the Administrative Agent, the Borrowers and the Lender(s) being added or increasing their Revolving Commitment(s). As conditions precedent to such an increase, the Borrower Representative shall deliver to the Administrative Agent a certificate of each Loan Party signed by an authorized officer of such Loan Party (A) certifying and attaching the authorizations adopted by such Loan Party approving or consenting to such increase, and (B) in the case of the Borrowers, certifying that, before and after giving effect to such increase, subject to Section 1.08, (1) the representations and warranties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contained in Article III and the other Loan Documents are true and correct in all material respects (except that such materiality qualifier shall not be applicable to any representations or warranties that are already qualified or modified by materiality in the text thereof or except to the extent such representation or warranty relates to an earlier date, in which case such representation and warranty shall be true and correct in all material respects as of such earlier date), and (2) no Default exists. </w:t>
      </w:r>
    </w:p>
    <w:p>
      <w:pPr>
        <w:pStyle w:val="TextBody"/>
        <w:bidi w:val="0"/>
        <w:spacing w:before="240" w:after="0"/>
        <w:jc w:val="left"/>
        <w:rPr>
          <w:rFonts w:ascii="Times New Roman" w:hAnsi="Times New Roman"/>
          <w:sz w:val="20"/>
        </w:rPr>
      </w:pPr>
      <w:r>
        <w:rPr>
          <w:rFonts w:ascii="Times New Roman" w:hAnsi="Times New Roman"/>
          <w:sz w:val="20"/>
        </w:rPr>
        <w:t>(g) In addition, the Borrowers shall have the right to request in connection with an Aggregate Commitment Increase that the Canadian Sublimit be increased (a “</w:t>
      </w:r>
      <w:r>
        <w:rPr>
          <w:rFonts w:ascii="Times New Roman" w:hAnsi="Times New Roman"/>
          <w:sz w:val="20"/>
          <w:u w:val="single"/>
        </w:rPr>
        <w:t>Canadian Sublimit Increase</w:t>
      </w:r>
      <w:r>
        <w:rPr>
          <w:rFonts w:ascii="Times New Roman" w:hAnsi="Times New Roman"/>
          <w:sz w:val="20"/>
        </w:rPr>
        <w:t xml:space="preserve">”) through the increase by one or more Canadian Lenders of their Canadian Commitments or the addition of one or more new lending institutions as additional Canadian Lenders hereunder. Any request for a Canadian Sublimit Increase shall be subject to the following conditions (which conditions shall be in addition to the conditions set forth in Sections 2.09(e) and (f) above): (i) such request shall be submitted by the Borrower Representative to the Administrative Agent in writing not less than 15 days prior to the proposed </w:t>
      </w:r>
      <w:r>
        <w:rPr>
          <w:rFonts w:ascii="Times New Roman" w:hAnsi="Times New Roman"/>
          <w:strike/>
          <w:color w:val="FF0000"/>
          <w:sz w:val="20"/>
        </w:rPr>
        <w:t>dates</w:t>
      </w:r>
      <w:r>
        <w:rPr>
          <w:rFonts w:ascii="Times New Roman" w:hAnsi="Times New Roman"/>
          <w:color w:val="0000FF"/>
          <w:sz w:val="20"/>
          <w:u w:val="single"/>
          <w:bdr w:val="double" w:sz="2" w:space="1" w:color="000000"/>
        </w:rPr>
        <w:t>date</w:t>
      </w:r>
      <w:r>
        <w:rPr>
          <w:rFonts w:ascii="Times New Roman" w:hAnsi="Times New Roman"/>
          <w:sz w:val="20"/>
        </w:rPr>
        <w:t xml:space="preserve"> of such Canadian Sublimit Increase, (ii) the aggregate amount of the Canadian Sublimit Increase after the </w:t>
      </w:r>
      <w:r>
        <w:rPr>
          <w:rFonts w:ascii="Times New Roman" w:hAnsi="Times New Roman"/>
          <w:strike/>
          <w:color w:val="FF0000"/>
          <w:sz w:val="20"/>
        </w:rPr>
        <w:t>Seventh</w:t>
      </w:r>
      <w:r>
        <w:rPr>
          <w:rFonts w:ascii="Times New Roman" w:hAnsi="Times New Roman"/>
          <w:color w:val="0000FF"/>
          <w:sz w:val="20"/>
          <w:u w:val="single"/>
          <w:bdr w:val="double" w:sz="2" w:space="1" w:color="000000"/>
        </w:rPr>
        <w:t>Ninth</w:t>
      </w:r>
      <w:r>
        <w:rPr>
          <w:rFonts w:ascii="Times New Roman" w:hAnsi="Times New Roman"/>
          <w:color w:val="0000FF"/>
          <w:sz w:val="20"/>
        </w:rPr>
        <w:t xml:space="preserve"> </w:t>
      </w:r>
      <w:r>
        <w:rPr>
          <w:rFonts w:ascii="Times New Roman" w:hAnsi="Times New Roman"/>
          <w:sz w:val="20"/>
        </w:rPr>
        <w:t xml:space="preserve">Amendment Effective Date shall not exceed $25,000,000, (iii) the Borrowers shall have executed and delivered to the Administrative Agent an amendment hereto in form and substance reasonably satisfactory to the Administrative Agent effecting such increase, which amendment shall require only the signature of the Borrowers, the Administrative Agent and the Lender(s) increasing their Canadian Commitments, (iv) the Borrowers shall have delivered to the Administrative Agent a certificate of each Loan Party signed by an authorized officer of such Loan Party (A) certifying and attaching the authorizations adopted by such Loan Party approving or consenting to such increase, and (B) in the case of the Borrowers, certifying that, before and after giving effect to such increase, subject to Section 1.08, (1) the representations and warranties contained in Article III and the other Loan Documents are true and correct in all material respects (except that such materiality qualifier shall not be applicable to any representations or warranties that are already qualified or modified by materiality in the text thereof or except to the extent such representation or warranty relates to an earlier date, in which case such representation or warranty shall be true and correct in all material respects as of such earlier date), and (2) no Default exists, and (v) no Lender shall have any obligation to increase its Canadian Commitment in connection with any such Canadian Sublimit Increase requested by the Borrowers hereunder. </w:t>
      </w:r>
    </w:p>
    <w:p>
      <w:pPr>
        <w:pStyle w:val="TextBody"/>
        <w:bidi w:val="0"/>
        <w:spacing w:before="240" w:after="0"/>
        <w:jc w:val="left"/>
        <w:rPr>
          <w:rFonts w:ascii="Times New Roman" w:hAnsi="Times New Roman"/>
          <w:sz w:val="20"/>
        </w:rPr>
      </w:pPr>
      <w:r>
        <w:rPr>
          <w:rFonts w:ascii="Times New Roman" w:hAnsi="Times New Roman"/>
          <w:sz w:val="20"/>
        </w:rPr>
        <w:t xml:space="preserve">(h) Within a reasonable time after the effective date of any Aggregate Commitment Increase or Canadian Sublimit Increase, the Administrative Agent shall, and is hereby authorized and directed to, revise the </w:t>
      </w:r>
      <w:r>
        <w:rPr>
          <w:rFonts w:ascii="Times New Roman" w:hAnsi="Times New Roman"/>
          <w:sz w:val="20"/>
          <w:u w:val="single"/>
        </w:rPr>
        <w:t>Revolving Commitment Schedule</w:t>
      </w:r>
      <w:r>
        <w:rPr>
          <w:rFonts w:ascii="Times New Roman" w:hAnsi="Times New Roman"/>
          <w:sz w:val="20"/>
        </w:rPr>
        <w:t xml:space="preserve"> to reflect such increase and shall distribute such revised </w:t>
      </w:r>
      <w:r>
        <w:rPr>
          <w:rFonts w:ascii="Times New Roman" w:hAnsi="Times New Roman"/>
          <w:sz w:val="20"/>
          <w:u w:val="single"/>
        </w:rPr>
        <w:t>Revolving Commitment Schedule</w:t>
      </w:r>
      <w:r>
        <w:rPr>
          <w:rFonts w:ascii="Times New Roman" w:hAnsi="Times New Roman"/>
          <w:sz w:val="20"/>
        </w:rPr>
        <w:t xml:space="preserve"> to each of the Lenders and the Borrowers, whereupon such revised </w:t>
      </w:r>
      <w:r>
        <w:rPr>
          <w:rFonts w:ascii="Times New Roman" w:hAnsi="Times New Roman"/>
          <w:sz w:val="20"/>
          <w:u w:val="single"/>
        </w:rPr>
        <w:t>Revolving Commitment Schedule</w:t>
      </w:r>
      <w:r>
        <w:rPr>
          <w:rFonts w:ascii="Times New Roman" w:hAnsi="Times New Roman"/>
          <w:sz w:val="20"/>
        </w:rPr>
        <w:t xml:space="preserve"> shall replace the old </w:t>
      </w:r>
      <w:r>
        <w:rPr>
          <w:rFonts w:ascii="Times New Roman" w:hAnsi="Times New Roman"/>
          <w:sz w:val="20"/>
          <w:u w:val="single"/>
        </w:rPr>
        <w:t>Revolving Commitment Schedule</w:t>
      </w:r>
      <w:r>
        <w:rPr>
          <w:rFonts w:ascii="Times New Roman" w:hAnsi="Times New Roman"/>
          <w:sz w:val="20"/>
        </w:rPr>
        <w:t xml:space="preserve"> and become part of this Agreement. On the Business Day following any such Aggregate Commitment Increase, all outstanding ABR Loans and Canadian Prime Rate Loans shall be reallocated among the Lenders (including any newly added Lenders) in accordance with the Lenders’ respective revised Applicable Percentages. SOFR Loans and Canadian CORRA Loans shall not be reallocated among the Lenders prior to the expiration of the applicable Interest Period in effect at the time of any such increase. </w:t>
      </w:r>
    </w:p>
    <w:p>
      <w:pPr>
        <w:pStyle w:val="TextBody"/>
        <w:bidi w:val="0"/>
        <w:spacing w:before="240" w:after="0"/>
        <w:jc w:val="left"/>
        <w:rPr>
          <w:rFonts w:ascii="Times New Roman" w:hAnsi="Times New Roman"/>
          <w:sz w:val="20"/>
        </w:rPr>
      </w:pPr>
      <w:r>
        <w:rPr>
          <w:rFonts w:ascii="Times New Roman" w:hAnsi="Times New Roman"/>
          <w:sz w:val="20"/>
          <w:u w:val="single"/>
        </w:rPr>
        <w:t>SECTION 2.10 Repayment and Amortization of Loans; Evidence of Debt</w:t>
      </w:r>
      <w:r>
        <w:rPr>
          <w:rFonts w:ascii="Times New Roman" w:hAnsi="Times New Roman"/>
          <w:sz w:val="20"/>
        </w:rPr>
        <w:t xml:space="preserve">. (a)(i) The U.S. Borrowers hereby unconditionally promise to pay (A) to the Administrative Agent for the account of each U.S. Lender the then unpaid principal amount of each U.S. Revolving Loan on the Maturity Date, (B) to the Administrative Agent the then unpaid principal amount of each U.S. Protective Advance on the earlier of the Maturity Date and demand by the Administrative Agent and (C) to the Administrative Agent the then unpaid principal amount of each U.S. Overadvance on the earliest of the Maturity Date, the forty-fifth (45th) day after such U.S. Overadvance is made, and demand by the Administrative Agent; and (ii) the Canadian Borrowers hereby unconditionally promise to pay (A) to the Administrative Agent for the account of each Canadian Lender the then unpaid principal amount of each Canadian Revolving Loan on the Maturity Date, (B) to the Administrative Agent the then unpaid amount of each Canadian Protective Advance on the earlier of the Maturity Date and demand by the Administrative Agent and (C) to the Administrative Agent the then unpaid principal amount of each Canadian Overadvance on the earliest of the Maturity Date, the forty-fifth (45th) day after such Canadian Overadvance is made, and demand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On each Business Day during any Cash Dominion Period, (i) the Administrative Agent shall apply all funds credited to each U.S. Collection Account on such Business Day or the immediately preceding Business Day (at the discretion of the Administrative Agent, whether or not immediately available) </w:t>
      </w:r>
      <w:r>
        <w:rPr>
          <w:rFonts w:ascii="Times New Roman" w:hAnsi="Times New Roman"/>
          <w:sz w:val="20"/>
          <w:u w:val="single"/>
        </w:rPr>
        <w:t>first</w:t>
      </w:r>
      <w:r>
        <w:rPr>
          <w:rFonts w:ascii="Times New Roman" w:hAnsi="Times New Roman"/>
          <w:sz w:val="20"/>
        </w:rPr>
        <w:t xml:space="preserve"> to prepay any U.S. Protective Advances and U.S. Overadvances that may be outstanding, pro rata, and </w:t>
      </w:r>
      <w:r>
        <w:rPr>
          <w:rFonts w:ascii="Times New Roman" w:hAnsi="Times New Roman"/>
          <w:sz w:val="20"/>
          <w:u w:val="single"/>
        </w:rPr>
        <w:t>second</w:t>
      </w:r>
      <w:r>
        <w:rPr>
          <w:rFonts w:ascii="Times New Roman" w:hAnsi="Times New Roman"/>
          <w:sz w:val="20"/>
        </w:rPr>
        <w:t xml:space="preserve"> to prepay the U.S. Revolving Loans (including U.S. Swingline Loans) and to cash collateralize outstanding U.S. LC Exposure;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Administrative Agent shall apply all funds credited to each Canadian Collection Account on such Business Day or the immediately preceding Business Day (at the discretion of the Administrative Agent, whether or not immediately available) </w:t>
      </w:r>
      <w:r>
        <w:rPr>
          <w:rFonts w:ascii="Times New Roman" w:hAnsi="Times New Roman"/>
          <w:sz w:val="20"/>
          <w:u w:val="single"/>
        </w:rPr>
        <w:t>first</w:t>
      </w:r>
      <w:r>
        <w:rPr>
          <w:rFonts w:ascii="Times New Roman" w:hAnsi="Times New Roman"/>
          <w:sz w:val="20"/>
        </w:rPr>
        <w:t xml:space="preserve"> to prepay any Canadian Protective Advances and Canadian Overadvances that may be outstanding, pro rata, and </w:t>
      </w:r>
      <w:r>
        <w:rPr>
          <w:rFonts w:ascii="Times New Roman" w:hAnsi="Times New Roman"/>
          <w:sz w:val="20"/>
          <w:u w:val="single"/>
        </w:rPr>
        <w:t>second</w:t>
      </w:r>
      <w:r>
        <w:rPr>
          <w:rFonts w:ascii="Times New Roman" w:hAnsi="Times New Roman"/>
          <w:sz w:val="20"/>
        </w:rPr>
        <w:t xml:space="preserve"> to prepay the Canadian Revolving Loans (including Canadian Swingline Loans) and to cash collateralize outstanding Canadian LC Exposure. </w:t>
      </w:r>
    </w:p>
    <w:p>
      <w:pPr>
        <w:pStyle w:val="TextBody"/>
        <w:bidi w:val="0"/>
        <w:spacing w:before="240" w:after="0"/>
        <w:jc w:val="left"/>
        <w:rPr>
          <w:rFonts w:ascii="Times New Roman" w:hAnsi="Times New Roman"/>
          <w:sz w:val="20"/>
        </w:rPr>
      </w:pPr>
      <w:r>
        <w:rPr>
          <w:rFonts w:ascii="Times New Roman" w:hAnsi="Times New Roman"/>
          <w:sz w:val="20"/>
        </w:rPr>
        <w:t xml:space="preserve">(c)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maintain accounts in which it shall record (A) the amount of each Loan made hereunder, the Class and Type thereof and the Interest Period applicable thereto, (B) the amount of any principal and interest due and payable or to become due and payable from (i) the U.S. Borrowers to each U.S. Lender or (ii) the Canadian Borrowers to each Canadian Lender, as applicable, hereunder and (C) the amount of any sum received by the Administrative Agent hereunder for the account of (i) the U.S. Lenders and each U.S. Lender’s share or (ii) the Canadian Lenders and each Canadian Lender’s share, as applicable, thereof. </w:t>
      </w:r>
    </w:p>
    <w:p>
      <w:pPr>
        <w:pStyle w:val="TextBody"/>
        <w:bidi w:val="0"/>
        <w:spacing w:before="240" w:after="0"/>
        <w:jc w:val="left"/>
        <w:rPr>
          <w:rFonts w:ascii="Times New Roman" w:hAnsi="Times New Roman"/>
          <w:sz w:val="20"/>
        </w:rPr>
      </w:pPr>
      <w:r>
        <w:rPr>
          <w:rFonts w:ascii="Times New Roman" w:hAnsi="Times New Roman"/>
          <w:sz w:val="20"/>
        </w:rPr>
        <w:t xml:space="preserve">(e) The entries made in the accounts maintained pursuant to paragraph (c) or (d) of this Section shall be </w:t>
      </w:r>
      <w:r>
        <w:rPr>
          <w:rFonts w:ascii="Times New Roman" w:hAnsi="Times New Roman"/>
          <w:sz w:val="20"/>
          <w:u w:val="single"/>
        </w:rPr>
        <w:t>prima</w:t>
      </w:r>
      <w:r>
        <w:rPr>
          <w:rFonts w:ascii="Times New Roman" w:hAnsi="Times New Roman"/>
          <w:sz w:val="20"/>
        </w:rPr>
        <w:t xml:space="preserve"> </w:t>
      </w:r>
      <w:r>
        <w:rPr>
          <w:rFonts w:ascii="Times New Roman" w:hAnsi="Times New Roman"/>
          <w:sz w:val="20"/>
          <w:u w:val="single"/>
        </w:rPr>
        <w:t>facie</w:t>
      </w:r>
      <w:r>
        <w:rPr>
          <w:rFonts w:ascii="Times New Roman" w:hAnsi="Times New Roman"/>
          <w:sz w:val="20"/>
        </w:rPr>
        <w:t xml:space="preserve"> evidence of the existence and amounts of the obligations recorded therein subject to manifest error; </w:t>
      </w:r>
      <w:r>
        <w:rPr>
          <w:rFonts w:ascii="Times New Roman" w:hAnsi="Times New Roman"/>
          <w:sz w:val="20"/>
          <w:u w:val="single"/>
        </w:rPr>
        <w:t>provided</w:t>
      </w:r>
      <w:r>
        <w:rPr>
          <w:rFonts w:ascii="Times New Roman" w:hAnsi="Times New Roman"/>
          <w:sz w:val="20"/>
        </w:rPr>
        <w:t xml:space="preserve"> that in the event of a conflict between an account maintained pursuant to clause (c) and an account maintained pursuant to clause (d) of this Section, the account maintained under clause (d) shall control; </w:t>
      </w:r>
      <w:r>
        <w:rPr>
          <w:rFonts w:ascii="Times New Roman" w:hAnsi="Times New Roman"/>
          <w:sz w:val="20"/>
          <w:u w:val="single"/>
        </w:rPr>
        <w:t>provided</w:t>
      </w:r>
      <w:r>
        <w:rPr>
          <w:rFonts w:ascii="Times New Roman" w:hAnsi="Times New Roman"/>
          <w:sz w:val="20"/>
        </w:rPr>
        <w:t xml:space="preserve"> further that the failure of any Lender or the Administrative Agent to maintain such accounts or any error therein shall not in any manner affect the obligation of the Borrowers to repay the Loans in accordance with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Any Lender may request that Loans made by it be evidenced by a promissory note. In such event, the applicable Borrowers shall prepare, execute and deliver to such Lender a promissory note payable to such Lender and its registered assigns and in a form approved by the Administrative Agent (it being agreed that the form attached hereto as </w:t>
      </w:r>
      <w:r>
        <w:rPr>
          <w:rFonts w:ascii="Times New Roman" w:hAnsi="Times New Roman"/>
          <w:sz w:val="20"/>
          <w:u w:val="single"/>
        </w:rPr>
        <w:t>Exhibit H</w:t>
      </w:r>
      <w:r>
        <w:rPr>
          <w:rFonts w:ascii="Times New Roman" w:hAnsi="Times New Roman"/>
          <w:sz w:val="20"/>
        </w:rPr>
        <w:t xml:space="preserve"> is approved by the Administrative Agent). Thereafter, the Loans evidenced by such promissory note and interest thereon shall at all times (including after assignment pursuant to Section 9.04) be represented by one or more promissory notes in such form payable to the applicable Lender and its registered assigns. </w:t>
      </w:r>
    </w:p>
    <w:p>
      <w:pPr>
        <w:pStyle w:val="TextBody"/>
        <w:bidi w:val="0"/>
        <w:spacing w:before="240" w:after="0"/>
        <w:jc w:val="left"/>
        <w:rPr>
          <w:rFonts w:ascii="Times New Roman" w:hAnsi="Times New Roman"/>
          <w:sz w:val="20"/>
        </w:rPr>
      </w:pPr>
      <w:r>
        <w:rPr>
          <w:rFonts w:ascii="Times New Roman" w:hAnsi="Times New Roman"/>
          <w:sz w:val="20"/>
          <w:u w:val="single"/>
        </w:rPr>
        <w:t>SECTION 2.11 Prepayment of Loans</w:t>
      </w:r>
      <w:r>
        <w:rPr>
          <w:rFonts w:ascii="Times New Roman" w:hAnsi="Times New Roman"/>
          <w:sz w:val="20"/>
        </w:rPr>
        <w:t xml:space="preserve">. (a) The Borrowers shall have the right at any time and from time to time, without premium or penalty other than any break funding payments required in accordance with Section 2.16, to prepay any Borrowing in whole or in part, subject to prior notice in accordance with paragraph (c) of this Section and subject to Section 12.01. </w:t>
      </w:r>
    </w:p>
    <w:p>
      <w:pPr>
        <w:pStyle w:val="TextBody"/>
        <w:bidi w:val="0"/>
        <w:spacing w:before="240" w:after="0"/>
        <w:jc w:val="left"/>
        <w:rPr>
          <w:rFonts w:ascii="Times New Roman" w:hAnsi="Times New Roman"/>
          <w:sz w:val="20"/>
        </w:rPr>
      </w:pPr>
      <w:r>
        <w:rPr>
          <w:rFonts w:ascii="Times New Roman" w:hAnsi="Times New Roman"/>
          <w:sz w:val="20"/>
        </w:rPr>
        <w:t xml:space="preserve">(b) Except for Overadvances permitted under Section 2.05 and subject to Section 2.23, in the event and on such occasion (including after any Revaluation Date) that (i) Aggregate Availability shall be less than zero, subject to Section 12.01, (ii) U.S. Availability shall be less than zero, or (iii) Canadian Availability shall be less than zero, the Borrowers shall immediately prepay (or in the case of the LC Exposure, cash collateralize) the Revolving Loans, LC Exposure and/or Swingline Loans in an aggregate amount sufficient to cause Aggregate Availability, U.S. Availability and Canadian Availability to no longer be less than zero.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and on each occasion that any Net Proceeds are received by or on behalf of any Loan Party in respect of any Prepayment Event during any Cash Dominion Period, the Borrowers shall, subject to Section 12.01, promptly, and in any event within two Business Days, after such Net Proceeds are received by any Loan Party, prepay the Obligations as set forth in Section 2.11(d) below in an aggregate amount equal to 100% of such Net Proceeds (without any reduction in the Revolving Commitments), </w:t>
      </w:r>
      <w:r>
        <w:rPr>
          <w:rFonts w:ascii="Times New Roman" w:hAnsi="Times New Roman"/>
          <w:sz w:val="20"/>
          <w:u w:val="single"/>
        </w:rPr>
        <w:t>provided</w:t>
      </w:r>
      <w:r>
        <w:rPr>
          <w:rFonts w:ascii="Times New Roman" w:hAnsi="Times New Roman"/>
          <w:sz w:val="20"/>
        </w:rPr>
        <w:t xml:space="preserve"> that if any Permitted Term Debt is outstanding, any Net Proceeds with respect to any Prepayment Event which are clearly identifiable as proceeds of Term Loan Priority Collateral shall be remitted to the applicable Permitted Term Debt Agent in accordance with and to the extent required by the applicable Permitted Term Debt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(d) All such amounts pursuant to Section 2.11(c) shall be applied, </w:t>
      </w:r>
      <w:r>
        <w:rPr>
          <w:rFonts w:ascii="Times New Roman" w:hAnsi="Times New Roman"/>
          <w:sz w:val="20"/>
          <w:u w:val="single"/>
        </w:rPr>
        <w:t>first</w:t>
      </w:r>
      <w:r>
        <w:rPr>
          <w:rFonts w:ascii="Times New Roman" w:hAnsi="Times New Roman"/>
          <w:sz w:val="20"/>
        </w:rPr>
        <w:t xml:space="preserve"> to prepay any Protective Advances and Overadvances that may be outstanding, pro rata, and </w:t>
      </w:r>
      <w:r>
        <w:rPr>
          <w:rFonts w:ascii="Times New Roman" w:hAnsi="Times New Roman"/>
          <w:sz w:val="20"/>
          <w:u w:val="single"/>
        </w:rPr>
        <w:t>second</w:t>
      </w:r>
      <w:r>
        <w:rPr>
          <w:rFonts w:ascii="Times New Roman" w:hAnsi="Times New Roman"/>
          <w:sz w:val="20"/>
        </w:rPr>
        <w:t xml:space="preserve"> to prepay the Revolving Loans (including Swingline Loans) without a corresponding reduction in the Aggregate Revolving Commitments and to cash collateralize outstanding LC Exposure (in an amount up to 103% of the outstanding LC Exposure). Notwithstanding the foregoing, any such application of proceeds from the Collateral securing solely the Canadian Obligations shall be made solely in respect of the Canadian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Borrower Representative shall notify the Administrative Agent by telephone (confirmed by a Prepayment Notice delivered via facsimile or electronic mail) of any prepayment hereunder (i) in the case of prepayment of a SOFR Revolving Borrowing or a Canadian CORRA Revolving Borrowing, not later than 12:00 p.m., New York City time, three (or, in the case of a Canadian CORRA Revolving Borrowing, two) Business Days before the date of prepayment, or (ii) in the case of prepayment of an ABR Revolving Borrowing or a Canadian Prime Rate Revolving Borrowing, not later than 1:00 p.m., New York City time, on the date of prepayment. Each such notice shall be irrevocable and shall specify the prepayment date and the principal amount of each Borrowing or portion thereof to be prepaid; </w:t>
      </w:r>
      <w:r>
        <w:rPr>
          <w:rFonts w:ascii="Times New Roman" w:hAnsi="Times New Roman"/>
          <w:sz w:val="20"/>
          <w:u w:val="single"/>
        </w:rPr>
        <w:t>provided</w:t>
      </w:r>
      <w:r>
        <w:rPr>
          <w:rFonts w:ascii="Times New Roman" w:hAnsi="Times New Roman"/>
          <w:sz w:val="20"/>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Borrowing. Prepayments shall be accompanied by accrued interest to the extent required by Section 2.13. </w:t>
      </w:r>
    </w:p>
    <w:p>
      <w:pPr>
        <w:pStyle w:val="TextBody"/>
        <w:bidi w:val="0"/>
        <w:spacing w:before="240" w:after="0"/>
        <w:jc w:val="left"/>
        <w:rPr>
          <w:rFonts w:ascii="Times New Roman" w:hAnsi="Times New Roman"/>
          <w:sz w:val="20"/>
        </w:rPr>
      </w:pPr>
      <w:r>
        <w:rPr>
          <w:rFonts w:ascii="Times New Roman" w:hAnsi="Times New Roman"/>
          <w:sz w:val="20"/>
          <w:u w:val="single"/>
        </w:rPr>
        <w:t>SECTION 2.12 Fees</w:t>
      </w:r>
      <w:r>
        <w:rPr>
          <w:rFonts w:ascii="Times New Roman" w:hAnsi="Times New Roman"/>
          <w:sz w:val="20"/>
        </w:rPr>
        <w:t xml:space="preserve">. (a) The Borrowers agree to pay to the Administrative Agent for the account of each Lender a commitment fee, which shall commence to accrue on the Fourth Restatement Date and shall be due and payable in arrears on the first Business Day of each April, July, October and January for the immediately prior quarter at the Applicable Commitment Fee Rate on the average daily amount of the Available Revolving Commitment of such Lender during the period from and including the Fourth Restatement Date to but excluding the date on which such Lenders’ Revolving Commitment terminates. Accrued commitment fees shall be payable quarterly in arrears on the first day of each April, July, October and January and on the date on which the Revolving Commitments terminate, commencing on the first such date to occur after the Fourth Restatement Date. All commitment fees shall be computed on the basis of a year of 360 days and shall be payable for the actual number of days elapsed. </w:t>
      </w:r>
    </w:p>
    <w:p>
      <w:pPr>
        <w:pStyle w:val="TextBody"/>
        <w:bidi w:val="0"/>
        <w:spacing w:before="240" w:after="0"/>
        <w:jc w:val="left"/>
        <w:rPr>
          <w:rFonts w:ascii="Times New Roman" w:hAnsi="Times New Roman"/>
          <w:sz w:val="20"/>
        </w:rPr>
      </w:pPr>
      <w:r>
        <w:rPr>
          <w:rFonts w:ascii="Times New Roman" w:hAnsi="Times New Roman"/>
          <w:sz w:val="20"/>
        </w:rPr>
        <w:t xml:space="preserve">(b) The (i) U.S. Borrowers agree to pay to the Administrative Agent for the account of each U.S. Lender a participation fee with respect to its participations in U.S. Letters of Credit and (ii) Canadian Borrowers agree to pay to the Administrative Agent for the account of each Canadian Lender a participation fee with respect to its participations in Canadian Letters of Credit, which, in each case, shall accrue at the same Applicable Rate used to determine the interest rate applicable to SOFR Loans on the average daily amount of such Lender’s applicable LC Exposure (excluding any portion thereof attributable to unreimbursed LC Disbursements) during the period from and including the Fourth Restatement Date to but excluding the later of the date on which such Lender’s Revolving Commitment terminates and the date on which such Revolving Lender ceases to have any LC Exposure. In addition, each Borrower agrees to pay to the applicable Issuing Bank with respect to each Letter of Credit issued for the account of such Borrower by such Issuing Bank a fronting fee in an amount separately agreed upon between the Borrowers and the applicable Issuing Bank but in any event not more than 0.125% per annum on the face amount of each Letter of Credit, as well as the applicable Issuing Bank’s standard fees with respect to the issuance, amendment, renewal or extension of any Letter of Credit or processing of drawings thereunder. Participation fees accrued through and including the last day of each calendar month shall be payable on the first day of each calendar month following such last day, commencing on the first such date to occur after the Fourth Restatement Date; </w:t>
      </w:r>
      <w:r>
        <w:rPr>
          <w:rFonts w:ascii="Times New Roman" w:hAnsi="Times New Roman"/>
          <w:sz w:val="20"/>
          <w:u w:val="single"/>
        </w:rPr>
        <w:t>provided</w:t>
      </w:r>
      <w:r>
        <w:rPr>
          <w:rFonts w:ascii="Times New Roman" w:hAnsi="Times New Roman"/>
          <w:sz w:val="20"/>
        </w:rPr>
        <w:t xml:space="preserve"> that all such fees shall be payable on the date on which the Revolving Commitments terminate and any such fees accruing after the date on which the Revolving Commitments terminate shall be payable on demand. Fronting fees in respect of any Letter of Credit shall be payable on the date of the issuance of such Letter of Credit and on the date of any renewal thereof. Any other fees payable to an Issuing Bank pursuant to this paragraph shall be payable within 10 days after demand. All participation fees shall be computed on the basis of a year of 360 days and shall be payable for the actual number of days elapsed. </w:t>
      </w:r>
    </w:p>
    <w:p>
      <w:pPr>
        <w:pStyle w:val="TextBody"/>
        <w:bidi w:val="0"/>
        <w:spacing w:before="240" w:after="0"/>
        <w:jc w:val="left"/>
        <w:rPr>
          <w:rFonts w:ascii="Times New Roman" w:hAnsi="Times New Roman"/>
          <w:sz w:val="20"/>
        </w:rPr>
      </w:pPr>
      <w:r>
        <w:rPr>
          <w:rFonts w:ascii="Times New Roman" w:hAnsi="Times New Roman"/>
          <w:sz w:val="20"/>
        </w:rPr>
        <w:t xml:space="preserve">(c) The Borrowers agree to pay to the Administrative Agent, for its own account, fees payable in the amounts and at the times separately agreed upon between the Borrowers and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fees payable hereunder shall be paid on the dates due, in immediately available funds, to the Administrative Agent (or to the applicable Issuing Bank in the case of fees payable to it) for distribution, in the case of commitment fees and participation fees, to the Lenders. Fees paid shall not be refundable under any circumstances. </w:t>
      </w:r>
    </w:p>
    <w:p>
      <w:pPr>
        <w:pStyle w:val="TextBody"/>
        <w:bidi w:val="0"/>
        <w:spacing w:before="240" w:after="0"/>
        <w:jc w:val="left"/>
        <w:rPr>
          <w:rFonts w:ascii="Times New Roman" w:hAnsi="Times New Roman"/>
          <w:sz w:val="20"/>
        </w:rPr>
      </w:pPr>
      <w:r>
        <w:rPr>
          <w:rFonts w:ascii="Times New Roman" w:hAnsi="Times New Roman"/>
          <w:sz w:val="20"/>
          <w:u w:val="single"/>
        </w:rPr>
        <w:t>SECTION 2.13 Interest</w:t>
      </w:r>
      <w:r>
        <w:rPr>
          <w:rFonts w:ascii="Times New Roman" w:hAnsi="Times New Roman"/>
          <w:sz w:val="20"/>
        </w:rPr>
        <w:t xml:space="preserve">. (a) The Loans comprising each ABR Borrowing shall bear interest at the Alternate Base Rate plus the Applicable Rate for such Type of Loan. </w:t>
      </w:r>
    </w:p>
    <w:p>
      <w:pPr>
        <w:pStyle w:val="TextBody"/>
        <w:bidi w:val="0"/>
        <w:spacing w:before="240" w:after="0"/>
        <w:jc w:val="left"/>
        <w:rPr>
          <w:rFonts w:ascii="Times New Roman" w:hAnsi="Times New Roman"/>
          <w:sz w:val="20"/>
        </w:rPr>
      </w:pPr>
      <w:r>
        <w:rPr>
          <w:rFonts w:ascii="Times New Roman" w:hAnsi="Times New Roman"/>
          <w:sz w:val="20"/>
        </w:rPr>
        <w:t xml:space="preserve">(b) The Loans comprising each Term SOFR Borrowing shall bear interest at a rate per annum equal to Term SOFR plus the Applicable Rate for SOFR Loans. The Loans comprising each Daily Simple SOFR Borrowing shall bear interest at a rate per annum equal to Daily Simple SOFR plus the Applicable Rate for SOFR Loans. </w:t>
      </w:r>
    </w:p>
    <w:p>
      <w:pPr>
        <w:pStyle w:val="TextBody"/>
        <w:bidi w:val="0"/>
        <w:spacing w:before="240" w:after="0"/>
        <w:jc w:val="left"/>
        <w:rPr>
          <w:rFonts w:ascii="Times New Roman" w:hAnsi="Times New Roman"/>
          <w:sz w:val="20"/>
        </w:rPr>
      </w:pPr>
      <w:r>
        <w:rPr>
          <w:rFonts w:ascii="Times New Roman" w:hAnsi="Times New Roman"/>
          <w:sz w:val="20"/>
        </w:rPr>
        <w:t xml:space="preserve">(c) The Loans comprising each Canadian Prime Rate Borrowing shall bear interest at the Canadian Prime Rate plus the Applicable Rate for such Type of Loan. </w:t>
      </w:r>
    </w:p>
    <w:p>
      <w:pPr>
        <w:pStyle w:val="TextBody"/>
        <w:bidi w:val="0"/>
        <w:spacing w:before="240" w:after="0"/>
        <w:jc w:val="left"/>
        <w:rPr>
          <w:rFonts w:ascii="Times New Roman" w:hAnsi="Times New Roman"/>
          <w:sz w:val="20"/>
        </w:rPr>
      </w:pPr>
      <w:r>
        <w:rPr>
          <w:rFonts w:ascii="Times New Roman" w:hAnsi="Times New Roman"/>
          <w:sz w:val="20"/>
        </w:rPr>
        <w:t xml:space="preserve">(d) The Loans comprising each Term CORRA Borrowing shall bear interest at </w:t>
      </w:r>
      <w:r>
        <w:rPr>
          <w:rFonts w:ascii="Times New Roman" w:hAnsi="Times New Roman"/>
          <w:strike/>
          <w:color w:val="FF0000"/>
          <w:sz w:val="20"/>
        </w:rPr>
        <w:t xml:space="preserve">Adjusted </w:t>
      </w:r>
      <w:r>
        <w:rPr>
          <w:rFonts w:ascii="Times New Roman" w:hAnsi="Times New Roman"/>
          <w:sz w:val="20"/>
        </w:rPr>
        <w:t xml:space="preserve">Term CORRA for the Interest Period in effect for such Borrowing plus the Applicable Rate for such Type of Loan. The Loans comprising each Daily Compounded CORRA Borrowing shall bear interest at </w:t>
      </w:r>
      <w:r>
        <w:rPr>
          <w:rFonts w:ascii="Times New Roman" w:hAnsi="Times New Roman"/>
          <w:strike/>
          <w:color w:val="FF0000"/>
          <w:sz w:val="20"/>
        </w:rPr>
        <w:t xml:space="preserve">Adjusted </w:t>
      </w:r>
      <w:r>
        <w:rPr>
          <w:rFonts w:ascii="Times New Roman" w:hAnsi="Times New Roman"/>
          <w:sz w:val="20"/>
        </w:rPr>
        <w:t xml:space="preserve">Daily Compounded CORRA plus the Applicable Rate for such Type of Loan. </w:t>
      </w:r>
    </w:p>
    <w:p>
      <w:pPr>
        <w:pStyle w:val="TextBody"/>
        <w:bidi w:val="0"/>
        <w:spacing w:before="240" w:after="0"/>
        <w:jc w:val="left"/>
        <w:rPr>
          <w:rFonts w:ascii="Times New Roman" w:hAnsi="Times New Roman"/>
          <w:sz w:val="20"/>
        </w:rPr>
      </w:pPr>
      <w:r>
        <w:rPr>
          <w:rFonts w:ascii="Times New Roman" w:hAnsi="Times New Roman"/>
          <w:sz w:val="20"/>
        </w:rPr>
        <w:t xml:space="preserve">(e) Each Protective Advance and each Overadvance shall bear interest at the Canadian Prime Rate, if denominated in Canadian Dollars, or at the Alternate Base Rate, if denominated in dollars, plus the Applicable Rate for corresponding Revolving Loans plus 2% per annum.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above the rate applicable to such fee or other obligation, if any, as provided hereunder. </w:t>
      </w:r>
    </w:p>
    <w:p>
      <w:pPr>
        <w:pStyle w:val="TextBody"/>
        <w:bidi w:val="0"/>
        <w:spacing w:before="240" w:after="0"/>
        <w:jc w:val="left"/>
        <w:rPr>
          <w:rFonts w:ascii="Times New Roman" w:hAnsi="Times New Roman"/>
          <w:sz w:val="20"/>
        </w:rPr>
      </w:pPr>
      <w:r>
        <w:rPr>
          <w:rFonts w:ascii="Times New Roman" w:hAnsi="Times New Roman"/>
          <w:sz w:val="20"/>
        </w:rPr>
        <w:t xml:space="preserve">(g) Accrued interest on each Loan shall be payable in arrears on each Interest Payment Date for such Loan and upon termination of the Revolving Commitments; </w:t>
      </w:r>
      <w:r>
        <w:rPr>
          <w:rFonts w:ascii="Times New Roman" w:hAnsi="Times New Roman"/>
          <w:sz w:val="20"/>
          <w:u w:val="single"/>
        </w:rPr>
        <w:t>provided</w:t>
      </w:r>
      <w:r>
        <w:rPr>
          <w:rFonts w:ascii="Times New Roman" w:hAnsi="Times New Roman"/>
          <w:sz w:val="20"/>
        </w:rPr>
        <w:t xml:space="preserve"> that (i) interest accrued pursuant to paragraph (f) of this Section shall be payable on demand, (ii) in the event of any repayment or prepayment of any Loan (other than a prepayment of an ABR Loan or a Canadian Prime Rate Loan prior to the end of the Availability Period), accrued interest on the principal amount repaid or prepaid shall be payable on the date of such repayment or prepayment and (iii) in the event of any conversion of any SOFR Loan or Canadian CORRA Loan prior to the end of the current Interest Period therefor, accrued interest on such Loan shall be payable on the effective date of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(h) All interest hereunder shall be computed on the basis of a year of 360 days, except that interest computed by reference to the Alternate Base Rate, the Canadian Prime Rate, Term CORRA or the Daily Compounded CORRA shall be computed on the basis of a year of 365 days (or 366 days in a leap year), and in each case shall be payable for the actual number of days elapsed. The applicable Alternate Base Rate, Canadian Prime Rate, CORRA, Daily Simple SOFR, Daily Compounded CORRA, Canadian Benchmark or Term Benchmark shall be determined in good faith by the Administrative Agent and such determination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(i) For purposes of disclosure pursuant to the </w:t>
      </w:r>
      <w:r>
        <w:rPr>
          <w:rFonts w:ascii="Times New Roman" w:hAnsi="Times New Roman"/>
          <w:i/>
          <w:sz w:val="20"/>
        </w:rPr>
        <w:t>Interest Act</w:t>
      </w:r>
      <w:r>
        <w:rPr>
          <w:rFonts w:ascii="Times New Roman" w:hAnsi="Times New Roman"/>
          <w:sz w:val="20"/>
        </w:rPr>
        <w:t xml:space="preserve"> (Canada), the annual rates of interest or fees to which the rates of interest or fees provided in this Agreement and the other Loan Documents (and stated herein or therein, as applicable, to be computed on the basis of 360 days or any other period of time less than a calendar year) are equivalent are the rates so determined multiplied by the actual number of days in the applicable calendar year and divided by 360 or such other period of time, respectively. </w:t>
      </w:r>
    </w:p>
    <w:p>
      <w:pPr>
        <w:pStyle w:val="TextBody"/>
        <w:bidi w:val="0"/>
        <w:spacing w:before="240" w:after="0"/>
        <w:jc w:val="left"/>
        <w:rPr>
          <w:rFonts w:ascii="Times New Roman" w:hAnsi="Times New Roman"/>
          <w:sz w:val="20"/>
        </w:rPr>
      </w:pPr>
      <w:r>
        <w:rPr>
          <w:rFonts w:ascii="Times New Roman" w:hAnsi="Times New Roman"/>
          <w:sz w:val="20"/>
          <w:u w:val="single"/>
        </w:rPr>
        <w:t>SECTION 2.14 Alternate Rate of Interest; Illegality</w:t>
      </w:r>
      <w:r>
        <w:rPr>
          <w:rFonts w:ascii="Times New Roman" w:hAnsi="Times New Roman"/>
          <w:sz w:val="20"/>
        </w:rPr>
        <w:t xml:space="preserve">. (a) If prior to the commencement of any Interest Period for a SOFR Borrowing or Canadian CORRA Borrowing, the Administrative Agent is advised by the Required Lenders that the Relevant Rate applicable to such Borrowing for such Interest Period will not adequately and fairly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reflect the cost to such Lenders (or Lender) of making or maintaining their Loans (or its Loan) included in such Borrowing for such Interest Period, then the Administrative Agent shall give notice thereof to the Borrower Representative and the Lenders by telephone, facsimile or electronic mail as promptly as practicable thereafter and, until the Administrative Agent notifies the Borrower Representative and the Lenders that the circumstances giving rise to such notice no longer exist, (A) any Interest Election Request that requests the conversion of any Revolving Borrowing to, or continuation of any Revolving Borrowing as, a SOFR Borrowing or Canadian CORRA Borrowing shall be ineffective and any such SOFR Borrowing or Canadian CORRA Borrowing, as applicable, shall be repaid or converted into an ABR Borrowing (in the case of a Borrowing in dollars) or a Canadian Prime Rate Borrowing (in the case of a Borrowing in Canadian Dollars) on the last day of the then current Interest Period applicable thereto, and (B) if any Borrowing Request requests (1) a SOFR Revolving Borrowing, such Borrowing shall be made as an ABR Borrowing and (2) a Canadian CORRA Borrowing, such Borrowing shall be made as a Canadian Prime Rate Borrowing.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If any Lender determines that any Requirement of Law has made it unlawful, or if any Governmental Authority has asserted that it is unlawful, for any Lender or its applicable lending office to make, maintain, fund or continue any Term Benchmark Borrowings, Canadian Benchmark Borrowings, Daily Simple SOFR Borrowings or Daily Compounded CORRA Borrowings, or any Governmental Authority has imposed material restrictions on the authority of such Lender to maintain, fund or continue any Loans whose interest is determined by reference to any Relevant Rate, or to determine or charge interest rates based upon any Relevant Rate, then, upon notice thereof by such Lender to the Borrower Representative (through the Administrative Agent), any obligations of such Lender to make, maintain, fund or continue such Term Benchmark Loans, Canadian Benchmark Loans, Daily Compounded CORRA Loans or Daily Simple SOFR Loans, as applicable, or to convert ABR Borrowings or Canadian Prime Rate Borrowings, as applicable, to Term Benchmark Borrowings, Canadian Benchmark Loans, Daily Compounded CORRA Borrowings or Daily Simple SOFR Borrowings, as applicable, will be suspended until such Lender notifies the Administrative Agent and the Borrower Representative that the circumstances giving rise to such determination no longer exist. Upon receipt of such notice, the Borrowers will upon demand from such Lender (with a copy to the Administrative Agent), either convert or prepay all applicable Term Benchmark Borrowings, Canadian Benchmark Borrowings, Daily Compounded CORRA Borrowings or Daily Simple SOFR Borrowings of such Lender to ABR Borrowings or Canadian Prime Rate Borrowings, as applicable, either on the last day of the Interest Period therefor, if such Lender may lawfully continue to maintain such Term Benchmark Borrowings, Canadian Benchmark Borrowings, Daily Compounded CORRA Borrowings or Daily Simple SOFR Borrowings, as applicable, to such day, or immediately, if such Lender may not lawfully continue to maintain such Term Benchmark Borrowings, Canadian Benchmark Borrowings, Daily Compounded CORRA Borrowings or Daily Simple SOFR Borrowings, as applicable. Upon any such conversion or prepayment, the Borrowers will also pay accrued interest on the amount so converted or prepaid.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herein or in any other Loan Document, (x) upon the occurrence of a Benchmark Transition Event,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Administrative Agent has posted the proposed amendment to all affected Lenders and the Borrower Representative so long as the Administrative Agent has not received, by such time, written notice of objection to such amendment from Lenders comprising the Required Lenders and (y) upon the occurrence of a Canadian Benchmark Transition Event, then (A) if a Canadian Benchmark Replacement is determined in accordance with clause (a) of the definition of “Canadian Benchmark Replacement” for such Canadian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Canadian Benchmark Replacement is determined in accordance with clause (b) of the definition of “Canadian Benchmark Replacement”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Benchmark Replacement Date, such Benchmark Replacement will replace such Canadian Benchmark for all purposes hereunder and under any Loan Document in respect of any Canadian Benchmark setting at or after 5:00 p.m. (New York City time) on the fifth (5th) Business Day after the Administrative Agent has posted the proposed amendment to all affected Lenders and the Borrower Representative so long as the Administrative Agent has not received, by such time, written notice of objection to such amendment from Lenders comprising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No Swap Agreement shall be deemed to be a “Loan Document” for purposes of this Section 2.14(d).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use, administration, adoption or implementation of a Benchmark Replacement or a Canadian Benchmark Replacement, the Administrative Agent will have the right, in consultation with the Borrower Representative,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will promptly notify the Borrower Representative and the Lenders of (i) the implementation of any Benchmark Replacement or a Canadian Benchmark Replacement and (ii) the effectiveness of any Conforming Changes in connection with the use, administration, adoption or implementation of a Benchmark Replacement or a Canadian Benchmark Replacement. The Administrative Agent will promptly notify the Borrower Representative of (x) the removal or reinstatement of any tenor of a Benchmark or Canadian Benchmark pursuant to this Section 2.14(d) and (y) the commencement of any Benchmark Unavailability Period or Canadian Benchmark Unavailability Period. Any determination, decision or election that may be made by the Administrative Agent or, if applicable, any Lender (or group of Lenders) pursuant to this Section 2.14(d),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or in any other Loan Document, at any time (including in connection with the implementation of a Benchmark Replacement or a Canadian Benchmark Replacement), (i) if the then-current Benchmark or Canadian Benchmark is a term rate (including any Term Benchmark or Canadian Benchmark) and either (A) any tenor for such Benchmark or Canadian Benchmark is not displayed on a screen or other information service that publishes such rate from time to time as selected by the Administrative Agent in its reasonable discretion or (B) the administrator of such Benchmark or Canadian Benchmark or the regulatory supervisor for the administrator of such Benchmark or Canadian Benchmark has provided a public statement or publication of information announcing that any tenor for such Benchmark or Canadian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or Canadian Benchmark settings at or after such time to remove such unavailable, non-representative, non-compliant or non-aligned tenor and (ii) if a tenor that was removed pursuant to clause (i) above either (A) is subsequently displayed on a screen or information service for a Benchmark or Canadian Benchmark (including a Benchmark Replacement or Canadian Benchmark Replacement) or (B) is not, or is no longer, subject to an announcement that it is not or will not be representative or in compliance with or aligned with the International Organization of Securities Commissions (IOSCO) Principles for Financial Benchmarks for a Benchmark or Canadian Benchmark (including a Benchmark Replacement or Canadian Benchmark Replacement), then the Administrative Agent may modify the definition of “Interest Period” (or any similar or analogous definition) for all Benchmark or Canadian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Upon the Borrower Representative’s receipt of notice of the commencement of a Benchmark Unavailability Period or Canadian Benchmark Unavailability Period, as applicable, the Borrower Representative may revoke any pending request for a Term Benchmark Borrowing, Canadian Benchmark Borrowing, Daily Compounded CORRA Borrowings or a Daily Simple SOFR Borrowing, as applicable, of, conversion to or continuation of Term Benchmark Loans, Canadian Benchmark Loans, Daily Compounded CORRA Loans or Daily Simple SOFR Loans, as applicable, to be made, converted or continued during any Benchmark Unavailability Period or Canadian Benchmark Unavailability Period, as applicable, and, failing that, the Borrower Representative will be deemed to have converted any such request into a request for a Borrowing of or conversion to ABR Loans (or Canadian Prime Rate Loans as applicable). During any Benchmark Unavailability Period or Canadian Benchmark </w:t>
      </w:r>
      <w:r>
        <w:rPr>
          <w:rFonts w:ascii="Times New Roman" w:hAnsi="Times New Roman"/>
          <w:strike/>
          <w:color w:val="FF0000"/>
          <w:sz w:val="20"/>
        </w:rPr>
        <w:t>Unavailabilty</w:t>
      </w:r>
      <w:r>
        <w:rPr>
          <w:rFonts w:ascii="Times New Roman" w:hAnsi="Times New Roman"/>
          <w:color w:val="0000FF"/>
          <w:sz w:val="20"/>
          <w:u w:val="single"/>
          <w:bdr w:val="double" w:sz="2" w:space="1" w:color="000000"/>
        </w:rPr>
        <w:t>Unavailability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Period, or at any time that any tenor for the then-current Benchmark or Canadian Benchmark is not an Available Tenor or a Canadian Available Tenor, as applicable, (i) the component of ABR based upon the then-current Benchmark or such tenor for such Benchmark, as applicable, will not be used in any determination of ABR and (ii) the component of Canadian Prime Rate based upon the then-current Canadian Benchmark or such tenor for such Canadian Benchmark, as applicable, will not be used in any determination of Canadian Prime Rate. </w:t>
      </w:r>
    </w:p>
    <w:p>
      <w:pPr>
        <w:pStyle w:val="TextBody"/>
        <w:bidi w:val="0"/>
        <w:spacing w:before="240" w:after="0"/>
        <w:jc w:val="left"/>
        <w:rPr>
          <w:rFonts w:ascii="Times New Roman" w:hAnsi="Times New Roman"/>
          <w:sz w:val="20"/>
        </w:rPr>
      </w:pPr>
      <w:r>
        <w:rPr>
          <w:rFonts w:ascii="Times New Roman" w:hAnsi="Times New Roman"/>
          <w:sz w:val="20"/>
        </w:rPr>
        <w:t xml:space="preserve">Any determination, decision or election that may be made by the Administrative Agent or Lenders pursuant to this Section 2.14(d)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2.14(d). </w:t>
      </w:r>
    </w:p>
    <w:p>
      <w:pPr>
        <w:pStyle w:val="TextBody"/>
        <w:bidi w:val="0"/>
        <w:spacing w:before="240" w:after="0"/>
        <w:jc w:val="left"/>
        <w:rPr>
          <w:rFonts w:ascii="Times New Roman" w:hAnsi="Times New Roman"/>
          <w:sz w:val="20"/>
        </w:rPr>
      </w:pPr>
      <w:r>
        <w:rPr>
          <w:rFonts w:ascii="Times New Roman" w:hAnsi="Times New Roman"/>
          <w:sz w:val="20"/>
          <w:u w:val="single"/>
        </w:rPr>
        <w:t>SECTION 2.15 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Recipient to any Taxes (other than (A) Indemnified Taxes, (B) Taxes described in clauses (b) through (d) of the definition of Excluded Taxes and (C) Other Connection Taxes that are imposed on (or measured by) net income or are franchise Taxes or branch profits Taxes) on its loans, loan principal, letters of credit, commitments, or other obligations, or its deposits, reserves, other liabilities or capital attributable thereto;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any other condition, cost or expense (other than Taxes) affecting this Agreement or Loans made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or such other Recipient of making, converting to, continuing or maintaining any Loan or of maintaining its obligation to make any such Loan, or to increase the cost to such Lender, or to reduce the amount of any sum received or receivable by such Lender or other Recipient hereunder (whether of principal, interest or any other amount) then, upon request of such Lender or other Recipient, the Borrower Representative will pay to such Lender or other Recipient, as the case may be, such additional amount or amounts as will compensate such Lender or other Recipient, as the case may be, for such additional costs incurred or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(a) If any Lender or Issuing Bank determines that any Change in Law affecting such Lender, any of its applicable lending offices or its holding company or such Issuing Bank or its holding company, as the case may be, regarding capital or liquidity requirements has or would have the effect of reducing the rate of return on capital for such Lender or its holding company or such Issuing Bank or its holding company, if any, as a consequence of this Agreement, the Aggregate Revolving Commitments of such Lender or the Loans made by, or participations in Letters of Credit or Swingline Loans held by, such Lender, or the Letters of Credit issued by any Issuing Bank, to a level below that which such Lender or its holding company or such Issuing Bank or its holding company, as the case may be, could have achieved but for such Change in Law (taking into consideration such Lender’s or its holding company’s policies or such Issuing Bank’s or its holding company’s policies, as applicable, with respect to capital adequacy or liquidity), then subject to Section 12.01 from time to time the Borrowers will pay to such Lender or such Issuing Bank, as the case may be, such additional amount or amounts as will compensate such Lender or its holding company or such Issuing Bank or its holding company for any such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(b) A certificate of a Lender or Issuing Bank setting forth the amount or amounts necessary to compensate such Lender or Issuing Bank or its holding company, as the case may be, as specified in paragraph (a) or (b) of this Section shall be delivered to the Borrower Representative and shall be conclusive absent manifest error. The Borrowers shall pay such Lender or Issuing Bank, as the case may be, the amount shown as due on any such certificate within 10 days after receipt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Failure or delay on the part of any Lender or Issuing Bank to demand compensation pursuant to this Section shall not constitute a waiver of such Lender’s or Issuing Bank’s right to demand such compensation; </w:t>
      </w:r>
      <w:r>
        <w:rPr>
          <w:rFonts w:ascii="Times New Roman" w:hAnsi="Times New Roman"/>
          <w:sz w:val="20"/>
          <w:u w:val="single"/>
        </w:rPr>
        <w:t>provided</w:t>
      </w:r>
      <w:r>
        <w:rPr>
          <w:rFonts w:ascii="Times New Roman" w:hAnsi="Times New Roman"/>
          <w:sz w:val="20"/>
        </w:rPr>
        <w:t xml:space="preserve"> that the Borrowers shall not be required to compensate a Lender or Issuing Bank pursuant to this Section for any increased costs or reductions incurred more than 180 days prior to the date that such Lender or Issuing Bank, as the case may be, notifies the Borrower Representative of the Change in Law giving rise to such increased costs or reductions and of such Lender’s or Issuing Bank’s intention to claim compensation therefor; </w:t>
      </w:r>
      <w:r>
        <w:rPr>
          <w:rFonts w:ascii="Times New Roman" w:hAnsi="Times New Roman"/>
          <w:sz w:val="20"/>
          <w:u w:val="single"/>
        </w:rPr>
        <w:t>provided</w:t>
      </w:r>
      <w:r>
        <w:rPr>
          <w:rFonts w:ascii="Times New Roman" w:hAnsi="Times New Roman"/>
          <w:sz w:val="20"/>
        </w:rPr>
        <w:t xml:space="preserve"> further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u w:val="single"/>
        </w:rPr>
        <w:t>SECTION 2.16 Break Funding Payments</w:t>
      </w:r>
      <w:r>
        <w:rPr>
          <w:rFonts w:ascii="Times New Roman" w:hAnsi="Times New Roman"/>
          <w:sz w:val="20"/>
        </w:rPr>
        <w:t xml:space="preserve">. In the event of (a) the payment of any principal of any SOFR Loan or Canadian CORRA Loan other than on the last day of an Interest Period applicable thereto (including as a result of an Event of Default), (b) the conversion of any SOFR Loan or Canadian CORRA Loan other than on the last day of the Interest Period applicable thereto, (c) the failure to borrow, convert, continue or prepay any SOFR Loan or Canadian CORRA Loan on the date specified in any notice delivered pursuant hereto (regardless of whether such notice may be revoked under Section 2.09(c) and is revoked in accordance therewith), or (d) the assignment of any SOFR Loan or Canadian CORRA Loan other than on the last day of the Interest Period applicable thereto as a result of a request by the Borrower Representative pursuant to Section 2.19, then, in any such event, the U.S. Borrowers shall compensate each U.S. Lender and the Canadian Borrowers shall compensate each Canadian Lender, as applicable, for the loss, cost and expense incurred by such Lender that is attributable to such event. In the case of a SOFR Loan or Canadian CORRA Loan, such loss, cost or expense to any Lender shall be deemed to include an amount determined by such Lender to be the excess, if any, of (i) the amount of interest which would have accrued on the principal amount of such Loan had such event not occurred, at the Relevant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to such SOFR Loan from other banks in the eurodollar market, or for Canadian Dollar deposits of a comparable amount and period to such Canadian CORRA Loan from other banks in the Canadian market.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10 days after receipt thereof. Notwithstanding anything to the contrary herein, no payments shall be due under this Section 2.16 in connection with the Second Amendment. </w:t>
      </w:r>
    </w:p>
    <w:p>
      <w:pPr>
        <w:pStyle w:val="TextBody"/>
        <w:bidi w:val="0"/>
        <w:spacing w:before="240" w:after="0"/>
        <w:jc w:val="left"/>
        <w:rPr>
          <w:rFonts w:ascii="Times New Roman" w:hAnsi="Times New Roman"/>
          <w:sz w:val="20"/>
        </w:rPr>
      </w:pPr>
      <w:r>
        <w:rPr>
          <w:rFonts w:ascii="Times New Roman" w:hAnsi="Times New Roman"/>
          <w:sz w:val="20"/>
          <w:u w:val="single"/>
        </w:rPr>
        <w:t>SECTION 2.17 Withholding of Taxes; Gross-Up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the Borrowers</w:t>
      </w:r>
      <w:r>
        <w:rPr>
          <w:rFonts w:ascii="Times New Roman" w:hAnsi="Times New Roman"/>
          <w:sz w:val="20"/>
        </w:rPr>
        <w:t xml:space="preserve">. The Borrowers shall timely pay to the relevant Governmental Authority in accordance with applicable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Evidence of Payment</w:t>
      </w:r>
      <w:r>
        <w:rPr>
          <w:rFonts w:ascii="Times New Roman" w:hAnsi="Times New Roman"/>
          <w:sz w:val="20"/>
        </w:rPr>
        <w:t xml:space="preserve">.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Indemnification by the Borrowers</w:t>
      </w:r>
      <w:r>
        <w:rPr>
          <w:rFonts w:ascii="Times New Roman" w:hAnsi="Times New Roman"/>
          <w:sz w:val="20"/>
        </w:rPr>
        <w:t xml:space="preserve">. Subject to Section 12.01,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and documented out-of-pocket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Indemnification by the Lenders</w:t>
      </w:r>
      <w:r>
        <w:rPr>
          <w:rFonts w:ascii="Times New Roman" w:hAnsi="Times New Roman"/>
          <w:sz w:val="20"/>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and documented out-of-pocket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Status of Lenders</w:t>
      </w:r>
      <w:r>
        <w:rPr>
          <w:rFonts w:ascii="Times New Roman" w:hAnsi="Times New Roman"/>
          <w:sz w:val="20"/>
        </w:rPr>
        <w:t xml:space="preserve">.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and at the time or times prescribed by applicable law, such properly completed and executed documentation reasonably requested by the Borrower Representative or the Administrative Agent or prescribed by applicable law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2.17(f)(ii)(B) and 2.17(f)(ii)(D) below)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in the event that any Borrower is a U.S. Person,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executed copies of IRS Form W-9 certifying that such Lender is exempt from U.S. federal backup 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(B) any Non-U.S. Lender shall, to the extent it is legally entitled to do so, deliver to the Borrower Representative and the Administrative Agent (in such number of copies as shall be requested by the recipient) on or prior to the date on which such Non-U.S. Lender becomes a Lender under this Agreement (and from time to time thereafter upon the reasonable request of the Borrower Representative or the Administrative Agent), whichever of the following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in the case of a Non-U.S.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a Non-U.S. Lender claiming that its extension of credit will generate U.S. effectively connected income, executed copies of IRS Form W-8ECI; </w:t>
      </w:r>
    </w:p>
    <w:p>
      <w:pPr>
        <w:pStyle w:val="TextBody"/>
        <w:bidi w:val="0"/>
        <w:spacing w:before="120" w:after="0"/>
        <w:jc w:val="left"/>
        <w:rPr>
          <w:rFonts w:ascii="Times New Roman" w:hAnsi="Times New Roman"/>
          <w:sz w:val="20"/>
        </w:rPr>
      </w:pPr>
      <w:r>
        <w:rPr>
          <w:rFonts w:ascii="Times New Roman" w:hAnsi="Times New Roman"/>
          <w:sz w:val="20"/>
        </w:rPr>
        <w:t xml:space="preserve">(3) in the case of a Non-U.S. Lender claiming the benefits of the exemption for portfolio interest under Section 881(c) of the Code, (x) a certificate substantially in the form of </w:t>
      </w:r>
      <w:r>
        <w:rPr>
          <w:rFonts w:ascii="Times New Roman" w:hAnsi="Times New Roman"/>
          <w:sz w:val="20"/>
          <w:u w:val="single"/>
        </w:rPr>
        <w:t>Exhibit C-1</w:t>
      </w:r>
      <w:r>
        <w:rPr>
          <w:rFonts w:ascii="Times New Roman" w:hAnsi="Times New Roman"/>
          <w:sz w:val="20"/>
        </w:rPr>
        <w:t xml:space="preserve"> to the effect that such Non-U.S. Lender is not a “bank” within the meaning of Section 881(c)(3)(A) of the Code, a “10 percent shareholder” of a Borrower within the meaning of Section 881(c)(3)(B) of the Code, or a “controlled foreign corporation”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copies of IRS Form W-8BEN or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(4) to the extent a Non-U.S. Lender is not the beneficial owner of payments made under any Loan Document, executed copies of IRS Form W-8IMY, accompanied by IRS Form W-8ECI, IRS Form W-8BEN, IRS Form W-8BEN-E, a U.S. Tax Compliance Certificate substantially in the form of </w:t>
      </w:r>
      <w:r>
        <w:rPr>
          <w:rFonts w:ascii="Times New Roman" w:hAnsi="Times New Roman"/>
          <w:sz w:val="20"/>
          <w:u w:val="single"/>
        </w:rPr>
        <w:t>Exhibit C-2</w:t>
      </w:r>
      <w:r>
        <w:rPr>
          <w:rFonts w:ascii="Times New Roman" w:hAnsi="Times New Roman"/>
          <w:sz w:val="20"/>
        </w:rPr>
        <w:t xml:space="preserve"> or </w:t>
      </w:r>
      <w:r>
        <w:rPr>
          <w:rFonts w:ascii="Times New Roman" w:hAnsi="Times New Roman"/>
          <w:sz w:val="20"/>
          <w:u w:val="single"/>
        </w:rPr>
        <w:t>Exhibit C-3</w:t>
      </w:r>
      <w:r>
        <w:rPr>
          <w:rFonts w:ascii="Times New Roman" w:hAnsi="Times New Roman"/>
          <w:sz w:val="20"/>
        </w:rPr>
        <w:t xml:space="preserve">,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Times New Roman" w:hAnsi="Times New Roman"/>
          <w:sz w:val="20"/>
          <w:u w:val="single"/>
        </w:rPr>
        <w:t>Exhibit C-4</w:t>
      </w:r>
      <w:r>
        <w:rPr>
          <w:rFonts w:ascii="Times New Roman" w:hAnsi="Times New Roman"/>
          <w:sz w:val="20"/>
        </w:rPr>
        <w:t xml:space="preserve">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Non-U.S. Lender shall, to the extent it is legally entitled to do so, deliver to the Borrower Representative and the Administrative Agent (in such number of copies as shall be requested by the recipient) on or prior to the date on which such Non-U.S.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 </w:t>
      </w:r>
    </w:p>
    <w:p>
      <w:pPr>
        <w:pStyle w:val="TextBody"/>
        <w:bidi w:val="0"/>
        <w:spacing w:before="120" w:after="0"/>
        <w:jc w:val="left"/>
        <w:rPr>
          <w:rFonts w:ascii="Times New Roman" w:hAnsi="Times New Roman"/>
          <w:sz w:val="20"/>
        </w:rPr>
      </w:pPr>
      <w:r>
        <w:rPr>
          <w:rFonts w:ascii="Times New Roman" w:hAnsi="Times New Roman"/>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hAnsi="Times New Roman"/>
          <w:sz w:val="20"/>
          <w:u w:val="single"/>
        </w:rPr>
        <w:t>FATCA</w:t>
      </w:r>
      <w:r>
        <w:rPr>
          <w:rFonts w:ascii="Times New Roman" w:hAnsi="Times New Roman"/>
          <w:sz w:val="20"/>
        </w:rPr>
        <w:t xml:space="preserve">” shall include any amendments made to FATCA after the Fourth Restatement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 </w:t>
      </w:r>
    </w:p>
    <w:p>
      <w:pPr>
        <w:pStyle w:val="TextBody"/>
        <w:bidi w:val="0"/>
        <w:spacing w:before="120" w:after="0"/>
        <w:jc w:val="left"/>
        <w:rPr>
          <w:rFonts w:ascii="Times New Roman" w:hAnsi="Times New Roman"/>
          <w:sz w:val="20"/>
        </w:rPr>
      </w:pPr>
      <w:r>
        <w:rPr>
          <w:rFonts w:ascii="Times New Roman" w:hAnsi="Times New Roman"/>
          <w:sz w:val="20"/>
        </w:rPr>
        <w:t xml:space="preserve">(iii) On or prior to the date that the Administrative Agent (and any successor thereto) becomes a party to this Agreement, and from time to time as reasonably requested by the Borrower Representative, (x) if the Administrative Agent is a U.S. Person, it shall provide the Borrower Representative executed copies of IRS Form W-9, or (y) if the Administrative Agent is not a U.S. Person, (A) it shall provide the Borrower Representative with executed copies of IRS Form W-8ECI with respect to fees, interest or other payments received on its own behalf and any such other documentation prescribed by applicable law that would allow the Borrower Representative to make payments to it without deduction or withholding of any U.S. federal withholding Taxes and (B) it shall provide the Borrower Representative with executed copies of IRS Form W-8IMY (or successor form) certifying that it is either (1) a “qualified intermediary” and that it assumes primary withholding responsibility under Chapters 3 and 4 of the Code and primary Form 1099 reporting and backup withholding responsibility for fees, interest or other payments it receives for the account of others or (2) a “U.S. branch” and that the fees, interest or other payments it receives for the account of others are not effectively connected with the conduct of a trade or business in the U.S. and that it is using such form as evidence of its agreement with the Borrower to be treated as a United States person with respect to such payments (and the Borrower Representative and the Administrative Agent agree to so treat the Administrative Agent as a United States person with respect to such payments as contemplated by U.S. Treasury Regulations Section 1.1441-1(b)(2)(iv)(A)), with the effect that the Borrower Representative can make payments to the Administrative Agent without deduction or withholding of any Taxes imposed by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Survival</w:t>
      </w:r>
      <w:r>
        <w:rPr>
          <w:rFonts w:ascii="Times New Roman" w:hAnsi="Times New Roman"/>
          <w:sz w:val="20"/>
        </w:rPr>
        <w:t xml:space="preserve">. Each party’s obligations under this Section 2.17 shall survive the resignation or replacement of the Administrative Agent or any assignment of rights by, or the replacement of, a Lender, the termination of the Aggregate Revolving Commitments and the repayment, satisfaction or discharge of all obligations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Defined Terms</w:t>
      </w:r>
      <w:r>
        <w:rPr>
          <w:rFonts w:ascii="Times New Roman" w:hAnsi="Times New Roman"/>
          <w:sz w:val="20"/>
        </w:rPr>
        <w:t>. For purposes of this Section 2.17, the term “</w:t>
      </w:r>
      <w:r>
        <w:rPr>
          <w:rFonts w:ascii="Times New Roman" w:hAnsi="Times New Roman"/>
          <w:sz w:val="20"/>
          <w:u w:val="single"/>
        </w:rPr>
        <w:t>Lender</w:t>
      </w:r>
      <w:r>
        <w:rPr>
          <w:rFonts w:ascii="Times New Roman" w:hAnsi="Times New Roman"/>
          <w:sz w:val="20"/>
        </w:rPr>
        <w:t xml:space="preserve">” includes any Issuing Bank and the term “applicable law” includes FATCA. </w:t>
      </w:r>
    </w:p>
    <w:p>
      <w:pPr>
        <w:pStyle w:val="TextBody"/>
        <w:bidi w:val="0"/>
        <w:spacing w:before="240" w:after="0"/>
        <w:jc w:val="left"/>
        <w:rPr>
          <w:rFonts w:ascii="Times New Roman" w:hAnsi="Times New Roman"/>
          <w:sz w:val="20"/>
        </w:rPr>
      </w:pPr>
      <w:r>
        <w:rPr>
          <w:rFonts w:ascii="Times New Roman" w:hAnsi="Times New Roman"/>
          <w:sz w:val="20"/>
          <w:u w:val="single"/>
        </w:rPr>
        <w:t>SECTION 2.18 Payments Generally; Allocation of Proceeds; Sharing of Set-offs</w:t>
      </w:r>
      <w:r>
        <w:rPr>
          <w:rFonts w:ascii="Times New Roman" w:hAnsi="Times New Roman"/>
          <w:sz w:val="20"/>
        </w:rPr>
        <w:t xml:space="preserve">. (a) The Borrowers shall make each payment required to be made by them hereunder (whether of principal, interest, fees or reimbursement of LC Disbursements, or of amounts payable under Section 2.15, 2.16 or 2.17, or otherwise)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745 Seventh Avenue, except (i) payments to be made directly to an Issuing Bank or Swingline Lender as expressly provided herein shall be made to such Issuing Bank or Swingline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and (ii) payments pursuant to Sections 2.15, 2.16, 2.17 and 9.03 shall be made directly to the Persons entitled thereto. The Administrative Agent shall distribute any such payments received by it for the account of any other Person to the appropriate recipient, in like funds,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the currency in which the applicable Obligations are denominated (subject to the proviso set forth in the first sentence of Section 1.05), and, if not otherwise specified, in dollars.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12.01 (and subject at any time that any Permitted Term Debt is outstanding, to the terms of the applicable Permitted Term Debt Intercreditor Agreement), any proceeds of Collateral received by the Administrative Agent after an Event of Default has occurred and is continuing and the Administrative Agent so elects, or the Required Lenders so direct, shall be applied ratably (based in respect of each of the following separate categories, computed independently of the other categories, on each Lender Party’s interest in the aggregate specific type of outstanding Secured Obligations described within (and only within) each specific category of Secured Obligations listed respectively below) </w:t>
      </w:r>
      <w:r>
        <w:rPr>
          <w:rFonts w:ascii="Times New Roman" w:hAnsi="Times New Roman"/>
          <w:sz w:val="20"/>
          <w:u w:val="single"/>
        </w:rPr>
        <w:t>first</w:t>
      </w:r>
      <w:r>
        <w:rPr>
          <w:rFonts w:ascii="Times New Roman" w:hAnsi="Times New Roman"/>
          <w:sz w:val="20"/>
        </w:rPr>
        <w:t xml:space="preserve">, to pay any fees, indemnities, or expense reimbursements including amounts then due to the Administrative Agent and each Issuing Bank from the Borrowers (other than in connection with Banking Services or Swap Agreement Obligations), </w:t>
      </w:r>
      <w:r>
        <w:rPr>
          <w:rFonts w:ascii="Times New Roman" w:hAnsi="Times New Roman"/>
          <w:sz w:val="20"/>
          <w:u w:val="single"/>
        </w:rPr>
        <w:t>second</w:t>
      </w:r>
      <w:r>
        <w:rPr>
          <w:rFonts w:ascii="Times New Roman" w:hAnsi="Times New Roman"/>
          <w:sz w:val="20"/>
        </w:rPr>
        <w:t xml:space="preserve">, to pay any fees or expense reimbursements then due to the Lenders from the Borrowers (other than in connection with Banking Services or Swap Agreement Obligations), </w:t>
      </w:r>
      <w:r>
        <w:rPr>
          <w:rFonts w:ascii="Times New Roman" w:hAnsi="Times New Roman"/>
          <w:sz w:val="20"/>
          <w:u w:val="single"/>
        </w:rPr>
        <w:t>third</w:t>
      </w:r>
      <w:r>
        <w:rPr>
          <w:rFonts w:ascii="Times New Roman" w:hAnsi="Times New Roman"/>
          <w:sz w:val="20"/>
        </w:rPr>
        <w:t xml:space="preserve">, to pay interest due in respect of Swingline Loans, Overadvances and Protective Advances, </w:t>
      </w:r>
      <w:r>
        <w:rPr>
          <w:rFonts w:ascii="Times New Roman" w:hAnsi="Times New Roman"/>
          <w:sz w:val="20"/>
          <w:u w:val="single"/>
        </w:rPr>
        <w:t>fourth</w:t>
      </w:r>
      <w:r>
        <w:rPr>
          <w:rFonts w:ascii="Times New Roman" w:hAnsi="Times New Roman"/>
          <w:sz w:val="20"/>
        </w:rPr>
        <w:t xml:space="preserve">, to pay the principal of Swingline Loans, Overadvances and Protective Advances, </w:t>
      </w:r>
      <w:r>
        <w:rPr>
          <w:rFonts w:ascii="Times New Roman" w:hAnsi="Times New Roman"/>
          <w:sz w:val="20"/>
          <w:u w:val="single"/>
        </w:rPr>
        <w:t>fifth</w:t>
      </w:r>
      <w:r>
        <w:rPr>
          <w:rFonts w:ascii="Times New Roman" w:hAnsi="Times New Roman"/>
          <w:sz w:val="20"/>
        </w:rPr>
        <w:t xml:space="preserve">, to pay interest then due and payable on the Loans (other than Swingline Loans, Overadvances and Protective Advances), </w:t>
      </w:r>
      <w:r>
        <w:rPr>
          <w:rFonts w:ascii="Times New Roman" w:hAnsi="Times New Roman"/>
          <w:sz w:val="20"/>
          <w:u w:val="single"/>
        </w:rPr>
        <w:t>sixth</w:t>
      </w:r>
      <w:r>
        <w:rPr>
          <w:rFonts w:ascii="Times New Roman" w:hAnsi="Times New Roman"/>
          <w:sz w:val="20"/>
        </w:rPr>
        <w:t xml:space="preserve">, to prepay principal on the Loans (other than Swingline Loans, Overadvances and Protective Advances) and unreimbursed LC Disbursements, </w:t>
      </w:r>
      <w:r>
        <w:rPr>
          <w:rFonts w:ascii="Times New Roman" w:hAnsi="Times New Roman"/>
          <w:sz w:val="20"/>
          <w:u w:val="single"/>
        </w:rPr>
        <w:t>seventh</w:t>
      </w:r>
      <w:r>
        <w:rPr>
          <w:rFonts w:ascii="Times New Roman" w:hAnsi="Times New Roman"/>
          <w:sz w:val="20"/>
        </w:rPr>
        <w:t xml:space="preserve">, to pay to the Administrative Agent an amount equal to one-hundred-three percent (103%) of the U.S. LC Exposure and an amount equal to one-hundred-three percent (103%) of the Canadian LC Exposure, as applicable, to be held as cash collateral for such Obligations, </w:t>
      </w:r>
      <w:r>
        <w:rPr>
          <w:rFonts w:ascii="Times New Roman" w:hAnsi="Times New Roman"/>
          <w:sz w:val="20"/>
          <w:u w:val="single"/>
        </w:rPr>
        <w:t>eighth</w:t>
      </w:r>
      <w:r>
        <w:rPr>
          <w:rFonts w:ascii="Times New Roman" w:hAnsi="Times New Roman"/>
          <w:sz w:val="20"/>
        </w:rPr>
        <w:t xml:space="preserve">, to pay any amounts owing to the Lenders and their Affiliates with respect to Specified Foreign Credit Extensions up to and including the amount most recently provided to the Administrative Agent pursuant to Section 2.22, </w:t>
      </w:r>
      <w:r>
        <w:rPr>
          <w:rFonts w:ascii="Times New Roman" w:hAnsi="Times New Roman"/>
          <w:sz w:val="20"/>
          <w:u w:val="single"/>
        </w:rPr>
        <w:t>ninth</w:t>
      </w:r>
      <w:r>
        <w:rPr>
          <w:rFonts w:ascii="Times New Roman" w:hAnsi="Times New Roman"/>
          <w:sz w:val="20"/>
        </w:rPr>
        <w:t xml:space="preserve">, to pay any amounts owing to the Lenders and their Affiliates with respect to Banking Services up to and including the amount most recently provided to the Administrative Agent pursuant to Section 2.22, Swap Agreement Obligations up to and including the amount most recently provided to the Administrative Agent pursuant to Section 2.22 and Foreign Credit Extensions (other than Specified Foreign Credit Extensions), and </w:t>
      </w:r>
      <w:r>
        <w:rPr>
          <w:rFonts w:ascii="Times New Roman" w:hAnsi="Times New Roman"/>
          <w:sz w:val="20"/>
          <w:u w:val="single"/>
        </w:rPr>
        <w:t>tenth</w:t>
      </w:r>
      <w:r>
        <w:rPr>
          <w:rFonts w:ascii="Times New Roman" w:hAnsi="Times New Roman"/>
          <w:sz w:val="20"/>
        </w:rPr>
        <w:t xml:space="preserve">, to pay any other Secured Obligation due to the Administrative Agent or any Lender by the Borrowers. Notwithstanding the foregoing, amounts received from any Loan Party shall not be applied to any Excluded Swap Obligation of such Loan Party. Notwithstanding anything to the contrary contained in this Agreement, unless so directed by the Borrower Representative, or unless an Event of Default is in existence, neither the Administrative Agent nor any Lender shall apply any payment which it receives to any SOFR Loan or Canadian CORRA Loan of a Class, except (a) on the expiration date of the Interest Period applicable to any such SOFR Loan or such Canadian CORRA Loan or (b) in the event, and only to the extent, with respect to Canadian CORRA Loans, that there are no outstanding Canadian Prime Rate Loans of the same Class, and with respect to SOFR Loans, that there are no outstanding ABR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 Notwithstanding the foregoing but subject to Section 9.20, any such application of proceeds from Collateral securing solely the Canadian Obligations shall be made solely in respect of Canadian Obligations. </w:t>
      </w:r>
    </w:p>
    <w:p>
      <w:pPr>
        <w:pStyle w:val="TextBody"/>
        <w:bidi w:val="0"/>
        <w:spacing w:before="240" w:after="0"/>
        <w:jc w:val="left"/>
        <w:rPr>
          <w:rFonts w:ascii="Times New Roman" w:hAnsi="Times New Roman"/>
          <w:sz w:val="20"/>
        </w:rPr>
      </w:pPr>
      <w:r>
        <w:rPr>
          <w:rFonts w:ascii="Times New Roman" w:hAnsi="Times New Roman"/>
          <w:sz w:val="20"/>
        </w:rPr>
        <w:t xml:space="preserve">(c) 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any deposit account of any Borrower maintained with the Administrative Agent. Each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Sections 2.03, 2.04 or 2.05, as applicable and (ii) the Administrative Agent to charge any deposit account of any Borrower maintained with the Administrative Agent for each payment of principal, interest and fees as it becomes due hereunder or any other amount due under the Loan Documents.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 w:hAnsi="Times New Roman"/>
          <w:sz w:val="20"/>
          <w:u w:val="single"/>
        </w:rPr>
        <w:t>provided</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(e) Unless the Administrative Agent shall have received notice from the Borrower Representative prior to the date on which any payment is due to the Administrative Agent for the account of the Lenders or an Issuing Bank hereunder that the Borrowers will not make such payment, the Administrative Agent may assume that the Borrowers have made such payment on such date in accordance herewith and may, in reliance upon such assumption, distribute to the Lenders or the Issuing Banks, as the case may be, the amount due. In such event, if the Borrowers have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Effective Rate (in the case of dollar denominated amounts) or the Canadian Overnight Rate (in the case of Canadian Dollar denominated amounts)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(f) 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apply any such amounts to, any future funding obligations of such Lender hereunder; application of amounts pursuant to (i) and (ii) above shall be made in such order as may be determined by the Administrative Agent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the foregoing, unless requested otherwise by the Canadian Borrowers (i) no Borrowings shall be made to a Canadian Borrower for the purpose of paying any U.S. Obligations; and (ii) deposit accounts of the Canadian Borrowers may only be charged to pay Canadian Obligations. </w:t>
      </w:r>
    </w:p>
    <w:p>
      <w:pPr>
        <w:pStyle w:val="TextBody"/>
        <w:bidi w:val="0"/>
        <w:spacing w:before="240" w:after="0"/>
        <w:jc w:val="left"/>
        <w:rPr>
          <w:rFonts w:ascii="Times New Roman" w:hAnsi="Times New Roman"/>
          <w:sz w:val="20"/>
        </w:rPr>
      </w:pPr>
      <w:r>
        <w:rPr>
          <w:rFonts w:ascii="Times New Roman" w:hAnsi="Times New Roman"/>
          <w:sz w:val="20"/>
          <w:u w:val="single"/>
        </w:rPr>
        <w:t>SECTION 2.19 Mitigation Obligations;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Lender requests compensation under Section 2.14 or 2.15, or if the Borrowers are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2.14, 2.15 or 2.17, as the case may be, in the future and (ii) would not subject such Lender to any unreimbursed cost or expense and would not otherwise be disadvantageous to such Lender. The U.S. Borrowers hereby agree to pay all reasonable costs and expenses incurred by any Lender in connection with any such designation or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any Lender requests compensation under Section 2.14 or 2.15, or if the Borrowers are required to pay any additional amount to any Lender or any Governmental Authority for the account of any Lender pursuant to Section 2.17,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(i) the Borrowers shall have received the prior written consent of the Administrative Agent and the Issuing Banks,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2.14 or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Electronic System as to which the Administrative Agent and such parties are participants), and (y) the Lender required to make such assignment need not be a party thereto in order for such assignment to be effective and shall be deemed to have consented to an be bound by the terms thereof; </w:t>
      </w:r>
      <w:r>
        <w:rPr>
          <w:rFonts w:ascii="Times New Roman" w:hAnsi="Times New Roman"/>
          <w:sz w:val="20"/>
          <w:u w:val="single"/>
        </w:rPr>
        <w:t>provided</w:t>
      </w:r>
      <w:r>
        <w:rPr>
          <w:rFonts w:ascii="Times New Roman" w:hAnsi="Times New Roman"/>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sz w:val="20"/>
          <w:u w:val="single"/>
        </w:rPr>
        <w:t>provided</w:t>
      </w:r>
      <w:r>
        <w:rPr>
          <w:rFonts w:ascii="Times New Roman" w:hAnsi="Times New Roman"/>
          <w:sz w:val="20"/>
        </w:rPr>
        <w:t xml:space="preserve"> that any such documents shall be without recourse to or warranty by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(c) If any Lender requests compensation under Section 2.14 or 2.15, or if the Borrowers are required to pay any additional amount to any Lender or any Governmental Authority for the account of any Lender pursuant to Section 2.17, the Lender shall first use reasonable efforts to mitigate its costs or the effects of the applicable law or Change in Law, and any request for additional compensation shall specify in sufficient detail the reasons therefor and the mitigating actions taken. </w:t>
      </w:r>
    </w:p>
    <w:p>
      <w:pPr>
        <w:pStyle w:val="TextBody"/>
        <w:bidi w:val="0"/>
        <w:spacing w:before="240" w:after="0"/>
        <w:jc w:val="left"/>
        <w:rPr>
          <w:rFonts w:ascii="Times New Roman" w:hAnsi="Times New Roman"/>
          <w:sz w:val="20"/>
        </w:rPr>
      </w:pPr>
      <w:r>
        <w:rPr>
          <w:rFonts w:ascii="Times New Roman" w:hAnsi="Times New Roman"/>
          <w:sz w:val="20"/>
          <w:u w:val="single"/>
        </w:rPr>
        <w:t>SECTION 2.20 Defaulting Lenders</w:t>
      </w:r>
      <w:r>
        <w:rPr>
          <w:rFonts w:ascii="Times New Roman" w:hAnsi="Times New Roman"/>
          <w:sz w:val="20"/>
        </w:rPr>
        <w:t xml:space="preserve">. Notwithstanding any provision of this Agreement to the contrary, if any Lender becomes a Defaulting Lender, then the following provisions shall apply for so long as such Lender is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(a) fees shall cease to accrue on the unfunded portion of the Revolving Commitment of such Defaulting Lender pursuant to Section 2.12(a); </w:t>
      </w:r>
    </w:p>
    <w:p>
      <w:pPr>
        <w:pStyle w:val="TextBody"/>
        <w:bidi w:val="0"/>
        <w:spacing w:before="240" w:after="0"/>
        <w:jc w:val="left"/>
        <w:rPr>
          <w:rFonts w:ascii="Times New Roman" w:hAnsi="Times New Roman"/>
          <w:sz w:val="20"/>
        </w:rPr>
      </w:pPr>
      <w:r>
        <w:rPr>
          <w:rFonts w:ascii="Times New Roman" w:hAnsi="Times New Roman"/>
          <w:sz w:val="20"/>
        </w:rPr>
        <w:t xml:space="preserve">(b) such Defaulting Lender shall not have the right to vote on any issue on which voting is required (other than to the extent expressly provided in Section 9.02(b)) and the Revolving Commitment and Credit Exposure of such Defaulting Lender shall not be included in determining whether all Lenders or the Required Lenders or the Supermajority Revolving Lenders have taken or may take any action hereunder (including any consent to any amendment or waiver pursuant to Section 9.02), </w:t>
      </w:r>
      <w:r>
        <w:rPr>
          <w:rFonts w:ascii="Times New Roman" w:hAnsi="Times New Roman"/>
          <w:sz w:val="20"/>
          <w:u w:val="single"/>
        </w:rPr>
        <w:t>provided</w:t>
      </w:r>
      <w:r>
        <w:rPr>
          <w:rFonts w:ascii="Times New Roman" w:hAnsi="Times New Roman"/>
          <w:sz w:val="20"/>
        </w:rPr>
        <w:t xml:space="preserve"> that any waiver, amendment or modification requiring the consent of all Lenders or each affected Lender which affects such Defaulting Lender differently than other affected Lenders shall require the consent of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any Swingline Exposure or LC Exposure exists at the time a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all or any part of the Swingline Exposure and LC Exposure of such Defaulting Lender shall be reallocated among the non-Defaulting Lenders in accordance with their respective Applicable Percentages but only (x) to the extent that the conditions set forth in Section 4.02 are satisfied at the time of such reallocation (and, unless the Borrower Representative shall have otherwise notified the Administrative Agent at such time, the Borrowers shall be deemed to have represented that such conditions are satisfied at such time) and (y) to the extent the sum of all non-Defaulting Lenders’ Credit Exposures plus such Defaulting Lender’s Swingline Exposure and LC Exposure does not exceed the total of all non-Defaulting Lenders’ Revolving Commitments; </w:t>
      </w:r>
    </w:p>
    <w:p>
      <w:pPr>
        <w:pStyle w:val="TextBody"/>
        <w:bidi w:val="0"/>
        <w:spacing w:before="120" w:after="0"/>
        <w:jc w:val="left"/>
        <w:rPr>
          <w:rFonts w:ascii="Times New Roman" w:hAnsi="Times New Roman"/>
          <w:sz w:val="20"/>
        </w:rPr>
      </w:pPr>
      <w:r>
        <w:rPr>
          <w:rFonts w:ascii="Times New Roman" w:hAnsi="Times New Roman"/>
          <w:sz w:val="20"/>
        </w:rPr>
        <w:t xml:space="preserve">(ii) if the reallocation described in clause (i) above cannot, or can only partially, be effected, the Borrowers shall within one Business Day following notice by the Administrative Agent (x) first, prepay such Defaulting Lender’s Swingline Exposure and (y) second, cash collateralize such Defaulting Lender’s LC Exposure (after giving effect to any partial reallocation pursuant to clause (i) above) in accordance with the procedures set forth in Section 2.06(k) for so long as such LC Exposure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(iii) if the Borrowers cash collateralize any portion of such Defaulting Lender’s LC Exposure pursuant to clause (ii) of this Section 2.20(c), the Borrowers shall not be required to pay any fees to such Defaulting Lender pursuant to Section 2.12(b) with respect to such Defaulting Lender’s LC Exposure during the period such Defaulting Lender’s LC Exposure is cash collateralized; </w:t>
      </w:r>
    </w:p>
    <w:p>
      <w:pPr>
        <w:pStyle w:val="TextBody"/>
        <w:bidi w:val="0"/>
        <w:spacing w:before="120" w:after="0"/>
        <w:jc w:val="left"/>
        <w:rPr>
          <w:rFonts w:ascii="Times New Roman" w:hAnsi="Times New Roman"/>
          <w:sz w:val="20"/>
        </w:rPr>
      </w:pPr>
      <w:r>
        <w:rPr>
          <w:rFonts w:ascii="Times New Roman" w:hAnsi="Times New Roman"/>
          <w:sz w:val="20"/>
        </w:rPr>
        <w:t xml:space="preserve">(iv) if the LC Exposure of the non-Defaulting Lenders is reallocated pursuant to clause (ii) of this Section 2.20(c), then the fees payable to the Lenders pursuant to Section 2.12(a) and Section 2.12(b) shall be adjusted in accordance with such non-Defaulting Lenders’ Applicable Percentages; or </w:t>
      </w:r>
    </w:p>
    <w:p>
      <w:pPr>
        <w:pStyle w:val="TextBody"/>
        <w:bidi w:val="0"/>
        <w:spacing w:before="120" w:after="0"/>
        <w:jc w:val="left"/>
        <w:rPr>
          <w:rFonts w:ascii="Times New Roman" w:hAnsi="Times New Roman"/>
          <w:sz w:val="20"/>
        </w:rPr>
      </w:pPr>
      <w:r>
        <w:rPr>
          <w:rFonts w:ascii="Times New Roman" w:hAnsi="Times New Roman"/>
          <w:sz w:val="20"/>
        </w:rPr>
        <w:t xml:space="preserve">(v) if all or any portion of any Defaulting Lender’s LC Exposure is neither cash collateralized nor reallocated pursuant to this Section 2.20(c), then, without prejudice to any rights or remedies of the applicable Issuing Bank or any Lender hereunder, all facility fees that otherwise would have been payable to such Defaulting Lender (solely with respect to the portion of such Defaulting Lender’s Aggregate Revolving Commitment that was utilized by such LC Exposure) and letter of credit fees payable under Section 2.12(b) with respect to such Defaulting Lender’s LC Exposure shall be payable to the applicable Issuing Bank until such Defaulting Lender’s LC Exposure is cash collateralized and/or reallocated; </w:t>
      </w:r>
    </w:p>
    <w:p>
      <w:pPr>
        <w:pStyle w:val="TextBody"/>
        <w:bidi w:val="0"/>
        <w:spacing w:before="240" w:after="0"/>
        <w:jc w:val="left"/>
        <w:rPr>
          <w:rFonts w:ascii="Times New Roman" w:hAnsi="Times New Roman"/>
          <w:sz w:val="20"/>
        </w:rPr>
      </w:pPr>
      <w:r>
        <w:rPr>
          <w:rFonts w:ascii="Times New Roman" w:hAnsi="Times New Roman"/>
          <w:sz w:val="20"/>
        </w:rPr>
        <w:t xml:space="preserve">(d) no Issuing Bank shall be required to issue, amend or increase any Letter of Credit, unless it is satisfied that the related exposure will be 100% covered by the Revolving Commitments of the non-Defaulting Lenders and/or cash collateral will be provided by the Borrowers in accordance with Section 2.20(c), and participating interests in any such newly issued or increased Letter of Credit shall be allocated among non-Defaulting Lenders in a manner consistent with Section 2.20(c)(i) (and Defaulting Lenders shall not participate therein); and </w:t>
      </w:r>
    </w:p>
    <w:p>
      <w:pPr>
        <w:pStyle w:val="TextBody"/>
        <w:bidi w:val="0"/>
        <w:spacing w:before="240" w:after="0"/>
        <w:jc w:val="left"/>
        <w:rPr>
          <w:rFonts w:ascii="Times New Roman" w:hAnsi="Times New Roman"/>
          <w:sz w:val="20"/>
        </w:rPr>
      </w:pPr>
      <w:r>
        <w:rPr>
          <w:rFonts w:ascii="Times New Roman" w:hAnsi="Times New Roman"/>
          <w:sz w:val="20"/>
        </w:rPr>
        <w:t xml:space="preserve">If (i) a Bankruptcy Event or a Bail-In Action with respect to the Parent of any Lender shall occur following the Fourth Restatement Date and for so long as such event shall continue or (ii) the Issuing Bank or the Swingline Lender has a good faith belief that any Lender has defaulted in fulfilling its obligations under one or more other agreements in which such Lender commits to extend credit, the Issuing Bank shall not be required to issue, amend or increase any Letter of Credit and the Swingline Lender shall not be required to fund any Swingline Loan, unless the Issuing Bank or the Swingline Lender, as the case may be, shall have entered into arrangements with the Borrowers or such Lender, satisfactory to the Issuing Bank or the Swingline Lender, as the case may be, to defease any risk in respect of such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and on the date that each of the Administrative Agent, the Borrowers, the Issuing Banks and the Swingline Lenders agrees that a Defaulting Lender has adequately remedied all matters that caused such Lender to be a Defaulting Lender, then the Swingline Exposure and LC Exposure of the other Lenders shall be readjusted to reflect the inclusion of such Lender’s Revolving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t>
      </w:r>
    </w:p>
    <w:p>
      <w:pPr>
        <w:pStyle w:val="TextBody"/>
        <w:bidi w:val="0"/>
        <w:spacing w:before="240" w:after="0"/>
        <w:jc w:val="left"/>
        <w:rPr>
          <w:rFonts w:ascii="Times New Roman" w:hAnsi="Times New Roman"/>
          <w:sz w:val="20"/>
        </w:rPr>
      </w:pPr>
      <w:r>
        <w:rPr>
          <w:rFonts w:ascii="Times New Roman" w:hAnsi="Times New Roman"/>
          <w:sz w:val="20"/>
        </w:rPr>
        <w:t xml:space="preserve">(f) For purposes of any covenant which permits or restricts actions by any Loan Party or any Subsidiary of a Loan Party or calculates compliance with financial covenants or any other provision of this Agreement, in each case, based in whole or in part upon the calculation of Aggregate Availability, U.S. Availability, Canadian Availability or Combined Availability, with respect to any Defaulting Lender, Aggregate Availability, U.S. Availability, Canadian Availability and Combined Availability shall be calculated (i) as if such Defaulting Lender had funded its Applicable Percentage of all outstanding Borrowings and (ii) including such Defaulting Lender’s Revolving Commitment in the same manner as if such Lender were not a Defaulting Lender.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2.21 Returned Payments</w:t>
      </w:r>
      <w:r>
        <w:rPr>
          <w:rFonts w:ascii="Times New Roman" w:hAnsi="Times New Roman"/>
          <w:sz w:val="20"/>
        </w:rPr>
        <w:t xml:space="preserve">. If after receipt of any payment which is applied to the payment of all or any part of the Obligations,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u w:val="single"/>
        </w:rPr>
        <w:t>SECTION 2.22 Banking Services and Swap Agreements</w:t>
      </w:r>
      <w:r>
        <w:rPr>
          <w:rFonts w:ascii="Times New Roman" w:hAnsi="Times New Roman"/>
          <w:sz w:val="20"/>
        </w:rPr>
        <w:t xml:space="preserve">. Each Lender or Affiliate thereof providing Banking Services for, or having Swap Agreements with, any Loan Party, or providing Foreign Credit Extensions to any Foreign Subsidiary, shall deliver to the Administrative Agent, promptly after entering into such Banking Services, Swap Agreements or Foreign Credit Extensions, written notice setting forth the aggregate amount of all Banking Services Obligations and Swap Agreement Obligations of such Loan Party to such Lender or Affiliate or the aggregate amount of all Foreign Credit Extensions by such Lender to such Foreign Subsidiary, as applicable (in each case,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Swap Agreement Obligations and Foreign Credit Extensions. The most recent information provided to the Administrative Agent shall be used in determining which tier of the waterfall, contained in Section 2.18(b), such Banking Services Obligations, Swap Agreement Obligations and/or Foreign Credit Extensions will be placed. </w:t>
      </w:r>
    </w:p>
    <w:p>
      <w:pPr>
        <w:pStyle w:val="TextBody"/>
        <w:bidi w:val="0"/>
        <w:spacing w:before="240" w:after="0"/>
        <w:jc w:val="left"/>
        <w:rPr>
          <w:rFonts w:ascii="Times New Roman" w:hAnsi="Times New Roman"/>
          <w:sz w:val="20"/>
        </w:rPr>
      </w:pPr>
      <w:r>
        <w:rPr>
          <w:rFonts w:ascii="Times New Roman" w:hAnsi="Times New Roman"/>
          <w:sz w:val="20"/>
          <w:u w:val="single"/>
        </w:rPr>
        <w:t>SECTION 2.23 Excess Resulting From Exchange Rate Change</w:t>
      </w:r>
      <w:r>
        <w:rPr>
          <w:rFonts w:ascii="Times New Roman" w:hAnsi="Times New Roman"/>
          <w:sz w:val="20"/>
        </w:rPr>
        <w:t xml:space="preserve">. (a) With respect to the Canadian Commitments, at any time following one or more fluctuations in the exchange rate of the Canadian Dollar against the dollar, (i) the aggregate Canadian Revolving Exposure of the Canadian Lenders exceeds the lesser of: (A) the Canadian Borrowing Base </w:t>
      </w:r>
      <w:r>
        <w:rPr>
          <w:rFonts w:ascii="Times New Roman" w:hAnsi="Times New Roman"/>
          <w:sz w:val="20"/>
          <w:u w:val="single"/>
        </w:rPr>
        <w:t>plus</w:t>
      </w:r>
      <w:r>
        <w:rPr>
          <w:rFonts w:ascii="Times New Roman" w:hAnsi="Times New Roman"/>
          <w:sz w:val="20"/>
        </w:rPr>
        <w:t xml:space="preserve"> U.S. Availability, or (B) (x) the Canadian Sublimit minus (y) the sum of (1) the Priority Payables Reserve, (2) the Rent Reserve and (3) the Wage Earner Protection Act Reserve, or (ii) the aggregate Canadian Obligations exceeds any other limit based on dollars set forth herein for such Canadian Obligations, the Canadian Borrowers shall (A) if such excess is an aggregate amount that is less than $1,000,000 and such excess continues to exist in an aggregate amount less than $1,000,000 for at least five Business Days, within two Business Days of notice from the Administrative Agent, (B) if such excess is in an aggregate amount that is greater than or equal to $1,000,000 but less than $5,000,000, within two Business Days of notice from the Administrative Agent, or (C) if such excess is in an aggregate amount greater than or equal to $5,000,000 or if any Event of Default has occurred and is continuing, immediately, (x) make the necessary payments or repayments to reduce such Canadian Obligations to an amount necessary to eliminate such excess or (y) maintain or cause to be maintained with the Administrative Agent (for the benefit of the Canadian Lender Parties) deposits as continuing collateral security for the Canadian Obligations in an amount equal to or greater than the amount of such excess, such deposits to be maintained in such form and upon such terms as are acceptable to the Administrative Agent. Without in any way limiting the foregoing provisions, the Administrative Agent shall, weekly or more frequently in the sole discretion of the Administrative Agent, make the necessary exchange rate calculations to determine whether any such excess exists on such date and advise the Borrowers if such excess exists.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the U.S. Commitments, at any time following one or more fluctuations in the exchange rate of any LC Alternative Currency against the dollar, (i) the sum of the aggregate U.S. Revolving Exposure of the U.S. Lenders </w:t>
      </w:r>
      <w:r>
        <w:rPr>
          <w:rFonts w:ascii="Times New Roman" w:hAnsi="Times New Roman"/>
          <w:sz w:val="20"/>
          <w:u w:val="single"/>
        </w:rPr>
        <w:t>plus</w:t>
      </w:r>
      <w:r>
        <w:rPr>
          <w:rFonts w:ascii="Times New Roman" w:hAnsi="Times New Roman"/>
          <w:sz w:val="20"/>
        </w:rPr>
        <w:t xml:space="preserve"> the Canadian U.S. Borrowing Base Utilization exceeds the lesser of: (A) the U.S. Borrowing Base, or (B) (x) the total U.S. Commitments minus (y) the sum of (1) the Priority Payables Reserve, (2) the Rent Reserve and (3) the Wage Earner Protection Act Reserve, or (ii) the aggregate U.S. Obligations exceeds any other limit based on dollars set forth herein for such U.S. Obligations, the U.S. Borrowers shall (A) if such excess is an aggregate amount that is less than $1,000,000 and such excess continues to exist in an aggregate amount less than $1,000,000 for at least five Business Days, within two Business Days of notice from the Administrative Agent, (B)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excess is in an aggregate amount that is greater than or equal to $1,000,000 but less than $5,000,000, within two Business Days of notice from the Administrative Agent, or (C) if such excess is in an aggregate amount greater than or equal to $5,000,000 or if any Event of Default has occurred and is continuing, immediately, (x) make the necessary payments or repayments to reduce such U.S. Obligations to an amount necessary to eliminate such excess or (y) maintain or cause to be maintained with the Administrative Agent (for the benefit of the Lender Parties) deposits as continuing collateral security for the Obligations in an amount equal to or greater than the amount of such excess, such deposits to be maintained in such form and upon such terms as are acceptable to the Administrative Agent. Without in any way limiting the foregoing provisions, the Administrative Agent shall, weekly or more frequently in the sole discretion of the Administrative Agent, make the necessary exchange rate calculations to determine whether any such excess exists on such date and advise the Borrowers if such excess exists. </w:t>
      </w:r>
    </w:p>
    <w:p>
      <w:pPr>
        <w:pStyle w:val="TextBody"/>
        <w:bidi w:val="0"/>
        <w:spacing w:before="240" w:after="0"/>
        <w:jc w:val="left"/>
        <w:rPr>
          <w:rFonts w:ascii="Times New Roman" w:hAnsi="Times New Roman"/>
          <w:sz w:val="20"/>
        </w:rPr>
      </w:pPr>
      <w:r>
        <w:rPr>
          <w:rFonts w:ascii="Times New Roman" w:hAnsi="Times New Roman"/>
          <w:sz w:val="20"/>
        </w:rPr>
        <w:t xml:space="preserve">(c) If one or more of the U.S. Borrowers provide cash collateral to secure obligations related to U.S. Letters of Credit that are denominated in an LC Alternative Currency (including, without limitation, pursuant to Section 2.06(k), 2.10(b) or 2.18(b)) and, as a result of fluctuations in the applicable exchange rate between dollars and the applicable LC Alternative Currency, the Dollar Amount in dollars of cash collateral held by the Administrative Agent is less than the specified amount of cash collateral so required to be maintained by the U.S. Borrowers, the U.S. Borrowers shall, promptly following a request therefor by the Administrative Agent, deposit in the LC Collateral Account an additional amount of cash collateral in dollars equal to such shortfall to be held as cash collateral in accordance with Section 2.06(k).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Holdings and each Borrower represents and warrants to the Lenders that (and by its execution of the Loan Guaranty to which it is a party, each other Loan Party represents and warrants to the Lenders that): </w:t>
      </w:r>
    </w:p>
    <w:p>
      <w:pPr>
        <w:pStyle w:val="TextBody"/>
        <w:bidi w:val="0"/>
        <w:spacing w:before="120" w:after="0"/>
        <w:jc w:val="left"/>
        <w:rPr>
          <w:rFonts w:ascii="Times New Roman" w:hAnsi="Times New Roman"/>
          <w:sz w:val="20"/>
        </w:rPr>
      </w:pPr>
      <w:r>
        <w:rPr>
          <w:rFonts w:ascii="Times New Roman" w:hAnsi="Times New Roman"/>
          <w:sz w:val="20"/>
          <w:u w:val="single"/>
        </w:rPr>
        <w:t>SECTION 3.01 Organization; Powers</w:t>
      </w:r>
      <w:r>
        <w:rPr>
          <w:rFonts w:ascii="Times New Roman" w:hAnsi="Times New Roman"/>
          <w:sz w:val="20"/>
        </w:rPr>
        <w:t xml:space="preserve">. Each of the Loan Parties is duly organized, validly existing and in good standing under the laws of the jurisdiction of its organization, has all requisite power and authority to carry on its business as now conducted and is qualified to do business in, and is in good standing in, every jurisdiction where the failure to so qualify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u w:val="single"/>
        </w:rPr>
        <w:t>SECTION 3.02 Authorization; Enforceability</w:t>
      </w:r>
      <w:r>
        <w:rPr>
          <w:rFonts w:ascii="Times New Roman" w:hAnsi="Times New Roman"/>
          <w:sz w:val="20"/>
        </w:rPr>
        <w:t xml:space="preserve">.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u w:val="single"/>
        </w:rPr>
        <w:t>SECTION 3.03 Governmental Approvals; No Conflicts</w:t>
      </w:r>
      <w:r>
        <w:rPr>
          <w:rFonts w:ascii="Times New Roman" w:hAnsi="Times New Roman"/>
          <w:sz w:val="20"/>
        </w:rPr>
        <w:t xml:space="preserve">.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(c) will not violate or result in a default under any Material Indebtedness, or give rise to a right thereunder to require any payment to be made by any Loan Party, (d) will not violate the certificate of incorporation, by-laws, memorandum of association, management, operating or partnership agreement or other organizational documents of any Loan Party, and (e) except where failure to comply would not reasonably be expected to have a Material Adverse Effect, will not result in the creation or imposition of any Lien on any asset of any Loan Party, except Liens created pursuant to the Loan Documents. </w:t>
      </w:r>
    </w:p>
    <w:p>
      <w:pPr>
        <w:pStyle w:val="TextBody"/>
        <w:bidi w:val="0"/>
        <w:spacing w:before="240" w:after="0"/>
        <w:jc w:val="left"/>
        <w:rPr>
          <w:rFonts w:ascii="Times New Roman" w:hAnsi="Times New Roman"/>
          <w:sz w:val="20"/>
        </w:rPr>
      </w:pPr>
      <w:r>
        <w:rPr>
          <w:rFonts w:ascii="Times New Roman" w:hAnsi="Times New Roman"/>
          <w:sz w:val="20"/>
          <w:u w:val="single"/>
        </w:rPr>
        <w:t>SECTION 3.04 Financial Condition; No Material Adverse Effect</w:t>
      </w:r>
      <w:r>
        <w:rPr>
          <w:rFonts w:ascii="Times New Roman" w:hAnsi="Times New Roman"/>
          <w:sz w:val="20"/>
        </w:rPr>
        <w:t xml:space="preserve">. The financial statements delivered pursuant to Section 4.01(b), present fairly, in all material respects, the financial position and results of operations and cash flows of, as applicable Holdings and its consolidated subsidiaries or Anixter, Inc. and its consolidated subsidiaries, in each case as of the dates and periods specified in Section 4.01(b) in accordance with GAAP, subject to normal year-end audit adjustments and the absence of footnotes in the case of the quarterly financial statements referred to in Section 4.01(b).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No event, change or condition has occurred that has had</w:t>
      </w:r>
      <w:r>
        <w:rPr>
          <w:rFonts w:ascii="Times New Roman" w:hAnsi="Times New Roman"/>
          <w:strike/>
          <w:color w:val="FF0000"/>
          <w:sz w:val="20"/>
        </w:rPr>
        <w:t>, or could reasonably be expected to have,</w:t>
      </w:r>
      <w:r>
        <w:rPr>
          <w:rFonts w:ascii="Times New Roman" w:hAnsi="Times New Roman"/>
          <w:sz w:val="20"/>
        </w:rPr>
        <w:t xml:space="preserve"> a Material Adverse Effect</w:t>
      </w:r>
      <w:r>
        <w:rPr>
          <w:rFonts w:ascii="Times New Roman" w:hAnsi="Times New Roman"/>
          <w:strike/>
          <w:color w:val="FF0000"/>
          <w:sz w:val="20"/>
        </w:rPr>
        <w:t xml:space="preserve">, </w:t>
      </w:r>
      <w:r>
        <w:rPr>
          <w:rFonts w:ascii="Times New Roman" w:hAnsi="Times New Roman"/>
          <w:sz w:val="20"/>
        </w:rPr>
        <w:t xml:space="preserve">since December 31, </w:t>
      </w:r>
      <w:r>
        <w:rPr>
          <w:rFonts w:ascii="Times New Roman" w:hAnsi="Times New Roman"/>
          <w:strike/>
          <w:color w:val="FF0000"/>
          <w:sz w:val="20"/>
        </w:rPr>
        <w:t>2019</w:t>
      </w:r>
      <w:r>
        <w:rPr>
          <w:rFonts w:ascii="Times New Roman" w:hAnsi="Times New Roman"/>
          <w:color w:val="0000FF"/>
          <w:sz w:val="20"/>
          <w:u w:val="single"/>
          <w:bdr w:val="double" w:sz="2" w:space="1" w:color="000000"/>
        </w:rPr>
        <w:t>2025</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u w:val="single"/>
        </w:rPr>
        <w:t>SECTION 3.05 Properties</w:t>
      </w:r>
      <w:r>
        <w:rPr>
          <w:rFonts w:ascii="Times New Roman" w:hAnsi="Times New Roman"/>
          <w:sz w:val="20"/>
        </w:rPr>
        <w:t xml:space="preserve">. (a) As of the Fourth Restatement Date, </w:t>
      </w:r>
      <w:r>
        <w:rPr>
          <w:rFonts w:ascii="Times New Roman" w:hAnsi="Times New Roman"/>
          <w:sz w:val="20"/>
          <w:u w:val="single"/>
        </w:rPr>
        <w:t>Schedule 3.05</w:t>
      </w:r>
      <w:r>
        <w:rPr>
          <w:rFonts w:ascii="Times New Roman" w:hAnsi="Times New Roman"/>
          <w:sz w:val="20"/>
        </w:rPr>
        <w:t xml:space="preserve"> sets forth the address of each parcel of real property that is owned or leased by any Loan Party and at which ABL Priority Collateral is located. Except as would not reasonably be expected to result in a Material Adverse Effect, (x) each of such leases and subleases is valid and enforceable in accordance with its terms and is in full force and effect (subject to applicable bankruptcy, insolvency, reorganization, moratorium or other laws affecting creditors’ rights generally and subject to general principles of equity, regardless of whether considered a proceeding in equity or at law), and (y) no default by any Loan Party to any such lease or sublease exists. Each Loan Party and each Restricted Subsidiary has good and indefeasible title to, or valid leasehold interests in, all of its real and personal property, except where the failure to have such title or interests, individually or in the aggregate, would not reasonably be expected to result in a Material Adverse Effect. Such real and personal property is free of all Liens other than those permitted by Section 6.02. </w:t>
      </w:r>
    </w:p>
    <w:p>
      <w:pPr>
        <w:pStyle w:val="TextBody"/>
        <w:bidi w:val="0"/>
        <w:spacing w:before="240" w:after="0"/>
        <w:jc w:val="left"/>
        <w:rPr>
          <w:rFonts w:ascii="Times New Roman" w:hAnsi="Times New Roman"/>
          <w:sz w:val="20"/>
        </w:rPr>
      </w:pPr>
      <w:r>
        <w:rPr>
          <w:rFonts w:ascii="Times New Roman" w:hAnsi="Times New Roman"/>
          <w:sz w:val="20"/>
        </w:rPr>
        <w:t xml:space="preserve">(b) Each Loan Party and each Subsidiary owns, or is licensed to use, all trademarks, tradenames, copyrights, patents and other intellectual property necessary to its business as currently conducted, and the use thereof by the Loan Parties and their Restricted Subsidiaries does not infringe in any material respect upon the rights of any other Person, and the Loan Parties’ rights thereto are not subject to any licensing agreement or similar arrangement, except in each case where the failure to do so could not reasonably be expected, individually or in the aggregate,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u w:val="single"/>
        </w:rPr>
        <w:t>SECTION 3.06 Litigation and Environmental Matters</w:t>
      </w:r>
      <w:r>
        <w:rPr>
          <w:rFonts w:ascii="Times New Roman" w:hAnsi="Times New Roman"/>
          <w:sz w:val="20"/>
        </w:rPr>
        <w:t xml:space="preserve">. (a) There are no actions, suits or proceedings by or before any arbitrator or Governmental Authority pending against or, to the knowledge of any Loan Party, threatened in writing against or affecting the Loan Parties or any of their Subsidiaries (i) which could reasonably be expected, individually or in the aggregate, to result in a Material Adverse Effect (other than the Disclosed Matters) or (ii) that involve this Agreement 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the Disclosed Matters and except with respect to any other matters that, individually or in the aggregate, would not reasonably be expected to result in a Material Adverse Effect, (i) no Loan Party nor any Restricted Subsidiary has received notice of any claim with respect to any Environmental Liability or knows of any basis for any Environmental Liability and (ii) no Loan Party nor any Restricted Subsidiary (A) has failed to comply with any Environmental Law or to obtain, maintain or comply with any permit, license or other approval required under any Environmental Law or (B) has become subject to any known Environmental Liability. </w:t>
      </w:r>
    </w:p>
    <w:p>
      <w:pPr>
        <w:pStyle w:val="TextBody"/>
        <w:bidi w:val="0"/>
        <w:spacing w:before="240" w:after="0"/>
        <w:jc w:val="left"/>
        <w:rPr>
          <w:rFonts w:ascii="Times New Roman" w:hAnsi="Times New Roman"/>
          <w:sz w:val="20"/>
        </w:rPr>
      </w:pPr>
      <w:r>
        <w:rPr>
          <w:rFonts w:ascii="Times New Roman" w:hAnsi="Times New Roman"/>
          <w:sz w:val="20"/>
        </w:rPr>
        <w:t xml:space="preserve">(c) Since the Fourth Restatement Date, there has been no change in the status of the Disclosed Matters that, individually or in the aggregate, has resulted,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u w:val="single"/>
        </w:rPr>
        <w:t>SECTION 3.07 Compliance with Laws and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Loan Party and its Restricted Subsidiaries is in compliance with all Requirements of Law applicable to it or its property and all indentures, agreements and other instruments binding upon it or its property, except where the failure to do so, individually or in the aggregate, would not reasonably be expected to result in a Material Adverse Effect. No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3.07(d), no Loan Party nor any of its Subsidiaries is in violation of any Sanctions applicable to the Loan Parties. No Loan Party nor any of its Subsidiaries, nor any director or officer, or any employee, or, to the knowledge of any Loan Party, agent or Affiliate of, any Loan Party or any of its Subsidiaries is a Sanctioned Person. No Loan Party nor any of its Subsidiaries, nor, to the knowledge of any Loan Party, any director or officer of any Loan Party or any of its Subsidiaries (i) has its assets located in a Sanctioned Country in violation of Sanctions or (ii) derives revenues from investments in, or transactions with Sanctioned Persons in violation of Sanctions. </w:t>
      </w:r>
    </w:p>
    <w:p>
      <w:pPr>
        <w:pStyle w:val="TextBody"/>
        <w:bidi w:val="0"/>
        <w:spacing w:before="240" w:after="0"/>
        <w:jc w:val="left"/>
        <w:rPr>
          <w:rFonts w:ascii="Times New Roman" w:hAnsi="Times New Roman"/>
          <w:sz w:val="20"/>
        </w:rPr>
      </w:pPr>
      <w:r>
        <w:rPr>
          <w:rFonts w:ascii="Times New Roman" w:hAnsi="Times New Roman"/>
          <w:sz w:val="20"/>
        </w:rPr>
        <w:t xml:space="preserve">(c) Subject to Section 3.07(d), none of the transactions contemplated by the Loan Documents violates the Canadian Economic Sanctions and Export Control Laws. Furthermore, no Loan Party nor any Subsidiary thereof is a Canadian Blocked Person and, to the actual knowledge of each Loan Party, no Loan Party or Subsidiary thereof engages in any dealings or transactions, or is otherwise associated, with a Canadian Blocked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representations and warranties provided for in Sections 3.07(b) and (c) shall only apply to any Loan Party and any of its respective Subsidiaries insofar as the giving thereof and compliance therewith do not and will not result in a violation of or conflict with or liability under any Blocking Regulation to which such Loan Party or its respective Subsidiary is subject. </w:t>
      </w:r>
    </w:p>
    <w:p>
      <w:pPr>
        <w:pStyle w:val="TextBody"/>
        <w:bidi w:val="0"/>
        <w:spacing w:before="240" w:after="0"/>
        <w:jc w:val="left"/>
        <w:rPr>
          <w:rFonts w:ascii="Times New Roman" w:hAnsi="Times New Roman"/>
          <w:sz w:val="20"/>
        </w:rPr>
      </w:pPr>
      <w:r>
        <w:rPr>
          <w:rFonts w:ascii="Times New Roman" w:hAnsi="Times New Roman"/>
          <w:sz w:val="20"/>
          <w:u w:val="single"/>
        </w:rPr>
        <w:t>SECTION 3.08 Investment Company Status</w:t>
      </w:r>
      <w:r>
        <w:rPr>
          <w:rFonts w:ascii="Times New Roman" w:hAnsi="Times New Roman"/>
          <w:sz w:val="20"/>
        </w:rPr>
        <w:t>. No Loan Party nor any Restricted Subsidiary is an “</w:t>
      </w:r>
      <w:r>
        <w:rPr>
          <w:rFonts w:ascii="Times New Roman" w:hAnsi="Times New Roman"/>
          <w:sz w:val="20"/>
          <w:u w:val="single"/>
        </w:rPr>
        <w:t>investment company</w:t>
      </w:r>
      <w:r>
        <w:rPr>
          <w:rFonts w:ascii="Times New Roman" w:hAnsi="Times New Roman"/>
          <w:sz w:val="20"/>
        </w:rPr>
        <w:t xml:space="preserve">” as defined in, or subject to regulation under, the Investment Company Act of 1940. </w:t>
      </w:r>
    </w:p>
    <w:p>
      <w:pPr>
        <w:pStyle w:val="TextBody"/>
        <w:bidi w:val="0"/>
        <w:spacing w:before="240" w:after="0"/>
        <w:jc w:val="left"/>
        <w:rPr>
          <w:rFonts w:ascii="Times New Roman" w:hAnsi="Times New Roman"/>
          <w:sz w:val="20"/>
        </w:rPr>
      </w:pPr>
      <w:r>
        <w:rPr>
          <w:rFonts w:ascii="Times New Roman" w:hAnsi="Times New Roman"/>
          <w:sz w:val="20"/>
          <w:u w:val="single"/>
        </w:rPr>
        <w:t>SECTION 3.09</w:t>
      </w:r>
      <w:r>
        <w:rPr>
          <w:rFonts w:ascii="Times New Roman" w:hAnsi="Times New Roman"/>
          <w:sz w:val="20"/>
        </w:rPr>
        <w:t xml:space="preserve"> </w:t>
      </w:r>
      <w:r>
        <w:rPr>
          <w:rFonts w:ascii="Times New Roman" w:hAnsi="Times New Roman"/>
          <w:sz w:val="20"/>
          <w:u w:val="single"/>
        </w:rPr>
        <w:t>Taxes</w:t>
      </w:r>
      <w:r>
        <w:rPr>
          <w:rFonts w:ascii="Times New Roman" w:hAnsi="Times New Roman"/>
          <w:sz w:val="20"/>
        </w:rPr>
        <w:t xml:space="preserve">. Each Loan Party and its Restricted Subsidiaries has timely filed or caused to be filed all Tax returns and reports required to have been filed and has paid or caused to be paid all Taxes required to have been paid by or with respect to it, except (a)(i) Taxes that are being contested in good faith by appropriate proceedings and (ii) for which such Loan Party or such Restricted Subsidiary, as applicable, has set aside on its books adequate reserves, or (b) to the extent the failure to file such Tax returns or pay such Taxes could not reasonably be expected to result in a Material Adverse Effect. No Liens for Taxes (other than Permitted Encumbrances) have been filed with respect to any such Taxes. </w:t>
      </w:r>
    </w:p>
    <w:p>
      <w:pPr>
        <w:pStyle w:val="TextBody"/>
        <w:bidi w:val="0"/>
        <w:spacing w:before="240" w:after="0"/>
        <w:jc w:val="left"/>
        <w:rPr>
          <w:rFonts w:ascii="Times New Roman" w:hAnsi="Times New Roman"/>
          <w:sz w:val="20"/>
        </w:rPr>
      </w:pPr>
      <w:r>
        <w:rPr>
          <w:rFonts w:ascii="Times New Roman" w:hAnsi="Times New Roman"/>
          <w:sz w:val="20"/>
          <w:u w:val="single"/>
        </w:rPr>
        <w:t>SECTION 3.10 ERISA; Canadian Pension Plans</w:t>
      </w:r>
      <w:r>
        <w:rPr>
          <w:rFonts w:ascii="Times New Roman" w:hAnsi="Times New Roman"/>
          <w:sz w:val="20"/>
        </w:rPr>
        <w:t xml:space="preserve">. (a) No ERISA Event has occurred or is reasonably expected to occur that, when taken together with all other such ERISA Events for which liability is reasonably expected to occur, would reasonably be expected to result in a Material Adverse Effect. The present value of all accumulated benefit obligations under each Plan (based on the assumptions used for purposes of Financial Accounting Standards Board Accounting Standards Codification 715-30) did not, as of the date of the most recent financial statements reflecting such amounts, exceed the fair market value of the assets of such Plan by an amount that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Canadian Loan Party and its Subsidiaries is in compliance with the requirements of the </w:t>
      </w:r>
      <w:r>
        <w:rPr>
          <w:rFonts w:ascii="Times New Roman" w:hAnsi="Times New Roman"/>
          <w:i/>
          <w:sz w:val="20"/>
        </w:rPr>
        <w:t>Pension Benefits Act</w:t>
      </w:r>
      <w:r>
        <w:rPr>
          <w:rFonts w:ascii="Times New Roman" w:hAnsi="Times New Roman"/>
          <w:sz w:val="20"/>
        </w:rPr>
        <w:t xml:space="preserve"> (Ontario) and other federal or provincial laws with respect to each Canadian Pension Plan, except where the failure to so comply would not reasonably be expected to have a Material Adverse Effect. No fact or situation that may reasonably be expected to result in a Material Adverse Effect exists in connection with any Canadian Pension Plan. No Pension Event has occurred which has resulted or would reasonably be expected to result in any Loan Party incurring any liability which would reasonably be expected to have a Material Adverse Effect. Except where failure to comply with the following clauses (i) through (iv) would not reasonably be expected to have a Material Adverse Effect: (i) all contributions required to be made by a Loan Party or any of its Subsidiaries under the Canadian Union Plans have been made in the amounts and in the manner set forth in the applicable collective agreement, (ii) as of the Fourth Restatement Date, except as set forth on </w:t>
      </w:r>
      <w:r>
        <w:rPr>
          <w:rFonts w:ascii="Times New Roman" w:hAnsi="Times New Roman"/>
          <w:sz w:val="20"/>
          <w:u w:val="single"/>
        </w:rPr>
        <w:t>Schedule 3.10</w:t>
      </w:r>
      <w:r>
        <w:rPr>
          <w:rFonts w:ascii="Times New Roman" w:hAnsi="Times New Roman"/>
          <w:sz w:val="20"/>
        </w:rPr>
        <w:t xml:space="preserve">, each Canadian Pension Plan has no solvency deficiency and is funded as required under the most recent actuarial valuation filed with the applicable Governmental Authority pursuant to generally accepted actuarial practices and principles, (iii) all contributions (including employee contributions made by authorized payroll deductions or other withholdings) required to be made to the appropriate funding agency in accordance with all applicable laws and the terms of each Canadian Pension Plan have been made in accordance with all applicable laws and the terms of each Canadian Pension Plan, and (iv) all contributions required to be made by a Loan Party or any of its Subsidiaries under the Canadian Union Plans have been made, and the sole obligation of a Loan Party or any of its Subsidiaries under any Canadian Union Plan is to make contributions to the Canadian Union Plan, in the amounts and in the manner set forth in the applicable collective agreement. </w:t>
      </w:r>
    </w:p>
    <w:p>
      <w:pPr>
        <w:pStyle w:val="TextBody"/>
        <w:bidi w:val="0"/>
        <w:spacing w:before="240" w:after="0"/>
        <w:jc w:val="left"/>
        <w:rPr>
          <w:rFonts w:ascii="Times New Roman" w:hAnsi="Times New Roman"/>
          <w:sz w:val="20"/>
        </w:rPr>
      </w:pPr>
      <w:r>
        <w:rPr>
          <w:rFonts w:ascii="Times New Roman" w:hAnsi="Times New Roman"/>
          <w:sz w:val="20"/>
          <w:u w:val="single"/>
        </w:rPr>
        <w:t>SECTION 3.11 Disclosure</w:t>
      </w:r>
      <w:r>
        <w:rPr>
          <w:rFonts w:ascii="Times New Roman" w:hAnsi="Times New Roman"/>
          <w:sz w:val="20"/>
        </w:rPr>
        <w:t xml:space="preserve">. No report, financial statement, certificate or other information (other than projections, forward-looking statements and statements of a general economic nature) furnished by or on behalf of any Loan Party to the Administrative Agent or any Lender in connection with the negotiation of this Agreement or any other Loan Document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Times New Roman" w:hAnsi="Times New Roman"/>
          <w:sz w:val="20"/>
          <w:u w:val="single"/>
        </w:rPr>
        <w:t>provided</w:t>
      </w:r>
      <w:r>
        <w:rPr>
          <w:rFonts w:ascii="Times New Roman" w:hAnsi="Times New Roman"/>
          <w:sz w:val="20"/>
        </w:rPr>
        <w:t xml:space="preserve"> that, with respect to the Projections and any other projected financial information or forecasts, the Borrowers and Holdings represent only that such information and materials have been prepared in good faith on the basis of the assumptions stated therein, which assumptions were believed by the Loan Parties to be reasonable at the time delivered and, if such projected financial information was delivered prior to the Fourth Restatement Date, as of the Fourth Restatement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being understood and agreed that such Projections and such other projected financial information or forecasts are subject to uncertainties and contingencies, many of which are beyond the control of the Loan Parties, and as such, such Projections and other projected financial information or forecasts are not a guarantee of financial performance and actual results may differ from such Projections and other projected financial information or forecasts and such differences may be material. </w:t>
      </w:r>
    </w:p>
    <w:p>
      <w:pPr>
        <w:pStyle w:val="TextBody"/>
        <w:bidi w:val="0"/>
        <w:spacing w:before="240" w:after="0"/>
        <w:jc w:val="left"/>
        <w:rPr>
          <w:rFonts w:ascii="Times New Roman" w:hAnsi="Times New Roman"/>
          <w:sz w:val="20"/>
        </w:rPr>
      </w:pPr>
      <w:r>
        <w:rPr>
          <w:rFonts w:ascii="Times New Roman" w:hAnsi="Times New Roman"/>
          <w:sz w:val="20"/>
          <w:u w:val="single"/>
        </w:rPr>
        <w:t>SECTION 3.12 [Reserved]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3.13 Solvency</w:t>
      </w:r>
      <w:r>
        <w:rPr>
          <w:rFonts w:ascii="Times New Roman" w:hAnsi="Times New Roman"/>
          <w:sz w:val="20"/>
        </w:rPr>
        <w:t xml:space="preserve">. (a) Immediately after the consummation of the Transactions to occur on the Fourth Restatement Date, (i) the fair value of the assets of the U.S. Borrowers, taken as a whole, at a fair valuation, will exceed their debts and liabilities, subordinated, contingent or otherwise; (ii) the present fair saleable value of the property of the U.S. Borrowers, taken as a whole, will be greater than the amount that will be required to pay the probable liability of their debts and other liabilities, subordinated, contingent or otherwise, as such debts and other liabilities become absolute and matured; (iii) the U.S. Borrowers, taken as a whole, will be able to pay their debts and liabilities, subordinated, contingent or otherwise, as such debts and liabilities become absolute and matured; (iv) the U.S. Borrowers, taken as a whole, will not have unreasonably small capital with which to conduct the business in which they are engaged as such business is now conducted and is proposed to be conducted after the Fourth Restatement Date, and (v) no Canadian Borrower shall be an “insolvent person” as such term is defined in the </w:t>
      </w:r>
      <w:r>
        <w:rPr>
          <w:rFonts w:ascii="Times New Roman" w:hAnsi="Times New Roman"/>
          <w:i/>
          <w:sz w:val="20"/>
        </w:rPr>
        <w:t>Bankruptcy and Insolvency Act</w:t>
      </w:r>
      <w:r>
        <w:rPr>
          <w:rFonts w:ascii="Times New Roman" w:hAnsi="Times New Roman"/>
          <w:sz w:val="20"/>
        </w:rPr>
        <w:t xml:space="preserve"> (Canada).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the consummation of the Transactions to occur on the Fourth Restatement Date, (i) the fair value of the assets of the Canadian Borrowers, taken as a whole, at a fair valuation, will exceed their debts and liabilities, subordinated, contingent or otherwise; (ii) the present fair saleable value of the property of the Canadian Borrowers, taken as a whole, will be greater than the amount that will be required to pay the probable liability of their debts and other liabilities, subordinated, contingent or otherwise, as such debts and other liabilities become absolute and matured; (iii) the Canadian Borrowers, taken as a whole, will be able to pay their debts and liabilities, subordinated, contingent or otherwise, as such debts and liabilities become absolute and matured; and (iv) the Canadian Borrowers, taken as a whole, will not have unreasonably small capital with which to conduct the business in which they are engaged as such business is now conducted and is proposed to be conducted after the Fourth Restatement Date. </w:t>
      </w:r>
    </w:p>
    <w:p>
      <w:pPr>
        <w:pStyle w:val="TextBody"/>
        <w:bidi w:val="0"/>
        <w:spacing w:before="240" w:after="0"/>
        <w:jc w:val="left"/>
        <w:rPr>
          <w:rFonts w:ascii="Times New Roman" w:hAnsi="Times New Roman"/>
          <w:sz w:val="20"/>
        </w:rPr>
      </w:pPr>
      <w:r>
        <w:rPr>
          <w:rFonts w:ascii="Times New Roman" w:hAnsi="Times New Roman"/>
          <w:sz w:val="20"/>
        </w:rPr>
        <w:t xml:space="preserve">(c) Immediately after the consummation of the Transactions to occur on the Fourth Restatement Date, (i) the fair value of the assets of the Loan Parties, taken as a whole, at a fair valuation, will exceed their debts and liabilities, subordinated, contingent or otherwise; (ii) the present fair saleable value of the property of the Loan Parties, taken as a whole, will be greater than the amount that will be required to pay the probable liability of their debts and other liabilities, subordinated, contingent or otherwise, as such debts and other liabilities become absolute and matured; (iii) the Loan Parties, taken as a whole, will be able to pay their debts and liabilities, subordinated, contingent or otherwise, as such debts and liabilities become absolute and matured; and (iv) the Loan Parties, taken as a whole, will not have unreasonably small capital with which to conduct the business in which they are engaged as such business is now conducted and is proposed to be conducted after the Fourth Restatement Date. </w:t>
      </w:r>
    </w:p>
    <w:p>
      <w:pPr>
        <w:pStyle w:val="TextBody"/>
        <w:bidi w:val="0"/>
        <w:spacing w:before="240" w:after="0"/>
        <w:jc w:val="left"/>
        <w:rPr>
          <w:rFonts w:ascii="Times New Roman" w:hAnsi="Times New Roman"/>
          <w:sz w:val="20"/>
        </w:rPr>
      </w:pPr>
      <w:r>
        <w:rPr>
          <w:rFonts w:ascii="Times New Roman" w:hAnsi="Times New Roman"/>
          <w:sz w:val="20"/>
        </w:rPr>
        <w:t xml:space="preserve">(d) The Loan Parties and their Restricted Subsidiaries (taken as a whole) do not intend to incur debts beyond their ability to pay such debts as they mature, taking into account the timing of and amounts of cash to be received by the Loan Parties and their Restricted Subsidiaries (taken as a whole) and the timing of the amounts of cash to be payable on or in respect of the Indebtedness of the Loan Parties and their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u w:val="single"/>
        </w:rPr>
        <w:t>SECTION 3.14 Insurance</w:t>
      </w:r>
      <w:r>
        <w:rPr>
          <w:rFonts w:ascii="Times New Roman" w:hAnsi="Times New Roman"/>
          <w:sz w:val="20"/>
        </w:rPr>
        <w:t xml:space="preserve">. </w:t>
      </w:r>
      <w:r>
        <w:rPr>
          <w:rFonts w:ascii="Times New Roman" w:hAnsi="Times New Roman"/>
          <w:sz w:val="20"/>
          <w:u w:val="single"/>
        </w:rPr>
        <w:t>Schedule 3.14</w:t>
      </w:r>
      <w:r>
        <w:rPr>
          <w:rFonts w:ascii="Times New Roman" w:hAnsi="Times New Roman"/>
          <w:sz w:val="20"/>
        </w:rPr>
        <w:t xml:space="preserve"> sets forth a description of all insurance maintained by or on behalf of the Loan Parties and the Subsidiaries as of the Fourth Restatement Date. As of the Fourth Restatement Date, all premiums in respect of such insurance have been paid. The Loan Parties believe that the insurance maintained by or on behalf of the Loan Parties is adequate. </w:t>
      </w:r>
    </w:p>
    <w:p>
      <w:pPr>
        <w:pStyle w:val="TextBody"/>
        <w:bidi w:val="0"/>
        <w:spacing w:before="240" w:after="0"/>
        <w:jc w:val="left"/>
        <w:rPr>
          <w:rFonts w:ascii="Times New Roman" w:hAnsi="Times New Roman"/>
          <w:sz w:val="20"/>
        </w:rPr>
      </w:pPr>
      <w:r>
        <w:rPr>
          <w:rFonts w:ascii="Times New Roman" w:hAnsi="Times New Roman"/>
          <w:sz w:val="20"/>
          <w:u w:val="single"/>
        </w:rPr>
        <w:t>SECTION 3.15 Capitalization and Subsidiaries</w:t>
      </w:r>
      <w:r>
        <w:rPr>
          <w:rFonts w:ascii="Times New Roman" w:hAnsi="Times New Roman"/>
          <w:sz w:val="20"/>
        </w:rPr>
        <w:t xml:space="preserve">. As of the Fourth Restatement Date, </w:t>
      </w:r>
      <w:r>
        <w:rPr>
          <w:rFonts w:ascii="Times New Roman" w:hAnsi="Times New Roman"/>
          <w:sz w:val="20"/>
          <w:u w:val="single"/>
        </w:rPr>
        <w:t>Schedule 3.15</w:t>
      </w:r>
      <w:r>
        <w:rPr>
          <w:rFonts w:ascii="Times New Roman" w:hAnsi="Times New Roman"/>
          <w:sz w:val="20"/>
        </w:rPr>
        <w:t xml:space="preserve"> sets forth (a) an organizational chart of Holdings and its Subsidiaries showing the name and relationship of each and all of Holdings’ Subsidiaries to Holdings, (b) a true and complete listing of each class of each of the Loan Parties’ authorized Equity Interests, of which all of such issued shares are validly issued, outstanding,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such concepts are applicable), and, in the case of the Loan Parties (other than Holdings) and their Subsidiaries, owned beneficially and of record by the Persons identified on </w:t>
      </w:r>
      <w:r>
        <w:rPr>
          <w:rFonts w:ascii="Times New Roman" w:hAnsi="Times New Roman"/>
          <w:sz w:val="20"/>
          <w:u w:val="single"/>
        </w:rPr>
        <w:t>Schedule 3.15</w:t>
      </w:r>
      <w:r>
        <w:rPr>
          <w:rFonts w:ascii="Times New Roman" w:hAnsi="Times New Roman"/>
          <w:sz w:val="20"/>
        </w:rPr>
        <w:t xml:space="preserve">, and (c) the type of entity of Holdings and each of its Subsidiaries (other than Excluded Subsidiaries). All of the issued and outstanding Equity Interests owned by any Loan Party have been (to the extent such concepts are relevant with respect to such ownership interests) duly authorized and issued and are fully paid and non-assessable. </w:t>
      </w:r>
    </w:p>
    <w:p>
      <w:pPr>
        <w:pStyle w:val="TextBody"/>
        <w:bidi w:val="0"/>
        <w:spacing w:before="240" w:after="0"/>
        <w:jc w:val="left"/>
        <w:rPr>
          <w:rFonts w:ascii="Times New Roman" w:hAnsi="Times New Roman"/>
          <w:sz w:val="20"/>
        </w:rPr>
      </w:pPr>
      <w:r>
        <w:rPr>
          <w:rFonts w:ascii="Times New Roman" w:hAnsi="Times New Roman"/>
          <w:sz w:val="20"/>
          <w:u w:val="single"/>
        </w:rPr>
        <w:t>SECTION 3.16 Security Interest in Collateral</w:t>
      </w:r>
      <w:r>
        <w:rPr>
          <w:rFonts w:ascii="Times New Roman" w:hAnsi="Times New Roman"/>
          <w:sz w:val="20"/>
        </w:rPr>
        <w:t xml:space="preserve">. Subject to the Certain Funds Provisions, the provisions of this Agreement and the other Loan Documents create legal and valid Liens on all the Collateral in favor of the Administrative Agent, for the benefit of the Lender Parties and the Canadian Lender Parties, as the case may be, and upon filing of any UCC financing statements (or the equivalent under the PPSA) as necessary, and the taking of actions or making of filings with respect to Intellectual Property registrations, such Liens constitute perfected and continuing Liens on the Collateral to the extent perfection can be obtained by the filing of an initial UCC financing statement (or the equivalent under the PPSA) or an Intellectual Property registration, securing the Secured Obligations, enforceable against the applicable Loan Party, subject to applicable bankruptcy, insolvency, reorganization, moratorium or other laws affecting creditors’ rights generally and subject to general principles of equity, regardless of whether considered in a proceeding in equity or at law, and having priority over all other Liens on the Collateral except in the case of (a) Permitted Encumbrances, to the extent any such Permitted Encumbrances would have priority over the Liens in favor of the Administrative Agent pursuant to any applicable law or agreement, (b) Liens perfected only by possession (including possession of any certificate of title) to the extent the Administrative Agent has not obtained or does not maintain possession of such Collateral, and (c) other Liens permitted under Section 6.02 and, solely with respect to the ABL Priority Collateral, to the extent such Liens are expressly permitted to be senior in priority to the Liens of the Administrative Agent. </w:t>
      </w:r>
    </w:p>
    <w:p>
      <w:pPr>
        <w:pStyle w:val="TextBody"/>
        <w:bidi w:val="0"/>
        <w:spacing w:before="240" w:after="0"/>
        <w:jc w:val="left"/>
        <w:rPr>
          <w:rFonts w:ascii="Times New Roman" w:hAnsi="Times New Roman"/>
          <w:sz w:val="20"/>
        </w:rPr>
      </w:pPr>
      <w:r>
        <w:rPr>
          <w:rFonts w:ascii="Times New Roman" w:hAnsi="Times New Roman"/>
          <w:sz w:val="20"/>
          <w:u w:val="single"/>
        </w:rPr>
        <w:t>SECTION 3.17 Employment Matters</w:t>
      </w:r>
      <w:r>
        <w:rPr>
          <w:rFonts w:ascii="Times New Roman" w:hAnsi="Times New Roman"/>
          <w:sz w:val="20"/>
        </w:rPr>
        <w:t xml:space="preserve">. As of the Fourth Restatement Date, there are no strikes, lockouts or slowdowns against any Loan Party or any Restricted Subsidiary pending or, to the knowledge of the Borrowers, threatened. Except as would not reasonably be expected to have a Material Adverse Effect, the hours worked by and payments made to employees of the Loan Parties and the Restricted Subsidiaries have not been in violation of the Fair Labor Standards Act, the </w:t>
      </w:r>
      <w:r>
        <w:rPr>
          <w:rFonts w:ascii="Times New Roman" w:hAnsi="Times New Roman"/>
          <w:i/>
          <w:sz w:val="20"/>
        </w:rPr>
        <w:t>Employee Standards Act</w:t>
      </w:r>
      <w:r>
        <w:rPr>
          <w:rFonts w:ascii="Times New Roman" w:hAnsi="Times New Roman"/>
          <w:sz w:val="20"/>
        </w:rPr>
        <w:t xml:space="preserve"> (Ontario) or any other applicable federal, provincial, territorial, state, local or foreign law dealing with such matters. All payments due from any Loan Party or any Restricted Subsidiary, or for which any claim may be made against any Loan Party or any Restricted Subsidiary, on account of wages, vacation pay, and employee health and welfare insurance and other benefits, including with respect to the Canada Pensions Plans, have been paid or accrued as a liability on the books of the Loan Party or such Subsidiary, except where the failure to so comply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u w:val="single"/>
        </w:rPr>
        <w:t>SECTION 3.18 [Reserved]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3.19 Other Indebtedness</w:t>
      </w:r>
      <w:r>
        <w:rPr>
          <w:rFonts w:ascii="Times New Roman" w:hAnsi="Times New Roman"/>
          <w:sz w:val="20"/>
        </w:rPr>
        <w:t xml:space="preserve">. The execution, delivery and performance by the Loan Parties of this Agreement and the other Loan Documents and the making of the Loans hereunder do not violate the terms of the Senior Notes Indentures or the Receivables Securitization Agreements. </w:t>
      </w:r>
    </w:p>
    <w:p>
      <w:pPr>
        <w:pStyle w:val="TextBody"/>
        <w:bidi w:val="0"/>
        <w:spacing w:before="240" w:after="0"/>
        <w:jc w:val="left"/>
        <w:rPr>
          <w:rFonts w:ascii="Times New Roman" w:hAnsi="Times New Roman"/>
          <w:sz w:val="20"/>
        </w:rPr>
      </w:pPr>
      <w:r>
        <w:rPr>
          <w:rFonts w:ascii="Times New Roman" w:hAnsi="Times New Roman"/>
          <w:sz w:val="20"/>
          <w:u w:val="single"/>
        </w:rPr>
        <w:t>SECTION 3.20 Anti-Corruption Laws; Sanctions; 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Section 3.20(d), each Loan Party has, in its reasonable business judgment, implemented and maintains in effect policies and procedures designed to ensure compliance in all material respects by such Loan Party, its Subsidiaries and their respective directors, officers, employees and agents with Anti-Corruption Laws applicable to the Loan Parties and their Subsidiaries and applicable Sanctions, and such Loan Party, its Subsidiaries and their respective officers and employees and, to the knowledge of such Loan Party, its directors and agents, are in compliance with Anti-Corruption Laws applicable to the Loan Parties and their Subsidiaries and applicable Sanctions, in each case, in all material respects and are not engaged in any activity that would reasonably be expected to result in any Loan Party being designated as a Sanctioned Person. </w:t>
      </w:r>
    </w:p>
    <w:p>
      <w:pPr>
        <w:pStyle w:val="TextBody"/>
        <w:bidi w:val="0"/>
        <w:spacing w:before="240" w:after="0"/>
        <w:jc w:val="left"/>
        <w:rPr>
          <w:rFonts w:ascii="Times New Roman" w:hAnsi="Times New Roman"/>
          <w:sz w:val="20"/>
        </w:rPr>
      </w:pPr>
      <w:r>
        <w:rPr>
          <w:rFonts w:ascii="Times New Roman" w:hAnsi="Times New Roman"/>
          <w:sz w:val="20"/>
        </w:rPr>
        <w:t xml:space="preserve">(b) None of (i) any Loan Party, any Subsidiary or any of their respective directors or officers, or (ii) to the knowledge of any such Loan Party or Subsidiary, any employee or agent of such Loan Party or any Subsidiary that will act in any capacity in connection with or benefit from the credit facility established hereby, is a Sanctioned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Borrowing or Letter of Credit, use of proceeds, Transaction or other transaction contemplated by this Agreement or the other Loan Documents will violate Anti-Corruption Laws or applicable Sanctions. </w:t>
      </w:r>
    </w:p>
    <w:p>
      <w:pPr>
        <w:pStyle w:val="TextBody"/>
        <w:bidi w:val="0"/>
        <w:spacing w:before="240" w:after="0"/>
        <w:jc w:val="left"/>
        <w:rPr>
          <w:rFonts w:ascii="Times New Roman" w:hAnsi="Times New Roman"/>
          <w:sz w:val="20"/>
        </w:rPr>
      </w:pPr>
      <w:r>
        <w:rPr>
          <w:rFonts w:ascii="Times New Roman" w:hAnsi="Times New Roman"/>
          <w:sz w:val="20"/>
        </w:rPr>
        <w:t xml:space="preserve">(d) The representations and warranties provided for in Section 3.20(a) shall only apply to any Loan Party and any of its respective Subsidiaries insofar as the giving thereof and compliance therewith do not and will not result in a violation of or conflict with or liability under any Blocking Regulation to which such Loan Party or its respective Subsidiary is subject. </w:t>
      </w:r>
    </w:p>
    <w:p>
      <w:pPr>
        <w:pStyle w:val="TextBody"/>
        <w:bidi w:val="0"/>
        <w:spacing w:before="240" w:after="0"/>
        <w:jc w:val="left"/>
        <w:rPr>
          <w:rFonts w:ascii="Times New Roman" w:hAnsi="Times New Roman"/>
          <w:sz w:val="20"/>
        </w:rPr>
      </w:pPr>
      <w:r>
        <w:rPr>
          <w:rFonts w:ascii="Times New Roman" w:hAnsi="Times New Roman"/>
          <w:sz w:val="20"/>
        </w:rPr>
        <w:t xml:space="preserve">(e) The Loan Parties and each of their Subsidiaries are in compliance in all material respects with anti-money laundering rules and regulations, including the USA PATRIOT Act, in each case, to which the Loan Parties and their Subsidiaries are subject. To the knowledge of the Borrower Representative, the information included in the most recent Beneficial Ownership Certification delivered to the Administrative Agent is true and correct in all material respects. </w:t>
      </w:r>
    </w:p>
    <w:p>
      <w:pPr>
        <w:pStyle w:val="TextBody"/>
        <w:bidi w:val="0"/>
        <w:spacing w:before="240" w:after="0"/>
        <w:jc w:val="left"/>
        <w:rPr>
          <w:rFonts w:ascii="Times New Roman" w:hAnsi="Times New Roman"/>
          <w:sz w:val="20"/>
        </w:rPr>
      </w:pPr>
      <w:r>
        <w:rPr>
          <w:rFonts w:ascii="Times New Roman" w:hAnsi="Times New Roman"/>
          <w:sz w:val="20"/>
          <w:u w:val="single"/>
        </w:rPr>
        <w:t>SECTION 3.21 Affected Financial Institutions</w:t>
      </w:r>
      <w:r>
        <w:rPr>
          <w:rFonts w:ascii="Times New Roman" w:hAnsi="Times New Roman"/>
          <w:sz w:val="20"/>
        </w:rPr>
        <w:t xml:space="preserve">. No Loan Party is an </w:t>
      </w:r>
      <w:r>
        <w:rPr>
          <w:rFonts w:ascii="Times New Roman" w:hAnsi="Times New Roman"/>
          <w:strike/>
          <w:color w:val="FF0000"/>
          <w:sz w:val="20"/>
        </w:rPr>
        <w:t>EEA</w:t>
      </w:r>
      <w:r>
        <w:rPr>
          <w:rFonts w:ascii="Times New Roman" w:hAnsi="Times New Roman"/>
          <w:color w:val="0000FF"/>
          <w:sz w:val="20"/>
          <w:u w:val="single"/>
          <w:bdr w:val="double" w:sz="2" w:space="1" w:color="000000"/>
        </w:rPr>
        <w:t>Affected</w:t>
      </w:r>
      <w:r>
        <w:rPr>
          <w:rFonts w:ascii="Times New Roman" w:hAnsi="Times New Roman"/>
          <w:sz w:val="20"/>
        </w:rPr>
        <w:t xml:space="preserve"> Financial Institution. </w:t>
      </w:r>
    </w:p>
    <w:p>
      <w:pPr>
        <w:pStyle w:val="TextBody"/>
        <w:bidi w:val="0"/>
        <w:spacing w:before="240" w:after="0"/>
        <w:jc w:val="left"/>
        <w:rPr>
          <w:rFonts w:ascii="Times New Roman" w:hAnsi="Times New Roman"/>
          <w:sz w:val="20"/>
        </w:rPr>
      </w:pPr>
      <w:r>
        <w:rPr>
          <w:rFonts w:ascii="Times New Roman" w:hAnsi="Times New Roman"/>
          <w:sz w:val="20"/>
          <w:u w:val="single"/>
        </w:rPr>
        <w:t>SECTION 3.22 Plan Assets; Prohibited Transactions</w:t>
      </w:r>
      <w:r>
        <w:rPr>
          <w:rFonts w:ascii="Times New Roman" w:hAnsi="Times New Roman"/>
          <w:sz w:val="20"/>
        </w:rPr>
        <w:t xml:space="preserve">.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 </w:t>
      </w:r>
    </w:p>
    <w:p>
      <w:pPr>
        <w:pStyle w:val="TextBody"/>
        <w:bidi w:val="0"/>
        <w:spacing w:before="240" w:after="0"/>
        <w:jc w:val="left"/>
        <w:rPr>
          <w:rFonts w:ascii="Times New Roman" w:hAnsi="Times New Roman"/>
          <w:sz w:val="20"/>
        </w:rPr>
      </w:pPr>
      <w:r>
        <w:rPr>
          <w:rFonts w:ascii="Times New Roman" w:hAnsi="Times New Roman"/>
          <w:sz w:val="20"/>
          <w:u w:val="single"/>
        </w:rPr>
        <w:t>SECTION 3.23 Margin Regulations</w:t>
      </w:r>
      <w:r>
        <w:rPr>
          <w:rFonts w:ascii="Times New Roman" w:hAnsi="Times New Roman"/>
          <w:sz w:val="20"/>
        </w:rPr>
        <w:t xml:space="preserve">. No part of the proceeds of any Loans made on the Fourth Restatement Date will be used by the Borrowers in violation of any Regulations of the Board of Governors, including Regulations T, U and X. </w:t>
      </w:r>
    </w:p>
    <w:p>
      <w:pPr>
        <w:pStyle w:val="TextBody"/>
        <w:bidi w:val="0"/>
        <w:spacing w:before="240" w:after="0"/>
        <w:jc w:val="left"/>
        <w:rPr>
          <w:rFonts w:ascii="Times New Roman" w:hAnsi="Times New Roman"/>
          <w:sz w:val="20"/>
        </w:rPr>
      </w:pPr>
      <w:r>
        <w:rPr>
          <w:rFonts w:ascii="Times New Roman" w:hAnsi="Times New Roman"/>
          <w:sz w:val="20"/>
          <w:u w:val="single"/>
        </w:rPr>
        <w:t>SECTION 3.24 Outbound Investment Rules</w:t>
      </w:r>
      <w:r>
        <w:rPr>
          <w:rFonts w:ascii="Times New Roman" w:hAnsi="Times New Roman"/>
          <w:sz w:val="20"/>
        </w:rPr>
        <w:t xml:space="preserve">. This Agreement and the transactions contemplated hereunder will not result in a “covered transaction” as that term is used in the Outbound Investment Rules. No Borrower currently engages, or has any present intention to engage in the future, directly or indirectly, in any “prohibited transaction” as that term is used in the Outbound Investment Rules, and no Borrower currently engages, or has any present intention to engage in the future, directly or indirectly, in any activity that would cause the Administrative Agent or any Lender to be in violation of the Outbound Investment Rules or cause the Administrative Agent or any Lender to be legally prohibited by the Outbound Investment Rules from performing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representations and warranties set forth above in this Article III shall be deemed to be made by the Loan Parties on the Fourth Restatement Date, on the date of each Borrowing and each issuance, amendment, renewal or extension of any Letter of Credit and at any other time specified in any Loan Document or other document, certificate or instrument delivered in connection with any Loan Document. It is understood and agreed for purposes of this paragraph that, with respect to representations and warranties made or deemed made on the date of any Borrowing, any such representation or warranty which by its terms is made as of a specified date shall be required to be true and correct in all material respects (or, in the case of any representation or warranty already qualified or modified by materiality, in all respects) only as of such specified date. For the avoidance of doubt, this Article III shall be subject to the last paragraph in Article VII.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r>
        <w:rPr>
          <w:rFonts w:ascii="Times New Roman" w:hAnsi="Times New Roman"/>
          <w:sz w:val="20"/>
          <w:u w:val="single"/>
        </w:rPr>
        <w:t xml:space="preserve">Conditions </w:t>
      </w:r>
    </w:p>
    <w:p>
      <w:pPr>
        <w:pStyle w:val="TextBody"/>
        <w:bidi w:val="0"/>
        <w:spacing w:before="240" w:after="0"/>
        <w:jc w:val="left"/>
        <w:rPr>
          <w:rFonts w:ascii="Times New Roman" w:hAnsi="Times New Roman"/>
          <w:sz w:val="20"/>
        </w:rPr>
      </w:pPr>
      <w:r>
        <w:rPr>
          <w:rFonts w:ascii="Times New Roman" w:hAnsi="Times New Roman"/>
          <w:sz w:val="20"/>
          <w:u w:val="single"/>
        </w:rPr>
        <w:t>SECTION 4.01 Fourth Restatement Date</w:t>
      </w:r>
      <w:r>
        <w:rPr>
          <w:rFonts w:ascii="Times New Roman" w:hAnsi="Times New Roman"/>
          <w:sz w:val="20"/>
        </w:rPr>
        <w:t xml:space="preserve">. Subject to the Certain Funds Provisions, the amendment and restatement of the Existing Credit Agreement and the obligations of the Lenders to make Loans and of the Issuing Banks to issue Letters of Credit hereunder shall not become effective until the date on which each of the following conditions is satisfied (or waived in accordance with Section 9.02):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Credit Agreement and Loan Documents; Legal Opinions</w:t>
      </w:r>
      <w:r>
        <w:rPr>
          <w:rFonts w:ascii="Times New Roman" w:hAnsi="Times New Roman"/>
          <w:sz w:val="20"/>
        </w:rPr>
        <w:t xml:space="preserve">. The Administrative Agent (or its counsel) shall have received (i) from each party hereto either (A) a counterpart of this Agreement signed on behalf of such party or (B) written evidence reasonably satisfactory to the Administrative Agent (which may include facsimile or other electronic transmission of a signed signature page of this Agreement) that such party has signed a counterpart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this Agreement and (ii) duly executed copies of the Loan Documents, including any promissory notes requested by a Lender pursuant to Section 2.10 payable to each such requesting Lender and its registered assigns and written opinions of the Loan Parties’ counsel, addressed to the Administrative Agent, the Issuing Banks and the Lenders in form and substance reasonably satisfactory to the Administrative Agent, it being understood that such legal opinions shall be satisfactory to the Administrative Agent if in form and substance consistent with those delivered on the Third Restatement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Financial Statements and Projections</w:t>
      </w:r>
      <w:r>
        <w:rPr>
          <w:rFonts w:ascii="Times New Roman" w:hAnsi="Times New Roman"/>
          <w:sz w:val="20"/>
        </w:rPr>
        <w:t xml:space="preserve">. The Lenders shall have received (i) audited consolidated financial statements of Holdings and of Anixter, respectively, consisting of balance sheets as of the last date of each of the two fiscal years of each entity ended at least 90 days prior to the Fourth Restatement Date and income statements and statements of stockholders’ equity and cash flows for each of the three fiscal years of each entity ended at least 90 days prior to the Fourth Restatement Date and an unqualified audit report relating to such financial statements of Anixter, (ii) unaudited consolidated financial statements of Holdings and of Anixter, respectively, consisting of balance sheets and income statements and statements of cash flows of each entity as of the last day of and for the most recently completed fiscal quarter ended at least 45 days before the Fourth Restatement Date, or, in the case of the statement of cash flows, for the period from the beginning of the most recently completed fiscal year ended at least 90 days before the Fourth Restatement Date to the last day of the most recently completed fiscal quarter ended at least 45 days before the Fourth Restatement Date (all of which shall have been reviewed by the independent accountants for Holdings or Anixter (as applicable) as provided in AU 722), in each case other than with respect to any quarter-end that is also a fiscal year-end, and (iii) (a) a </w:t>
      </w:r>
      <w:r>
        <w:rPr>
          <w:rFonts w:ascii="Times New Roman" w:hAnsi="Times New Roman"/>
          <w:i/>
          <w:sz w:val="20"/>
        </w:rPr>
        <w:t>pro</w:t>
      </w:r>
      <w:r>
        <w:rPr>
          <w:rFonts w:ascii="Times New Roman" w:hAnsi="Times New Roman"/>
          <w:sz w:val="20"/>
        </w:rPr>
        <w:t> </w:t>
      </w:r>
      <w:r>
        <w:rPr>
          <w:rFonts w:ascii="Times New Roman" w:hAnsi="Times New Roman"/>
          <w:i/>
          <w:sz w:val="20"/>
        </w:rPr>
        <w:t xml:space="preserve">forma </w:t>
      </w:r>
      <w:r>
        <w:rPr>
          <w:rFonts w:ascii="Times New Roman" w:hAnsi="Times New Roman"/>
          <w:sz w:val="20"/>
        </w:rPr>
        <w:t xml:space="preserve">consolidated statement of income of Holdings and its subsidiaries for the most recently completed fiscal year ended at least 90 days before the Fourth Restatement Date, (b) (X) a </w:t>
      </w:r>
      <w:r>
        <w:rPr>
          <w:rFonts w:ascii="Times New Roman" w:hAnsi="Times New Roman"/>
          <w:i/>
          <w:sz w:val="20"/>
        </w:rPr>
        <w:t>pro</w:t>
      </w:r>
      <w:r>
        <w:rPr>
          <w:rFonts w:ascii="Times New Roman" w:hAnsi="Times New Roman"/>
          <w:sz w:val="20"/>
        </w:rPr>
        <w:t> </w:t>
      </w:r>
      <w:r>
        <w:rPr>
          <w:rFonts w:ascii="Times New Roman" w:hAnsi="Times New Roman"/>
          <w:i/>
          <w:sz w:val="20"/>
        </w:rPr>
        <w:t xml:space="preserve">forma </w:t>
      </w:r>
      <w:r>
        <w:rPr>
          <w:rFonts w:ascii="Times New Roman" w:hAnsi="Times New Roman"/>
          <w:sz w:val="20"/>
        </w:rPr>
        <w:t xml:space="preserve">consolidated balance sheet of Holdings and its subsidiaries as of the last day of the most recently completed fiscal quarter ended at least 45 days before the Fourth Restatement Date and (Y) a </w:t>
      </w:r>
      <w:r>
        <w:rPr>
          <w:rFonts w:ascii="Times New Roman" w:hAnsi="Times New Roman"/>
          <w:i/>
          <w:sz w:val="20"/>
        </w:rPr>
        <w:t xml:space="preserve">pro forma </w:t>
      </w:r>
      <w:r>
        <w:rPr>
          <w:rFonts w:ascii="Times New Roman" w:hAnsi="Times New Roman"/>
          <w:sz w:val="20"/>
        </w:rPr>
        <w:t xml:space="preserve">consolidated statement of income of Holdings and its subsidiaries for the period from the beginning of the most recently completed fiscal year ended at least 90 days before the Fourth Restatement Date to the last day of the most recently completed fiscal quarter ended at least 45 days before the Fourth Restatement Date, together with, in the case of this clause (Y), a corresponding statement for the corresponding period of the prior year and (c) a </w:t>
      </w:r>
      <w:r>
        <w:rPr>
          <w:rFonts w:ascii="Times New Roman" w:hAnsi="Times New Roman"/>
          <w:i/>
          <w:sz w:val="20"/>
        </w:rPr>
        <w:t>pro</w:t>
      </w:r>
      <w:r>
        <w:rPr>
          <w:rFonts w:ascii="Times New Roman" w:hAnsi="Times New Roman"/>
          <w:sz w:val="20"/>
        </w:rPr>
        <w:t> </w:t>
      </w:r>
      <w:r>
        <w:rPr>
          <w:rFonts w:ascii="Times New Roman" w:hAnsi="Times New Roman"/>
          <w:i/>
          <w:sz w:val="20"/>
        </w:rPr>
        <w:t xml:space="preserve">forma </w:t>
      </w:r>
      <w:r>
        <w:rPr>
          <w:rFonts w:ascii="Times New Roman" w:hAnsi="Times New Roman"/>
          <w:sz w:val="20"/>
        </w:rPr>
        <w:t xml:space="preserve">consolidated income statement for the 12-month period ended on the last day of the most recently completed fiscal quarter ended at least 45 days before the Fourth Restatement Date, or, if the most recently completed fiscal period is the end of a fiscal year, ended at least 90 days before the Fourth Restatement Date, in each case prepared after giving effect to the Transactions as if the Transactions had occurred as of such date (in the case of each such balance sheet) or at the beginning of such period (in the case of each such statement of income), which need not be prepared in compliance with Regulation S-X under the Securities Act or include adjustments for purchase accounting, in each case, to the extent customary for bank financings of this type. Holdings’ and Anixter’s, as applicable, filing of any (a) required audited financial statements with respect to Holdings and of Anixter, as applicable, on Form 10-K or (b) required unaudited financial statements with respect to Holdings or Anixter, as applicable, on Form 10-Q, in each case, will satisfy the requirements under clauses (i) or (ii), as applicable, of this Section 4.01(b).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Closing Certificates; Certified Certificate of Incorporation; Good Standing Certificates</w:t>
      </w:r>
      <w:r>
        <w:rPr>
          <w:rFonts w:ascii="Times New Roman" w:hAnsi="Times New Roman"/>
          <w:sz w:val="20"/>
        </w:rPr>
        <w:t xml:space="preserve">. The Administrative Agent shall have received (i) a certificate of each Loan Party, dated the Fourth Restatement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and any other officers of such Loan Party authorized to sign the Loan Documents to which it is a party, and (C) include as attachments thereto the certificate or articles of incorporation or organization of each Loan Party certified by the relevant authority of the jurisdiction of organization of such Loan Party (or officer of such Loan Party, as is customary in certain jurisdictions other than the United States) and a true and correct copy of its by-laws or operating, management or partnership agreement (or other equivalent organizational documents), and (ii) a long form good standing certificate (or equivalent, as is customary in certain jurisdictions other than the United States), to the extent applicable, for each Loan Party from its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Administrative Agent shall have received a certificate, signed by a Financial Officer of the Borrower Representative, stating that the conditions set forth in Sections 4.01(p), (q) and (r) have been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Fees</w:t>
      </w:r>
      <w:r>
        <w:rPr>
          <w:rFonts w:ascii="Times New Roman" w:hAnsi="Times New Roman"/>
          <w:sz w:val="20"/>
        </w:rPr>
        <w:t xml:space="preserve">. The Lenders and the Administrative Agent shall have received all fees required to be paid pursuant to the Commitment Letter and the Fee Letter, and all reasonable expenses for which invoices have been presented (including the reasonable fees and expenses of legal counsel and expenses relating to any field examination, collateral audit, or appraisal), at least two Business Days before the Fourth Restatement Date. All such amounts will be paid on the Fourth Restatement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Lien Searches</w:t>
      </w:r>
      <w:r>
        <w:rPr>
          <w:rFonts w:ascii="Times New Roman" w:hAnsi="Times New Roman"/>
          <w:sz w:val="20"/>
        </w:rPr>
        <w:t xml:space="preserve">. The Administrative Agent shall have received the results of a recent lien search in each of the jurisdictions where the Loan Parties are organized.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Funding Accounts</w:t>
      </w:r>
      <w:r>
        <w:rPr>
          <w:rFonts w:ascii="Times New Roman" w:hAnsi="Times New Roman"/>
          <w:sz w:val="20"/>
        </w:rPr>
        <w:t>. The Administrative Agent shall have received a notice from the Borrower Representative setting forth the deposit account(s) of the Borrowers (the “</w:t>
      </w:r>
      <w:r>
        <w:rPr>
          <w:rFonts w:ascii="Times New Roman" w:hAnsi="Times New Roman"/>
          <w:sz w:val="20"/>
          <w:u w:val="single"/>
        </w:rPr>
        <w:t>Funding Accounts</w:t>
      </w:r>
      <w:r>
        <w:rPr>
          <w:rFonts w:ascii="Times New Roman" w:hAnsi="Times New Roman"/>
          <w:sz w:val="20"/>
        </w:rPr>
        <w:t xml:space="preserve">”) to which the Lender is authorized by the Borrowers to transfer the proceeds of any Borrowings requested or authorized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Solvency</w:t>
      </w:r>
      <w:r>
        <w:rPr>
          <w:rFonts w:ascii="Times New Roman" w:hAnsi="Times New Roman"/>
          <w:sz w:val="20"/>
        </w:rPr>
        <w:t xml:space="preserve">. The Administrative Agent shall have received a solvency certificate from a Financial Officer of the Borrower Representative as described in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Filings, Registrations and Recordings</w:t>
      </w:r>
      <w:r>
        <w:rPr>
          <w:rFonts w:ascii="Times New Roman" w:hAnsi="Times New Roman"/>
          <w:sz w:val="20"/>
        </w:rPr>
        <w:t xml:space="preserve">. Each document (including any Uniform Commercial Code financing statement, PPSA financing statement or RDPRM recordation) required by the Collateral Documents or under law or reasonably requested by the Administrative Agent to be filed, registered or recorded in order to create in favor of the Administrative Agent, for the benefit of the Lender Parties or the Canadian Lender Parties, as the case may be, a perfected Lien on the Collateral described therein, prior and superior in right to any other Person (other than with respect to Liens expressly permitted by Section 6.02), shall be in proper form for filing, registration or recordation.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USA PATRIOT Act, Etc</w:t>
      </w:r>
      <w:r>
        <w:rPr>
          <w:rFonts w:ascii="Times New Roman" w:hAnsi="Times New Roman"/>
          <w:sz w:val="20"/>
        </w:rPr>
        <w:t>. (i) Each Lender shall have received all documentation and other information required by bank regulatory authorities under applicable “know your customer” and anti-money laundering rules and regulations, including the USA PATRIOT Act or the Proceeds of Crime Act, for each Loan Party, to the extent requested in a written notice to the Borrower Representative at least ten (10) Business Days prior to the Fourth Restatement Date, and (ii) to the extent any Borrower qualifies as a “legal entity customer” under the Beneficial Ownership Regulation, at least five (5) days prior to the Fourth Restatement Date, any Lender that has requested, in a written notice to the Borrower Representative at least ten (10) Business Days prior to the Fourth Restatement Date, a Beneficial Ownership Certification in relation to each Borrower shall have received such Beneficial Ownership Certification (</w:t>
      </w:r>
      <w:r>
        <w:rPr>
          <w:rFonts w:ascii="Times New Roman" w:hAnsi="Times New Roman"/>
          <w:sz w:val="20"/>
          <w:u w:val="single"/>
        </w:rPr>
        <w:t>provided</w:t>
      </w:r>
      <w:r>
        <w:rPr>
          <w:rFonts w:ascii="Times New Roman" w:hAnsi="Times New Roman"/>
          <w:sz w:val="20"/>
        </w:rPr>
        <w:t xml:space="preserve"> that, upon the execution and delivery by such Lender of its signature page to this Agreement, the condition set forth in this clause (ii) shall be deemed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Concurrent Transactions</w:t>
      </w:r>
      <w:r>
        <w:rPr>
          <w:rFonts w:ascii="Times New Roman" w:hAnsi="Times New Roman"/>
          <w:sz w:val="20"/>
        </w:rPr>
        <w:t xml:space="preserve">. The Anixter Acquisition shall have been consummated or will be consummated substantially concurrently with the Borrowings made on the Fourth Restatement Date.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Material Adverse Effect</w:t>
      </w:r>
      <w:r>
        <w:rPr>
          <w:rFonts w:ascii="Times New Roman" w:hAnsi="Times New Roman"/>
          <w:sz w:val="20"/>
        </w:rPr>
        <w:t xml:space="preserve">. Since the date of the most recent financial statements included in the Filed Company SEC Documents (as defined in the Anixter Acquisition Agreement), there shall not have occurred a Company Material Adverse Effect (as defined in the Anixter Acquisition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Representations and Warranties</w:t>
      </w:r>
      <w:r>
        <w:rPr>
          <w:rFonts w:ascii="Times New Roman" w:hAnsi="Times New Roman"/>
          <w:sz w:val="20"/>
        </w:rPr>
        <w:t xml:space="preserve">. (i) The Anixter Acquisition Agreement Representations shall be true and correct in all respects on the Fourth Restatement Date and (ii) the Specified Representations shall be true and correct in all material respects on the Fourth Restatement Date (except, solely for purposes of this clause (ii), for such representations already qualified by materiality or material adverse effect, which representations shall be true and correct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Borrowing Request</w:t>
      </w:r>
      <w:r>
        <w:rPr>
          <w:rFonts w:ascii="Times New Roman" w:hAnsi="Times New Roman"/>
          <w:sz w:val="20"/>
        </w:rPr>
        <w:t xml:space="preserve">. The Administrative Agent shall have received a Borrowing Request in accordance with Section 2.03.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Notes Refinancing</w:t>
      </w:r>
      <w:r>
        <w:rPr>
          <w:rFonts w:ascii="Times New Roman" w:hAnsi="Times New Roman"/>
          <w:sz w:val="20"/>
        </w:rPr>
        <w:t xml:space="preserve">. The Borrower Representative shall have deposited sufficient funds to satisfy and discharge and/or repay or redeem in full the 5.125% Senior Notes due 2021, issued pursuant to an indenture dated September 23, 2014 among Anixter, Inc., as the issuer, Anixter, as the guarantor and Wells Fargo Bank, National Association, as trustee, as amended and supplemented from time to time, with such trustee.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in this Section 4.01, to the extent any security interest in the Collateral or any deliverable related to the perfection of security interests in the Collateral, including any lien search, field examination, inventory appraisal and/or insurance certificate (other than any Collateral the security interest in which may be perfected by the filing of a UCC financing statement (or the equivalent financing statement under the PPSA), or, solely with respect to security interests in Collateral consisting of certificated stock of U.S.-organized entities, by the possession of stock certificates (or equivalent certificated equity interests)), is not or cannot be provided, delivered and/or perfected on the Fourth Restatement Date (1) without undue burden or expense or (2) after the Borrower Representative’s use of commercially reasonable efforts to do so, then the provision, delivery and/or perfection of such security interest(s) or deliverable shall not constitute a condition precedent to the availability of the Revolver Facility on the Fourth Restatement Date but shall be required to be delivered no later than 90 days after the Fourth Restatement Date (or such later date as may be reasonably agreed by the Administrative Agent). This paragraph, and the provisions herein, shall be referred to as the “</w:t>
      </w:r>
      <w:r>
        <w:rPr>
          <w:rFonts w:ascii="Times New Roman" w:hAnsi="Times New Roman"/>
          <w:sz w:val="20"/>
          <w:u w:val="single"/>
        </w:rPr>
        <w:t>Certain Funds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notify the Borrowers and the Lenders of the Fourth Restatement Date on the Fourth Restatement Date, and such notice shall be conclusive and binding. </w:t>
      </w:r>
    </w:p>
    <w:p>
      <w:pPr>
        <w:pStyle w:val="TextBody"/>
        <w:bidi w:val="0"/>
        <w:spacing w:before="240" w:after="0"/>
        <w:jc w:val="left"/>
        <w:rPr>
          <w:rFonts w:ascii="Times New Roman" w:hAnsi="Times New Roman"/>
          <w:sz w:val="20"/>
        </w:rPr>
      </w:pPr>
      <w:r>
        <w:rPr>
          <w:rFonts w:ascii="Times New Roman" w:hAnsi="Times New Roman"/>
          <w:sz w:val="20"/>
          <w:u w:val="single"/>
        </w:rPr>
        <w:t>SECTION 4.02</w:t>
      </w:r>
      <w:r>
        <w:rPr>
          <w:rFonts w:ascii="Times New Roman" w:hAnsi="Times New Roman"/>
          <w:sz w:val="20"/>
        </w:rPr>
        <w:t xml:space="preserve"> </w:t>
      </w:r>
      <w:r>
        <w:rPr>
          <w:rFonts w:ascii="Times New Roman" w:hAnsi="Times New Roman"/>
          <w:sz w:val="20"/>
          <w:u w:val="single"/>
        </w:rPr>
        <w:t>Each Credit Event</w:t>
      </w:r>
      <w:r>
        <w:rPr>
          <w:rFonts w:ascii="Times New Roman" w:hAnsi="Times New Roman"/>
          <w:sz w:val="20"/>
        </w:rPr>
        <w:t xml:space="preserve">. The obligation of each Lender to make a Loan on the occasion of any Borrowing, and of each Issuing Bank to issue, amend, renew or extend any Letter of Credit (other than (i) any Loan made or Letter of Credit issued, amended, renewed or extended on the Fourth Restatement Date and (ii) any Loan made prior to July 15, 2025, the proceeds of which are used solely to repay or redeem the Preferred Equity and pay fees and expenses in connection therewith), is subject to the satisfaction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and warranties of the Loan Parties set forth in this Agreement shall be true and correct in all material respects (except that such materiality qualifier shall not be applicable to any representations and warranties that already are qualified or modified by materiality in the text thereof)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(b) At the time of and immediately after giving effect to such Borrowing or the issuance, amendment, renewal or extension of such Letter of Credit, as applicable,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(c) After giving effect to any Borrowing or the issuance, amendment, renewal or extension of any Letter of Credit (i) U.S. Availability shall not be less than zero, (ii) Canadian Availability shall not be less than zero, and (iii) Aggregate Availability shall not be less than zero. </w:t>
      </w:r>
    </w:p>
    <w:p>
      <w:pPr>
        <w:pStyle w:val="TextBody"/>
        <w:bidi w:val="0"/>
        <w:spacing w:before="240" w:after="0"/>
        <w:jc w:val="left"/>
        <w:rPr>
          <w:rFonts w:ascii="Times New Roman" w:hAnsi="Times New Roman"/>
          <w:sz w:val="20"/>
        </w:rPr>
      </w:pPr>
      <w:r>
        <w:rPr>
          <w:rFonts w:ascii="Times New Roman" w:hAnsi="Times New Roman"/>
          <w:sz w:val="20"/>
        </w:rPr>
        <w:t xml:space="preserve">Each Borrowing and each issuance, amendment, renewal or extension of a Letter of Credit shall be deemed to constitute a representation and warranty by the Borrowers on the date thereof as to the matters specified in paragraphs (a), (b) and (c) of this Section. For the avoidance of doubt, while the conditions to each Credit Event shall not apply to a Preferred Equity Borrowing, if after giving effect to such Borrowing, the condition set forth in clause (c) is not met, the Borrowers shall immediately prepay (or cash collateralize in the case of LC Exposure) Revolving Loans, LC Exposure and/or Swingline Loans as required by Section 2.11(b).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r>
        <w:rPr>
          <w:rFonts w:ascii="Times New Roman" w:hAnsi="Times New Roman"/>
          <w:sz w:val="20"/>
          <w:u w:val="single"/>
        </w:rPr>
        <w:t>Affirmative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all the Revolving Commitments have expired or been terminated and the principal of and interest on each Loan and all fees payable hereunder shall have been paid in full and all Letters of Credit shall have expired or terminated (or have been cash collateralized in accordance with Section 2.06(k)) and all LC Disbursements shall have been reimbursed, Holdings and each Borrower covenants and agrees, and Holdings shall cause each other Loan Party to covenant and agree, in each case (subject to Section 12.01) jointly and severally with all of the other Loan Parties, with the Lender Parties that: </w:t>
      </w:r>
    </w:p>
    <w:p>
      <w:pPr>
        <w:pStyle w:val="TextBody"/>
        <w:bidi w:val="0"/>
        <w:spacing w:before="120" w:after="0"/>
        <w:jc w:val="left"/>
        <w:rPr>
          <w:rFonts w:ascii="Times New Roman" w:hAnsi="Times New Roman"/>
          <w:sz w:val="20"/>
        </w:rPr>
      </w:pPr>
      <w:r>
        <w:rPr>
          <w:rFonts w:ascii="Times New Roman" w:hAnsi="Times New Roman"/>
          <w:sz w:val="20"/>
          <w:u w:val="single"/>
        </w:rPr>
        <w:t>SECTION 5.01 Financial Statements; Canadian Borrowing Base; U.S. Borrowing Base and Other Information</w:t>
      </w:r>
      <w:r>
        <w:rPr>
          <w:rFonts w:ascii="Times New Roman" w:hAnsi="Times New Roman"/>
          <w:sz w:val="20"/>
        </w:rPr>
        <w:t xml:space="preserve">. The Borrowers will furnish to the Administrative Agent (for distribution to each Lender): </w:t>
      </w:r>
    </w:p>
    <w:p>
      <w:pPr>
        <w:pStyle w:val="TextBody"/>
        <w:bidi w:val="0"/>
        <w:spacing w:before="120" w:after="0"/>
        <w:jc w:val="left"/>
        <w:rPr>
          <w:rFonts w:ascii="Times New Roman" w:hAnsi="Times New Roman"/>
          <w:sz w:val="20"/>
        </w:rPr>
      </w:pPr>
      <w:r>
        <w:rPr>
          <w:rFonts w:ascii="Times New Roman" w:hAnsi="Times New Roman"/>
          <w:sz w:val="20"/>
        </w:rPr>
        <w:t xml:space="preserve">(a) within 90 days after the end of each fiscal year of Holdings, (i) the audited consolidated balance sheet of Holdings and its Subsidiaries and related statements of operations, stockholders’ equity and cash flows as of the end of and for such year (in the same format as the financial statements historically filed with the Securities and Exchange Commission),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other than any such qualification, commentary or exception resulting solely from any upcoming maturity date of any of the Indebtedness occurring within one year from the end of the fiscal year to which such audit applies or with respect to any prospective, potential or actual breach of a financial covenant set forth in any agreement governing Indebtedness) to the effect that such consolidated financial statements present fairly in all material respects the financial condition and results of operations of Holdings and its consolidated Subsidiaries on a consolidated basis in accordance with GAAP consistently applied, accompanied by any management letter prepared by said accountants, and (ii) the unaudited consolidating balance sheets of Holdings and its Subsidiaries and related consolidating statements of operations as of the end of and for such year (which unaudited consolidating financial statements shall be in a format reasonably satisfactory to the Administrative Agent, it being understood that such financial statements may be delivered to the Administrative Agent in electronic format), all certified by one of the Financial Officers of the Borrower Representative as presenting fairly in all material respects the financial condition and results of operations of Holdings and its Subsidiaries on a consolidating basis; </w:t>
      </w:r>
    </w:p>
    <w:p>
      <w:pPr>
        <w:pStyle w:val="TextBody"/>
        <w:bidi w:val="0"/>
        <w:spacing w:before="240" w:after="0"/>
        <w:jc w:val="left"/>
        <w:rPr>
          <w:rFonts w:ascii="Times New Roman" w:hAnsi="Times New Roman"/>
          <w:sz w:val="20"/>
        </w:rPr>
      </w:pPr>
      <w:r>
        <w:rPr>
          <w:rFonts w:ascii="Times New Roman" w:hAnsi="Times New Roman"/>
          <w:sz w:val="20"/>
        </w:rPr>
        <w:t xml:space="preserve">(b) within 45 days after the end of each fiscal quarter of Holdings (other than the last fiscal quarter of a fiscal year), its consolidated balance sheet and related statements of operations, stockholders’ equity and cash flows as of the end of and for such fiscal quarter and the then elapsed portion of the fiscal year (in the same format as the financial statements historically filed with the Securities and Exchange Commission), setting forth in each case in comparative form the figures for the corresponding period or periods of (or, in the case of the balance sheet, as of the end of) the previous fiscal year and showing all adjustments necessary to eliminate the results of all Unrestricted Subsidiaries, all certified by one of the Financial Officers of the Borrower Representative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(c) during any Monthly Financial Statement Trigger Period, within 30 days after the end of each fiscal month of Holdings (other than months which are the last month of a fiscal quarter), its consolidated balance sheet and related statements of operations, cash flows, and other reports, as of the end of and for such fiscal month and the then elapsed portion of the fiscal year, setting forth in each case in comparative form the figures for the corresponding period or periods of (or, in the case of the balance sheet, as of the end of) the previous fiscal year and showing all adjustments necessary to eliminate the results of all Unrestricted Subsidiaries,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concurrently with any delivery of financial statements under clause (a), (b) or (c) above, a certificate of a Financial Officer of the Borrower Representative in substantially the form of </w:t>
      </w:r>
      <w:r>
        <w:rPr>
          <w:rFonts w:ascii="Times New Roman" w:hAnsi="Times New Roman"/>
          <w:sz w:val="20"/>
          <w:u w:val="single"/>
        </w:rPr>
        <w:t>Exhibit C</w:t>
      </w:r>
      <w:r>
        <w:rPr>
          <w:rFonts w:ascii="Times New Roman" w:hAnsi="Times New Roman"/>
          <w:sz w:val="20"/>
        </w:rPr>
        <w:t xml:space="preserve"> (i) certifying, in the case of the financial statements delivered under clause (b) or (c),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in the case of certificates provided concurrently with the delivery of financial statements under clauses (a) and (b) above, setting forth reasonably detailed calculations of the Fixed Charge Coverage Ratio (x) demonstrating compliance with Section 6.12 if a Fixed Charge Coverage Trigger Period is then in effect or (y) for informational purposes only if a Fixed Charge Coverage Trigger Period is not then in effect, (iv) in the case of the financial statements delivered under clause (b), setting forth a reasonably detailed calculation of the Secured Leverage Ratio, (v) stating whether any change in GAAP or in the application thereof has occurred since the date of the audited financial statements referred to in Section 4.01(b)(i) and, if any such change has occurred, specifying the effect of such change on the financial statements accompanying such certificate, and (vi) certifying, in the case of the certificate delivered concurrently with the financial statements under clause (a) above, a list of names of all Excluded Subsidiaries and Unrestricted Subsidiaries at such time and that each Subsidiary set forth on such list qualifies as an Excluded Subsidiary or Unrestricted Subsidiary, as the case may be; </w:t>
      </w:r>
    </w:p>
    <w:p>
      <w:pPr>
        <w:pStyle w:val="TextBody"/>
        <w:bidi w:val="0"/>
        <w:spacing w:before="240" w:after="0"/>
        <w:jc w:val="left"/>
        <w:rPr>
          <w:rFonts w:ascii="Times New Roman" w:hAnsi="Times New Roman"/>
          <w:sz w:val="20"/>
        </w:rPr>
      </w:pPr>
      <w:r>
        <w:rPr>
          <w:rFonts w:ascii="Times New Roman" w:hAnsi="Times New Roman"/>
          <w:sz w:val="20"/>
        </w:rPr>
        <w:t>(e) as soon as available, but in any event not more than 45 days after the end of each fiscal year of Holdings, a copy of the plan and forecast (including a projected consolidated and consolidating balance sheet, income statement and statement of cash flows) of Holdings and its Restricted Subsidiaries for each quarter of the upcoming fiscal year (the “</w:t>
      </w:r>
      <w:r>
        <w:rPr>
          <w:rFonts w:ascii="Times New Roman" w:hAnsi="Times New Roman"/>
          <w:sz w:val="20"/>
          <w:u w:val="single"/>
        </w:rPr>
        <w:t>Projections</w:t>
      </w:r>
      <w:r>
        <w:rPr>
          <w:rFonts w:ascii="Times New Roman" w:hAnsi="Times New Roman"/>
          <w:sz w:val="20"/>
        </w:rPr>
        <w:t xml:space="preserve">”) in form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as soon as available but in any event within 20 days after the end of each calendar quarter (or, (i) within 20 days after the end of each calendar month during any Monthly Reporting Trigger Period or (ii) by Wednesday of each week, with respect to the most recently ended calendar week during any Weekly Reporting Trigger Period), and at such other times as may be requested by the Administrative Agent, as of the period then ended, Borrowing Base Certificates which calculate the Aggregate Borrowing Base, the U.S. Borrowing Base, and the Canadian Borrowing Base, and supporting information in connection therewith, together with any additional reports with respect to the Canadian Borrowing Base and the U.S. Borrowing Base as the Administrative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(g) as soon as available but in any event within 20 days after the end of each calendar quarter (or, within 20 days after the end of each calendar month during any Monthly Reporting Trigger Period), and at such other times as may be reasonably requested by the Administrative Agent in its Permitted Discretion, as of the period then ended, all delivered electronically in a text formatted file acceptable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a summary aging of the Canadian Borrowers’ Accounts, including all invoices aged by invoice date or due date (with an explanation of the terms offered) prepared in a manner reasonably acceptable to the Administrative Agent, together with a detailed aging specifying the name, address, and balance due for each Account Debtor, if requested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a schedule detailing the Borrowers’ Inventory, in form satisfactory to the Administrative Agent by location (showing Inventory in transit, any Inventory located with a third party under any consignment, bailee arrangement, or warehouse agreement) which Inventory shall be valued at the lower of cost (determined on a first-in, first-out basis) or market and adjusted for Reserves as the Administrative Agent has previously indicated to the Borrower Representative are deemed by the Administrative Agent to be appropriate, and, if requested by the Administrative Agent, such schedule to also provide detailing of the Borrowers’ Inventory by class (raw material, work-in-process and finished goods), by product type, and by volume on hand and include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 </w:t>
      </w:r>
    </w:p>
    <w:p>
      <w:pPr>
        <w:pStyle w:val="TextBody"/>
        <w:bidi w:val="0"/>
        <w:spacing w:before="120" w:after="0"/>
        <w:jc w:val="left"/>
        <w:rPr>
          <w:rFonts w:ascii="Times New Roman" w:hAnsi="Times New Roman"/>
          <w:sz w:val="20"/>
        </w:rPr>
      </w:pPr>
      <w:r>
        <w:rPr>
          <w:rFonts w:ascii="Times New Roman" w:hAnsi="Times New Roman"/>
          <w:sz w:val="20"/>
        </w:rPr>
        <w:t xml:space="preserve">(iii) a worksheet of calculations prepared by the Borrowers to determine Eligible Accounts and Eligible Inventory, such worksheets detailing the Accounts and Inventory excluded from Eligible Accounts and Eligible Inventory and the reason for such exclusion;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as soon as available but in any event within 30 days after the end of each calendar quarter (or, within 20 days after the end of each calendar month during any Monthly Reporting Trigger Period), and at such other times as may be requested by the Administrative Agent in its Permitted Discretion, as of the period then ended, all delivered electronically in a text formatted file acceptable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a summary aging of the U.S. Borrowers’ Accounts, including all invoices aged by invoice date or due date (with an explanation of the terms offered) prepared in a manner reasonably acceptable to the Administrative Agent, together with a detailed aging specifying the name, address, and balance due for each Account Debtor, if requested by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(ii) a reconciliation of the Borrowers’ Accounts and Inventory between the amounts shown in the Borrowers’ general ledger and financial statements and the reports delivered pursuant to clauses (i) and (ii) above; and </w:t>
      </w:r>
    </w:p>
    <w:p>
      <w:pPr>
        <w:pStyle w:val="TextBody"/>
        <w:bidi w:val="0"/>
        <w:spacing w:before="120" w:after="0"/>
        <w:jc w:val="left"/>
        <w:rPr>
          <w:rFonts w:ascii="Times New Roman" w:hAnsi="Times New Roman"/>
          <w:sz w:val="20"/>
        </w:rPr>
      </w:pPr>
      <w:r>
        <w:rPr>
          <w:rFonts w:ascii="Times New Roman" w:hAnsi="Times New Roman"/>
          <w:sz w:val="20"/>
        </w:rPr>
        <w:t xml:space="preserve">(iii) a reconciliation of the loan balance per the Borrowers’ general ledger to the loan balance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as soon as available but in any event within 20 days after the end of each calendar quarter (or, within 20 days after the end of each calendar month during any Monthly Reporting Trigger Period), and at such other times as may be requested by the Administrative Agent, a summary of the Borrowers’ accounts payable, delivered electronically in a text formatted file acceptable to the Administrative Agent in its Permitted Discretion; </w:t>
      </w:r>
    </w:p>
    <w:p>
      <w:pPr>
        <w:pStyle w:val="TextBody"/>
        <w:bidi w:val="0"/>
        <w:spacing w:before="240" w:after="0"/>
        <w:jc w:val="left"/>
        <w:rPr>
          <w:rFonts w:ascii="Times New Roman" w:hAnsi="Times New Roman"/>
          <w:sz w:val="20"/>
        </w:rPr>
      </w:pPr>
      <w:r>
        <w:rPr>
          <w:rFonts w:ascii="Times New Roman" w:hAnsi="Times New Roman"/>
          <w:sz w:val="20"/>
        </w:rPr>
        <w:t xml:space="preserve">(j) promptly upon the Administrative Agent’s request during a Weekly Reporting Trigger Period, the Borrowers’ sales journal, cash receipts journal (identifying trade and non-trade cash receipts) and debt memo/credit journal; </w:t>
      </w:r>
    </w:p>
    <w:p>
      <w:pPr>
        <w:pStyle w:val="TextBody"/>
        <w:bidi w:val="0"/>
        <w:spacing w:before="240" w:after="0"/>
        <w:jc w:val="left"/>
        <w:rPr>
          <w:rFonts w:ascii="Times New Roman" w:hAnsi="Times New Roman"/>
          <w:sz w:val="20"/>
        </w:rPr>
      </w:pPr>
      <w:r>
        <w:rPr>
          <w:rFonts w:ascii="Times New Roman" w:hAnsi="Times New Roman"/>
          <w:sz w:val="20"/>
        </w:rPr>
        <w:t xml:space="preserve">(k) within 20 days after each June 30, an updated list of customers from certain divisions of the Borrowers as requested by the Administrative Agent in form and with such details that are satisfactory to the Administrative Agent, which shall be certified as true and correct in all material respects by a senior officer of the Borrower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(l) [reserved]; </w:t>
      </w:r>
    </w:p>
    <w:p>
      <w:pPr>
        <w:pStyle w:val="TextBody"/>
        <w:bidi w:val="0"/>
        <w:spacing w:before="240" w:after="0"/>
        <w:jc w:val="left"/>
        <w:rPr>
          <w:rFonts w:ascii="Times New Roman" w:hAnsi="Times New Roman"/>
          <w:sz w:val="20"/>
        </w:rPr>
      </w:pPr>
      <w:r>
        <w:rPr>
          <w:rFonts w:ascii="Times New Roman" w:hAnsi="Times New Roman"/>
          <w:sz w:val="20"/>
        </w:rPr>
        <w:t xml:space="preserve">(m) promptly upon the Administrative Agent’s request but no more frequently than once each calendar quarter, a list of all Swap Agreements and amendments to Swap Agreements, in each case, having a term of 60 or more days, entered into by any Loan Party, which list shall include the estimated exposure of the Loan Parties under each such Swap Agreement and the counterparty party thereto; </w:t>
      </w:r>
    </w:p>
    <w:p>
      <w:pPr>
        <w:pStyle w:val="TextBody"/>
        <w:bidi w:val="0"/>
        <w:spacing w:before="240" w:after="0"/>
        <w:jc w:val="left"/>
        <w:rPr>
          <w:rFonts w:ascii="Times New Roman" w:hAnsi="Times New Roman"/>
          <w:sz w:val="20"/>
        </w:rPr>
      </w:pPr>
      <w:r>
        <w:rPr>
          <w:rFonts w:ascii="Times New Roman" w:hAnsi="Times New Roman"/>
          <w:sz w:val="20"/>
        </w:rPr>
        <w:t xml:space="preserve">(n) promptly after the same become publicly available, copies of all periodic and other reports, proxy statements and other materials filed by any Loan Party with the Securities and Exchange Commission, the Ontario Securities Commission or any Governmental Authority succeeding to any or all of the functions of said Commissions, or with any national securities exchange, or distributed by any Loan Party to its shareholders generally,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(o) promptly after the request by any Lender, all documentation and other information that such Lender reasonably requests in order to comply with its ongoing obligations under (i) applicable “know your customer” and anti-money laundering rules and regulations, including the USA PATRIOT Act and the AML Legislation, and (ii) the Beneficial Ownership Regulation; and </w:t>
      </w:r>
    </w:p>
    <w:p>
      <w:pPr>
        <w:pStyle w:val="TextBody"/>
        <w:bidi w:val="0"/>
        <w:spacing w:before="240" w:after="0"/>
        <w:jc w:val="left"/>
        <w:rPr>
          <w:rFonts w:ascii="Times New Roman" w:hAnsi="Times New Roman"/>
          <w:sz w:val="20"/>
        </w:rPr>
      </w:pPr>
      <w:r>
        <w:rPr>
          <w:rFonts w:ascii="Times New Roman" w:hAnsi="Times New Roman"/>
          <w:sz w:val="20"/>
        </w:rPr>
        <w:t xml:space="preserve">(p) promptly following any request therefor, such other information regarding the operations, business affairs and financial condition of any Loan Party or any Restricted Subsidiary, or compliance with the terms of this Agreement, as the Administrative Agent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5.02 Notices of Material Events</w:t>
      </w:r>
      <w:r>
        <w:rPr>
          <w:rFonts w:ascii="Times New Roman" w:hAnsi="Times New Roman"/>
          <w:sz w:val="20"/>
        </w:rPr>
        <w:t xml:space="preserve">. The Borrowers will furnish to the Administrative Agent (for distribution to each Lender) prompt (but in any event within any time period specified below) written notice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occurrence of any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 receipt of any notice of any governmental investigation or any litigation or proceeding commenced or threatened against any Loan Party that (i) seeks damages in excess of the Threshold Amount, (ii) is asserted or instituted against any Plan or any Canadian Pension Plan, its fiduciaries or its assets an amount in excess of the Threshold Amount, (iii) alleges criminal misconduct by any Loan Party, (iv) alleges the violation of any law regarding, or seeks remedies in connection with, any Environmental Laws to the extent such results in, or could reasonably be expected to result in, damages or liabilities in excess of the Threshold Amount, or (v) contests any tax, fee, assessment, or other governmental charge in excess of the Threshold Amount; </w:t>
      </w:r>
    </w:p>
    <w:p>
      <w:pPr>
        <w:pStyle w:val="TextBody"/>
        <w:bidi w:val="0"/>
        <w:spacing w:before="240" w:after="0"/>
        <w:jc w:val="left"/>
        <w:rPr>
          <w:rFonts w:ascii="Times New Roman" w:hAnsi="Times New Roman"/>
          <w:sz w:val="20"/>
        </w:rPr>
      </w:pPr>
      <w:r>
        <w:rPr>
          <w:rFonts w:ascii="Times New Roman" w:hAnsi="Times New Roman"/>
          <w:sz w:val="20"/>
        </w:rPr>
        <w:t xml:space="preserve">(c) any Lien (other than Permitted Encumbrances and Liens in favor of the Administrative Agent (for the benefit of the Lender Parties or the Canadian Lender Parties, as the case may be)) or claim made or asserted in writing against ABL Priority Collateral having a value in excess of the Threshold Amount, upon any Loan Party’s knowledge of such Lien or claim; </w:t>
      </w:r>
    </w:p>
    <w:p>
      <w:pPr>
        <w:pStyle w:val="TextBody"/>
        <w:bidi w:val="0"/>
        <w:spacing w:before="240" w:after="0"/>
        <w:jc w:val="left"/>
        <w:rPr>
          <w:rFonts w:ascii="Times New Roman" w:hAnsi="Times New Roman"/>
          <w:sz w:val="20"/>
        </w:rPr>
      </w:pPr>
      <w:r>
        <w:rPr>
          <w:rFonts w:ascii="Times New Roman" w:hAnsi="Times New Roman"/>
          <w:sz w:val="20"/>
        </w:rPr>
        <w:t xml:space="preserve">(d) any loss, damage, or destruction to the ABL Priority Collateral in an amount in excess of the Threshold Amount, whether or not covered by insurance; </w:t>
      </w:r>
    </w:p>
    <w:p>
      <w:pPr>
        <w:pStyle w:val="TextBody"/>
        <w:bidi w:val="0"/>
        <w:spacing w:before="240" w:after="0"/>
        <w:jc w:val="left"/>
        <w:rPr>
          <w:rFonts w:ascii="Times New Roman" w:hAnsi="Times New Roman"/>
          <w:sz w:val="20"/>
        </w:rPr>
      </w:pPr>
      <w:r>
        <w:rPr>
          <w:rFonts w:ascii="Times New Roman" w:hAnsi="Times New Roman"/>
          <w:sz w:val="20"/>
        </w:rPr>
        <w:t xml:space="preserve">(e) any and all default notices in writing received with respect to any leased location or public warehouse where ABL Priority Collateral having a value in excess of the Threshold Amount is located; </w:t>
      </w:r>
    </w:p>
    <w:p>
      <w:pPr>
        <w:pStyle w:val="TextBody"/>
        <w:bidi w:val="0"/>
        <w:spacing w:before="240" w:after="0"/>
        <w:jc w:val="left"/>
        <w:rPr>
          <w:rFonts w:ascii="Times New Roman" w:hAnsi="Times New Roman"/>
          <w:sz w:val="20"/>
        </w:rPr>
      </w:pPr>
      <w:r>
        <w:rPr>
          <w:rFonts w:ascii="Times New Roman" w:hAnsi="Times New Roman"/>
          <w:sz w:val="20"/>
        </w:rPr>
        <w:t xml:space="preserve">(f) the occurrence of any ERISA Event or Pension Event that, alone or together with any other ERISA Events and Pension Events that have occurred, could reasonably be expected to result in liability of the Borrowers and their Subsidiaries in an aggregate amount exceeding the Threshold Amount; and </w:t>
      </w:r>
    </w:p>
    <w:p>
      <w:pPr>
        <w:pStyle w:val="TextBody"/>
        <w:bidi w:val="0"/>
        <w:spacing w:before="240" w:after="0"/>
        <w:jc w:val="left"/>
        <w:rPr>
          <w:rFonts w:ascii="Times New Roman" w:hAnsi="Times New Roman"/>
          <w:sz w:val="20"/>
        </w:rPr>
      </w:pPr>
      <w:r>
        <w:rPr>
          <w:rFonts w:ascii="Times New Roman" w:hAnsi="Times New Roman"/>
          <w:sz w:val="20"/>
        </w:rPr>
        <w:t xml:space="preserve">(g) any other development that results in,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Information required to be delivered pursuant to Section 5.01 or Section 5.02 (to the extent any such information is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a Borrower’s behalf on an Internet or intranet website, if any, to which each Lender and the Administrative Agent have access (whether a commercial, third-party website or whether made available by the Administrative Agent); </w:t>
      </w:r>
      <w:r>
        <w:rPr>
          <w:rFonts w:ascii="Times New Roman" w:hAnsi="Times New Roman"/>
          <w:sz w:val="20"/>
          <w:u w:val="single"/>
        </w:rPr>
        <w:t>provided</w:t>
      </w:r>
      <w:r>
        <w:rPr>
          <w:rFonts w:ascii="Times New Roman" w:hAnsi="Times New Roman"/>
          <w:sz w:val="20"/>
        </w:rPr>
        <w:t xml:space="preserve">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fax or through Electronic Systems) of the posting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to it and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The Loan Parties hereby acknowledge that (a) the Administrative Agent will make available to the Lenders and the Issuing Banks materials and/or information provided by or on behalf of the Loan Parties hereunder (collectively, “</w:t>
      </w:r>
      <w:r>
        <w:rPr>
          <w:rFonts w:ascii="Times New Roman" w:hAnsi="Times New Roman"/>
          <w:sz w:val="20"/>
          <w:u w:val="single"/>
        </w:rPr>
        <w:t>Loan Party Materials</w:t>
      </w:r>
      <w:r>
        <w:rPr>
          <w:rFonts w:ascii="Times New Roman" w:hAnsi="Times New Roman"/>
          <w:sz w:val="20"/>
        </w:rPr>
        <w:t>”) by posting the Loan Party Materials on the Electronic System and (b) certain of the Lenders (each, a “</w:t>
      </w:r>
      <w:r>
        <w:rPr>
          <w:rFonts w:ascii="Times New Roman" w:hAnsi="Times New Roman"/>
          <w:sz w:val="20"/>
          <w:u w:val="single"/>
        </w:rPr>
        <w:t>Public Lender</w:t>
      </w:r>
      <w:r>
        <w:rPr>
          <w:rFonts w:ascii="Times New Roman" w:hAnsi="Times New Roman"/>
          <w:sz w:val="20"/>
        </w:rPr>
        <w:t xml:space="preserve">”) may have personnel who do not wish to receive material non-public information with respect to the Loan Parties or their Affiliates, or the respective securities of any of the foregoing, and who may be engaged in investment and other market-related activities with respect to such Persons’ securities. The Loan Parties hereby agree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that they will use commercially reasonable efforts to identify that portion of the Loan Party Materials that may be distributed to the Public Lenders and that (w) all such Loan Party Materials shall be clearly and conspicuously marked “PUBLIC” which, at a minimum, shall mean that the word “PUBLIC” shall appear prominently on the first page thereof; (x) by marking the Loan Party Materials “PUBLIC,” the Borrower Representative shall be deemed to have authorized the Administrative Agent, the Issuing Banks and the Lenders to treat such Loan Party Materials as not containing any material non-public information (although it may be sensitive and proprietary) with respect to the Loan Parties for purposes of United States federal and state securities laws (</w:t>
      </w:r>
      <w:r>
        <w:rPr>
          <w:rFonts w:ascii="Times New Roman" w:hAnsi="Times New Roman"/>
          <w:sz w:val="20"/>
          <w:u w:val="single"/>
        </w:rPr>
        <w:t>provided</w:t>
      </w:r>
      <w:r>
        <w:rPr>
          <w:rFonts w:ascii="Times New Roman" w:hAnsi="Times New Roman"/>
          <w:sz w:val="20"/>
        </w:rPr>
        <w:t xml:space="preserve">, however, that to the extent such Loan Party Materials constitute “Information” (as defined in Section 9.12), they shall be treated as set forth in Section 9.12); (y) all Loan Party Materials marked “PUBLIC” are permitted to be made available through a portion of the Electronic System designated “Public Investor”; and (z) the Administrative Agent shall be entitled to treat any Loan Party Materials that are not marked “PUBLIC” as being suitable only for posting on a portion of the Electronic System not designated “Public Investor.” </w:t>
      </w:r>
    </w:p>
    <w:p>
      <w:pPr>
        <w:pStyle w:val="TextBody"/>
        <w:bidi w:val="0"/>
        <w:spacing w:before="240" w:after="0"/>
        <w:jc w:val="left"/>
        <w:rPr>
          <w:rFonts w:ascii="Times New Roman" w:hAnsi="Times New Roman"/>
          <w:sz w:val="20"/>
        </w:rPr>
      </w:pPr>
      <w:r>
        <w:rPr>
          <w:rFonts w:ascii="Times New Roman" w:hAnsi="Times New Roman"/>
          <w:sz w:val="20"/>
          <w:u w:val="single"/>
        </w:rPr>
        <w:t>SECTION 5.03 Existence; Conduct of Business</w:t>
      </w:r>
      <w:r>
        <w:rPr>
          <w:rFonts w:ascii="Times New Roman" w:hAnsi="Times New Roman"/>
          <w:sz w:val="20"/>
        </w:rPr>
        <w:t xml:space="preserve">. Each Loan Party will, and will cause each Subsidiary (other than an Excluded Subsidiary or Unrestricted Subsidiary) to, (a) (i) do or cause to be done all things necessary to preserve, renew and keep in full force and effect its legal existence and to maintain December 31 as the last day of its fiscal year (or if such Subsidiary has a last day of a fiscal year other than December 31 as of the date of its acquisition, such last day of its fiscal year applicable to such Subsidiary as of the date of such acquisition), (ii) do or cause to be done all things necessary to preserve, renew and keep in full force and effect the rights, qualifications, licenses, permits, franchises, governmental authorizations, intellectual property rights, licenses and permits material to the conduct of its business, and (iii) maintain all requisite authority to conduct its business in each jurisdiction in which its business is conducted except where the failure to comply with clauses (ii) and (iii) of Section 5.03 would not reasonably be expected to result in a Material Adverse Effect; </w:t>
      </w:r>
      <w:r>
        <w:rPr>
          <w:rFonts w:ascii="Times New Roman" w:hAnsi="Times New Roman"/>
          <w:sz w:val="20"/>
          <w:u w:val="single"/>
        </w:rPr>
        <w:t>provided</w:t>
      </w:r>
      <w:r>
        <w:rPr>
          <w:rFonts w:ascii="Times New Roman" w:hAnsi="Times New Roman"/>
          <w:sz w:val="20"/>
        </w:rPr>
        <w:t xml:space="preserve"> that the foregoing in this clause (a) shall not prohibit any merger, consolidation, amalgamation, sale, disposition, liquidation or dissolution permitted under Section 6.03 or otherwise permitted under this Agreement and (b) carry on and conduct its business in substantially the same manner and in substantially the same fields of enterprise as it is presently conducted and any similar or related lines of business and logical extensions thereof. </w:t>
      </w:r>
    </w:p>
    <w:p>
      <w:pPr>
        <w:pStyle w:val="TextBody"/>
        <w:bidi w:val="0"/>
        <w:spacing w:before="240" w:after="0"/>
        <w:jc w:val="left"/>
        <w:rPr>
          <w:rFonts w:ascii="Times New Roman" w:hAnsi="Times New Roman"/>
          <w:sz w:val="20"/>
        </w:rPr>
      </w:pPr>
      <w:r>
        <w:rPr>
          <w:rFonts w:ascii="Times New Roman" w:hAnsi="Times New Roman"/>
          <w:sz w:val="20"/>
          <w:u w:val="single"/>
        </w:rPr>
        <w:t>SECTION 5.04 Payment of Obligations</w:t>
      </w:r>
      <w:r>
        <w:rPr>
          <w:rFonts w:ascii="Times New Roman" w:hAnsi="Times New Roman"/>
          <w:sz w:val="20"/>
        </w:rPr>
        <w:t xml:space="preserve">. Each Loan Party will, and will cause each Restricted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and such Loan Party or such Restricted Subsidiary has set aside on its books adequate reserves with respect thereto in accordance with GAAP or (b) the failure to make payment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u w:val="single"/>
        </w:rPr>
        <w:t>SECTION 5.05 Maintenance of Properties</w:t>
      </w:r>
      <w:r>
        <w:rPr>
          <w:rFonts w:ascii="Times New Roman" w:hAnsi="Times New Roman"/>
          <w:sz w:val="20"/>
        </w:rPr>
        <w:t xml:space="preserve">. Each Loan Party will, and will cause each material Restricted Subsidiary to, keep and maintain all property material to the conduct of its business, taken as a whole, in good working order and condition, ordinary wear and tear excepted, except where the failure to do so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u w:val="single"/>
        </w:rPr>
        <w:t>SECTION 5.06 Books and Records; Inspection Rights</w:t>
      </w:r>
      <w:r>
        <w:rPr>
          <w:rFonts w:ascii="Times New Roman" w:hAnsi="Times New Roman"/>
          <w:sz w:val="20"/>
        </w:rPr>
        <w:t xml:space="preserve">. Each Loan Party will, and will cause each Restricted Subsidiary to, keep their books of record and account in accordance with GAAP and permit any representatives designated by the Administrative Agent (including employees of the Administrative Agent, or any consultants, accountants, lawyers and appraisers retained by the Administrative Agent), upon reasonable prior notice and during normal business hours, to visit and inspect its properties, to examine and make extracts from its books and records, and to discuss its affairs, finances and condition with its officers and independent accountants; </w:t>
      </w:r>
      <w:r>
        <w:rPr>
          <w:rFonts w:ascii="Times New Roman" w:hAnsi="Times New Roman"/>
          <w:sz w:val="20"/>
          <w:u w:val="single"/>
        </w:rPr>
        <w:t>provided</w:t>
      </w:r>
      <w:r>
        <w:rPr>
          <w:rFonts w:ascii="Times New Roman" w:hAnsi="Times New Roman"/>
          <w:sz w:val="20"/>
        </w:rPr>
        <w:t xml:space="preserve"> that (a) the Administrative Agent shall give the Borrower Representative an opportunity to participate in any discussions with its accountants, (b) in the absence of the existence of an Event of Default, (i) only the Administrative Agent on behalf of the Lenders may exercise the rights of the Administrative Agent and the Lenders under this Section 5.06 and (ii) the Administrative Agent shall not exercise its rights under this Section 5.06 more often than two times during any period of twelve consecutive months; and (iii) when an Event of Default exists, the Administrative Agent or any Lender and its respective designees may do any of the foregoing at the expense of the Loan Parties at any time during normal business hours and upon reasonable advance notice. The Loan Parties acknowledge that the Administrative Agent, after exercising its rights of inspection, may prepare and distribute to the Lenders certain Reports pertaining to the Loan Parties and their assets for internal use by the Administrative Agent and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5.07 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Loan Party will, and will cause each Restricted Subsidiary to, comply with each Requirement of Law applicable to it or its property (including without limitation Environmental Laws), except, in each case, where the failure to do so,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Section 5.07(c), each Loan Party will, and will cause each of its Subsidiaries to comply with all applicable Sanctions. Each of the Loan Parties and its Subsidiaries has implemented and will maintain in effect policies and procedures designed, in such Loan Party’s reasonable business judgment, to ensure compliance in all material respects by such Loan Party, its Subsidiaries and their respective directors, officers, employees and agents with applicable Anti-Corruption Laws and applicable Sanctions, in each case,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The covenants provided for in Section 5.07(b) shall only apply to any Loan Party and any of its respective Subsidiaries insofar as the giving thereof and compliance therewith do not and will not result in a violation of or conflict with or liability under any Blocking Regulation to which such Loan Party or its respective Subsidiary is subject. </w:t>
      </w:r>
    </w:p>
    <w:p>
      <w:pPr>
        <w:pStyle w:val="TextBody"/>
        <w:bidi w:val="0"/>
        <w:spacing w:before="240" w:after="0"/>
        <w:jc w:val="left"/>
        <w:rPr>
          <w:rFonts w:ascii="Times New Roman" w:hAnsi="Times New Roman"/>
          <w:sz w:val="20"/>
        </w:rPr>
      </w:pPr>
      <w:r>
        <w:rPr>
          <w:rFonts w:ascii="Times New Roman" w:hAnsi="Times New Roman"/>
          <w:sz w:val="20"/>
          <w:u w:val="single"/>
        </w:rPr>
        <w:t>SECTION 5.08 Use of Proceeds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proceeds of the Loans will be used only (i) on the Fourth Restatement Date, to finance the Transactions and pay fees and expenses related thereto and (ii) after the Fourth Restatement Date, for </w:t>
      </w:r>
      <w:r>
        <w:rPr>
          <w:rFonts w:ascii="Times New Roman" w:hAnsi="Times New Roman"/>
          <w:color w:val="0000FF"/>
          <w:sz w:val="20"/>
          <w:u w:val="single"/>
          <w:bdr w:val="double" w:sz="2" w:space="1" w:color="000000"/>
        </w:rPr>
        <w:t xml:space="preserve">any purpose not prohibited by this Agreement, including for </w:t>
      </w:r>
      <w:r>
        <w:rPr>
          <w:rFonts w:ascii="Times New Roman" w:hAnsi="Times New Roman"/>
          <w:sz w:val="20"/>
        </w:rPr>
        <w:t xml:space="preserve">working capital needs and for general corporate purposes of the Borrowers and their Restricted Subsidiaries, to fund Permitted Acquisitions, to fund permitted Restricted Payments, to fund payments, repurchases and prepayments of Indebtedness permitted under this Agreement, to refinance existing Indebtedness and to fund Intercompany Loans and capital contributions to be made by Loan Parties and certain of their Restricted Subsidiaries to other Loan Parties. No part of the proceeds of any Loan and no Letter of Credit will be used, whether directly or indirectly, for any purpose that entails a violation of any of the Regulations of the Board, including Regulations T, U and X. Furthermore, the Borrowers will not directly or indirectly use the proceeds of any Loans or otherwise make available such proceeds to any Person, for the purpose of financing the activities of any Person currently the subject of any Sanctions where such financing would result in a violation of any Sanctions, or for any payments to any governmental official or employee, political party, official of a political party, candidate for political office, or anyone else acting in an official capacity, in order to obtain, retain or direct business to obtain any improper advantage, in violation of the United States Foreign Corrupt Practices Act of 1977, as amended, the UK Bribery Act 2010 or any similar Laws to which the Loan Parties and their Subsidiaries are subject. Notwithstanding the foregoing, the provisions of clause (t) of the definition of Eligible Accounts, Section 2.06(a), Section 3.07, Section 3.20, Section 5.07 and this Section 5.08 shall not be interpreted to contravene, or require any notification to the Attorney General of Canada under, the Foreign Extraterritorial Measures (United States) Order, 1992, by any Canadian Borrower, any Canadian Loan Guarantor or any Canadian Subsidiary. </w:t>
      </w:r>
    </w:p>
    <w:p>
      <w:pPr>
        <w:pStyle w:val="TextBody"/>
        <w:bidi w:val="0"/>
        <w:spacing w:before="240" w:after="0"/>
        <w:jc w:val="left"/>
        <w:rPr>
          <w:rFonts w:ascii="Times New Roman" w:hAnsi="Times New Roman"/>
          <w:sz w:val="20"/>
        </w:rPr>
      </w:pPr>
      <w:r>
        <w:rPr>
          <w:rFonts w:ascii="Times New Roman" w:hAnsi="Times New Roman"/>
          <w:sz w:val="20"/>
        </w:rPr>
        <w:t xml:space="preserve">(b) No Borrower will request any Borrowing or Letter of Credit, and no Borrower shall use, and each Borrower shall procure that its Subsidiaries and its and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applicable Anti-Corruption Laws, (b) for the purpose of funding, financing or facilitating any activities, business or transaction of or with any Sanctioned Person or in any Sanctioned Country, in each case, in violation of Sanctions, or (c) in any other manner that would result in the violation of any Sanctions applicable to any party hereto. </w:t>
      </w:r>
    </w:p>
    <w:p>
      <w:pPr>
        <w:pStyle w:val="TextBody"/>
        <w:bidi w:val="0"/>
        <w:spacing w:before="240" w:after="0"/>
        <w:jc w:val="left"/>
        <w:rPr>
          <w:rFonts w:ascii="Times New Roman" w:hAnsi="Times New Roman"/>
          <w:sz w:val="20"/>
        </w:rPr>
      </w:pPr>
      <w:r>
        <w:rPr>
          <w:rFonts w:ascii="Times New Roman" w:hAnsi="Times New Roman"/>
          <w:sz w:val="20"/>
          <w:u w:val="single"/>
        </w:rPr>
        <w:t>SECTION 5.09 Insurance</w:t>
      </w:r>
      <w:r>
        <w:rPr>
          <w:rFonts w:ascii="Times New Roman" w:hAnsi="Times New Roman"/>
          <w:sz w:val="20"/>
        </w:rPr>
        <w:t xml:space="preserve">. The Loan Parties (taken as a whole) will maintain with financially sound and reputable 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in its Permitted Discretion, information in reasonable detail as to the insurance so maintained. Notwithstanding any provision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contrary contained in this Agreement, if any Loan Party’s insurance carrier at any time becomes insolvent or its financial strength weakens such that such insurance carrier loses the ratings described herein, such event shall not constitute a breach of this Section 5.09 </w:t>
      </w:r>
      <w:r>
        <w:rPr>
          <w:rFonts w:ascii="Times New Roman" w:hAnsi="Times New Roman"/>
          <w:sz w:val="20"/>
          <w:u w:val="single"/>
        </w:rPr>
        <w:t>provided</w:t>
      </w:r>
      <w:r>
        <w:rPr>
          <w:rFonts w:ascii="Times New Roman" w:hAnsi="Times New Roman"/>
          <w:sz w:val="20"/>
        </w:rPr>
        <w:t xml:space="preserve"> that the Loan Parties replace such insurance carrier with a carrier that meets the requirements of this Section 5.09 within sixty (60) days (or such longer period as shall be agreed to by the Administrative Agent in its Permitted Discretion). </w:t>
      </w:r>
    </w:p>
    <w:p>
      <w:pPr>
        <w:pStyle w:val="TextBody"/>
        <w:bidi w:val="0"/>
        <w:spacing w:before="240" w:after="0"/>
        <w:jc w:val="left"/>
        <w:rPr>
          <w:rFonts w:ascii="Times New Roman" w:hAnsi="Times New Roman"/>
          <w:sz w:val="20"/>
        </w:rPr>
      </w:pPr>
      <w:r>
        <w:rPr>
          <w:rFonts w:ascii="Times New Roman" w:hAnsi="Times New Roman"/>
          <w:sz w:val="20"/>
          <w:u w:val="single"/>
        </w:rPr>
        <w:t>SECTION 5.10 Casualty and Condemnation</w:t>
      </w:r>
      <w:r>
        <w:rPr>
          <w:rFonts w:ascii="Times New Roman" w:hAnsi="Times New Roman"/>
          <w:sz w:val="20"/>
        </w:rPr>
        <w:t xml:space="preserve">. The Borrowers will ensure that the Net Proceeds of any casualty or other insured damage to any ABL Priority Collateral (whether in the form of insurance proceeds, condemnation awards or otherwise) are collected and applied in accordance with the applicable provisions of this Agreement and the Collateral Documents. </w:t>
      </w:r>
    </w:p>
    <w:p>
      <w:pPr>
        <w:pStyle w:val="TextBody"/>
        <w:bidi w:val="0"/>
        <w:spacing w:before="240" w:after="0"/>
        <w:jc w:val="left"/>
        <w:rPr>
          <w:rFonts w:ascii="Times New Roman" w:hAnsi="Times New Roman"/>
          <w:sz w:val="20"/>
        </w:rPr>
      </w:pPr>
      <w:r>
        <w:rPr>
          <w:rFonts w:ascii="Times New Roman" w:hAnsi="Times New Roman"/>
          <w:sz w:val="20"/>
          <w:u w:val="single"/>
        </w:rPr>
        <w:t>SECTION 5.11 Appraisals; Field Examinations</w:t>
      </w:r>
      <w:r>
        <w:rPr>
          <w:rFonts w:ascii="Times New Roman" w:hAnsi="Times New Roman"/>
          <w:sz w:val="20"/>
        </w:rPr>
        <w:t xml:space="preserve">. (a) Upon request by the Administrative Agent (in its Permitted Discretion or at the direction of the Required Lenders), the Borrowers and the other Loan Parties will provide the Administrative Agent with up to two appraisals or updates thereof of their Inventory during any period of twelve consecutive months from an appraiser selected and engaged by the Administrative Agent, and prepared on a basis satisfactory to the Administrative Agent, such appraisals and updates to include, without limitation, information required by applicable law and regulations; </w:t>
      </w:r>
      <w:r>
        <w:rPr>
          <w:rFonts w:ascii="Times New Roman" w:hAnsi="Times New Roman"/>
          <w:sz w:val="20"/>
          <w:u w:val="single"/>
        </w:rPr>
        <w:t>provided</w:t>
      </w:r>
      <w:r>
        <w:rPr>
          <w:rFonts w:ascii="Times New Roman" w:hAnsi="Times New Roman"/>
          <w:sz w:val="20"/>
        </w:rPr>
        <w:t xml:space="preserve">, however, that (i) if Average Utilization for the most recent fiscal quarter was less than or equal to twenty percent (20%), the Required Lenders may not direct the Administrative Agent to conduct any such appraisal, (ii) if Average Utilization for the most recent fiscal quarter was greater than twenty percent (20%), the Required Lenders may direct that the Administrative Agent conduct only one such appraisal during any period of twelve consecutive months, and (iii) if Average Utilization for the most recent fiscal quarter was greater than twenty percent (20%) and Aggregate Availability falls below twenty percent (20%) of the Aggregate Revolving Commitments, the Required Lenders may direct that the Administrative Agent conduct up to two such appraisals during any period of twelve consecutive months; </w:t>
      </w:r>
      <w:r>
        <w:rPr>
          <w:rFonts w:ascii="Times New Roman" w:hAnsi="Times New Roman"/>
          <w:sz w:val="20"/>
          <w:u w:val="single"/>
        </w:rPr>
        <w:t>provided</w:t>
      </w:r>
      <w:r>
        <w:rPr>
          <w:rFonts w:ascii="Times New Roman" w:hAnsi="Times New Roman"/>
          <w:sz w:val="20"/>
        </w:rPr>
        <w:t xml:space="preserve"> further that, if an Event of Default shall have occurred and be continuing, there shall be no limit on the number or frequency of appraisals conducted. </w:t>
      </w:r>
    </w:p>
    <w:p>
      <w:pPr>
        <w:pStyle w:val="TextBody"/>
        <w:bidi w:val="0"/>
        <w:spacing w:before="240" w:after="0"/>
        <w:jc w:val="left"/>
        <w:rPr>
          <w:rFonts w:ascii="Times New Roman" w:hAnsi="Times New Roman"/>
          <w:sz w:val="20"/>
        </w:rPr>
      </w:pPr>
      <w:r>
        <w:rPr>
          <w:rFonts w:ascii="Times New Roman" w:hAnsi="Times New Roman"/>
          <w:sz w:val="20"/>
        </w:rPr>
        <w:t xml:space="preserve">(b) Upon request by the Administrative Agent (in its Permitted Discretion or at the direction of the Required Lenders), the Borrowers and the other Loan Parties will allow the Administrative Agent to conduct up to two field examinations or updates thereof during any period of twelve consecutive months and during normal business hours to ensure the adequacy of Collateral included in the Canadian Borrowing Base or the U.S. Borrowing Base and related reporting and control systems; </w:t>
      </w:r>
      <w:r>
        <w:rPr>
          <w:rFonts w:ascii="Times New Roman" w:hAnsi="Times New Roman"/>
          <w:sz w:val="20"/>
          <w:u w:val="single"/>
        </w:rPr>
        <w:t>provided</w:t>
      </w:r>
      <w:r>
        <w:rPr>
          <w:rFonts w:ascii="Times New Roman" w:hAnsi="Times New Roman"/>
          <w:sz w:val="20"/>
        </w:rPr>
        <w:t xml:space="preserve">, however, that (i) if Average Utilization for the most recent fiscal quarter was less than twenty percent (20%), the Required Lenders shall not have the right to direct the Administrative Agent to conduct any such field examination, (ii) if Average Utilization for the most recent fiscal quarter was greater than twenty percent (20%), the Required Lenders may direct that the Administrative Agent conduct only one such field examination during any period of twelve consecutive months, and (iii) if Average Utilization for the most recent fiscal quarter was greater than twenty percent (20%) and Aggregate Availability falls below twenty percent (20%) of the Aggregate Revolving Commitments, the Required Lenders may direct that the Administrative Agent conduct up to two such field examinations during any period of twelve consecutive months; </w:t>
      </w:r>
      <w:r>
        <w:rPr>
          <w:rFonts w:ascii="Times New Roman" w:hAnsi="Times New Roman"/>
          <w:sz w:val="20"/>
          <w:u w:val="single"/>
        </w:rPr>
        <w:t>provided,</w:t>
      </w:r>
      <w:r>
        <w:rPr>
          <w:rFonts w:ascii="Times New Roman" w:hAnsi="Times New Roman"/>
          <w:sz w:val="20"/>
        </w:rPr>
        <w:t xml:space="preserve"> further, that if an Event of Default shall have occurred and be continuing, there shall be no limit on the number or frequency of field examinations conducted. </w:t>
      </w:r>
    </w:p>
    <w:p>
      <w:pPr>
        <w:pStyle w:val="TextBody"/>
        <w:bidi w:val="0"/>
        <w:spacing w:before="240" w:after="0"/>
        <w:jc w:val="left"/>
        <w:rPr>
          <w:rFonts w:ascii="Times New Roman" w:hAnsi="Times New Roman"/>
          <w:sz w:val="20"/>
        </w:rPr>
      </w:pPr>
      <w:r>
        <w:rPr>
          <w:rFonts w:ascii="Times New Roman" w:hAnsi="Times New Roman"/>
          <w:sz w:val="20"/>
          <w:u w:val="single"/>
        </w:rPr>
        <w:t>SECTION 5.12 Depository Banks; Control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U.S. Loan Parties (other than the Canadian Cross-Border Loan Guarantors) will at all times maintain the U.S. Cash Management Bank as their principal depository bank, including for the maintenance of operating, administrative, cash management, collection activity, and other Deposit Accounts for the conduct of their business. The Canadian Loan Parties will at all times maintain the Canadian Cash Management Bank as their principal depository bank, including for the maintenance of operating, administrative, cash management, collection activity, and other Deposit Accounts for the conduct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(b) On or before the date which is one hundred twenty (120) days following the Fourth Restatement Date, to the extent that the Loan Parties have not already done so in connection with the Existing Credit Agreement (i) the U.S. Loan Parties (other than the Canadian Cross-Border Loan Guarantors) will cause the U.S. Cash Management Bank to enter into a Control Agreement with respect to all Deposit Accounts and Securities Accounts (other than Excluded Accounts) maintained by the U.S. Loan Parties (other than the Canadian Cross-Border Loan Guarantors) with the U.S. Cash Management Bank as of the Fourth Restatement Date, (ii) the Canadian Loan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cause the Canadian Cash Management Bank to enter into a Control Agreement with respect to all Deposit Accounts and Securities Accounts (other than Excluded Accounts) maintained with the Canadian Loan Parties at the Canadian Cash Management Bank as of the Fourth Restatement Date and (iii) the Loan Parties will cause each other depository bank or other institution at which any Deposit Account or Securities Account (other than Excluded Accounts) is maintained as of the Fourth Restatement Date to enter into a Control Agreement with respect to such Deposit Account or Securities Account. </w:t>
      </w:r>
    </w:p>
    <w:p>
      <w:pPr>
        <w:pStyle w:val="TextBody"/>
        <w:bidi w:val="0"/>
        <w:spacing w:before="240" w:after="0"/>
        <w:jc w:val="left"/>
        <w:rPr>
          <w:rFonts w:ascii="Times New Roman" w:hAnsi="Times New Roman"/>
          <w:sz w:val="20"/>
        </w:rPr>
      </w:pPr>
      <w:r>
        <w:rPr>
          <w:rFonts w:ascii="Times New Roman" w:hAnsi="Times New Roman"/>
          <w:sz w:val="20"/>
        </w:rPr>
        <w:t xml:space="preserve">(c) The Loan Parties will obtain, within 60 days after the establishment of any Deposit Account or Securities Account (other than an Excluded Account) or Lock Box (or such later date as agreed to by the Administrative Agent), a Control Agreement with respect to such Deposit Account, Securities Account or Lock Box. </w:t>
      </w:r>
    </w:p>
    <w:p>
      <w:pPr>
        <w:pStyle w:val="TextBody"/>
        <w:bidi w:val="0"/>
        <w:spacing w:before="240" w:after="0"/>
        <w:jc w:val="left"/>
        <w:rPr>
          <w:rFonts w:ascii="Times New Roman" w:hAnsi="Times New Roman"/>
          <w:sz w:val="20"/>
        </w:rPr>
      </w:pPr>
      <w:r>
        <w:rPr>
          <w:rFonts w:ascii="Times New Roman" w:hAnsi="Times New Roman"/>
          <w:sz w:val="20"/>
        </w:rPr>
        <w:t xml:space="preserve">(d) If any Deposit Account, Securities Account or Lock Box is acquired in connection with a Permitted Acquisition, to the extent such Deposit Account, Securities Account or Lock Box does not constitute an Excluded Account, the Loan Parties will, within one hundred twenty (120) days after the consummation of such Permitted Acquisition (or such later date as agreed to by the Administrative Agent), either (x) obtain a Control Agreement with respect to such Deposit Account, Securities Account or Lock Box, or (y) close such Deposit Account, Securities Account or Lock Box. </w:t>
      </w:r>
    </w:p>
    <w:p>
      <w:pPr>
        <w:pStyle w:val="TextBody"/>
        <w:bidi w:val="0"/>
        <w:spacing w:before="240" w:after="0"/>
        <w:jc w:val="left"/>
        <w:rPr>
          <w:rFonts w:ascii="Times New Roman" w:hAnsi="Times New Roman"/>
          <w:sz w:val="20"/>
        </w:rPr>
      </w:pPr>
      <w:r>
        <w:rPr>
          <w:rFonts w:ascii="Times New Roman" w:hAnsi="Times New Roman"/>
          <w:sz w:val="20"/>
        </w:rPr>
        <w:t xml:space="preserve">(e) The U.S. Loan Parties (other than the Canadian Cross-Border Loan Guarantors) will, substantially contemporaneously with any change in the U.S. Cash Management Bank, to the extent not already obtained, obtain a Control Agreement from the successor U.S. Cash Management Bank. The Canadian Loan Parties will, substantially contemporaneously with any change in the Canadian Cash Management Bank, to the extent not already obtained, obtain a Control Agreement from the successor Canadian Cash Management Bank. </w:t>
      </w:r>
    </w:p>
    <w:p>
      <w:pPr>
        <w:pStyle w:val="TextBody"/>
        <w:bidi w:val="0"/>
        <w:spacing w:before="240" w:after="0"/>
        <w:jc w:val="left"/>
        <w:rPr>
          <w:rFonts w:ascii="Times New Roman" w:hAnsi="Times New Roman"/>
          <w:sz w:val="20"/>
        </w:rPr>
      </w:pPr>
      <w:r>
        <w:rPr>
          <w:rFonts w:ascii="Times New Roman" w:hAnsi="Times New Roman"/>
          <w:sz w:val="20"/>
        </w:rPr>
        <w:t>(f) At all times during the continuance of a Cash Dominion Period (i) the U.S. Cash Management Bank shall be required to remit to the U.S. Collection Account on a daily basis (A) all available funds on deposit in any Deposit Account (other than an Excluded Account) maintained by the U.S. Loan Parties (other than the Canadian Cross-Border Loan Guarantors) with the U.S. Cash Management Bank and (B) collections and other similar payments relating to or constituting payments made in respect of Accounts of the U.S. Loan Parties (other than the Canadian Cross-Border Loan Guarantors) received by the U.S. Cash Management Bank, including any such items remitted to any Deposit Account which is subject to a Control Agreement and maintained or controlled by the U.S. Cash Management Bank (</w:t>
      </w:r>
      <w:r>
        <w:rPr>
          <w:rFonts w:ascii="Times New Roman" w:hAnsi="Times New Roman"/>
          <w:sz w:val="20"/>
          <w:u w:val="single"/>
        </w:rPr>
        <w:t>provided</w:t>
      </w:r>
      <w:r>
        <w:rPr>
          <w:rFonts w:ascii="Times New Roman" w:hAnsi="Times New Roman"/>
          <w:sz w:val="20"/>
        </w:rPr>
        <w:t xml:space="preserve"> that the disbursement of payments received in respect of Accounts that have been sold to WESCO Receivables shall be subject to the provisions of the Receivables Intercreditor Agreement), and (ii) the Canadian Cash Management Bank shall be required to remit to the Canadian Collection Account on a daily basis (A) all available funds on deposit in any Deposit Account (other than an Excluded Account) maintained by the Canadian Loan Parties with the Canadian Cash Management Bank and (B) collections and other similar payments relating to or constituting payments made in respect of Accounts of the Canadian Loan Parties received by the Canadian Cash Management Bank, including any such items remitted to any Deposit Account which is subject to a Control Agreement and maintained or controlled by the Canadian Cash Management Bank. </w:t>
      </w:r>
    </w:p>
    <w:p>
      <w:pPr>
        <w:pStyle w:val="TextBody"/>
        <w:bidi w:val="0"/>
        <w:spacing w:before="240" w:after="0"/>
        <w:jc w:val="left"/>
        <w:rPr>
          <w:rFonts w:ascii="Times New Roman" w:hAnsi="Times New Roman"/>
          <w:sz w:val="20"/>
        </w:rPr>
      </w:pPr>
      <w:r>
        <w:rPr>
          <w:rFonts w:ascii="Times New Roman" w:hAnsi="Times New Roman"/>
          <w:sz w:val="20"/>
        </w:rPr>
        <w:t>(g) The Borrower Representative agrees that with respect to any individual Deposit Account, Securities Account or Lock Box holding an amount greater than $20,000,000, the Borrower Representative shall provide prompt written notice to the Administrative Agent of any such Deposit Account, Securities Account or Lock Box after the acquisition or establishment thereof to the extent such Deposit Account, Securities Account or Lock Box is not subject to a Control Agreement.</w:t>
      </w:r>
    </w:p>
    <w:p>
      <w:pPr>
        <w:pStyle w:val="TextBody"/>
        <w:bidi w:val="0"/>
        <w:spacing w:before="240" w:after="0"/>
        <w:jc w:val="left"/>
        <w:rPr>
          <w:rFonts w:ascii="Times New Roman" w:hAnsi="Times New Roman"/>
          <w:sz w:val="20"/>
        </w:rPr>
      </w:pPr>
      <w:r>
        <w:rPr>
          <w:rFonts w:ascii="Times New Roman" w:hAnsi="Times New Roman"/>
          <w:sz w:val="20"/>
          <w:u w:val="single"/>
        </w:rPr>
        <w:t>SECTION 5.13 Additional Collateral; Further Assurances</w:t>
      </w:r>
      <w:r>
        <w:rPr>
          <w:rFonts w:ascii="Times New Roman" w:hAnsi="Times New Roman"/>
          <w:sz w:val="20"/>
        </w:rPr>
        <w:t xml:space="preserve">. (a) Subject to applicable law, each Loan Party shall cause each of its Domestic Subsidiaries (other than any Domestic Subsidiary constituting an Excluded Subsidiary, an Unrestricted Subsidiary or a CFC Subsidiary Holding Company) formed or acquired after the Fourth Restatement Date in accordance with the terms of this Agreement to become a U.S. Loan Party by executing (i) a U.S. Security Agreement (or a joinder to the U.S. Security Agreement) and (ii) in the case of such Domestic Subsidiary that is to become a U.S. Borrower, the Joinder Agreement set forth as </w:t>
      </w:r>
      <w:r>
        <w:rPr>
          <w:rFonts w:ascii="Times New Roman" w:hAnsi="Times New Roman"/>
          <w:sz w:val="20"/>
          <w:u w:val="single"/>
        </w:rPr>
        <w:t>Exhibit D</w:t>
      </w:r>
      <w:r>
        <w:rPr>
          <w:rFonts w:ascii="Times New Roman" w:hAnsi="Times New Roman"/>
          <w:sz w:val="20"/>
        </w:rPr>
        <w:t xml:space="preserve"> hereto (the “</w:t>
      </w:r>
      <w:r>
        <w:rPr>
          <w:rFonts w:ascii="Times New Roman" w:hAnsi="Times New Roman"/>
          <w:sz w:val="20"/>
          <w:u w:val="single"/>
        </w:rPr>
        <w:t>Joinder Agreement</w:t>
      </w:r>
      <w:r>
        <w:rPr>
          <w:rFonts w:ascii="Times New Roman" w:hAnsi="Times New Roman"/>
          <w:sz w:val="20"/>
        </w:rPr>
        <w:t xml:space="preserve">”). In connection with the execution and delivery of any such Joinder Agreement </w:t>
      </w:r>
      <w:r>
        <w:rPr>
          <w:rFonts w:ascii="Times New Roman" w:hAnsi="Times New Roman"/>
          <w:color w:val="0000FF"/>
          <w:sz w:val="20"/>
          <w:u w:val="single"/>
          <w:bdr w:val="double" w:sz="2" w:space="1" w:color="000000"/>
        </w:rPr>
        <w:t>and other Loan Documents pursuant to this paragraph</w:t>
      </w:r>
      <w:r>
        <w:rPr>
          <w:rFonts w:ascii="Times New Roman" w:hAnsi="Times New Roman"/>
          <w:sz w:val="20"/>
        </w:rPr>
        <w:t xml:space="preserve">, the Administrative Agent </w:t>
      </w:r>
      <w:r>
        <w:rPr>
          <w:rFonts w:ascii="Times New Roman" w:hAnsi="Times New Roman"/>
          <w:color w:val="0000FF"/>
          <w:sz w:val="20"/>
          <w:u w:val="single"/>
          <w:bdr w:val="double" w:sz="2" w:space="1" w:color="000000"/>
        </w:rPr>
        <w:t>and each Lender</w:t>
      </w:r>
      <w:r>
        <w:rPr>
          <w:rFonts w:ascii="Times New Roman" w:hAnsi="Times New Roman"/>
          <w:sz w:val="20"/>
        </w:rPr>
        <w:t xml:space="preserve"> shall have received all documentation and other information regarding such newly formed or acquired Subsidiaries reasonably requested in writing to comply with the applicable “know your customer” </w:t>
      </w:r>
      <w:r>
        <w:rPr>
          <w:rFonts w:ascii="Times New Roman" w:hAnsi="Times New Roman"/>
          <w:color w:val="0000FF"/>
          <w:sz w:val="20"/>
          <w:u w:val="single"/>
          <w:bdr w:val="double" w:sz="2" w:space="1" w:color="000000"/>
        </w:rPr>
        <w:t>and anti-money laundering</w:t>
      </w:r>
      <w:r>
        <w:rPr>
          <w:rFonts w:ascii="Times New Roman" w:hAnsi="Times New Roman"/>
          <w:sz w:val="20"/>
        </w:rPr>
        <w:t xml:space="preserve"> rules and regulations, including the USA PATRIOT Act </w:t>
      </w:r>
      <w:r>
        <w:rPr>
          <w:rFonts w:ascii="Times New Roman" w:hAnsi="Times New Roman"/>
          <w:color w:val="0000FF"/>
          <w:sz w:val="20"/>
          <w:u w:val="single"/>
          <w:bdr w:val="double" w:sz="2" w:space="1" w:color="000000"/>
        </w:rPr>
        <w:t>or the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Proceeds of Crime Act,</w:t>
      </w:r>
      <w:r>
        <w:rPr>
          <w:rFonts w:ascii="Times New Roman" w:hAnsi="Times New Roman"/>
          <w:sz w:val="20"/>
        </w:rPr>
        <w:t xml:space="preserve"> and the Beneficial Ownership Regulation. Upon execution and delivery thereof, each such Person (i) shall automatically become a U.S. Borrower or U.S. Loan Guarantor hereunder, as specified by such Person at the time of execution of such Joinder Agreement or separate U.S. Loan Party Guaranty, and thereupon shall have all of the rights, benefits, duties, and obligations in such capacity under the Loan Documents and (ii) will grant Liens to the Administrative Agent, for the benefit of the Lender Parties, in all personal property of a type required to be encumbered pursuant to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(b) Subject to applicable law, Holdings, the Canadian Borrowers and each other Canadian Loan Party shall cause each of their Subsidiaries (other than any Subsidiary constituting an Excluded Subsidiary, or an Unrestricted Subsidiary) formed or acquired after the Fourth Restatement Date that is organized under the laws of Canada or any province thereof or is a CFC Subsidiary Holding Company that owns a Subsidiary organized under the laws of Canada or any province thereof to become a Canadian Loan Party by executing (A) a Canadian Guarantee and a Canadian Security Agreement (which Canadian Security Agreement shall, among other things, pledge 100% of the Equity Interests in each such Subsidiary and grant a security interest in all the personal property of a type required to be encumbered pursuant to the Collateral Documents, the foregoing to be in a form substantially similar to the Canadian Security Agreement) that secures repayment of the Canadian Obligations and (B) in the case of any Subsidiary that is to become a Canadian Borrower, a Joinder Agreement, in each case, together with such other documentation and filings that the Administrative Agent may reasonably require in order to perfect its first priority security interest in the assets subject to the terms of such security agreement. </w:t>
      </w:r>
      <w:r>
        <w:rPr>
          <w:rFonts w:ascii="Times New Roman" w:hAnsi="Times New Roman"/>
          <w:color w:val="0000FF"/>
          <w:sz w:val="20"/>
          <w:u w:val="single"/>
          <w:bdr w:val="double" w:sz="2" w:space="1" w:color="000000"/>
        </w:rPr>
        <w:t>In connection with the execution and delivery of any Canadian Guarantee, Canadian Security Agreement or Joinder Agreement pursuant to this paragraph, the Administrative Agent and each Lender shall have received all documentation and other information regarding such newly formed or acquired Subsidiaries reasonably requested in writing to comply with the applicable “know your customer” rules and regulations, including the Proceeds of Crime Act and the AML Legislation.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To secure the prompt payment and performance of all U.S. Secured Obligations, Holdings, each Domestic Subsidiary that is a U.S. Loan Party and each Canadian Cross-Border Loan Guarantor will cause (i) 100% of the issued and outstanding Equity Interests of each Domestic Subsidiary (other than an Excluded Subsidiary, an Unrestricted Subsidiary, a CFC Subsidiary Holding Company or any other Subsidiary that is a special purpose entity which has no assets other than real property) that is formed or acquired after the Fourth Restatement Date, (ii) 65% of the Equity Interests constituting the total combined classes of Equity Interests entitled to vote in each Canadian Subsidiary and each first-tier Foreign Subsidiary (other than an Immaterial Foreign Subsidiary or an Unrestricted Subsidiary) or CFC Subsidiary Holding Company that is formed or acquired after the Fourth Restatement Date, and (iii) 100% of the non-voting Equity Interests of each first-tier Foreign Subsidiary (other than an Immaterial Foreign Subsidiary or an Unrestricted Subsidiary) or CFC Subsidiary Holding Company that is formed or acquired after the Fourth Restatement Date, to become subject to a perfected Lien in favor of the Administrative Agent (for the benefit of the U.S. Lender Parties) pursuant to the terms and conditions of the Loan Documents or other security documents as the Administrative Agent shall reasonably request within thirty (30) days of the formation or acquisition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(d) To secure the prompt payment and performance of all Canadian Secured Obligations, Holdings and each Subsidiary that is a Canadian Loan Party will cause 100% of the issued and outstanding Equity Interests of each Canadian Subsidiary acquired after the Fourth Restatement Date (other than any Canadian Subsidiary constituting an Excluded Subsidiary or an Unrestricted Subsidiary), to be subject at all times to a perfected Lien in favor of the Administrative Agent (for the benefit of the Canadian Lender Parties) pursuant to the terms and conditions of the Loan Documents or other security documents as the Administrative Agent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(e) Without limiting the foregoing, each Loan Party will, and will cause each Restricted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Loan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If any assets constituting personal property of a type required to be encumbered under the Collateral Documents (other than equity of a Domestic Subsidiary or Canadian Subsidiary constituting an Excluded Subsidiary, an Unrestricted Subsidiary or any other Subsidiary that is a special purpose entity which has no material assets other than real property) are acquired by any Loan Party (other than assets constituting Collateral under the U.S. Security Agreement or the Canadian Security Agreement that become subject to the Lien in favor of the Administrative Agent (for the benefit of the Lender Parties or the Canadian Lender Parties, as the case may be) upon acquisition thereof), the Borrower Representative will promptly notify the Administrative Agent and the Lenders thereof, and, if requested by the Administrative Agent or the Required Lenders, the Borrowers will cause such assets to be subjected to a Lien in favor of Administrative Agent (for the benefit of the Lender Parties or the Canadian Lender Parties, as the case may be) securing the U.S. Secured Obligations and/or the Canadian Secured Obligations, as applicable, and will take, and cause the applicable Loan Parties to take, such actions as shall be necessary or reasonably requested by the Administrative Agent to grant and perfect such Liens, including actions described in paragraph (c) of this Section, all at the expense of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(g) If either (i) the aggregate revenues of all Immaterial Domestic Subsidiaries and Immaterial Canadian Subsidiaries, as of </w:t>
      </w:r>
      <w:r>
        <w:rPr>
          <w:rFonts w:ascii="Times New Roman" w:hAnsi="Times New Roman"/>
          <w:color w:val="0000FF"/>
          <w:sz w:val="20"/>
          <w:u w:val="single"/>
          <w:bdr w:val="double" w:sz="2" w:space="1" w:color="000000"/>
        </w:rPr>
        <w:t>the</w:t>
      </w:r>
      <w:r>
        <w:rPr>
          <w:rFonts w:ascii="Times New Roman" w:hAnsi="Times New Roman"/>
          <w:sz w:val="20"/>
        </w:rPr>
        <w:t xml:space="preserve"> end of any fiscal year, constitute 15% or more of the consolidated revenues of Holdings and its Subsidiaries for such period or (ii) the aggregate consolidated assets of all Immaterial Domestic Subsidiaries and Immaterial Canadian Subsidiaries, as of </w:t>
      </w:r>
      <w:r>
        <w:rPr>
          <w:rFonts w:ascii="Times New Roman" w:hAnsi="Times New Roman"/>
          <w:color w:val="0000FF"/>
          <w:sz w:val="20"/>
          <w:u w:val="single"/>
          <w:bdr w:val="double" w:sz="2" w:space="1" w:color="000000"/>
        </w:rPr>
        <w:t>the</w:t>
      </w:r>
      <w:r>
        <w:rPr>
          <w:rFonts w:ascii="Times New Roman" w:hAnsi="Times New Roman"/>
          <w:sz w:val="20"/>
        </w:rPr>
        <w:t xml:space="preserve"> end of any fiscal year, constitute 15% or more of the consolidated total assets of Holdings and its Subsidiaries as of the end of such fiscal year, in each case as reflected on the most recent annual or quarterly consolidated financial statements of Holdings and its Subsidiaries, then, the Loan Parties (A) shall submit a written notice (a “</w:t>
      </w:r>
      <w:r>
        <w:rPr>
          <w:rFonts w:ascii="Times New Roman" w:hAnsi="Times New Roman"/>
          <w:sz w:val="20"/>
          <w:u w:val="single"/>
        </w:rPr>
        <w:t>Designated Immaterial Subsidiary Notice</w:t>
      </w:r>
      <w:r>
        <w:rPr>
          <w:rFonts w:ascii="Times New Roman" w:hAnsi="Times New Roman"/>
          <w:sz w:val="20"/>
        </w:rPr>
        <w:t>”) to the Administrative Agent designating one or more Immaterial Domestic Subsidiaries and/or Immaterial Canadian Subsidiaries as Subsidiaries which shall no longer constitute Excluded Subsidiaries (any such Subsidiary so designated being a “</w:t>
      </w:r>
      <w:r>
        <w:rPr>
          <w:rFonts w:ascii="Times New Roman" w:hAnsi="Times New Roman"/>
          <w:sz w:val="20"/>
          <w:u w:val="single"/>
        </w:rPr>
        <w:t>Designated Immaterial Subsidiary</w:t>
      </w:r>
      <w:r>
        <w:rPr>
          <w:rFonts w:ascii="Times New Roman" w:hAnsi="Times New Roman"/>
          <w:sz w:val="20"/>
        </w:rPr>
        <w:t xml:space="preserve">”) such that, after giving effect to such designation, (x) the aggregate revenues of all Immaterial Domestic Subsidiaries and Immaterial Canadian Subsidiaries, as of </w:t>
      </w:r>
      <w:r>
        <w:rPr>
          <w:rFonts w:ascii="Times New Roman" w:hAnsi="Times New Roman"/>
          <w:color w:val="0000FF"/>
          <w:sz w:val="20"/>
          <w:u w:val="single"/>
          <w:bdr w:val="double" w:sz="2" w:space="1" w:color="000000"/>
        </w:rPr>
        <w:t>the</w:t>
      </w:r>
      <w:r>
        <w:rPr>
          <w:rFonts w:ascii="Times New Roman" w:hAnsi="Times New Roman"/>
          <w:sz w:val="20"/>
        </w:rPr>
        <w:t xml:space="preserve"> end of such fiscal year (calculated for purposes of this clause (x) on a pro forma basis as if each such Designated Immaterial Subsidiary had not been an Excluded Subsidiary at any time during such fiscal year), constitute less than 15% of the consolidated revenues of Holdings and its Subsidiaries for such period and (y) the consolidated total assets of all Immaterial Domestic Subsidiaries and Immaterial Canadian Subsidiaries, as of </w:t>
      </w:r>
      <w:r>
        <w:rPr>
          <w:rFonts w:ascii="Times New Roman" w:hAnsi="Times New Roman"/>
          <w:color w:val="0000FF"/>
          <w:sz w:val="20"/>
          <w:u w:val="single"/>
          <w:bdr w:val="double" w:sz="2" w:space="1" w:color="000000"/>
        </w:rPr>
        <w:t>the</w:t>
      </w:r>
      <w:r>
        <w:rPr>
          <w:rFonts w:ascii="Times New Roman" w:hAnsi="Times New Roman"/>
          <w:sz w:val="20"/>
        </w:rPr>
        <w:t xml:space="preserve"> end of such fiscal year (calculated for purposes of this clause (y) on a pro forma basis as if each such Designated Immaterial Subsidiary had not been an Excluded Subsidiary as the last day of such fiscal year), constitute less than 15% of the consolidated total assets of Holdings and its Subsidiaries as of the end of such fiscal year and (B) shall cause each such Designated Immaterial Subsidiary to become a U.S. Loan Guarantor (in the case of a Designated Immaterial Subsidiary which is a Domestic Subsidiary) or a Canadian Loan Guarantor (in the case of a Designated Immaterial Subsidiary which is a Canadian Subsidiary) and shall, and shall cause each such Designated Immaterial Subsidiary to, execute and deliver to the Administrative Agent all Joinder Agreements, guarantees, Collateral Documents and other agreements and documents and shall take, and cause each such Designated Immaterial Subsidiary to take, such other actions as shall be necessary or which the Administrative Agent may reasonably request to comply with this clause (i) and clauses (a) through (f) of this Section 5.13 as to each such Designated Immaterial Subsidiary (it being understood for avoidance of doubt that, solely for purposes of this clause (B), in determining compliance with such clauses (a) through (f) of this Section 5.13, each such Designated Immaterial Subsidiary shall be treated as if it had been acquired or formed by the Loan Parties as of the date of delivery of the Designated Immaterial Subsidiary Notice with respect thereto). </w:t>
      </w:r>
    </w:p>
    <w:p>
      <w:pPr>
        <w:pStyle w:val="TextBody"/>
        <w:bidi w:val="0"/>
        <w:spacing w:before="240" w:after="0"/>
        <w:jc w:val="left"/>
        <w:rPr>
          <w:rFonts w:ascii="Times New Roman" w:hAnsi="Times New Roman"/>
          <w:sz w:val="20"/>
        </w:rPr>
      </w:pPr>
      <w:r>
        <w:rPr>
          <w:rFonts w:ascii="Times New Roman" w:hAnsi="Times New Roman"/>
          <w:sz w:val="20"/>
          <w:u w:val="single"/>
        </w:rPr>
        <w:t>SECTION 5.14 Covenants Regarding Accounts</w:t>
      </w:r>
      <w:r>
        <w:rPr>
          <w:rFonts w:ascii="Times New Roman" w:hAnsi="Times New Roman"/>
          <w:sz w:val="20"/>
        </w:rPr>
        <w:t xml:space="preserve">. In the ordinary course of its business, the U.S. Loan Parties and WESCO Receivables process their Accounts in a manner such that (i) each payment received by each U.S. Loan Party or WESCO Receivables in respect of an Account is allocated to a specifically identified invoice, which invoice corresponds to a particular Account owing to such U.S. Loan Party or WESCO Receivables, and (ii) in the event that, at any time, less than 100% of the Accounts of the U.S. Loan Parties are sold to WESCO Receivables under the Receivables Securitization Agreements, payments received in respect of those Accounts that are sold to WESCO Receivables under the Receivables Securitization Agreements would be identifiable and separate from payments received in respect of Accounts that are not sold to WESCO Receivables under the Receivables Securitization Agreements. No Canadian Loan Party shall enter into any Receivables Securitization or any other similar financing or transaction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5.15 Post-Closing Covenants</w:t>
      </w:r>
      <w:r>
        <w:rPr>
          <w:rFonts w:ascii="Times New Roman" w:hAnsi="Times New Roman"/>
          <w:sz w:val="20"/>
        </w:rPr>
        <w:t xml:space="preserve">. The Borrower Representative shall, within the time periods specified on </w:t>
      </w:r>
      <w:r>
        <w:rPr>
          <w:rFonts w:ascii="Times New Roman" w:hAnsi="Times New Roman"/>
          <w:sz w:val="20"/>
          <w:u w:val="single"/>
        </w:rPr>
        <w:t>Schedule 5.15</w:t>
      </w:r>
      <w:r>
        <w:rPr>
          <w:rFonts w:ascii="Times New Roman" w:hAnsi="Times New Roman"/>
          <w:sz w:val="20"/>
        </w:rPr>
        <w:t xml:space="preserve"> (or such later date as may be agreed to by the Administrative Agent in its sole discretion), comply with the provisions set forth on </w:t>
      </w:r>
      <w:r>
        <w:rPr>
          <w:rFonts w:ascii="Times New Roman" w:hAnsi="Times New Roman"/>
          <w:sz w:val="20"/>
          <w:u w:val="single"/>
        </w:rPr>
        <w:t>Schedule 5.15</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r>
        <w:rPr>
          <w:rFonts w:ascii="Times New Roman" w:hAnsi="Times New Roman"/>
          <w:sz w:val="20"/>
          <w:u w:val="single"/>
        </w:rPr>
        <w:t>Negative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all of the Revolving Commitments have expired or terminated and the principal of and interest on each Loan and all fees, expenses and other amounts payable under any Loan Document have been paid in full and all Letters of Credit have expired or terminated (or have been cash collateralized in accordance with Section 2.06(k)) and all LC Disbursements shall have been reimbursed, Holdings and each Borrower covenants and agrees, and Holdings shall cause each other Loan Party to covenant and agree, in each case (subject to Section 12.01) jointly and severally with all of the other Loan Parties, with the Lender Parties that: </w:t>
      </w:r>
    </w:p>
    <w:p>
      <w:pPr>
        <w:pStyle w:val="TextBody"/>
        <w:bidi w:val="0"/>
        <w:spacing w:before="120" w:after="0"/>
        <w:jc w:val="left"/>
        <w:rPr>
          <w:rFonts w:ascii="Times New Roman" w:hAnsi="Times New Roman"/>
          <w:sz w:val="20"/>
        </w:rPr>
      </w:pPr>
      <w:r>
        <w:rPr>
          <w:rFonts w:ascii="Times New Roman" w:hAnsi="Times New Roman"/>
          <w:sz w:val="20"/>
          <w:u w:val="single"/>
        </w:rPr>
        <w:t>SECTION 6.01 Indebtedness</w:t>
      </w:r>
      <w:r>
        <w:rPr>
          <w:rFonts w:ascii="Times New Roman" w:hAnsi="Times New Roman"/>
          <w:sz w:val="20"/>
        </w:rPr>
        <w:t xml:space="preserve">. No Loan Party will, nor will it permit any Restricted Subsidiary to, create, incur or suffer to exist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(b) Indebtedness existing on the Fourth Restatement Date (i) constituting intercompany indebtedness with an outstanding principal amount not in excess of $25,000,000 or (ii) as set forth in </w:t>
      </w:r>
      <w:r>
        <w:rPr>
          <w:rFonts w:ascii="Times New Roman" w:hAnsi="Times New Roman"/>
          <w:sz w:val="20"/>
          <w:u w:val="single"/>
        </w:rPr>
        <w:t>Schedule 6.01</w:t>
      </w:r>
      <w:r>
        <w:rPr>
          <w:rFonts w:ascii="Times New Roman" w:hAnsi="Times New Roman"/>
          <w:sz w:val="20"/>
        </w:rPr>
        <w:t xml:space="preserve"> and extensions, renewals and replacements of any such Indebtedness in accordance with clause (f) hereof; </w:t>
      </w:r>
    </w:p>
    <w:p>
      <w:pPr>
        <w:pStyle w:val="TextBody"/>
        <w:bidi w:val="0"/>
        <w:spacing w:before="240" w:after="0"/>
        <w:jc w:val="left"/>
        <w:rPr>
          <w:rFonts w:ascii="Times New Roman" w:hAnsi="Times New Roman"/>
          <w:sz w:val="20"/>
        </w:rPr>
      </w:pPr>
      <w:r>
        <w:rPr>
          <w:rFonts w:ascii="Times New Roman" w:hAnsi="Times New Roman"/>
          <w:sz w:val="20"/>
        </w:rPr>
        <w:t xml:space="preserve">(c) Indebtedness of WESCO Receivables under the Receivables Securitization Agreements (including for greater certainty any replacement thereof); </w:t>
      </w:r>
    </w:p>
    <w:p>
      <w:pPr>
        <w:pStyle w:val="TextBody"/>
        <w:bidi w:val="0"/>
        <w:spacing w:before="240" w:after="0"/>
        <w:jc w:val="left"/>
        <w:rPr>
          <w:rFonts w:ascii="Times New Roman" w:hAnsi="Times New Roman"/>
          <w:sz w:val="20"/>
        </w:rPr>
      </w:pPr>
      <w:r>
        <w:rPr>
          <w:rFonts w:ascii="Times New Roman" w:hAnsi="Times New Roman"/>
          <w:sz w:val="20"/>
        </w:rPr>
        <w:t xml:space="preserve">(d) Indebtedness of any Loan Party or any Restricted Subsidiary of a Loan Party incurred to finance the acquisition, construction or improvement of any fixed or capital assets, including equipment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hereof; </w:t>
      </w:r>
      <w:r>
        <w:rPr>
          <w:rFonts w:ascii="Times New Roman" w:hAnsi="Times New Roman"/>
          <w:sz w:val="20"/>
          <w:u w:val="single"/>
        </w:rPr>
        <w:t>provided</w:t>
      </w:r>
      <w:r>
        <w:rPr>
          <w:rFonts w:ascii="Times New Roman" w:hAnsi="Times New Roman"/>
          <w:sz w:val="20"/>
        </w:rPr>
        <w:t xml:space="preserve"> that (i) such Indebtedness is incurred prior to or within 180 days after such acquisition or the completion of such construction or improvement and (ii) the aggregate principal amount of Indebtedness permitted by this clause (d) shall not exceed the greater of $</w:t>
      </w:r>
      <w:r>
        <w:rPr>
          <w:rFonts w:ascii="Times New Roman" w:hAnsi="Times New Roman"/>
          <w:strike/>
          <w:color w:val="FF0000"/>
          <w:sz w:val="20"/>
        </w:rPr>
        <w:t>150,000,000</w:t>
      </w:r>
      <w:r>
        <w:rPr>
          <w:rFonts w:ascii="Times New Roman" w:hAnsi="Times New Roman"/>
          <w:color w:val="0000FF"/>
          <w:sz w:val="20"/>
          <w:u w:val="single"/>
          <w:bdr w:val="double" w:sz="2" w:space="1" w:color="000000"/>
        </w:rPr>
        <w:t>171,000,000</w:t>
      </w:r>
      <w:r>
        <w:rPr>
          <w:rFonts w:ascii="Times New Roman" w:hAnsi="Times New Roman"/>
          <w:sz w:val="20"/>
        </w:rPr>
        <w:t xml:space="preserve"> and 10% of EBITDA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(e) Indebtedness of any Loan Party or any Restricted Subsidiary secured by a Lien on any real property (including any fixtures, equipment or other fixed or capital assets located at any such real property) and extensions, renewals and replacements of any such Indebtedness in accordance with clause (f) hereof; </w:t>
      </w:r>
      <w:r>
        <w:rPr>
          <w:rFonts w:ascii="Times New Roman" w:hAnsi="Times New Roman"/>
          <w:sz w:val="20"/>
          <w:u w:val="single"/>
        </w:rPr>
        <w:t>provided</w:t>
      </w:r>
      <w:r>
        <w:rPr>
          <w:rFonts w:ascii="Times New Roman" w:hAnsi="Times New Roman"/>
          <w:sz w:val="20"/>
        </w:rPr>
        <w:t xml:space="preserve"> that (i) the Loan Party or Restricted Subsidiary has used commercially reasonable efforts to obtain an access agreement with respect to any such property subject to a Lien, in form and substance reasonably satisfactory to Administrative Agent, from the holder of such Indebtedness (it being understood that to the extent such an access agreement is not obtained, Administrative Agent may establish a Reserve in its Permitted Discretion); (ii) the aggregate outstanding principal amount of Indebtedness permitted by this clause (e) shall not at any time exceed an amount equal to 85% of the value of real estate owned or hereafter acquired by such Loan Party or such Restricted Subsidiary; and (iii) no Event of Default has occurred and is continuing at the time any such Indebtedness is incurred, or would result therefrom; </w:t>
      </w:r>
    </w:p>
    <w:p>
      <w:pPr>
        <w:pStyle w:val="TextBody"/>
        <w:bidi w:val="0"/>
        <w:spacing w:before="240" w:after="0"/>
        <w:jc w:val="left"/>
        <w:rPr>
          <w:rFonts w:ascii="Times New Roman" w:hAnsi="Times New Roman"/>
          <w:sz w:val="20"/>
        </w:rPr>
      </w:pPr>
      <w:r>
        <w:rPr>
          <w:rFonts w:ascii="Times New Roman" w:hAnsi="Times New Roman"/>
          <w:sz w:val="20"/>
        </w:rPr>
        <w:t xml:space="preserve">(f) Indebtedness which represents an extension, refinancing, replacement or renewal of any of the Indebtedness described in clauses (b), (c), (d), (e), (k), (n), (r), (s), (u), (v) and (x) hereof; </w:t>
      </w:r>
      <w:r>
        <w:rPr>
          <w:rFonts w:ascii="Times New Roman" w:hAnsi="Times New Roman"/>
          <w:sz w:val="20"/>
          <w:u w:val="single"/>
        </w:rPr>
        <w:t>provided</w:t>
      </w:r>
      <w:r>
        <w:rPr>
          <w:rFonts w:ascii="Times New Roman" w:hAnsi="Times New Roman"/>
          <w:sz w:val="20"/>
        </w:rPr>
        <w:t xml:space="preserve"> that, solely with respect to Indebtedness of the type described in clauses (b), (c) or (d), (i) the principal amount of such Indebtedness is not increased, other than by the amount of premiums paid thereon and the fees and expenses incurred in connection therewith and by the amount of unfunded commitments with respect thereto, (ii) any Liens securing such Indebtedness are not extended to any additional property of any Loan Party, (iii) no Loan Party that is not originally obligated with respect to repayment of such Indebtedness is required to become obligated with respect thereto, (iv) in the case of any extension, refinancing, replacement or renewal of any of the Indebtedness described in clauses (b), (c) or (d), such extension, refinancing, replacement or renewal does not result in a shortening of the average weighted maturity of the Indebtedness so extended, refinanced, replaced or renewed, (v) the terms of any such extension,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replacement or renewal are not materially less favorable to the obligor thereunder than the original terms of such Indebtedness, and (vi) if the Indebtedness that is refinanced, renewed, replaced or extended was subordinated in right of payment to the Secured Obligations, then the terms and conditions of the refinancing, renewal, replacement or extension Indebtedness must include subordination terms and conditions that are substantially similar to those that were applicable to the refinanced, renewed, replaced or extended Indebtedness; </w:t>
      </w:r>
      <w:r>
        <w:rPr>
          <w:rFonts w:ascii="Times New Roman" w:hAnsi="Times New Roman"/>
          <w:sz w:val="20"/>
          <w:u w:val="single"/>
        </w:rPr>
        <w:t>provided</w:t>
      </w:r>
      <w:r>
        <w:rPr>
          <w:rFonts w:ascii="Times New Roman" w:hAnsi="Times New Roman"/>
          <w:sz w:val="20"/>
        </w:rPr>
        <w:t xml:space="preserve"> further that in the case of (A) any such extension, refinancing, replacement or renewal of the Senior Notes such extension, refinancing, replacement or renewal expires not earlier than 91 days after the Scheduled Maturity Date and (B) any such extension, refinancing, replacement or renewal of the Indebtedness described in clause (x) of this Section 6.01, such extension, refinancing, replacement or renewal does not violate and continues to be subject to the applicable Permitted Term Debt Intercreditor Agreement; </w:t>
      </w:r>
    </w:p>
    <w:p>
      <w:pPr>
        <w:pStyle w:val="TextBody"/>
        <w:bidi w:val="0"/>
        <w:spacing w:before="240" w:after="0"/>
        <w:jc w:val="left"/>
        <w:rPr>
          <w:rFonts w:ascii="Times New Roman" w:hAnsi="Times New Roman"/>
          <w:sz w:val="20"/>
        </w:rPr>
      </w:pPr>
      <w:r>
        <w:rPr>
          <w:rFonts w:ascii="Times New Roman" w:hAnsi="Times New Roman"/>
          <w:sz w:val="20"/>
        </w:rPr>
        <w:t xml:space="preserve">(g) (i) Indebtedness owing by any U.S. Loan Party to any U.S. Loan Party and Guarantees by any U.S. Loan Party of Indebtedness of any U.S. Loan Party, (ii) Indebtedness owing by any Canadian Loan Party to any other Canadian Loan Party and Guarantees by any Canadian Loan Party of Indebtedness of any other Canadian Loan Party, and (iii) Indebtedness owing by any U.S. Loan Party to any Canadian Loan Party and Guarantees by any Canadian Loan Party of Indebtedness of any U.S. Loan Party, </w:t>
      </w:r>
      <w:r>
        <w:rPr>
          <w:rFonts w:ascii="Times New Roman" w:hAnsi="Times New Roman"/>
          <w:sz w:val="20"/>
          <w:u w:val="single"/>
        </w:rPr>
        <w:t>provided</w:t>
      </w:r>
      <w:r>
        <w:rPr>
          <w:rFonts w:ascii="Times New Roman" w:hAnsi="Times New Roman"/>
          <w:sz w:val="20"/>
        </w:rPr>
        <w:t xml:space="preserve"> that (A) in the case of (1) any Indebtedness owing by any U.S. Loan Party to any other U.S. Loan Party or to any Canadian Loan Party and (2) any Indebtedness owing by any Canadian Loan Party to any other Canadian Loan Party, such Indebtedness shall be subordinated to the Secured Obligations on terms reasonably satisfactory to the Administrative Agent (it being agreed that the terms of the Affiliate Subordination Agreement are satisfactory to the Administrative Agent), (B) to the extent applicable, Guarantees permitted under this clause (g) shall be subordinated to the Secured Obligations on the same terms as the Indebtedness so Guaranteed is subordinated to the Secured Obligations and (C) for purposes of this Section 6.01(g), a Canadian Cross-Border Loan Guarantor shall be treated only as a Canadian Loan Party and not as a U.S. Loan Party; </w:t>
      </w:r>
    </w:p>
    <w:p>
      <w:pPr>
        <w:pStyle w:val="TextBody"/>
        <w:bidi w:val="0"/>
        <w:spacing w:before="240" w:after="0"/>
        <w:jc w:val="left"/>
        <w:rPr>
          <w:rFonts w:ascii="Times New Roman" w:hAnsi="Times New Roman"/>
          <w:sz w:val="20"/>
        </w:rPr>
      </w:pPr>
      <w:r>
        <w:rPr>
          <w:rFonts w:ascii="Times New Roman" w:hAnsi="Times New Roman"/>
          <w:sz w:val="20"/>
        </w:rPr>
        <w:t>(h) Indebtedness (i) owing by any Canadian Loan Party to any U.S. Loan Party (</w:t>
      </w:r>
      <w:r>
        <w:rPr>
          <w:rFonts w:ascii="Times New Roman" w:hAnsi="Times New Roman"/>
          <w:sz w:val="20"/>
          <w:u w:val="single"/>
        </w:rPr>
        <w:t>provided</w:t>
      </w:r>
      <w:r>
        <w:rPr>
          <w:rFonts w:ascii="Times New Roman" w:hAnsi="Times New Roman"/>
          <w:sz w:val="20"/>
        </w:rPr>
        <w:t xml:space="preserve"> that for purposes of this Section 6.01(h), a Canadian Cross-Border Loan Guarantor shall be treated only as a Canadian Loan Party and not as a U.S. Loan Party), (ii) owing by any Foreign Subsidiary to any Loan Party, (iii) owing by any Canadian Loan Party to any unaffiliated third party for which a U.S. Loan Party has issued a Guarantee, and (iv) owing by any Foreign Subsidiary to any unaffiliated third party for which a Loan Party has issued a Guarantee, so long as: (i) the aggregate amount of all such Indebtedness owing or Guaranteed (together with the aggregate amount of all investments made pursuant to Section 6.04(c)(iii)) does not exceed at one time outstanding the sum of (x) the greater of $</w:t>
      </w:r>
      <w:r>
        <w:rPr>
          <w:rFonts w:ascii="Times New Roman" w:hAnsi="Times New Roman"/>
          <w:strike/>
          <w:color w:val="FF0000"/>
          <w:sz w:val="20"/>
        </w:rPr>
        <w:t>375,000,000</w:t>
      </w:r>
      <w:r>
        <w:rPr>
          <w:rFonts w:ascii="Times New Roman" w:hAnsi="Times New Roman"/>
          <w:color w:val="0000FF"/>
          <w:sz w:val="20"/>
          <w:u w:val="single"/>
          <w:bdr w:val="double" w:sz="2" w:space="1" w:color="000000"/>
        </w:rPr>
        <w:t>427,000,000</w:t>
      </w:r>
      <w:r>
        <w:rPr>
          <w:rFonts w:ascii="Times New Roman" w:hAnsi="Times New Roman"/>
          <w:sz w:val="20"/>
        </w:rPr>
        <w:t xml:space="preserve"> and 25% of EBITDA and (y) the net proceeds of any issuance of Equity Interests by Holdings or incurrence of Indebtedness by any U.S. Loan Party permitted under Section 6.01 (other than Indebtedness incurred under the Receivables Securitization Agreements) which Equity Interests or Indebtedness is incurred for the purpose of funding a loan or advance by such U.S. Loan Party to a Canadian Loan Party or to a Foreign Subsidiary; (ii) no Event of Default has occurred and is continuing at the time of the incurrence of any such Indebtedness or execution of such Guarantee, or would result therefrom; (iii) in the case of Indebtedness owing by any Canadian Loan Party to any U.S. Loan Party, such Indebtedness shall be subordinated to the Secured Obligations on terms reasonably satisfactory to the Administrative Agent; and (iv) Guarantees permitted under this clause (h) shall be subordinated to the Secured Obligations on the same terms as the Indebtedness so Guaranteed is subordinated to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(i) Indebtedness of any Loan Party under performance bonds or with respect to workers’ compensation, health, disability or other employee benefits or property, casualty or liability insurance, pursuant to reimbursement or indemnification obligations to such person, in each case incurred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(j) Indebtedness of any Loan Party or any Restricted Subsidiary in respect of performance bonds, bid bonds, appeal bonds, surety bonds and similar obligations, in each case provided in the ordinary course of business and so long as the aggregate amount of all Indebtedness pursuant to this clause (j) does not exceed the greater of $</w:t>
      </w:r>
      <w:r>
        <w:rPr>
          <w:rFonts w:ascii="Times New Roman" w:hAnsi="Times New Roman"/>
          <w:strike/>
          <w:color w:val="FF0000"/>
          <w:sz w:val="20"/>
        </w:rPr>
        <w:t>750,000,000</w:t>
      </w:r>
      <w:r>
        <w:rPr>
          <w:rFonts w:ascii="Times New Roman" w:hAnsi="Times New Roman"/>
          <w:color w:val="0000FF"/>
          <w:sz w:val="20"/>
          <w:u w:val="single"/>
          <w:bdr w:val="double" w:sz="2" w:space="1" w:color="000000"/>
        </w:rPr>
        <w:t xml:space="preserve">1,000,000,000 </w:t>
      </w:r>
      <w:r>
        <w:rPr>
          <w:rFonts w:ascii="Times New Roman" w:hAnsi="Times New Roman"/>
          <w:sz w:val="20"/>
        </w:rPr>
        <w:t xml:space="preserve">and 40% of EBITDA at any one time outstanding; </w:t>
      </w:r>
    </w:p>
    <w:p>
      <w:pPr>
        <w:pStyle w:val="TextBody"/>
        <w:bidi w:val="0"/>
        <w:spacing w:before="240" w:after="0"/>
        <w:jc w:val="left"/>
        <w:rPr>
          <w:rFonts w:ascii="Times New Roman" w:hAnsi="Times New Roman"/>
          <w:sz w:val="20"/>
        </w:rPr>
      </w:pPr>
      <w:r>
        <w:rPr>
          <w:rFonts w:ascii="Times New Roman" w:hAnsi="Times New Roman"/>
          <w:sz w:val="20"/>
        </w:rPr>
        <w:t>(k) Indebtedness of any Person that becomes a Restricted Subsidiary after the Fourth Restatement Date; provided that (i) such Indebtedness exists at the time such Person becomes a Subsidiary and is not created in contemplation of or in connection with such Person becoming a Subsidiary and (ii) the aggregate principal amount of Indebtedness permitted by this clause (k) shall not exceed the greater of $</w:t>
      </w:r>
      <w:r>
        <w:rPr>
          <w:rFonts w:ascii="Times New Roman" w:hAnsi="Times New Roman"/>
          <w:strike/>
          <w:color w:val="FF0000"/>
          <w:sz w:val="20"/>
        </w:rPr>
        <w:t>150,000,000</w:t>
      </w:r>
      <w:r>
        <w:rPr>
          <w:rFonts w:ascii="Times New Roman" w:hAnsi="Times New Roman"/>
          <w:color w:val="0000FF"/>
          <w:sz w:val="20"/>
          <w:u w:val="single"/>
          <w:bdr w:val="double" w:sz="2" w:space="1" w:color="000000"/>
        </w:rPr>
        <w:t xml:space="preserve">171,000,000 </w:t>
      </w:r>
      <w:r>
        <w:rPr>
          <w:rFonts w:ascii="Times New Roman" w:hAnsi="Times New Roman"/>
          <w:sz w:val="20"/>
        </w:rPr>
        <w:t xml:space="preserve">and 10% of EBITDA at any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other unsecured Indebtedness of any Loan Party (including, without limitation, Subordinated Indebtedness); </w:t>
      </w:r>
      <w:r>
        <w:rPr>
          <w:rFonts w:ascii="Times New Roman" w:hAnsi="Times New Roman"/>
          <w:sz w:val="20"/>
          <w:u w:val="single"/>
        </w:rPr>
        <w:t>provided</w:t>
      </w:r>
      <w:r>
        <w:rPr>
          <w:rFonts w:ascii="Times New Roman" w:hAnsi="Times New Roman"/>
          <w:sz w:val="20"/>
        </w:rPr>
        <w:t xml:space="preserve"> that, if such Indebtedness constitutes Material Indebtedness, (i) the stated maturity date of such Material Indebtedness is not earlier than 180 days after the Maturity Date (as such Maturity Date is in effect at the time of issuance of such Indebtedness) (other than an earlier maturity date for (1) customary bridge financings, which, subject to customary conditions (as determined by Holdings in good faith) would either be automatically converted into or required to be exchanged for permanent financing which does not provide for an earlier maturity date than 181 days after the Maturity Date (as such Maturity Date is in effect at the time of issuance of such Indebtedness) (the Indebtedness described in this clause (l), “</w:t>
      </w:r>
      <w:r>
        <w:rPr>
          <w:rFonts w:ascii="Times New Roman" w:hAnsi="Times New Roman"/>
          <w:sz w:val="20"/>
          <w:u w:val="single"/>
        </w:rPr>
        <w:t>Bridge Debt</w:t>
      </w:r>
      <w:r>
        <w:rPr>
          <w:rFonts w:ascii="Times New Roman" w:hAnsi="Times New Roman"/>
          <w:sz w:val="20"/>
        </w:rPr>
        <w:t xml:space="preserve">”), or (2) pursuant to an escrow or similar arrangement with respect to the proceeds of such Indebtedness), (ii) the scheduled annual principal amortization of such Indebtedness to occur prior to the Maturity Date (excluding any payments due at maturity of such Indebtedness) does not exceed five percent (5%) of the original principal amount of such Indebtedness, (iii) the events of default and financial covenants applicable to such Material Indebtedness, taken as a whole, are not more restrictive than those set forth in this Agreement (as determined in the reasonable business judgment of the Borrowers), and (iv) no Event of Default has occurred and is continuing at the time of the incurrence of any such Material Indebtedness or shall result therefrom; </w:t>
      </w:r>
    </w:p>
    <w:p>
      <w:pPr>
        <w:pStyle w:val="TextBody"/>
        <w:bidi w:val="0"/>
        <w:spacing w:before="240" w:after="0"/>
        <w:jc w:val="left"/>
        <w:rPr>
          <w:rFonts w:ascii="Times New Roman" w:hAnsi="Times New Roman"/>
          <w:sz w:val="20"/>
        </w:rPr>
      </w:pPr>
      <w:r>
        <w:rPr>
          <w:rFonts w:ascii="Times New Roman" w:hAnsi="Times New Roman"/>
          <w:sz w:val="20"/>
        </w:rPr>
        <w:t xml:space="preserve">(m) secured or unsecured Indebtedness of any Foreign Subsidiary which is a Restricted Subsidiary or any other Excluded Subsidiary to any financial institution or other Person (other than a Loan Party) that (i) is not Guaranteed by any Loan Party or (ii) if Guaranteed by any Loan Party, such Guarantee is permitted under Section 6.01(h); </w:t>
      </w:r>
    </w:p>
    <w:p>
      <w:pPr>
        <w:pStyle w:val="TextBody"/>
        <w:bidi w:val="0"/>
        <w:spacing w:before="240" w:after="0"/>
        <w:jc w:val="left"/>
        <w:rPr>
          <w:rFonts w:ascii="Times New Roman" w:hAnsi="Times New Roman"/>
          <w:sz w:val="20"/>
        </w:rPr>
      </w:pPr>
      <w:r>
        <w:rPr>
          <w:rFonts w:ascii="Times New Roman" w:hAnsi="Times New Roman"/>
          <w:sz w:val="20"/>
        </w:rPr>
        <w:t>(n) other Indebtedness (i) owing by any Canadian Loan Party to any U.S. Loan Party (</w:t>
      </w:r>
      <w:r>
        <w:rPr>
          <w:rFonts w:ascii="Times New Roman" w:hAnsi="Times New Roman"/>
          <w:sz w:val="20"/>
          <w:u w:val="single"/>
        </w:rPr>
        <w:t>provided</w:t>
      </w:r>
      <w:r>
        <w:rPr>
          <w:rFonts w:ascii="Times New Roman" w:hAnsi="Times New Roman"/>
          <w:sz w:val="20"/>
        </w:rPr>
        <w:t xml:space="preserve"> that for purposes of this Section 6.01(n), a Canadian Cross-Border Loan Guarantor shall be treated only as a Canadian Loan Party and not as a U.S. Loan Party), (ii) owing by any Foreign Subsidiary that is a Restricted Subsidiary to any Loan Party, (iii) owing by any Canadian Loan Party to any unaffiliated third party for which a U.S. Loan Party has issued a Guarantee, and (iv) owing by any Foreign Subsidiary that is a Restricted Subsidiary to any unaffiliated third party for which a Loan Party has issued a Guarantee, so long as at the times such Indebtedness is incurred and immediately after giving effect to such incurrence, (A) the Payment Conditions are satisfied; (B) in the case of Indebtedness owing by any Canadian Loan Party to any U.S. Loan Party or by any Foreign Subsidiary to any Loan Party, such Indebtedness shall be subordinated to the Secured Obligations on terms reasonably satisfactory to the Administrative Agent; and (C) Guarantees permitted under this clause (n) shall be subordinated to the Secured Obligations on the same terms as the Indebtedness so Guaranteed is subordinated to the Secured Obligations; provided, that the aggregate principal amount of secured Indebtedness incurred by any Loan Party pursuant to this clause (n) shall not exceed the Threshold Amount at any time outstanding; and provided further that if such Indebtedness is secured by Liens on the ABL Priority Collateral, such Liens on the ABL Priority Collateral are junior in priority to the Liens on the ABL Priority Collateral securing the Obligations, pursuant to a subordination agreement in form and substance reasonably satisfactory to the Administrative Agent and the Borrower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(o) Indebtedness with respect to Swap Agreements permitted under Section 6.07; </w:t>
      </w:r>
    </w:p>
    <w:p>
      <w:pPr>
        <w:pStyle w:val="TextBody"/>
        <w:bidi w:val="0"/>
        <w:spacing w:before="240" w:after="0"/>
        <w:jc w:val="left"/>
        <w:rPr>
          <w:rFonts w:ascii="Times New Roman" w:hAnsi="Times New Roman"/>
          <w:sz w:val="20"/>
        </w:rPr>
      </w:pPr>
      <w:r>
        <w:rPr>
          <w:rFonts w:ascii="Times New Roman" w:hAnsi="Times New Roman"/>
          <w:sz w:val="20"/>
        </w:rPr>
        <w:t xml:space="preserve">(p) Indebtedness consisting of insurance premium financing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(q) the Senior Notes; </w:t>
      </w:r>
    </w:p>
    <w:p>
      <w:pPr>
        <w:pStyle w:val="TextBody"/>
        <w:bidi w:val="0"/>
        <w:spacing w:before="240" w:after="0"/>
        <w:jc w:val="left"/>
        <w:rPr>
          <w:rFonts w:ascii="Times New Roman" w:hAnsi="Times New Roman"/>
          <w:sz w:val="20"/>
        </w:rPr>
      </w:pPr>
      <w:r>
        <w:rPr>
          <w:rFonts w:ascii="Times New Roman" w:hAnsi="Times New Roman"/>
          <w:sz w:val="20"/>
        </w:rPr>
        <w:t xml:space="preserve">(r) [reserved]; </w:t>
      </w:r>
    </w:p>
    <w:p>
      <w:pPr>
        <w:pStyle w:val="TextBody"/>
        <w:bidi w:val="0"/>
        <w:spacing w:before="240" w:after="0"/>
        <w:jc w:val="left"/>
        <w:rPr>
          <w:rFonts w:ascii="Times New Roman" w:hAnsi="Times New Roman"/>
          <w:sz w:val="20"/>
        </w:rPr>
      </w:pPr>
      <w:r>
        <w:rPr>
          <w:rFonts w:ascii="Times New Roman" w:hAnsi="Times New Roman"/>
          <w:sz w:val="20"/>
        </w:rPr>
        <w:t xml:space="preserve">(s) to the extent constituting Indebtedness, Indebtedness in respect of loans constituting Investments permitted by Section 6.04; </w:t>
      </w:r>
    </w:p>
    <w:p>
      <w:pPr>
        <w:pStyle w:val="TextBody"/>
        <w:bidi w:val="0"/>
        <w:spacing w:before="240" w:after="0"/>
        <w:jc w:val="left"/>
        <w:rPr>
          <w:rFonts w:ascii="Times New Roman" w:hAnsi="Times New Roman"/>
          <w:sz w:val="20"/>
        </w:rPr>
      </w:pPr>
      <w:r>
        <w:rPr>
          <w:rFonts w:ascii="Times New Roman" w:hAnsi="Times New Roman"/>
          <w:sz w:val="20"/>
        </w:rPr>
        <w:t xml:space="preserve">(t) to the extent constituting Indebtedness, judgments not constituting Events of Default under clause (l) of Article VIII; </w:t>
      </w:r>
    </w:p>
    <w:p>
      <w:pPr>
        <w:pStyle w:val="TextBody"/>
        <w:bidi w:val="0"/>
        <w:spacing w:before="240" w:after="0"/>
        <w:jc w:val="left"/>
        <w:rPr>
          <w:rFonts w:ascii="Times New Roman" w:hAnsi="Times New Roman"/>
          <w:sz w:val="20"/>
        </w:rPr>
      </w:pPr>
      <w:r>
        <w:rPr>
          <w:rFonts w:ascii="Times New Roman" w:hAnsi="Times New Roman"/>
          <w:sz w:val="20"/>
        </w:rPr>
        <w:t>(u) to the extent constituting Indebtedness, Indebtedness in an aggregate principal amount not in excess of the greater of $</w:t>
      </w:r>
      <w:r>
        <w:rPr>
          <w:rFonts w:ascii="Times New Roman" w:hAnsi="Times New Roman"/>
          <w:strike/>
          <w:color w:val="FF0000"/>
          <w:sz w:val="20"/>
        </w:rPr>
        <w:t>75,000,000</w:t>
      </w:r>
      <w:r>
        <w:rPr>
          <w:rFonts w:ascii="Times New Roman" w:hAnsi="Times New Roman"/>
          <w:color w:val="0000FF"/>
          <w:sz w:val="20"/>
          <w:u w:val="single"/>
          <w:bdr w:val="double" w:sz="2" w:space="1" w:color="000000"/>
        </w:rPr>
        <w:t>85,000,000</w:t>
      </w:r>
      <w:r>
        <w:rPr>
          <w:rFonts w:ascii="Times New Roman" w:hAnsi="Times New Roman"/>
          <w:sz w:val="20"/>
        </w:rPr>
        <w:t xml:space="preserve"> and 5% of EBITDA at any time outstanding incurred in connection with customary supply chain financing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Indebtedness of Holdings and its Subsidiaries in respect of earn-outs or deferred purchase price owing to the sellers of assets or Equity Interests incurred in connection with the consummation of the Transactions, Permitted Acquisitions or Investments permitted by Section 6.04, so long as the aggregate outstanding principal amount of such Indebtedness does not exceed the greater of $</w:t>
      </w:r>
      <w:r>
        <w:rPr>
          <w:rFonts w:ascii="Times New Roman" w:hAnsi="Times New Roman"/>
          <w:strike/>
          <w:color w:val="FF0000"/>
          <w:sz w:val="20"/>
        </w:rPr>
        <w:t>70,000,000</w:t>
      </w:r>
      <w:r>
        <w:rPr>
          <w:rFonts w:ascii="Times New Roman" w:hAnsi="Times New Roman"/>
          <w:color w:val="0000FF"/>
          <w:sz w:val="20"/>
          <w:u w:val="single"/>
          <w:bdr w:val="double" w:sz="2" w:space="1" w:color="000000"/>
        </w:rPr>
        <w:t xml:space="preserve">120,000,000 </w:t>
      </w:r>
      <w:r>
        <w:rPr>
          <w:rFonts w:ascii="Times New Roman" w:hAnsi="Times New Roman"/>
          <w:sz w:val="20"/>
        </w:rPr>
        <w:t xml:space="preserve">and 7% of EBITDA at any time; </w:t>
      </w:r>
      <w:r>
        <w:rPr>
          <w:rFonts w:ascii="Times New Roman" w:hAnsi="Times New Roman"/>
          <w:sz w:val="20"/>
          <w:u w:val="single"/>
        </w:rPr>
        <w:t>provided</w:t>
      </w:r>
      <w:r>
        <w:rPr>
          <w:rFonts w:ascii="Times New Roman" w:hAnsi="Times New Roman"/>
          <w:sz w:val="20"/>
        </w:rPr>
        <w:t xml:space="preserve"> that if such Indebtedness is secured by Liens on the ABL Priority Collateral, such Liens on the ABL Priority Collateral are junior in priority to the Liens on the ABL Priority Collateral securing the Obligations, pursuant to a subordination agreement in form and substance reasonably satisfactory to the Administrative Agent and the Borrower Representative; </w:t>
      </w:r>
    </w:p>
    <w:p>
      <w:pPr>
        <w:pStyle w:val="TextBody"/>
        <w:bidi w:val="0"/>
        <w:spacing w:before="240" w:after="0"/>
        <w:jc w:val="left"/>
        <w:rPr>
          <w:rFonts w:ascii="Times New Roman" w:hAnsi="Times New Roman"/>
          <w:sz w:val="20"/>
        </w:rPr>
      </w:pPr>
      <w:r>
        <w:rPr>
          <w:rFonts w:ascii="Times New Roman" w:hAnsi="Times New Roman"/>
          <w:sz w:val="20"/>
        </w:rPr>
        <w:t>(w) Indebtedness not otherwise permitted by this Section 6.01 so long as the aggregate outstanding principal amount of such Indebtedness does not exceed the greater of $</w:t>
      </w:r>
      <w:r>
        <w:rPr>
          <w:rFonts w:ascii="Times New Roman" w:hAnsi="Times New Roman"/>
          <w:strike/>
          <w:color w:val="FF0000"/>
          <w:sz w:val="20"/>
        </w:rPr>
        <w:t>185,000,000</w:t>
      </w:r>
      <w:r>
        <w:rPr>
          <w:rFonts w:ascii="Times New Roman" w:hAnsi="Times New Roman"/>
          <w:color w:val="0000FF"/>
          <w:sz w:val="20"/>
          <w:u w:val="single"/>
          <w:bdr w:val="double" w:sz="2" w:space="1" w:color="000000"/>
        </w:rPr>
        <w:t xml:space="preserve">214,000,000 </w:t>
      </w:r>
      <w:r>
        <w:rPr>
          <w:rFonts w:ascii="Times New Roman" w:hAnsi="Times New Roman"/>
          <w:sz w:val="20"/>
        </w:rPr>
        <w:t xml:space="preserve">and 12.5% of EBITDA at any time; and </w:t>
      </w:r>
    </w:p>
    <w:p>
      <w:pPr>
        <w:pStyle w:val="TextBody"/>
        <w:bidi w:val="0"/>
        <w:spacing w:before="240" w:after="0"/>
        <w:jc w:val="left"/>
        <w:rPr>
          <w:rFonts w:ascii="Times New Roman" w:hAnsi="Times New Roman"/>
          <w:sz w:val="20"/>
        </w:rPr>
      </w:pPr>
      <w:r>
        <w:rPr>
          <w:rFonts w:ascii="Times New Roman" w:hAnsi="Times New Roman"/>
          <w:sz w:val="20"/>
        </w:rPr>
        <w:t xml:space="preserve">(x) term loan Indebtedness, secured notes or other secured Indebtedness incurred after the Fourth Restatement Date, including any refinancing or replacement thereof; </w:t>
      </w:r>
      <w:r>
        <w:rPr>
          <w:rFonts w:ascii="Times New Roman" w:hAnsi="Times New Roman"/>
          <w:sz w:val="20"/>
          <w:u w:val="single"/>
        </w:rPr>
        <w:t>provided</w:t>
      </w:r>
      <w:r>
        <w:rPr>
          <w:rFonts w:ascii="Times New Roman" w:hAnsi="Times New Roman"/>
          <w:sz w:val="20"/>
        </w:rPr>
        <w:t xml:space="preserve"> that (i) at the time such Indebtedness is incurred and after giving effect thereto, (x) the Secured Leverage Ratio does not exceed 4.50 to 1.00, and (y) no Event of Default shall have occurred and be continuing, (ii) the stated maturity date of such Indebtedness is not earlier than 91 days after the Maturity Date (as such Maturity Date is in effect at the time of issuance of such Indebtedness) (other than an earlier maturity date for (1) Bridge Debt or (2) pursuant to an escrow or similar arrangement with respect to the proceeds of such Indebtedness), (iii) the scheduled annual principal amortization of such Indebtedness to occur prior to the Maturity Date (excluding any payments due at maturity of such Indebtedness) does not exceed five percent (5%) of the original principal amount of such Indebtedness, (iv) the events of default </w:t>
      </w:r>
      <w:r>
        <w:rPr>
          <w:rFonts w:ascii="Times New Roman" w:hAnsi="Times New Roman"/>
          <w:strike/>
          <w:color w:val="FF0000"/>
          <w:sz w:val="20"/>
        </w:rPr>
        <w:t>and financial covenants</w:t>
      </w:r>
      <w:r>
        <w:rPr>
          <w:rFonts w:ascii="Times New Roman" w:hAnsi="Times New Roman"/>
          <w:sz w:val="20"/>
        </w:rPr>
        <w:t xml:space="preserve"> applicable to such Indebtedness, taken as a whole, are not more restrictive than those set forth in this Agreement</w:t>
      </w:r>
      <w:r>
        <w:rPr>
          <w:rFonts w:ascii="Times New Roman" w:hAnsi="Times New Roman"/>
          <w:strike/>
          <w:color w:val="FF0000"/>
          <w:sz w:val="20"/>
        </w:rPr>
        <w:t xml:space="preserve">, </w:t>
      </w:r>
      <w:r>
        <w:rPr>
          <w:rFonts w:ascii="Times New Roman" w:hAnsi="Times New Roman"/>
          <w:color w:val="0000FF"/>
          <w:sz w:val="20"/>
          <w:u w:val="single"/>
          <w:bdr w:val="double" w:sz="2" w:space="1" w:color="000000"/>
        </w:rPr>
        <w:t>(as determined by the Borrower Representative in good faith),</w:t>
      </w:r>
      <w:r>
        <w:rPr>
          <w:rFonts w:ascii="Times New Roman" w:hAnsi="Times New Roman"/>
          <w:sz w:val="20"/>
        </w:rPr>
        <w:t xml:space="preserve"> and (v) any Liens securing such Indebtedness (x) if on ABL Priority Collateral, are junior in priority to the Liens on the ABL Priority Collateral securing the Obligations and (y) if on Collateral not constituting ABL Priority Collateral, may be pari passu, senior or junior in priority to the Liens on the Collateral not constituting ABL Priority Collateral securing the Obligations, in each case in clause (x) or (y), pursuant to a Permitted Term Debt Intercreditor Agreement. Any Indebtedness incurred in reliance on this Section 6.01(x) is referred to in this Agreement as “</w:t>
      </w:r>
      <w:r>
        <w:rPr>
          <w:rFonts w:ascii="Times New Roman" w:hAnsi="Times New Roman"/>
          <w:sz w:val="20"/>
          <w:u w:val="single"/>
        </w:rPr>
        <w:t>Permitted Term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trike/>
          <w:color w:val="FF0000"/>
          <w:sz w:val="20"/>
        </w:rPr>
        <w:t>For greater certainty, the Borrowers may elect from time to time to consider Indebtedness as falling within one or more of the categories above and may divide Indebtedness among two or more categories. The restrictions set forth in any subpart of this Section 6.01 by way of description of Indebtedness shall not be deemed to require that Indebtedness meeting such description be placed in such subpart for purposes of determining compliance with this Section.</w:t>
      </w:r>
      <w:r>
        <w:rPr>
          <w:rFonts w:ascii="Times New Roman" w:hAnsi="Times New Roman"/>
          <w:sz w:val="20"/>
        </w:rPr>
        <w:t xml:space="preserve"> The accrual of interest, the accretion of accreted value, the accretion of original issue discount, the accretion of liquidation preference and increases in the amount of Indebtedness or other obligations solely as a result of fluctuations in the exchange rate of currencies shall not be deemed to be an incurrence of Indebtedness or other obligations for purposes of this Section 6.01. </w:t>
      </w:r>
    </w:p>
    <w:p>
      <w:pPr>
        <w:pStyle w:val="TextBody"/>
        <w:bidi w:val="0"/>
        <w:spacing w:before="240" w:after="0"/>
        <w:jc w:val="left"/>
        <w:rPr>
          <w:rFonts w:ascii="Times New Roman" w:hAnsi="Times New Roman"/>
          <w:sz w:val="20"/>
        </w:rPr>
      </w:pPr>
      <w:r>
        <w:rPr>
          <w:rFonts w:ascii="Times New Roman" w:hAnsi="Times New Roman"/>
          <w:sz w:val="20"/>
          <w:u w:val="single"/>
        </w:rPr>
        <w:t>SECTION 6.02 Liens</w:t>
      </w:r>
      <w:r>
        <w:rPr>
          <w:rFonts w:ascii="Times New Roman" w:hAnsi="Times New Roman"/>
          <w:sz w:val="20"/>
        </w:rPr>
        <w:t xml:space="preserve">. No Loan Party will, nor will it permit any Restricted Subsidiary to, create, incur, assume or permit to exist any Lien on any property or asset now owned or hereafter acquired by it, or assign or sell any income or revenues (including accounts receivable) or rights in respect of any thereof, except: </w:t>
      </w:r>
    </w:p>
    <w:p>
      <w:pPr>
        <w:pStyle w:val="TextBody"/>
        <w:bidi w:val="0"/>
        <w:spacing w:before="120" w:after="0"/>
        <w:jc w:val="left"/>
        <w:rPr>
          <w:rFonts w:ascii="Times New Roman" w:hAnsi="Times New Roman"/>
          <w:sz w:val="20"/>
        </w:rPr>
      </w:pPr>
      <w:r>
        <w:rPr>
          <w:rFonts w:ascii="Times New Roman" w:hAnsi="Times New Roman"/>
          <w:sz w:val="20"/>
        </w:rPr>
        <w:t xml:space="preserve">(a) Liens created pursuant to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(b) any Lien on any property or asset of any Borrower or any Restricted Subsidiary existing on the Fourth Restatement Date and set forth in </w:t>
      </w:r>
      <w:r>
        <w:rPr>
          <w:rFonts w:ascii="Times New Roman" w:hAnsi="Times New Roman"/>
          <w:sz w:val="20"/>
          <w:u w:val="single"/>
        </w:rPr>
        <w:t>Schedule 6.02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Lien shall not apply to any other property or asset of such Borrower or Restricted Subsidiary and (ii) such Lien shall secure only those obligations which it secures on the Fourth Restatement Date and extensions, renewals and replacements thereof that do not increase the outstanding principal amount thereof to the extent permitted by Section 6.01(f); </w:t>
      </w:r>
    </w:p>
    <w:p>
      <w:pPr>
        <w:pStyle w:val="TextBody"/>
        <w:bidi w:val="0"/>
        <w:spacing w:before="240" w:after="0"/>
        <w:jc w:val="left"/>
        <w:rPr>
          <w:rFonts w:ascii="Times New Roman" w:hAnsi="Times New Roman"/>
          <w:sz w:val="20"/>
        </w:rPr>
      </w:pPr>
      <w:r>
        <w:rPr>
          <w:rFonts w:ascii="Times New Roman" w:hAnsi="Times New Roman"/>
          <w:sz w:val="20"/>
        </w:rPr>
        <w:t xml:space="preserve">(c) Liens on Accounts sold to WESCO Receivables pursuant to the Receivables Securitization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Liens on fixed or capital assets acquired, constructed or improved by any Loan Party; </w:t>
      </w:r>
      <w:r>
        <w:rPr>
          <w:rFonts w:ascii="Times New Roman" w:hAnsi="Times New Roman"/>
          <w:sz w:val="20"/>
          <w:u w:val="single"/>
        </w:rPr>
        <w:t>provided</w:t>
      </w:r>
      <w:r>
        <w:rPr>
          <w:rFonts w:ascii="Times New Roman" w:hAnsi="Times New Roman"/>
          <w:sz w:val="20"/>
        </w:rPr>
        <w:t xml:space="preserve"> that (i) such security interests secure Indebtedness permitted by clause (d) of Section 6.01, (ii) such security interests and the Indebtedness secured thereby are incurred prior to or within 180 days after such acquisition or the completion of such construction or improvement, (iii) the Indebtedness secured thereby does not exceed 100% of the cost of acquiring, constructing or improving such fixed or capital assets and (iv) such security interests shall not apply to any other property or assets of such Borrower or Subsidiary or any other Borrower or Subsidiary; </w:t>
      </w:r>
    </w:p>
    <w:p>
      <w:pPr>
        <w:pStyle w:val="TextBody"/>
        <w:bidi w:val="0"/>
        <w:spacing w:before="240" w:after="0"/>
        <w:jc w:val="left"/>
        <w:rPr>
          <w:rFonts w:ascii="Times New Roman" w:hAnsi="Times New Roman"/>
          <w:sz w:val="20"/>
        </w:rPr>
      </w:pPr>
      <w:r>
        <w:rPr>
          <w:rFonts w:ascii="Times New Roman" w:hAnsi="Times New Roman"/>
          <w:sz w:val="20"/>
        </w:rPr>
        <w:t xml:space="preserve">(e) Liens on real property, and fixed and capital assets (including equipment); </w:t>
      </w:r>
      <w:r>
        <w:rPr>
          <w:rFonts w:ascii="Times New Roman" w:hAnsi="Times New Roman"/>
          <w:sz w:val="20"/>
          <w:u w:val="single"/>
        </w:rPr>
        <w:t>provided</w:t>
      </w:r>
      <w:r>
        <w:rPr>
          <w:rFonts w:ascii="Times New Roman" w:hAnsi="Times New Roman"/>
          <w:sz w:val="20"/>
        </w:rPr>
        <w:t xml:space="preserve"> that (i) such security interests secure Indebtedness permitted by clause (e) of Section 6.01, and (ii) such security interests shall not apply to any other property or assets of such Borrower or Subsidiary or any other Borrower or Subsidiary; </w:t>
      </w:r>
    </w:p>
    <w:p>
      <w:pPr>
        <w:pStyle w:val="TextBody"/>
        <w:bidi w:val="0"/>
        <w:spacing w:before="240" w:after="0"/>
        <w:jc w:val="left"/>
        <w:rPr>
          <w:rFonts w:ascii="Times New Roman" w:hAnsi="Times New Roman"/>
          <w:sz w:val="20"/>
        </w:rPr>
      </w:pPr>
      <w:r>
        <w:rPr>
          <w:rFonts w:ascii="Times New Roman" w:hAnsi="Times New Roman"/>
          <w:sz w:val="20"/>
        </w:rPr>
        <w:t xml:space="preserve">(f) any Lien existing on any property or asset prior to the acquisition thereof by any Loan Party or existing on any property or asset of any Person that becomes a Loan Party after the Fourth Restatement Date prior to the time such Person becomes a Loan Party; </w:t>
      </w:r>
      <w:r>
        <w:rPr>
          <w:rFonts w:ascii="Times New Roman" w:hAnsi="Times New Roman"/>
          <w:sz w:val="20"/>
          <w:u w:val="single"/>
        </w:rPr>
        <w:t>provided</w:t>
      </w:r>
      <w:r>
        <w:rPr>
          <w:rFonts w:ascii="Times New Roman" w:hAnsi="Times New Roman"/>
          <w:sz w:val="20"/>
        </w:rPr>
        <w:t xml:space="preserve"> that (i) such Lien is not created in contemplation of or in connection with such acquisition or such Person becoming a Loan Party, as the case may be, (ii) such Lien shall not apply to any other property or assets of the Loan Party, (iii) such Lien shall secure only those obligations which it secures on the date of such acquisition or the date such Person becomes a Loan Party, as the case may be and extensions, renewals and replacements thereof to the extent permitted by Section 6.01(f), and (iv) to the extent that Accounts or Inventory are subject to any such Lien, the Loan Parties shall cause the portion of such Lien covering Accounts and/or Inventory to be released within 45 days after such Lien shall have been incurred (or such later date as the Administrative Agent in its Permitted Discretion shall agree in writing) and no Accounts or Inventory subject to such Lien shall be eligible for inclusion in any portion of the Aggregate Borrowing Base until such time as such Lien shall have been released with respect to such Accounts or Inventory; </w:t>
      </w:r>
    </w:p>
    <w:p>
      <w:pPr>
        <w:pStyle w:val="TextBody"/>
        <w:bidi w:val="0"/>
        <w:spacing w:before="240" w:after="0"/>
        <w:jc w:val="left"/>
        <w:rPr>
          <w:rFonts w:ascii="Times New Roman" w:hAnsi="Times New Roman"/>
          <w:sz w:val="20"/>
        </w:rPr>
      </w:pPr>
      <w:r>
        <w:rPr>
          <w:rFonts w:ascii="Times New Roman" w:hAnsi="Times New Roman"/>
          <w:sz w:val="20"/>
        </w:rPr>
        <w:t xml:space="preserve">(g) Liens of a collecting bank arising in the ordinary course of business under Section 4-208 of the Uniform Commercial Code in effect in the relevant jurisdiction covering only the items being collected upon; </w:t>
      </w:r>
    </w:p>
    <w:p>
      <w:pPr>
        <w:pStyle w:val="TextBody"/>
        <w:bidi w:val="0"/>
        <w:spacing w:before="240" w:after="0"/>
        <w:jc w:val="left"/>
        <w:rPr>
          <w:rFonts w:ascii="Times New Roman" w:hAnsi="Times New Roman"/>
          <w:sz w:val="20"/>
        </w:rPr>
      </w:pPr>
      <w:r>
        <w:rPr>
          <w:rFonts w:ascii="Times New Roman" w:hAnsi="Times New Roman"/>
          <w:sz w:val="20"/>
        </w:rPr>
        <w:t xml:space="preserve">(h) Liens arising out of sale and leaseback transactions permitted by Section 6.06; </w:t>
      </w:r>
    </w:p>
    <w:p>
      <w:pPr>
        <w:pStyle w:val="TextBody"/>
        <w:bidi w:val="0"/>
        <w:spacing w:before="240" w:after="0"/>
        <w:jc w:val="left"/>
        <w:rPr>
          <w:rFonts w:ascii="Times New Roman" w:hAnsi="Times New Roman"/>
          <w:sz w:val="20"/>
        </w:rPr>
      </w:pPr>
      <w:r>
        <w:rPr>
          <w:rFonts w:ascii="Times New Roman" w:hAnsi="Times New Roman"/>
          <w:sz w:val="20"/>
        </w:rPr>
        <w:t xml:space="preserve">(i) any interest of title of a lessor under, and Liens arising from UCC financing statements (or equivalent filings, registrations or agreements in foreign jurisdictions) relating to, leases permitted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(k) Liens granted by a Restricted Subsidiary that is not a Loan Party in favor of any Borrower or another Loan Party in respect of Indebtedness owed by such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(l) Liens granted by any Foreign Subsidiary which is a Restricted Subsidiary on assets of such Foreign Subsidiary not constituting Collateral; </w:t>
      </w:r>
    </w:p>
    <w:p>
      <w:pPr>
        <w:pStyle w:val="TextBody"/>
        <w:bidi w:val="0"/>
        <w:spacing w:before="240" w:after="0"/>
        <w:jc w:val="left"/>
        <w:rPr>
          <w:rFonts w:ascii="Times New Roman" w:hAnsi="Times New Roman"/>
          <w:sz w:val="20"/>
        </w:rPr>
      </w:pPr>
      <w:r>
        <w:rPr>
          <w:rFonts w:ascii="Times New Roman" w:hAnsi="Times New Roman"/>
          <w:sz w:val="20"/>
        </w:rPr>
        <w:t xml:space="preserve">(m) customary Liens on assets subject to a pending disposition prior to the effectiveness of such disposition; </w:t>
      </w:r>
    </w:p>
    <w:p>
      <w:pPr>
        <w:pStyle w:val="TextBody"/>
        <w:bidi w:val="0"/>
        <w:spacing w:before="240" w:after="0"/>
        <w:jc w:val="left"/>
        <w:rPr>
          <w:rFonts w:ascii="Times New Roman" w:hAnsi="Times New Roman"/>
          <w:sz w:val="20"/>
        </w:rPr>
      </w:pPr>
      <w:r>
        <w:rPr>
          <w:rFonts w:ascii="Times New Roman" w:hAnsi="Times New Roman"/>
          <w:sz w:val="20"/>
        </w:rPr>
        <w:t xml:space="preserve">(n) all reservations in the original grant from the Crown in right of Canada or any Province or Territory thereof of any lands or interests therein and all statutory exceptions, qualifications and reservations in respect of title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(o) security given by any Loan Party or Restricted Subsidiary to a public utility or any municipality or governmental or other public authority when required by such public utility or municipality or other governmental authority in the ordinary course of business of any Loan Party or Restricted Subsidiary in connection with such Loan Party’s or Restricted Subsidiary’s operations; </w:t>
      </w:r>
      <w:r>
        <w:rPr>
          <w:rFonts w:ascii="Times New Roman" w:hAnsi="Times New Roman"/>
          <w:sz w:val="20"/>
          <w:u w:val="single"/>
        </w:rPr>
        <w:t>provided</w:t>
      </w:r>
      <w:r>
        <w:rPr>
          <w:rFonts w:ascii="Times New Roman" w:hAnsi="Times New Roman"/>
          <w:sz w:val="20"/>
        </w:rPr>
        <w:t xml:space="preserve"> such security does not either alone or in the aggregate materially detract from the value of the property or assets affected thereby or materially impair its use in the conduct of such Loan Party’s or Restricted Subsidiary’s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the right reserved to or vested in any municipality or governmental of other public authority by the terms of any lease, license, franchise, grant or permit acquired by any Loan Party or Restricted Subsidiary or by any statutory provision to terminate any such lease, license, franchise, grant or permit or to require annual or other periodic payments as a condition of the continuance thereof; </w:t>
      </w:r>
    </w:p>
    <w:p>
      <w:pPr>
        <w:pStyle w:val="TextBody"/>
        <w:bidi w:val="0"/>
        <w:spacing w:before="240" w:after="0"/>
        <w:jc w:val="left"/>
        <w:rPr>
          <w:rFonts w:ascii="Times New Roman" w:hAnsi="Times New Roman"/>
          <w:sz w:val="20"/>
        </w:rPr>
      </w:pPr>
      <w:r>
        <w:rPr>
          <w:rFonts w:ascii="Times New Roman" w:hAnsi="Times New Roman"/>
          <w:sz w:val="20"/>
        </w:rPr>
        <w:t xml:space="preserve">(q) subdivision agreements, site plan control agreements, development agreements, servicing agreements, utility agreements and other similar agreements with a Governmental Authority or public utilities that do not materially impair the use, operation or marketability of the applicable real property, </w:t>
      </w:r>
      <w:r>
        <w:rPr>
          <w:rFonts w:ascii="Times New Roman" w:hAnsi="Times New Roman"/>
          <w:sz w:val="20"/>
          <w:u w:val="single"/>
        </w:rPr>
        <w:t>provided</w:t>
      </w:r>
      <w:r>
        <w:rPr>
          <w:rFonts w:ascii="Times New Roman" w:hAnsi="Times New Roman"/>
          <w:sz w:val="20"/>
        </w:rPr>
        <w:t xml:space="preserve"> such have in each case been complied with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(r) any rights of expropriation, access or user or any similar rights conferred or reserved by or in any statutes of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(s) Liens securing Indebtedness permitted by Section 6.01(n); </w:t>
      </w:r>
    </w:p>
    <w:p>
      <w:pPr>
        <w:pStyle w:val="TextBody"/>
        <w:bidi w:val="0"/>
        <w:spacing w:before="240" w:after="0"/>
        <w:jc w:val="left"/>
        <w:rPr>
          <w:rFonts w:ascii="Times New Roman" w:hAnsi="Times New Roman"/>
          <w:sz w:val="20"/>
        </w:rPr>
      </w:pPr>
      <w:r>
        <w:rPr>
          <w:rFonts w:ascii="Times New Roman" w:hAnsi="Times New Roman"/>
          <w:sz w:val="20"/>
        </w:rPr>
        <w:t xml:space="preserve">(t) Liens securing Indebtedness under Section 6.01(u); </w:t>
      </w:r>
      <w:r>
        <w:rPr>
          <w:rFonts w:ascii="Times New Roman" w:hAnsi="Times New Roman"/>
          <w:sz w:val="20"/>
          <w:u w:val="single"/>
        </w:rPr>
        <w:t>provided</w:t>
      </w:r>
      <w:r>
        <w:rPr>
          <w:rFonts w:ascii="Times New Roman" w:hAnsi="Times New Roman"/>
          <w:sz w:val="20"/>
        </w:rPr>
        <w:t xml:space="preserve"> that such Liens shall only encumber the Accounts sold in connection with each such supply chain financing arrangement and any supporting obligations related thereto; </w:t>
      </w:r>
    </w:p>
    <w:p>
      <w:pPr>
        <w:pStyle w:val="TextBody"/>
        <w:bidi w:val="0"/>
        <w:spacing w:before="240" w:after="0"/>
        <w:jc w:val="left"/>
        <w:rPr>
          <w:rFonts w:ascii="Times New Roman" w:hAnsi="Times New Roman"/>
          <w:sz w:val="20"/>
        </w:rPr>
      </w:pPr>
      <w:r>
        <w:rPr>
          <w:rFonts w:ascii="Times New Roman" w:hAnsi="Times New Roman"/>
          <w:sz w:val="20"/>
        </w:rPr>
        <w:t>(u) Liens not otherwise permitted by this Section 6.02 so long as (i) the aggregate outstanding principal amount of the obligations secured thereby does not at any time exceed the greater of $</w:t>
      </w:r>
      <w:r>
        <w:rPr>
          <w:rFonts w:ascii="Times New Roman" w:hAnsi="Times New Roman"/>
          <w:strike/>
          <w:color w:val="FF0000"/>
          <w:sz w:val="20"/>
        </w:rPr>
        <w:t>185,000,000</w:t>
      </w:r>
      <w:r>
        <w:rPr>
          <w:rFonts w:ascii="Times New Roman" w:hAnsi="Times New Roman"/>
          <w:color w:val="0000FF"/>
          <w:sz w:val="20"/>
          <w:u w:val="single"/>
          <w:bdr w:val="double" w:sz="2" w:space="1" w:color="000000"/>
        </w:rPr>
        <w:t>214,000,000</w:t>
      </w:r>
      <w:r>
        <w:rPr>
          <w:rFonts w:ascii="Times New Roman" w:hAnsi="Times New Roman"/>
          <w:sz w:val="20"/>
        </w:rPr>
        <w:t xml:space="preserve"> and 12.5% of EBITDA and (ii) to the extent that any ABL Priority Collateral in excess of the greater of $</w:t>
      </w:r>
      <w:r>
        <w:rPr>
          <w:rFonts w:ascii="Times New Roman" w:hAnsi="Times New Roman"/>
          <w:strike/>
          <w:color w:val="FF0000"/>
          <w:sz w:val="20"/>
        </w:rPr>
        <w:t>15,000,000</w:t>
      </w:r>
      <w:r>
        <w:rPr>
          <w:rFonts w:ascii="Times New Roman" w:hAnsi="Times New Roman"/>
          <w:color w:val="0000FF"/>
          <w:sz w:val="20"/>
          <w:u w:val="single"/>
          <w:bdr w:val="double" w:sz="2" w:space="1" w:color="000000"/>
        </w:rPr>
        <w:t xml:space="preserve">17,000,000 </w:t>
      </w:r>
      <w:r>
        <w:rPr>
          <w:rFonts w:ascii="Times New Roman" w:hAnsi="Times New Roman"/>
          <w:sz w:val="20"/>
        </w:rPr>
        <w:t xml:space="preserve">and 1% of EBITDA is subject to any such Lien, (x) the Loan Parties shall cause the portion of such Lien covering ABL Priority Collateral to be released within 45 days after such Lien shall have been incurred (or such later date as the Administrative Agent in its Permitted Discretion shall agree in writing) and (y) no Accounts or Inventory subject to such Lien shall be eligible for inclusion in any portion of the Aggregate Borrowing Base until such time as such Lien shall have been released with respect to such Accounts or Inventory; </w:t>
      </w:r>
    </w:p>
    <w:p>
      <w:pPr>
        <w:pStyle w:val="TextBody"/>
        <w:bidi w:val="0"/>
        <w:spacing w:before="240" w:after="0"/>
        <w:jc w:val="left"/>
        <w:rPr>
          <w:rFonts w:ascii="Times New Roman" w:hAnsi="Times New Roman"/>
          <w:sz w:val="20"/>
        </w:rPr>
      </w:pPr>
      <w:r>
        <w:rPr>
          <w:rFonts w:ascii="Times New Roman" w:hAnsi="Times New Roman"/>
          <w:sz w:val="20"/>
        </w:rPr>
        <w:t xml:space="preserve">(v) Liens securing Indebtedness permitted under Section 6.01(x); </w:t>
      </w:r>
      <w:r>
        <w:rPr>
          <w:rFonts w:ascii="Times New Roman" w:hAnsi="Times New Roman"/>
          <w:sz w:val="20"/>
          <w:u w:val="single"/>
        </w:rPr>
        <w:t>provided,</w:t>
      </w:r>
      <w:r>
        <w:rPr>
          <w:rFonts w:ascii="Times New Roman" w:hAnsi="Times New Roman"/>
          <w:sz w:val="20"/>
        </w:rPr>
        <w:t xml:space="preserve"> that (i) the Liens of any Permitted Term Debt Agent on any ABL Priority Collateral shall be junior and subordinate to the Liens of the Administrative Agent on such Collateral as provided by the applicable Permitted Term Debt Intercreditor Agreement and (ii) the rights and remedies of the Permitted Term Debt Agent and the lenders party to any Permitted Term Loan Agreement with respect to such Indebtedness shall be subject to the applicable Permitted Term Debt Intercreditor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 Liens in connection with any factoring arrangement into which Accounts are permitted to be sold under this Agreement; </w:t>
      </w:r>
      <w:r>
        <w:rPr>
          <w:rFonts w:ascii="Times New Roman" w:hAnsi="Times New Roman"/>
          <w:sz w:val="20"/>
          <w:u w:val="single"/>
        </w:rPr>
        <w:t>provided</w:t>
      </w:r>
      <w:r>
        <w:rPr>
          <w:rFonts w:ascii="Times New Roman" w:hAnsi="Times New Roman"/>
          <w:sz w:val="20"/>
        </w:rPr>
        <w:t xml:space="preserve"> that such Liens shall only encumber the Accounts sold in connection with each such factoring arrangement and any supporting obligations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none of the Liens permitted pursuant to this Section 6.02 may at any time attach to any Loan Party’s (A) Accounts, other than (x) those permitted under clause (a) of the definition of Permitted Encumbrance and clauses (a), (g), (m), (n), (o), (t), (u), (v) and (w) above, and (y) Accounts sold to WESCO Receivables pursuant to the Receivables Securitization Agreements or (B) Inventory, other than those permitted under clauses (a) and (b) of the definition of Permitted Encumbrance and clauses (a), (m), (n), (t), (u) and (v) above. </w:t>
      </w:r>
    </w:p>
    <w:p>
      <w:pPr>
        <w:pStyle w:val="TextBody"/>
        <w:bidi w:val="0"/>
        <w:spacing w:before="240" w:after="0"/>
        <w:jc w:val="left"/>
        <w:rPr>
          <w:rFonts w:ascii="Times New Roman" w:hAnsi="Times New Roman"/>
          <w:sz w:val="20"/>
        </w:rPr>
      </w:pPr>
      <w:r>
        <w:rPr>
          <w:rFonts w:ascii="Times New Roman" w:hAnsi="Times New Roman"/>
          <w:sz w:val="20"/>
          <w:u w:val="single"/>
        </w:rPr>
        <w:t>SECTION 6.03 Fundamental Changes</w:t>
      </w:r>
      <w:r>
        <w:rPr>
          <w:rFonts w:ascii="Times New Roman" w:hAnsi="Times New Roman"/>
          <w:sz w:val="20"/>
        </w:rPr>
        <w:t>. (a) No Loan Party will, nor will it permit any Restricted Subsidiary to, merge into or consolidate or amalgamate with any other Person, or permit any other Person to merge into or consolidate or amalgamate with it, or liquidate or dissolve (and distribute its assets) (each of the foregoing, individually, a “</w:t>
      </w:r>
      <w:r>
        <w:rPr>
          <w:rFonts w:ascii="Times New Roman" w:hAnsi="Times New Roman"/>
          <w:sz w:val="20"/>
          <w:u w:val="single"/>
        </w:rPr>
        <w:t>Fundamental Change Transaction</w:t>
      </w:r>
      <w:r>
        <w:rPr>
          <w:rFonts w:ascii="Times New Roman" w:hAnsi="Times New Roman"/>
          <w:sz w:val="20"/>
        </w:rPr>
        <w:t xml:space="preserve">”), except that, if at the time thereof and immediately after giving effect thereto no Event of Default shall have occurred and be continuing (i) any Loan Party (other than a Canadian Borrower) may consummate a Fundamental Change Transaction with a U.S. Loan Party (including a Fundamental Change Transaction between U.S. Borrowers) so long as in a Fundamental Change Transaction in which the Borrower Representative is involved, the Borrower Representative is the surviving corporation, (ii) any Canadian Loan Party may consummate a Fundamental Change Transaction with another Canadian Loan Party (including a Fundamental Change Transaction between Canadian Borrowers) so long as in a Fundamental Change Transaction in which WDC is involved, WDC is the surviving corporation, (iii) TVC Canada Corp. may merge or amalgamate into WDCH, LP or another Canadian Loan Party or may liquidate or dissolve into its parent entity, (iv) any Restricted Subsidiary that is not a Loan Party may consummate a Fundamental Change Transaction with any Restricted Subsidiary or any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so long as in a Fundamental Change Transaction in which the Borrower Representative or WDC is involved, the Borrower Representative or WDC, as applicable, is the surviving corporation, (v) any Restricted Subsidiary may transfer its assets to a Loan Party and any Restricted Subsidiary which is not a Loan Party may transfer its assets to another Restricted Subsidiary which is not a Loan Party, (vi) any Loan Party (other than Holdings or a Borrower) may liquidate or dissolve so long as the assets and properties of such Loan Party are received by or distributed to another Loan Party organized or formed in the same country as such dissolving or liquidating Loan Party or the U.S. and such dissolution or liquidation would not reasonably be expected to have a Material Adverse Effect, (vii) any Loan Party may merge or amalgamate with any other Person in connection with the consummation of a Permitted Acquisition so long as (A) no Change </w:t>
      </w:r>
      <w:r>
        <w:rPr>
          <w:rFonts w:ascii="Times New Roman" w:hAnsi="Times New Roman"/>
          <w:strike/>
          <w:color w:val="FF0000"/>
          <w:sz w:val="20"/>
        </w:rPr>
        <w:t>of</w:t>
      </w:r>
      <w:r>
        <w:rPr>
          <w:rFonts w:ascii="Times New Roman" w:hAnsi="Times New Roman"/>
          <w:color w:val="0000FF"/>
          <w:sz w:val="20"/>
          <w:u w:val="single"/>
          <w:bdr w:val="double" w:sz="2" w:space="1" w:color="000000"/>
        </w:rPr>
        <w:t>in</w:t>
      </w:r>
      <w:r>
        <w:rPr>
          <w:rFonts w:ascii="Times New Roman" w:hAnsi="Times New Roman"/>
          <w:sz w:val="20"/>
        </w:rPr>
        <w:t xml:space="preserve"> Control results therefrom, (B) in the case of a merger of any Loan Party with any other Person, such Loan Party is the surviving entity, or, in the case such Loan Party is not Holdings or a Borrower, such other Person is the surviving entity, so long as such other Person shall be organized in the same jurisdiction as such Loan Party or the U.S. and shall substantially contemporaneously with the consummation of such merger become a Loan Party hereunder and otherwise comply with the requirements of Section 5.13 hereof and (C) in the case of the amalgamation of any Canadian Loan Party (the “</w:t>
      </w:r>
      <w:r>
        <w:rPr>
          <w:rFonts w:ascii="Times New Roman" w:hAnsi="Times New Roman"/>
          <w:sz w:val="20"/>
          <w:u w:val="single"/>
        </w:rPr>
        <w:t>Constituent Canadian Loan Party</w:t>
      </w:r>
      <w:r>
        <w:rPr>
          <w:rFonts w:ascii="Times New Roman" w:hAnsi="Times New Roman"/>
          <w:sz w:val="20"/>
        </w:rPr>
        <w:t xml:space="preserve">”) with any other Person, the entity resulting from such amalgamation shall confirm in writing that it is a Canadian Loan Party and has succeeded to and is bound by all of the obligations of the Constituent Canadian Loan Party under the Loan Documents in the same manner and to the same extent as the Constituent Canadian Loan Party was so bound immediately prior to such amalgamation and shall take such other actions and execute and deliver such other documents as the Administrative Agent may reasonably request to ratify and confirm such obligations and the continuing validity, perfection and priority of the Administrative Agent’s Liens in the Collateral of the Constituent Canadian Loan Party after giving effect to such amalgamation, all of which shall be satisfactory in form and substance to the Administrative Agent, and (viii) to the extent not otherwise permitted under this </w:t>
      </w:r>
      <w:r>
        <w:rPr>
          <w:rFonts w:ascii="Times New Roman" w:hAnsi="Times New Roman"/>
          <w:sz w:val="20"/>
          <w:u w:val="single"/>
        </w:rPr>
        <w:t>Section 6.03</w:t>
      </w:r>
      <w:r>
        <w:rPr>
          <w:rFonts w:ascii="Times New Roman" w:hAnsi="Times New Roman"/>
          <w:sz w:val="20"/>
        </w:rPr>
        <w:t xml:space="preserve">, any Canadian Loan Party may merge into, consolidate or amalgamate with or liquidate or dissolve and distribute its assets to, any other Person, or such other Person may merge into, consolidate or amalgamate with or liquidate or dissolve and distribute its assets to, any Canadian Loan Party, in each case, in connection with a transaction with a fair market value not in excess of (x) $5,000,000 for each such transaction and (y) $10,000,000 for all of such transactions, in the aggregate, per fiscal year. </w:t>
      </w:r>
    </w:p>
    <w:p>
      <w:pPr>
        <w:pStyle w:val="TextBody"/>
        <w:bidi w:val="0"/>
        <w:spacing w:before="240" w:after="0"/>
        <w:jc w:val="left"/>
        <w:rPr>
          <w:rFonts w:ascii="Times New Roman" w:hAnsi="Times New Roman"/>
          <w:sz w:val="20"/>
        </w:rPr>
      </w:pPr>
      <w:r>
        <w:rPr>
          <w:rFonts w:ascii="Times New Roman" w:hAnsi="Times New Roman"/>
          <w:sz w:val="20"/>
        </w:rPr>
        <w:t xml:space="preserve">(b) If any Loan Party that is a limited liability company consummates a Division, each Division Successor shall be required to comply with the obligations set forth in Section 5.13 and the other further assurances obligations set forth in the Loan Documents and become a Loan Party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No Loan Party will, nor will it permit any of its Restricted Subsidiaries (other than Excluded Subsidiaries which are not Loan Parties), to engage to any material extent in any business other than businesses substantially similar to the type conducted by the Loan Parties on the date of execution of this Agreement and businesses reasonably related thereto and logical extensions thereof. </w:t>
      </w:r>
    </w:p>
    <w:p>
      <w:pPr>
        <w:pStyle w:val="TextBody"/>
        <w:bidi w:val="0"/>
        <w:spacing w:before="240" w:after="0"/>
        <w:jc w:val="left"/>
        <w:rPr>
          <w:rFonts w:ascii="Times New Roman" w:hAnsi="Times New Roman"/>
          <w:sz w:val="20"/>
        </w:rPr>
      </w:pPr>
      <w:r>
        <w:rPr>
          <w:rFonts w:ascii="Times New Roman" w:hAnsi="Times New Roman"/>
          <w:sz w:val="20"/>
        </w:rPr>
        <w:t xml:space="preserve">(d) Holdings will not engage in any business or activity other than the ownership of Equity Interests in its Subsidiaries and activities incidental thereto. Holdings will not own or acquire any material assets (other than Equity Interests in its Subsidiaries and the cash proceeds of any Restricted Payments permitted by Section 6.08) or incur any liabilities (other than liabilities under the Loan Documents, Indebtedness permitted under Section 6.01, and liabilities reasonably incurred in connection with its maintenance of its existence). </w:t>
      </w:r>
    </w:p>
    <w:p>
      <w:pPr>
        <w:pStyle w:val="TextBody"/>
        <w:bidi w:val="0"/>
        <w:spacing w:before="240" w:after="0"/>
        <w:jc w:val="left"/>
        <w:rPr>
          <w:rFonts w:ascii="Times New Roman" w:hAnsi="Times New Roman"/>
          <w:sz w:val="20"/>
        </w:rPr>
      </w:pPr>
      <w:r>
        <w:rPr>
          <w:rFonts w:ascii="Times New Roman" w:hAnsi="Times New Roman"/>
          <w:sz w:val="20"/>
        </w:rPr>
        <w:t xml:space="preserve">(e) WESCO Receivables will not engage in any business or activity other than the ownership of Accounts sold to WESCO Receivables by the U.S. Loan Parties pursuant to the Receivables Securitization Agreements and the incurrence of Indebtedness pursuant to the Receivables Securitization Agreements and activities incidental thereto. WESCO Receivables will not own or acquire any material assets other than Accounts sold to WESCO Receivables by the U.S. Loan Parties or incur any liabilities, in each case, except pursuant to and in accordance with the Receivables Securitization Agreements (other than liabilities reasonably incurred in connection with its maintenance of its existence). </w:t>
      </w:r>
    </w:p>
    <w:p>
      <w:pPr>
        <w:pStyle w:val="TextBody"/>
        <w:bidi w:val="0"/>
        <w:spacing w:before="240" w:after="0"/>
        <w:jc w:val="left"/>
        <w:rPr>
          <w:rFonts w:ascii="Times New Roman" w:hAnsi="Times New Roman"/>
          <w:sz w:val="20"/>
        </w:rPr>
      </w:pPr>
      <w:r>
        <w:rPr>
          <w:rFonts w:ascii="Times New Roman" w:hAnsi="Times New Roman"/>
          <w:sz w:val="20"/>
        </w:rPr>
        <w:t xml:space="preserve">(f) The Real Estate Subsidiaries will not engage in any business or activity other than the ownership and leasing of real property (and the fixtures and equipment located thereon) and the incurrence of Indebtedness permitted by Sections 6.01(e) and 6.01(x) and activities incidental thereto. The Real Estate Subsidiaries will not own or acquire any material assets other than real property (and the fixtures and equipment located thereon) or incur any liabilities, in each case, except permitted by Section 6.01(e) and 6.01(x) (other than liabilities reasonably incurred in connection with its maintenance of its existence).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6.04 Investments, Loans, Advances, Guarantees and Acquisitions</w:t>
      </w:r>
      <w:r>
        <w:rPr>
          <w:rFonts w:ascii="Times New Roman" w:hAnsi="Times New Roman"/>
          <w:sz w:val="20"/>
        </w:rPr>
        <w:t xml:space="preserve">. No Loan Party will, nor will it permit any Restricted Subsidiary (other than Excluded Subsidiaries)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 </w:t>
      </w:r>
    </w:p>
    <w:p>
      <w:pPr>
        <w:pStyle w:val="TextBody"/>
        <w:bidi w:val="0"/>
        <w:spacing w:before="120" w:after="0"/>
        <w:jc w:val="left"/>
        <w:rPr>
          <w:rFonts w:ascii="Times New Roman" w:hAnsi="Times New Roman"/>
          <w:sz w:val="20"/>
        </w:rPr>
      </w:pPr>
      <w:r>
        <w:rPr>
          <w:rFonts w:ascii="Times New Roman" w:hAnsi="Times New Roman"/>
          <w:sz w:val="20"/>
        </w:rPr>
        <w:t xml:space="preserve">(a) Permitted Investments; </w:t>
      </w:r>
    </w:p>
    <w:p>
      <w:pPr>
        <w:pStyle w:val="TextBody"/>
        <w:bidi w:val="0"/>
        <w:spacing w:before="240" w:after="0"/>
        <w:jc w:val="left"/>
        <w:rPr>
          <w:rFonts w:ascii="Times New Roman" w:hAnsi="Times New Roman"/>
          <w:sz w:val="20"/>
        </w:rPr>
      </w:pPr>
      <w:r>
        <w:rPr>
          <w:rFonts w:ascii="Times New Roman" w:hAnsi="Times New Roman"/>
          <w:sz w:val="20"/>
        </w:rPr>
        <w:t xml:space="preserve">(b) Investments in existence on the </w:t>
      </w:r>
      <w:r>
        <w:rPr>
          <w:rFonts w:ascii="Times New Roman" w:hAnsi="Times New Roman"/>
          <w:strike/>
          <w:color w:val="FF0000"/>
          <w:sz w:val="20"/>
        </w:rPr>
        <w:t>Seventh</w:t>
      </w:r>
      <w:r>
        <w:rPr>
          <w:rFonts w:ascii="Times New Roman" w:hAnsi="Times New Roman"/>
          <w:color w:val="0000FF"/>
          <w:sz w:val="20"/>
          <w:u w:val="single"/>
          <w:bdr w:val="double" w:sz="2" w:space="1" w:color="000000"/>
        </w:rPr>
        <w:t>Ninth</w:t>
      </w:r>
      <w:r>
        <w:rPr>
          <w:rFonts w:ascii="Times New Roman" w:hAnsi="Times New Roman"/>
          <w:sz w:val="20"/>
        </w:rPr>
        <w:t xml:space="preserve"> Amendment Effective Date (including Investments by the Loan Parties in Equity Interests in their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Investments made after the </w:t>
      </w:r>
      <w:r>
        <w:rPr>
          <w:rFonts w:ascii="Times New Roman" w:hAnsi="Times New Roman"/>
          <w:strike/>
          <w:color w:val="FF0000"/>
          <w:sz w:val="20"/>
        </w:rPr>
        <w:t>Seventh</w:t>
      </w:r>
      <w:r>
        <w:rPr>
          <w:rFonts w:ascii="Times New Roman" w:hAnsi="Times New Roman"/>
          <w:color w:val="0000FF"/>
          <w:sz w:val="20"/>
          <w:u w:val="single"/>
          <w:bdr w:val="double" w:sz="2" w:space="1" w:color="000000"/>
        </w:rPr>
        <w:t>Ninth</w:t>
      </w:r>
      <w:r>
        <w:rPr>
          <w:rFonts w:ascii="Times New Roman" w:hAnsi="Times New Roman"/>
          <w:sz w:val="20"/>
        </w:rPr>
        <w:t xml:space="preserve"> Amendment Effective Date by: (i) a U.S. Loan Party in any other U.S. Loan Party; (ii) a Canadian Loan Party in any other Canadian Loan Party or a U.S. Loan Party; or (iii) (x) a U.S. Loan Party in a Canadian Loan Party, or (y) a Loan Party in a Foreign Subsidiary, Unrestricted Subsidiary or Intermediate Holding Company so long as, in the case of this subclause (iii): (A) the aggregate amount of such Investments (together with the aggregate Indebtedness and Guarantees outstanding pursuant to Section 6.01(h)) shall not exceed at any time outstanding (in each case determined without regarding to any write-downs or write-offs) the sum of (x) the greater of $</w:t>
      </w:r>
      <w:r>
        <w:rPr>
          <w:rFonts w:ascii="Times New Roman" w:hAnsi="Times New Roman"/>
          <w:strike/>
          <w:color w:val="FF0000"/>
          <w:sz w:val="20"/>
        </w:rPr>
        <w:t>375,000,000</w:t>
      </w:r>
      <w:r>
        <w:rPr>
          <w:rFonts w:ascii="Times New Roman" w:hAnsi="Times New Roman"/>
          <w:color w:val="0000FF"/>
          <w:sz w:val="20"/>
          <w:u w:val="single"/>
          <w:bdr w:val="double" w:sz="2" w:space="1" w:color="000000"/>
        </w:rPr>
        <w:t>427,000,000</w:t>
      </w:r>
      <w:r>
        <w:rPr>
          <w:rFonts w:ascii="Times New Roman" w:hAnsi="Times New Roman"/>
          <w:sz w:val="20"/>
        </w:rPr>
        <w:t xml:space="preserve"> and 25% of EBITDA and (y) the net proceeds of any issuance of Equity Interests by Holdings or any incurrence of Indebtedness by any U.S. Loan Party permitted under Section 6.01 (other than Indebtedness incurred under the Receivables Securitization Agreements) which Indebtedness is incurred for the purpose of funding an investment in a Canadian Loan Party or Foreign Subsidiary, and (B) no Event of Default has occurred and is continuing at the time of such Investment, or would result therefrom; </w:t>
      </w:r>
      <w:r>
        <w:rPr>
          <w:rFonts w:ascii="Times New Roman" w:hAnsi="Times New Roman"/>
          <w:sz w:val="20"/>
          <w:u w:val="single"/>
        </w:rPr>
        <w:t>provided,</w:t>
      </w:r>
      <w:r>
        <w:rPr>
          <w:rFonts w:ascii="Times New Roman" w:hAnsi="Times New Roman"/>
          <w:sz w:val="20"/>
        </w:rPr>
        <w:t xml:space="preserve"> that, for purposes of this Section 6.04(c), a Canadian Cross-Border Loan Guarantor shall be treated only as a Canadian Loan Party and not as a U.S. Loan Party; </w:t>
      </w:r>
    </w:p>
    <w:p>
      <w:pPr>
        <w:pStyle w:val="TextBody"/>
        <w:bidi w:val="0"/>
        <w:spacing w:before="240" w:after="0"/>
        <w:jc w:val="left"/>
        <w:rPr>
          <w:rFonts w:ascii="Times New Roman" w:hAnsi="Times New Roman"/>
          <w:sz w:val="20"/>
        </w:rPr>
      </w:pPr>
      <w:r>
        <w:rPr>
          <w:rFonts w:ascii="Times New Roman" w:hAnsi="Times New Roman"/>
          <w:sz w:val="20"/>
        </w:rPr>
        <w:t>(d) loans or advances made by the Loan Parties (i) to employees of the Loan Parties on an arm’s-length basis in the ordinary course of business consistent with past practices for travel and entertainment expenses, relocation costs and similar purposes up to a maximum of the greater of $</w:t>
      </w:r>
      <w:r>
        <w:rPr>
          <w:rFonts w:ascii="Times New Roman" w:hAnsi="Times New Roman"/>
          <w:strike/>
          <w:color w:val="FF0000"/>
          <w:sz w:val="20"/>
        </w:rPr>
        <w:t>5,000,000</w:t>
      </w:r>
      <w:r>
        <w:rPr>
          <w:rFonts w:ascii="Times New Roman" w:hAnsi="Times New Roman"/>
          <w:color w:val="0000FF"/>
          <w:sz w:val="20"/>
          <w:u w:val="single"/>
          <w:bdr w:val="double" w:sz="2" w:space="1" w:color="000000"/>
        </w:rPr>
        <w:t>9,000,000</w:t>
      </w:r>
      <w:r>
        <w:rPr>
          <w:rFonts w:ascii="Times New Roman" w:hAnsi="Times New Roman"/>
          <w:color w:val="0000FF"/>
          <w:sz w:val="20"/>
        </w:rPr>
        <w:t xml:space="preserve"> </w:t>
      </w:r>
      <w:r>
        <w:rPr>
          <w:rFonts w:ascii="Times New Roman" w:hAnsi="Times New Roman"/>
          <w:sz w:val="20"/>
        </w:rPr>
        <w:t>and 0.5% of EBITDA in the aggregate at any one time outstanding and (ii) to executive officers of Holdings on an arm’s-length basis in the ordinary course of business to permit such officers to purchase Equity Interests in Holdings (or to exercise options to purchase Equity Interests in Holdings) up to a maximum of the greater of $</w:t>
      </w:r>
      <w:r>
        <w:rPr>
          <w:rFonts w:ascii="Times New Roman" w:hAnsi="Times New Roman"/>
          <w:strike/>
          <w:color w:val="FF0000"/>
          <w:sz w:val="20"/>
        </w:rPr>
        <w:t>5,000,000</w:t>
      </w:r>
      <w:r>
        <w:rPr>
          <w:rFonts w:ascii="Times New Roman" w:hAnsi="Times New Roman"/>
          <w:color w:val="0000FF"/>
          <w:sz w:val="20"/>
          <w:u w:val="single"/>
          <w:bdr w:val="double" w:sz="2" w:space="1" w:color="000000"/>
        </w:rPr>
        <w:t>9,000,000</w:t>
      </w:r>
      <w:r>
        <w:rPr>
          <w:rFonts w:ascii="Times New Roman" w:hAnsi="Times New Roman"/>
          <w:sz w:val="20"/>
        </w:rPr>
        <w:t xml:space="preserve"> and 0.5% of EBITDA in the aggregate at any one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(e) subject to Sections 4.2(a) and 4.4 of the U.S. Security Agreement and the Canadian Security Agreement, notes payable, or stock or other securities issued by Account Debtors to a Loan Party pursuant to negotiated agreements with respect to settlement of such Account Debtor’s Accounts in the ordinary course of business, consistent with past practices; </w:t>
      </w:r>
    </w:p>
    <w:p>
      <w:pPr>
        <w:pStyle w:val="TextBody"/>
        <w:bidi w:val="0"/>
        <w:spacing w:before="240" w:after="0"/>
        <w:jc w:val="left"/>
        <w:rPr>
          <w:rFonts w:ascii="Times New Roman" w:hAnsi="Times New Roman"/>
          <w:sz w:val="20"/>
        </w:rPr>
      </w:pPr>
      <w:r>
        <w:rPr>
          <w:rFonts w:ascii="Times New Roman" w:hAnsi="Times New Roman"/>
          <w:sz w:val="20"/>
        </w:rPr>
        <w:t xml:space="preserve">(f) Investments in the form of Swap Agreements permitted by Section 6.07; </w:t>
      </w:r>
    </w:p>
    <w:p>
      <w:pPr>
        <w:pStyle w:val="TextBody"/>
        <w:bidi w:val="0"/>
        <w:spacing w:before="240" w:after="0"/>
        <w:jc w:val="left"/>
        <w:rPr>
          <w:rFonts w:ascii="Times New Roman" w:hAnsi="Times New Roman"/>
          <w:sz w:val="20"/>
        </w:rPr>
      </w:pPr>
      <w:r>
        <w:rPr>
          <w:rFonts w:ascii="Times New Roman" w:hAnsi="Times New Roman"/>
          <w:sz w:val="20"/>
        </w:rPr>
        <w:t xml:space="preserve">(g) Investments received in connection with the dispositions of assets permitted by Section 6.05; </w:t>
      </w:r>
    </w:p>
    <w:p>
      <w:pPr>
        <w:pStyle w:val="TextBody"/>
        <w:bidi w:val="0"/>
        <w:spacing w:before="240" w:after="0"/>
        <w:jc w:val="left"/>
        <w:rPr>
          <w:rFonts w:ascii="Times New Roman" w:hAnsi="Times New Roman"/>
          <w:sz w:val="20"/>
        </w:rPr>
      </w:pPr>
      <w:r>
        <w:rPr>
          <w:rFonts w:ascii="Times New Roman" w:hAnsi="Times New Roman"/>
          <w:sz w:val="20"/>
        </w:rPr>
        <w:t xml:space="preserve">(h) Investments constituting deposits described in clauses (c) and (d) of the definition of the term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(i) Permitted Acquisitions; </w:t>
      </w:r>
    </w:p>
    <w:p>
      <w:pPr>
        <w:pStyle w:val="TextBody"/>
        <w:bidi w:val="0"/>
        <w:spacing w:before="240" w:after="0"/>
        <w:jc w:val="left"/>
        <w:rPr>
          <w:rFonts w:ascii="Times New Roman" w:hAnsi="Times New Roman"/>
          <w:sz w:val="20"/>
        </w:rPr>
      </w:pPr>
      <w:r>
        <w:rPr>
          <w:rFonts w:ascii="Times New Roman" w:hAnsi="Times New Roman"/>
          <w:sz w:val="20"/>
        </w:rPr>
        <w:t xml:space="preserve">(j) Investments constituting Indebtedness permitted under Section 6.01(j);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formation by (i) any U.S. Loan Party of any Domestic Subsidiary, Canadian Subsidiary or Foreign Subsidiary, (ii) any Canadian Loan Party of any Canadian Subsidiary or Foreign Subsidiary, and (iii) any Foreign Subsidiary of any other Foreign Subsidiary, so long as, in each case: (i) the Loan Parties comply with Section 5.13, and (ii) no Event of Default has occurred and is continuing or would result after giving effect to such formation; </w:t>
      </w:r>
    </w:p>
    <w:p>
      <w:pPr>
        <w:pStyle w:val="TextBody"/>
        <w:bidi w:val="0"/>
        <w:spacing w:before="240" w:after="0"/>
        <w:jc w:val="left"/>
        <w:rPr>
          <w:rFonts w:ascii="Times New Roman" w:hAnsi="Times New Roman"/>
          <w:sz w:val="20"/>
        </w:rPr>
      </w:pPr>
      <w:r>
        <w:rPr>
          <w:rFonts w:ascii="Times New Roman" w:hAnsi="Times New Roman"/>
          <w:sz w:val="20"/>
        </w:rPr>
        <w:t xml:space="preserve">(l) Investments made by Foreign Subsidiaries which are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(m) Guarantees of obligations of Canadian Subsidiaries or Foreign Subsidiaries which are Restricted Subsidiaries incurred in the ordinary course of business and not constituting Indebtedness for borrowed money; </w:t>
      </w:r>
    </w:p>
    <w:p>
      <w:pPr>
        <w:pStyle w:val="TextBody"/>
        <w:bidi w:val="0"/>
        <w:spacing w:before="240" w:after="0"/>
        <w:jc w:val="left"/>
        <w:rPr>
          <w:rFonts w:ascii="Times New Roman" w:hAnsi="Times New Roman"/>
          <w:sz w:val="20"/>
        </w:rPr>
      </w:pPr>
      <w:r>
        <w:rPr>
          <w:rFonts w:ascii="Times New Roman" w:hAnsi="Times New Roman"/>
          <w:sz w:val="20"/>
        </w:rPr>
        <w:t>(n) Investments (other than those made in reliance on any other paragraph of this Section 6.04) in an aggregate amount not to exceed the greater of $</w:t>
      </w:r>
      <w:r>
        <w:rPr>
          <w:rFonts w:ascii="Times New Roman" w:hAnsi="Times New Roman"/>
          <w:strike/>
          <w:color w:val="FF0000"/>
          <w:sz w:val="20"/>
        </w:rPr>
        <w:t>75,000,000</w:t>
      </w:r>
      <w:r>
        <w:rPr>
          <w:rFonts w:ascii="Times New Roman" w:hAnsi="Times New Roman"/>
          <w:color w:val="0000FF"/>
          <w:sz w:val="20"/>
          <w:u w:val="single"/>
          <w:bdr w:val="double" w:sz="2" w:space="1" w:color="000000"/>
        </w:rPr>
        <w:t>85,000,000</w:t>
      </w:r>
      <w:r>
        <w:rPr>
          <w:rFonts w:ascii="Times New Roman" w:hAnsi="Times New Roman"/>
          <w:sz w:val="20"/>
        </w:rPr>
        <w:t xml:space="preserve"> and 5% of EBITDA, so long as no Event of Default has occurred and is continuing or would result after giving effect to any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(o) other Investments (other than those made in reliance on any other paragraph of this Section 6.04), so long as at the time of and after giving effect to such Investment, the Payment Conditions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(p) consummation of (x) the Anixter Acquisition pursuant to and in accordance with the Anixter Acquisition Agreement in all material respects and (y) the Anixter Merger; </w:t>
      </w:r>
    </w:p>
    <w:p>
      <w:pPr>
        <w:pStyle w:val="TextBody"/>
        <w:bidi w:val="0"/>
        <w:spacing w:before="240" w:after="0"/>
        <w:jc w:val="left"/>
        <w:rPr>
          <w:rFonts w:ascii="Times New Roman" w:hAnsi="Times New Roman"/>
          <w:sz w:val="20"/>
        </w:rPr>
      </w:pPr>
      <w:r>
        <w:rPr>
          <w:rFonts w:ascii="Times New Roman" w:hAnsi="Times New Roman"/>
          <w:sz w:val="20"/>
        </w:rPr>
        <w:t xml:space="preserve">(q) [reserved]; </w:t>
      </w:r>
    </w:p>
    <w:p>
      <w:pPr>
        <w:pStyle w:val="TextBody"/>
        <w:bidi w:val="0"/>
        <w:spacing w:before="240" w:after="0"/>
        <w:jc w:val="left"/>
        <w:rPr>
          <w:rFonts w:ascii="Times New Roman" w:hAnsi="Times New Roman"/>
          <w:sz w:val="20"/>
        </w:rPr>
      </w:pPr>
      <w:r>
        <w:rPr>
          <w:rFonts w:ascii="Times New Roman" w:hAnsi="Times New Roman"/>
          <w:sz w:val="20"/>
        </w:rPr>
        <w:t xml:space="preserve">(r) [reserved]; </w:t>
      </w:r>
    </w:p>
    <w:p>
      <w:pPr>
        <w:pStyle w:val="TextBody"/>
        <w:bidi w:val="0"/>
        <w:spacing w:before="240" w:after="0"/>
        <w:jc w:val="left"/>
        <w:rPr>
          <w:rFonts w:ascii="Times New Roman" w:hAnsi="Times New Roman"/>
          <w:sz w:val="20"/>
        </w:rPr>
      </w:pPr>
      <w:r>
        <w:rPr>
          <w:rFonts w:ascii="Times New Roman" w:hAnsi="Times New Roman"/>
          <w:sz w:val="20"/>
        </w:rPr>
        <w:t xml:space="preserve">(s) Investments received in connection with bankruptcy or reorganization of, or the settlement of delinquent accounts and disputes with, customers and suppliers, in each case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(t) transactions permitted by Section 6.03(a) (other than with respect to Permitted Acquisitions). </w:t>
      </w:r>
    </w:p>
    <w:p>
      <w:pPr>
        <w:pStyle w:val="TextBody"/>
        <w:bidi w:val="0"/>
        <w:spacing w:before="240" w:after="0"/>
        <w:jc w:val="left"/>
        <w:rPr>
          <w:rFonts w:ascii="Times New Roman" w:hAnsi="Times New Roman"/>
          <w:sz w:val="20"/>
        </w:rPr>
      </w:pPr>
      <w:r>
        <w:rPr>
          <w:rFonts w:ascii="Times New Roman" w:hAnsi="Times New Roman"/>
          <w:strike/>
          <w:color w:val="FF0000"/>
          <w:sz w:val="20"/>
        </w:rPr>
        <w:t>For greater certainty, the Borrowers may elect from time to time to consider Investments as falling within one or more of the categories above and may divide Investments among two or more categories. The restrictions set forth in any subpart of this Section by way of description of Investments shall not be deemed to require that Investments meeting such description be placed in such subpart for purposes of determining compliance with this Section.</w:t>
      </w:r>
      <w:r>
        <w:rPr>
          <w:rFonts w:ascii="Times New Roman" w:hAnsi="Times New Roman"/>
          <w:sz w:val="20"/>
        </w:rPr>
        <w:t xml:space="preserve"> The accrual of interest, the accretion of accreted value, the accretion of original issue discount, the accretion of liquidation preference and increases in the amount of Investments or other obligations solely as a result of fluctuations in the exchange rate of currencies or increases in the value of such Investments shall not be deemed to be an increase in the amount of any Investment for purposes of this Section. </w:t>
      </w:r>
    </w:p>
    <w:p>
      <w:pPr>
        <w:pStyle w:val="TextBody"/>
        <w:bidi w:val="0"/>
        <w:spacing w:before="240" w:after="0"/>
        <w:jc w:val="left"/>
        <w:rPr>
          <w:rFonts w:ascii="Times New Roman" w:hAnsi="Times New Roman"/>
          <w:sz w:val="20"/>
        </w:rPr>
      </w:pPr>
      <w:r>
        <w:rPr>
          <w:rFonts w:ascii="Times New Roman" w:hAnsi="Times New Roman"/>
          <w:sz w:val="20"/>
          <w:u w:val="single"/>
        </w:rPr>
        <w:t>SECTION 6.05 Asset Sales</w:t>
      </w:r>
      <w:r>
        <w:rPr>
          <w:rFonts w:ascii="Times New Roman" w:hAnsi="Times New Roman"/>
          <w:sz w:val="20"/>
        </w:rPr>
        <w:t xml:space="preserve">. No Loan Party will, nor will it permit any Restricted Subsidiary (other than Excluded Subsidiaries which are not Loan Parties) to, sell, transfer, lease or otherwise dispose of any asset, including any Equity Interest owned by it, nor will any Borrower permit any Restricted Subsidiary (other than Excluded Subsidiaries) to issue any additional Equity Interest in such Subsidiary (other than to another Loan Party in compliance with Section 6.04), except: </w:t>
      </w:r>
    </w:p>
    <w:p>
      <w:pPr>
        <w:pStyle w:val="TextBody"/>
        <w:bidi w:val="0"/>
        <w:spacing w:before="120" w:after="0"/>
        <w:jc w:val="left"/>
        <w:rPr>
          <w:rFonts w:ascii="Times New Roman" w:hAnsi="Times New Roman"/>
          <w:sz w:val="20"/>
        </w:rPr>
      </w:pPr>
      <w:r>
        <w:rPr>
          <w:rFonts w:ascii="Times New Roman" w:hAnsi="Times New Roman"/>
          <w:sz w:val="20"/>
        </w:rPr>
        <w:t xml:space="preserve">(a) sales, transfers and dispositions of Inventory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sales, transfers, leases and dispositions by: (i) any U.S. Loan Party to any other U.S. Loan Party, or (ii) any Canadian Loan Party to any other Canadian Loan Party; </w:t>
      </w:r>
      <w:r>
        <w:rPr>
          <w:rFonts w:ascii="Times New Roman" w:hAnsi="Times New Roman"/>
          <w:sz w:val="20"/>
          <w:u w:val="single"/>
        </w:rPr>
        <w:t>provided,</w:t>
      </w:r>
      <w:r>
        <w:rPr>
          <w:rFonts w:ascii="Times New Roman" w:hAnsi="Times New Roman"/>
          <w:sz w:val="20"/>
        </w:rPr>
        <w:t xml:space="preserve"> that, for purposes of this Section 6.05(b), a Canadian Cross-Border Loan Guarantor shall be treated only as a Canadian Loan Party and not as a U.S. Loan Party; </w:t>
      </w:r>
    </w:p>
    <w:p>
      <w:pPr>
        <w:pStyle w:val="TextBody"/>
        <w:bidi w:val="0"/>
        <w:spacing w:before="240" w:after="0"/>
        <w:jc w:val="left"/>
        <w:rPr>
          <w:rFonts w:ascii="Times New Roman" w:hAnsi="Times New Roman"/>
          <w:sz w:val="20"/>
        </w:rPr>
      </w:pPr>
      <w:r>
        <w:rPr>
          <w:rFonts w:ascii="Times New Roman" w:hAnsi="Times New Roman"/>
          <w:sz w:val="20"/>
        </w:rPr>
        <w:t xml:space="preserve">(c) sales of Accounts by the U.S. Loan Parties to WESCO Receivables pursuant to the Receivables Securitization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sales, transfers and dispositions of Accounts in connection with the compromise, settlement or collection thereof; </w:t>
      </w:r>
    </w:p>
    <w:p>
      <w:pPr>
        <w:pStyle w:val="TextBody"/>
        <w:bidi w:val="0"/>
        <w:spacing w:before="240" w:after="0"/>
        <w:jc w:val="left"/>
        <w:rPr>
          <w:rFonts w:ascii="Times New Roman" w:hAnsi="Times New Roman"/>
          <w:sz w:val="20"/>
        </w:rPr>
      </w:pPr>
      <w:r>
        <w:rPr>
          <w:rFonts w:ascii="Times New Roman" w:hAnsi="Times New Roman"/>
          <w:sz w:val="20"/>
        </w:rPr>
        <w:t xml:space="preserve">(e) sales, transfers and dispositions of Permitted Investments and other investments permitted by clause (h) of Section 6.04; </w:t>
      </w:r>
    </w:p>
    <w:p>
      <w:pPr>
        <w:pStyle w:val="TextBody"/>
        <w:bidi w:val="0"/>
        <w:spacing w:before="240" w:after="0"/>
        <w:jc w:val="left"/>
        <w:rPr>
          <w:rFonts w:ascii="Times New Roman" w:hAnsi="Times New Roman"/>
          <w:sz w:val="20"/>
        </w:rPr>
      </w:pPr>
      <w:r>
        <w:rPr>
          <w:rFonts w:ascii="Times New Roman" w:hAnsi="Times New Roman"/>
          <w:sz w:val="20"/>
        </w:rPr>
        <w:t xml:space="preserve">(f) sale and leaseback transactions permitted by Section 6.06; </w:t>
      </w:r>
    </w:p>
    <w:p>
      <w:pPr>
        <w:pStyle w:val="TextBody"/>
        <w:bidi w:val="0"/>
        <w:spacing w:before="240" w:after="0"/>
        <w:jc w:val="left"/>
        <w:rPr>
          <w:rFonts w:ascii="Times New Roman" w:hAnsi="Times New Roman"/>
          <w:sz w:val="20"/>
        </w:rPr>
      </w:pPr>
      <w:r>
        <w:rPr>
          <w:rFonts w:ascii="Times New Roman" w:hAnsi="Times New Roman"/>
          <w:sz w:val="20"/>
        </w:rPr>
        <w:t xml:space="preserve">(g) dispositions resulting from any casualty or other insured damage to, or any taking under power of eminent domain or by condemnation or similar proceeding of, any property or asset of any Borrower or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(h) the licensing, on a non-exclusive basis (other than with respect to licenses of the MaxCell Patents), of patents, trademarks, copyrights, and other intellectual property rights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the granting of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(j) sales, transfers and dispositions to the extent constituting Investments permitted under Section 6.04 or Restricted Payments permitted under Section 6.08; </w:t>
      </w:r>
    </w:p>
    <w:p>
      <w:pPr>
        <w:pStyle w:val="TextBody"/>
        <w:bidi w:val="0"/>
        <w:spacing w:before="240" w:after="0"/>
        <w:jc w:val="left"/>
        <w:rPr>
          <w:rFonts w:ascii="Times New Roman" w:hAnsi="Times New Roman"/>
          <w:sz w:val="20"/>
        </w:rPr>
      </w:pPr>
      <w:r>
        <w:rPr>
          <w:rFonts w:ascii="Times New Roman" w:hAnsi="Times New Roman"/>
          <w:sz w:val="20"/>
        </w:rPr>
        <w:t xml:space="preserve">(k) sales, transfers and other dispositions of real property, equipment or other assets that are damaged, worn out, obsolete or no longer used or useful to the business operations of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(l) sales, transfers and other dispositions of Equity Interests in Excluded Subsidiaries; </w:t>
      </w:r>
    </w:p>
    <w:p>
      <w:pPr>
        <w:pStyle w:val="TextBody"/>
        <w:bidi w:val="0"/>
        <w:spacing w:before="240" w:after="0"/>
        <w:jc w:val="left"/>
        <w:rPr>
          <w:rFonts w:ascii="Times New Roman" w:hAnsi="Times New Roman"/>
          <w:sz w:val="20"/>
        </w:rPr>
      </w:pPr>
      <w:r>
        <w:rPr>
          <w:rFonts w:ascii="Times New Roman" w:hAnsi="Times New Roman"/>
          <w:sz w:val="20"/>
        </w:rPr>
        <w:t>(m) any sale, transfer and other disposition of assets (whether in an individual transaction or a series of related transactions) having a fair market value of less than the greater of $</w:t>
      </w:r>
      <w:r>
        <w:rPr>
          <w:rFonts w:ascii="Times New Roman" w:hAnsi="Times New Roman"/>
          <w:strike/>
          <w:color w:val="FF0000"/>
          <w:sz w:val="20"/>
        </w:rPr>
        <w:t>15,000,000</w:t>
      </w:r>
      <w:r>
        <w:rPr>
          <w:rFonts w:ascii="Times New Roman" w:hAnsi="Times New Roman"/>
          <w:color w:val="0000FF"/>
          <w:sz w:val="20"/>
          <w:u w:val="single"/>
          <w:bdr w:val="double" w:sz="2" w:space="1" w:color="000000"/>
        </w:rPr>
        <w:t>17,000,000</w:t>
      </w:r>
      <w:r>
        <w:rPr>
          <w:rFonts w:ascii="Times New Roman" w:hAnsi="Times New Roman"/>
          <w:sz w:val="20"/>
        </w:rPr>
        <w:t xml:space="preserve"> and 1% of EBITDA; </w:t>
      </w:r>
    </w:p>
    <w:p>
      <w:pPr>
        <w:pStyle w:val="TextBody"/>
        <w:bidi w:val="0"/>
        <w:spacing w:before="240" w:after="0"/>
        <w:jc w:val="left"/>
        <w:rPr>
          <w:rFonts w:ascii="Times New Roman" w:hAnsi="Times New Roman"/>
          <w:sz w:val="20"/>
        </w:rPr>
      </w:pPr>
      <w:r>
        <w:rPr>
          <w:rFonts w:ascii="Times New Roman" w:hAnsi="Times New Roman"/>
          <w:sz w:val="20"/>
        </w:rPr>
        <w:t xml:space="preserve">(n) (i) so long as no Event of Default has occurred and is continuing or would result therefrom, transfers and other dispositions of assets that are not permitted by any other paragraph of this Section and (ii) the WIS Disposition Transactions, </w:t>
      </w:r>
      <w:r>
        <w:rPr>
          <w:rFonts w:ascii="Times New Roman" w:hAnsi="Times New Roman"/>
          <w:sz w:val="20"/>
          <w:u w:val="single"/>
        </w:rPr>
        <w:t>provided</w:t>
      </w:r>
      <w:r>
        <w:rPr>
          <w:rFonts w:ascii="Times New Roman" w:hAnsi="Times New Roman"/>
          <w:sz w:val="20"/>
        </w:rPr>
        <w:t>, in each case, that if property being sold or otherwise disposed of in connection with any such transaction consists of Collateral included in the Aggregate Borrowing Base having a value in excess of the greater of $</w:t>
      </w:r>
      <w:r>
        <w:rPr>
          <w:rFonts w:ascii="Times New Roman" w:hAnsi="Times New Roman"/>
          <w:strike/>
          <w:color w:val="FF0000"/>
          <w:sz w:val="20"/>
        </w:rPr>
        <w:t>37,500,000</w:t>
      </w:r>
      <w:r>
        <w:rPr>
          <w:rFonts w:ascii="Times New Roman" w:hAnsi="Times New Roman"/>
          <w:color w:val="0000FF"/>
          <w:sz w:val="20"/>
          <w:u w:val="single"/>
          <w:bdr w:val="double" w:sz="2" w:space="1" w:color="000000"/>
        </w:rPr>
        <w:t>43,000,000</w:t>
      </w:r>
      <w:r>
        <w:rPr>
          <w:rFonts w:ascii="Times New Roman" w:hAnsi="Times New Roman"/>
          <w:sz w:val="20"/>
        </w:rPr>
        <w:t xml:space="preserve"> and 2.5% of EBITDA, the Borrowers shall have delivered to the Administrative Agent a pro forma Borrowing Base Certificate giving effect to such transfer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(o) sales of Accounts in connection with factoring arrangements entered into by Loan Parties and non-Affiliates in the ordinary course of business or as required or requested by customers, </w:t>
      </w:r>
      <w:r>
        <w:rPr>
          <w:rFonts w:ascii="Times New Roman" w:hAnsi="Times New Roman"/>
          <w:sz w:val="20"/>
          <w:u w:val="single"/>
        </w:rPr>
        <w:t>provided</w:t>
      </w:r>
      <w:r>
        <w:rPr>
          <w:rFonts w:ascii="Times New Roman" w:hAnsi="Times New Roman"/>
          <w:sz w:val="20"/>
        </w:rPr>
        <w:t xml:space="preserve"> that the total amount of all such Accounts sold pursuant to such factoring arrangements shall not exceed the greater of $</w:t>
      </w:r>
      <w:r>
        <w:rPr>
          <w:rFonts w:ascii="Times New Roman" w:hAnsi="Times New Roman"/>
          <w:strike/>
          <w:color w:val="FF0000"/>
          <w:sz w:val="20"/>
        </w:rPr>
        <w:t>37,500,000</w:t>
      </w:r>
      <w:r>
        <w:rPr>
          <w:rFonts w:ascii="Times New Roman" w:hAnsi="Times New Roman"/>
          <w:color w:val="0000FF"/>
          <w:sz w:val="20"/>
          <w:u w:val="single"/>
          <w:bdr w:val="double" w:sz="2" w:space="1" w:color="000000"/>
        </w:rPr>
        <w:t>43,000,000</w:t>
      </w:r>
      <w:r>
        <w:rPr>
          <w:rFonts w:ascii="Times New Roman" w:hAnsi="Times New Roman"/>
          <w:sz w:val="20"/>
        </w:rPr>
        <w:t xml:space="preserve"> and 2.5% of EBITDA in the aggregate at any one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(p) any sale, transfer, lease or other disposition of non-core assets, including Equity Interests, acquired in connection with a Permitted Acquisition or other Investment permitted by this Agreement to the extent the Borrower Representative identified such assets to the Administrative Agent promptly after such Permitted Acquisition or Investment; </w:t>
      </w:r>
    </w:p>
    <w:p>
      <w:pPr>
        <w:pStyle w:val="TextBody"/>
        <w:bidi w:val="0"/>
        <w:spacing w:before="240" w:after="0"/>
        <w:jc w:val="left"/>
        <w:rPr>
          <w:rFonts w:ascii="Times New Roman" w:hAnsi="Times New Roman"/>
          <w:sz w:val="20"/>
        </w:rPr>
      </w:pPr>
      <w:r>
        <w:rPr>
          <w:rFonts w:ascii="Times New Roman" w:hAnsi="Times New Roman"/>
          <w:sz w:val="20"/>
        </w:rPr>
        <w:t xml:space="preserve">(q) dispositions of Investments in joint ventures, to the extent required by the agreements between the joint venture parties set forth in the applicable joint venture arrangements and similar binding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(r) sales or other dispositions of assets (other than assets constituting ABL Priority Collateral) to the extent (i) such property is exchanged for credit against the purchase price or similar replacement property or (ii) the proceeds of such disposition are reasonably promptly applied to the purchase price of such replacement property; </w:t>
      </w:r>
    </w:p>
    <w:p>
      <w:pPr>
        <w:pStyle w:val="TextBody"/>
        <w:bidi w:val="0"/>
        <w:spacing w:before="240" w:after="0"/>
        <w:jc w:val="left"/>
        <w:rPr>
          <w:rFonts w:ascii="Times New Roman" w:hAnsi="Times New Roman"/>
          <w:sz w:val="20"/>
        </w:rPr>
      </w:pPr>
      <w:r>
        <w:rPr>
          <w:rFonts w:ascii="Times New Roman" w:hAnsi="Times New Roman"/>
          <w:sz w:val="20"/>
        </w:rPr>
        <w:t xml:space="preserve">(s) sales or other dispositions of property by Holdings or any Loan Party to any Subsidiary so long as (i) such sale or other disposition is consummated on fair and reasonable terms (taken as a whole) no less favorable to Holdings or such Loan Party than Holdings or such Loan Party would obtain in a comparable arm’s length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Person that is not an Affiliate, (ii) no Event of Default is in existence at the time of such sale or other disposition or would be caused thereby and (iii) to the extent constituting assets included in the Aggregate Borrowing Base in excess of $10,000,000, the Borrowers shall have delivered to the Administrative Agent a pro forma Borrowing Base Certificate giving effect to such transfer or other disposition; </w:t>
      </w:r>
      <w:r>
        <w:rPr>
          <w:rFonts w:ascii="Times New Roman" w:hAnsi="Times New Roman"/>
          <w:sz w:val="20"/>
          <w:u w:val="single"/>
        </w:rPr>
        <w:t>provided</w:t>
      </w:r>
      <w:r>
        <w:rPr>
          <w:rFonts w:ascii="Times New Roman" w:hAnsi="Times New Roman"/>
          <w:sz w:val="20"/>
        </w:rPr>
        <w:t xml:space="preserve"> that any such sale or other disposition of ABL Priority Collateral from a Loan Party to a non-Loan Party shall not exceed the Threshold Amount per calendar year; and </w:t>
      </w:r>
    </w:p>
    <w:p>
      <w:pPr>
        <w:pStyle w:val="TextBody"/>
        <w:bidi w:val="0"/>
        <w:spacing w:before="240" w:after="0"/>
        <w:jc w:val="left"/>
        <w:rPr>
          <w:rFonts w:ascii="Times New Roman" w:hAnsi="Times New Roman"/>
          <w:sz w:val="20"/>
        </w:rPr>
      </w:pPr>
      <w:r>
        <w:rPr>
          <w:rFonts w:ascii="Times New Roman" w:hAnsi="Times New Roman"/>
          <w:sz w:val="20"/>
        </w:rPr>
        <w:t xml:space="preserve">(t) transactions permitted by Section 6.03(a);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all sales, transfers, leases and other dispositions permitted hereby (other than those permitted by paragraph (b) above) shall be made for fair value. </w:t>
      </w:r>
    </w:p>
    <w:p>
      <w:pPr>
        <w:pStyle w:val="TextBody"/>
        <w:bidi w:val="0"/>
        <w:spacing w:before="240" w:after="0"/>
        <w:jc w:val="left"/>
        <w:rPr>
          <w:rFonts w:ascii="Times New Roman" w:hAnsi="Times New Roman"/>
          <w:sz w:val="20"/>
        </w:rPr>
      </w:pPr>
      <w:r>
        <w:rPr>
          <w:rFonts w:ascii="Times New Roman" w:hAnsi="Times New Roman"/>
          <w:sz w:val="20"/>
          <w:u w:val="single"/>
        </w:rPr>
        <w:t>SECTION 6.06 Sale and Leaseback Transactions</w:t>
      </w:r>
      <w:r>
        <w:rPr>
          <w:rFonts w:ascii="Times New Roman" w:hAnsi="Times New Roman"/>
          <w:sz w:val="20"/>
        </w:rPr>
        <w:t xml:space="preserve">. No Loan Party will, nor will it permit any Subsidiary (other than Excluded Subsidiaries which are not Loan Parties and Unrestricted Subsidiaries) to, directly or indirectly,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 any such sale of any fixed or capital assets by any Borrower or any Restricted Subsidiary that is made for cash consideration in an amount not less than the fair value of such fixed or capital asset and is consummated within 90 days after such Borrower or such Restricted Subsidiary acquires or completes the construction of such fixed or capital asset; and (b) other sales of any fixed or capital assets by any Borrower or any Restricted Subsidiary so long as the conditions set forth in clauses (a) and (b) of the definition of Payment Conditions are satisfied with respect to such transaction. </w:t>
      </w:r>
    </w:p>
    <w:p>
      <w:pPr>
        <w:pStyle w:val="TextBody"/>
        <w:bidi w:val="0"/>
        <w:spacing w:before="240" w:after="0"/>
        <w:jc w:val="left"/>
        <w:rPr>
          <w:rFonts w:ascii="Times New Roman" w:hAnsi="Times New Roman"/>
          <w:sz w:val="20"/>
        </w:rPr>
      </w:pPr>
      <w:r>
        <w:rPr>
          <w:rFonts w:ascii="Times New Roman" w:hAnsi="Times New Roman"/>
          <w:sz w:val="20"/>
          <w:u w:val="single"/>
        </w:rPr>
        <w:t>SECTION 6.07 Swap Agreements</w:t>
      </w:r>
      <w:r>
        <w:rPr>
          <w:rFonts w:ascii="Times New Roman" w:hAnsi="Times New Roman"/>
          <w:sz w:val="20"/>
        </w:rPr>
        <w:t xml:space="preserve">. No Loan Party will, nor will it permit any Subsidiary (other than Excluded Subsidiaries which are not Loan Parties and Unrestricted Subsidiaries) to, enter into any Swap Agreement, except (a) Swap Agreements entered into to hedge or mitigate risks to which any Loan Party has actual exposure (other than those in respect of Equity Interests of any Loan Party), (b) Swap Agreements entered into in order to effectively cap, collar or exchange interest rates (from fixed to floating rates, from one floating rate to another floating rate or otherwise) with respect to any interest-bearing liability or investment of any Loan Party and (c) any Swap Agreement relating to a Permitted Forward, a Permitted TEU Capped Call Transaction or a Permitted TEU Purchase Contract. </w:t>
      </w:r>
    </w:p>
    <w:p>
      <w:pPr>
        <w:pStyle w:val="TextBody"/>
        <w:bidi w:val="0"/>
        <w:spacing w:before="240" w:after="0"/>
        <w:jc w:val="left"/>
        <w:rPr>
          <w:rFonts w:ascii="Times New Roman" w:hAnsi="Times New Roman"/>
          <w:sz w:val="20"/>
        </w:rPr>
      </w:pPr>
      <w:r>
        <w:rPr>
          <w:rFonts w:ascii="Times New Roman" w:hAnsi="Times New Roman"/>
          <w:sz w:val="20"/>
          <w:u w:val="single"/>
        </w:rPr>
        <w:t>SECTION 6.08 Restricted Payments; Certain Payments of Indebtedness</w:t>
      </w:r>
      <w:r>
        <w:rPr>
          <w:rFonts w:ascii="Times New Roman" w:hAnsi="Times New Roman"/>
          <w:sz w:val="20"/>
        </w:rPr>
        <w:t xml:space="preserve">. (a) No Loan Party will, nor will it permit any Restricted Subsidiary to, declare, make or pay, directly or indirectly, any Restricted Payment except: </w:t>
      </w:r>
    </w:p>
    <w:p>
      <w:pPr>
        <w:pStyle w:val="TextBody"/>
        <w:bidi w:val="0"/>
        <w:spacing w:before="120" w:after="0"/>
        <w:jc w:val="left"/>
        <w:rPr>
          <w:rFonts w:ascii="Times New Roman" w:hAnsi="Times New Roman"/>
          <w:sz w:val="20"/>
        </w:rPr>
      </w:pPr>
      <w:r>
        <w:rPr>
          <w:rFonts w:ascii="Times New Roman" w:hAnsi="Times New Roman"/>
          <w:sz w:val="20"/>
        </w:rPr>
        <w:t xml:space="preserve">(i) each of Holdings and each Restricted Subsidiary may declare and pay dividends with respect to its common stock payable solely in additional shares of its common stock, and, with respect to its preferred stock, payable solely in additional shares of such preferred stock or in shares of its common stock; </w:t>
      </w:r>
    </w:p>
    <w:p>
      <w:pPr>
        <w:pStyle w:val="TextBody"/>
        <w:bidi w:val="0"/>
        <w:spacing w:before="120" w:after="0"/>
        <w:jc w:val="left"/>
        <w:rPr>
          <w:rFonts w:ascii="Times New Roman" w:hAnsi="Times New Roman"/>
          <w:sz w:val="20"/>
        </w:rPr>
      </w:pPr>
      <w:r>
        <w:rPr>
          <w:rFonts w:ascii="Times New Roman" w:hAnsi="Times New Roman"/>
          <w:sz w:val="20"/>
        </w:rPr>
        <w:t xml:space="preserve">(ii) any Loan Party (other than Holdings) or any Restricted Subsidiary may make dividends or distributions to any direct holder of its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(iii) Holdings and each Restricted Subsidiary may declare, make or pay any Restricted Payment so long as, in each case, such Restricted Payment is made in accordance with applicable law and the conditions set forth in clauses (a), (b) and (d) of the definition of Payment Conditions are satisfied with respect to such Restricted Payment; </w:t>
      </w:r>
    </w:p>
    <w:p>
      <w:pPr>
        <w:pStyle w:val="TextBody"/>
        <w:bidi w:val="0"/>
        <w:spacing w:before="120" w:after="0"/>
        <w:jc w:val="left"/>
        <w:rPr>
          <w:rFonts w:ascii="Times New Roman" w:hAnsi="Times New Roman"/>
          <w:sz w:val="20"/>
        </w:rPr>
      </w:pPr>
      <w:r>
        <w:rPr>
          <w:rFonts w:ascii="Times New Roman" w:hAnsi="Times New Roman"/>
          <w:sz w:val="20"/>
        </w:rPr>
        <w:t>(iv) Holdings may declare and pay dividends (in addition to those made in reliance upon any other clause of this Section 6.08(a)) to the holders of Equity Interests in Holdings in an aggregate amount not to exceed $</w:t>
      </w:r>
      <w:r>
        <w:rPr>
          <w:rFonts w:ascii="Times New Roman" w:hAnsi="Times New Roman"/>
          <w:strike/>
          <w:color w:val="FF0000"/>
          <w:sz w:val="20"/>
        </w:rPr>
        <w:t>125,000,000</w:t>
      </w:r>
      <w:r>
        <w:rPr>
          <w:rFonts w:ascii="Times New Roman" w:hAnsi="Times New Roman"/>
          <w:color w:val="0000FF"/>
          <w:sz w:val="20"/>
          <w:u w:val="single"/>
          <w:bdr w:val="double" w:sz="2" w:space="1" w:color="000000"/>
        </w:rPr>
        <w:t>165,000,000</w:t>
      </w:r>
      <w:r>
        <w:rPr>
          <w:rFonts w:ascii="Times New Roman" w:hAnsi="Times New Roman"/>
          <w:sz w:val="20"/>
        </w:rPr>
        <w:t xml:space="preserve"> per fiscal year, so long as no Event of Default has occurred and is continuing or would result after giving effect to the declaration and payment of such dividends; </w:t>
      </w:r>
    </w:p>
    <w:p>
      <w:pPr>
        <w:pStyle w:val="TextBody"/>
        <w:bidi w:val="0"/>
        <w:spacing w:before="120" w:after="0"/>
        <w:jc w:val="left"/>
        <w:rPr>
          <w:rFonts w:ascii="Times New Roman" w:hAnsi="Times New Roman"/>
          <w:sz w:val="20"/>
        </w:rPr>
      </w:pPr>
      <w:r>
        <w:rPr>
          <w:rFonts w:ascii="Times New Roman" w:hAnsi="Times New Roman"/>
          <w:sz w:val="20"/>
        </w:rPr>
        <w:t xml:space="preserve">(v) each Loan Party may grant Equity Interests in the ordinary course of business to employees, directors and contractors and make any payments related to such Equity Interests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Holdings may declare and pay dividends on the Preferred Equity in an amount per fiscal year not to exceed the sum of (x) $73,000,000 plus (y) any amount under clause (x) not used in any prior fiscal year, so long as no Event of Default under </w:t>
      </w:r>
      <w:r>
        <w:rPr>
          <w:rFonts w:ascii="Times New Roman" w:hAnsi="Times New Roman"/>
          <w:strike/>
          <w:color w:val="FF0000"/>
          <w:sz w:val="20"/>
        </w:rPr>
        <w:t>Section</w:t>
      </w:r>
      <w:r>
        <w:rPr>
          <w:rFonts w:ascii="Times New Roman" w:hAnsi="Times New Roman"/>
          <w:color w:val="0000FF"/>
          <w:sz w:val="20"/>
          <w:u w:val="single"/>
          <w:bdr w:val="double" w:sz="2" w:space="1" w:color="000000"/>
        </w:rPr>
        <w:t>clause</w:t>
      </w:r>
      <w:r>
        <w:rPr>
          <w:rFonts w:ascii="Times New Roman" w:hAnsi="Times New Roman"/>
          <w:sz w:val="20"/>
        </w:rPr>
        <w:t xml:space="preserve"> (a), (b), (i), (j) or (k) of Article VII exists; </w:t>
      </w:r>
    </w:p>
    <w:p>
      <w:pPr>
        <w:pStyle w:val="TextBody"/>
        <w:bidi w:val="0"/>
        <w:spacing w:before="120" w:after="0"/>
        <w:jc w:val="left"/>
        <w:rPr>
          <w:rFonts w:ascii="Times New Roman" w:hAnsi="Times New Roman"/>
          <w:sz w:val="20"/>
        </w:rPr>
      </w:pPr>
      <w:r>
        <w:rPr>
          <w:rFonts w:ascii="Times New Roman" w:hAnsi="Times New Roman"/>
          <w:sz w:val="20"/>
        </w:rPr>
        <w:t xml:space="preserve">(vii)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(viii) Holdings may repurchase, redeem, retire or otherwise acquire for value its Equity Interests (in addition to the capacity provided for in reliance upon any other clause of this Section 6.08(a)) in an aggregate amount not to exceed $</w:t>
      </w:r>
      <w:r>
        <w:rPr>
          <w:rFonts w:ascii="Times New Roman" w:hAnsi="Times New Roman"/>
          <w:strike/>
          <w:color w:val="FF0000"/>
          <w:sz w:val="20"/>
        </w:rPr>
        <w:t>150,000,000</w:t>
      </w:r>
      <w:r>
        <w:rPr>
          <w:rFonts w:ascii="Times New Roman" w:hAnsi="Times New Roman"/>
          <w:color w:val="0000FF"/>
          <w:sz w:val="20"/>
          <w:u w:val="single"/>
          <w:bdr w:val="double" w:sz="2" w:space="1" w:color="000000"/>
        </w:rPr>
        <w:t>175,000,000</w:t>
      </w:r>
      <w:r>
        <w:rPr>
          <w:rFonts w:ascii="Times New Roman" w:hAnsi="Times New Roman"/>
          <w:sz w:val="20"/>
        </w:rPr>
        <w:t xml:space="preserve"> per fiscal year, so long as no Event of Default has occurred and is continuing or would result after giving effect to such repurchase, redemption, retirement or other acquisition for value; and </w:t>
      </w:r>
    </w:p>
    <w:p>
      <w:pPr>
        <w:pStyle w:val="TextBody"/>
        <w:bidi w:val="0"/>
        <w:spacing w:before="120" w:after="0"/>
        <w:jc w:val="left"/>
        <w:rPr>
          <w:rFonts w:ascii="Times New Roman" w:hAnsi="Times New Roman"/>
          <w:sz w:val="20"/>
        </w:rPr>
      </w:pPr>
      <w:r>
        <w:rPr>
          <w:rFonts w:ascii="Times New Roman" w:hAnsi="Times New Roman"/>
          <w:sz w:val="20"/>
        </w:rPr>
        <w:t xml:space="preserve">(ix) so long as no Specified Event of Default has occurred and is continuing or would result after giving effect thereto, Holdings may repurchase, redeem, retire or otherwise acquire for value the Preferred Equity in an aggregate amount not to exceed the amount of any Note Proceeds (in addition to the capacity provided for in reliance upon any other clause of this Section 6.08(a)). </w:t>
      </w:r>
    </w:p>
    <w:p>
      <w:pPr>
        <w:pStyle w:val="TextBody"/>
        <w:bidi w:val="0"/>
        <w:spacing w:before="240" w:after="0"/>
        <w:jc w:val="left"/>
        <w:rPr>
          <w:rFonts w:ascii="Times New Roman" w:hAnsi="Times New Roman"/>
          <w:sz w:val="20"/>
        </w:rPr>
      </w:pPr>
      <w:r>
        <w:rPr>
          <w:rFonts w:ascii="Times New Roman" w:hAnsi="Times New Roman"/>
          <w:strike/>
          <w:color w:val="FF0000"/>
          <w:sz w:val="20"/>
        </w:rPr>
        <w:t>For greater certainty, the Borrowers may elect from time to time to consider Restricted Payments as falling within one or more of the categories above and may divide Restricted Payments among two or more categories. The restrictions set forth in any subpart of this Section by way of description of any Restricted Payments shall not be deemed to require that any Restricted Payments meeting such description be placed in such subpart for purposes of determining compliance with this Section.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set forth above shall not operate to prevent the making of dividends or repurchases previously declared by Holdings so long as (x) at the declaration date, such dividend or repurchase was permitted by the foregoing and (y) such dividend or repurchase is consummated within the earlier of 60 days and any date under applicable law on which such dividend or repurchase must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(b) No Loan Party will, nor will it permit any Subsidiary (other than (i) Unrestricted Subsidiaries or (ii) Excluded Subsidiaries which are not Loan Parties) to,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(i) payment of Indebtedness created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(ii) payment of regularly scheduled interest and principal payments (including any mandatory prepayment) as and when due in respect of any Indebtedness, other than payments in respect of the Subordinated Indebtedness prohibited by the subordination provisions thereof; </w:t>
      </w:r>
    </w:p>
    <w:p>
      <w:pPr>
        <w:pStyle w:val="TextBody"/>
        <w:bidi w:val="0"/>
        <w:spacing w:before="120" w:after="0"/>
        <w:jc w:val="left"/>
        <w:rPr>
          <w:rFonts w:ascii="Times New Roman" w:hAnsi="Times New Roman"/>
          <w:sz w:val="20"/>
        </w:rPr>
      </w:pPr>
      <w:r>
        <w:rPr>
          <w:rFonts w:ascii="Times New Roman" w:hAnsi="Times New Roman"/>
          <w:sz w:val="20"/>
        </w:rPr>
        <w:t xml:space="preserve">(iii) refinancings of Indebtedness to the extent permitted by Section 6.01; </w:t>
      </w:r>
    </w:p>
    <w:p>
      <w:pPr>
        <w:pStyle w:val="TextBody"/>
        <w:bidi w:val="0"/>
        <w:spacing w:before="120" w:after="0"/>
        <w:jc w:val="left"/>
        <w:rPr>
          <w:rFonts w:ascii="Times New Roman" w:hAnsi="Times New Roman"/>
          <w:sz w:val="20"/>
        </w:rPr>
      </w:pPr>
      <w:r>
        <w:rPr>
          <w:rFonts w:ascii="Times New Roman" w:hAnsi="Times New Roman"/>
          <w:sz w:val="20"/>
        </w:rPr>
        <w:t xml:space="preserve">(iv) payment of secured Indebtedness that becomes due as a result of the voluntary sale or transfer of the property or assets securing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(v) payment of Indebtedness owed by a Loan Party or Restricted Subsidiary of a Loan Party to any other Loan Party or Subsidiary of a Loan Party, </w:t>
      </w:r>
      <w:r>
        <w:rPr>
          <w:rFonts w:ascii="Times New Roman" w:hAnsi="Times New Roman"/>
          <w:sz w:val="20"/>
          <w:u w:val="single"/>
        </w:rPr>
        <w:t>provided</w:t>
      </w:r>
      <w:r>
        <w:rPr>
          <w:rFonts w:ascii="Times New Roman" w:hAnsi="Times New Roman"/>
          <w:sz w:val="20"/>
        </w:rPr>
        <w:t xml:space="preserve"> that (A) such Indebtedness is permitted by Section 6.01 and (B) no Loan Party shall be permitted to make any payment in respect of any Indebtedness to any Subsidiary which is not a Loan Party if (x) an Event of Default has occurred and is continuing or would result therefrom or (y) such payment would be prohibited by the subordination provisions of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(vi) payment of Indebtedness of a Loan Party or Restricted Subsidiary (other than those made in reliance on any other paragraph of this Section 6.08), so long as at the time of and after giving effect to such payment, either, the conditions set forth in clauses (a), (b) and (d) of the definition of Payment Conditions are satisfied with respect to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 payments and prepayments of Indebtedness (other than those made in reliance on any other paragraph of this Section 6.08) in an aggregate amount not to exceed the greater of $</w:t>
      </w:r>
      <w:r>
        <w:rPr>
          <w:rFonts w:ascii="Times New Roman" w:hAnsi="Times New Roman"/>
          <w:strike/>
          <w:color w:val="FF0000"/>
          <w:sz w:val="20"/>
        </w:rPr>
        <w:t>75,000,000</w:t>
      </w:r>
      <w:r>
        <w:rPr>
          <w:rFonts w:ascii="Times New Roman" w:hAnsi="Times New Roman"/>
          <w:color w:val="0000FF"/>
          <w:sz w:val="20"/>
          <w:u w:val="single"/>
          <w:bdr w:val="double" w:sz="2" w:space="1" w:color="000000"/>
        </w:rPr>
        <w:t>85,000,000</w:t>
      </w:r>
      <w:r>
        <w:rPr>
          <w:rFonts w:ascii="Times New Roman" w:hAnsi="Times New Roman"/>
          <w:sz w:val="20"/>
        </w:rPr>
        <w:t xml:space="preserve"> and 5% of EBITDA per fiscal year, so long as no Event of Default has occurred and is continuing or would result after giving effect to any such payment or prepayment; </w:t>
      </w:r>
    </w:p>
    <w:p>
      <w:pPr>
        <w:pStyle w:val="TextBody"/>
        <w:bidi w:val="0"/>
        <w:spacing w:before="120" w:after="0"/>
        <w:jc w:val="left"/>
        <w:rPr>
          <w:rFonts w:ascii="Times New Roman" w:hAnsi="Times New Roman"/>
          <w:sz w:val="20"/>
        </w:rPr>
      </w:pPr>
      <w:r>
        <w:rPr>
          <w:rFonts w:ascii="Times New Roman" w:hAnsi="Times New Roman"/>
          <w:sz w:val="20"/>
        </w:rPr>
        <w:t xml:space="preserve">(viii) payments and prepayments of Indebtedness made with the proceeds of the issuance of Equity Interests by Holdings or any of its subsidiaries (to the extent such proceeds are contributed to the Borrower or any Restricted Subsidiary) within nine months of the receipt of such proceeds; and </w:t>
      </w:r>
    </w:p>
    <w:p>
      <w:pPr>
        <w:pStyle w:val="TextBody"/>
        <w:bidi w:val="0"/>
        <w:spacing w:before="120" w:after="0"/>
        <w:jc w:val="left"/>
        <w:rPr>
          <w:rFonts w:ascii="Times New Roman" w:hAnsi="Times New Roman"/>
          <w:sz w:val="20"/>
        </w:rPr>
      </w:pPr>
      <w:r>
        <w:rPr>
          <w:rFonts w:ascii="Times New Roman" w:hAnsi="Times New Roman"/>
          <w:sz w:val="20"/>
        </w:rPr>
        <w:t xml:space="preserve">(ix) in connection with the Transactions. </w:t>
      </w:r>
    </w:p>
    <w:p>
      <w:pPr>
        <w:pStyle w:val="TextBody"/>
        <w:bidi w:val="0"/>
        <w:spacing w:before="240" w:after="0"/>
        <w:jc w:val="left"/>
        <w:rPr>
          <w:rFonts w:ascii="Times New Roman" w:hAnsi="Times New Roman"/>
          <w:sz w:val="20"/>
        </w:rPr>
      </w:pPr>
      <w:r>
        <w:rPr>
          <w:rFonts w:ascii="Times New Roman" w:hAnsi="Times New Roman"/>
          <w:strike/>
          <w:color w:val="FF0000"/>
          <w:sz w:val="20"/>
        </w:rPr>
        <w:t>For greater certainty, the Borrowers may elect from time to time to consider payments in respective of Indebtedness as falling within one or more of the categories above and may divide such payments among two or more categories. The restrictions set forth in any subpart of this Section by way of description of any such payments shall not be deemed to require that any payments meeting such description be placed in such subpart for purposes of determining compliance with this Section.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6.09 Transactions with Affiliates</w:t>
      </w:r>
      <w:r>
        <w:rPr>
          <w:rFonts w:ascii="Times New Roman" w:hAnsi="Times New Roman"/>
          <w:sz w:val="20"/>
        </w:rPr>
        <w:t>. Except as otherwise permitted by this Agreement, no Loan Party will, nor will it permit any Restricted Subsidiary to, sell, lease or otherwise transfer any property or assets to, or purchase, lease or otherwise acquire any property or assets from, or otherwise engage in any other transactions with, any of its Affiliates, except (a) transactions that are on terms and conditions, when taken as a whole, not less favorable to such Loan Party or such Restricted Subsidiary than could be obtained on an arm’s-length basis from unrelated third parties, (b) transactions between or among: (i) any U.S. Loan Parties; or (ii) any Canadian Loan Parties (</w:t>
      </w:r>
      <w:r>
        <w:rPr>
          <w:rFonts w:ascii="Times New Roman" w:hAnsi="Times New Roman"/>
          <w:sz w:val="20"/>
          <w:u w:val="single"/>
        </w:rPr>
        <w:t>provided</w:t>
      </w:r>
      <w:r>
        <w:rPr>
          <w:rFonts w:ascii="Times New Roman" w:hAnsi="Times New Roman"/>
          <w:sz w:val="20"/>
        </w:rPr>
        <w:t xml:space="preserve"> that, for purposes of this clause (b), a Canadian Cross-Border Loan Guarantor shall be treated only as a Canadian Loan Party and not as a U.S. Loan Party), (c) investments permitted by Section 6.04, (d) Indebtedness permitted under Section 6.01, (e) asset sales (including sale and lease back transactions permitted by Section 6.06) permitted by Section 6.05; (f) Restricted Payments permitted by Section 6.08, (g) loans or advances to employees permitted under Section 6.04, (h) the payment of reasonable fees to directors of any Loan Party who are not employees of such Loan Party, and compensation and employee benefit arrangements paid to, and indemnities provided for the benefit of, directors, officers or employees of the Loan Parties in the ordinary course of business and (i) any issuances of securities or other payments, awards or grants in cash, securities or otherwise pursuant to, or the funding of, employment agreements, stock options and stock ownership plans approved by a Loan Party’s board of directors. </w:t>
      </w:r>
    </w:p>
    <w:p>
      <w:pPr>
        <w:pStyle w:val="TextBody"/>
        <w:bidi w:val="0"/>
        <w:spacing w:before="240" w:after="0"/>
        <w:jc w:val="left"/>
        <w:rPr>
          <w:rFonts w:ascii="Times New Roman" w:hAnsi="Times New Roman"/>
          <w:sz w:val="20"/>
        </w:rPr>
      </w:pPr>
      <w:r>
        <w:rPr>
          <w:rFonts w:ascii="Times New Roman" w:hAnsi="Times New Roman"/>
          <w:sz w:val="20"/>
          <w:u w:val="single"/>
        </w:rPr>
        <w:t>SECTION 6.10 Restrictive Agreements</w:t>
      </w:r>
      <w:r>
        <w:rPr>
          <w:rFonts w:ascii="Times New Roman" w:hAnsi="Times New Roman"/>
          <w:sz w:val="20"/>
        </w:rPr>
        <w:t xml:space="preserve">. No Loan Party will, nor will it permit any Restricted Subsidiary to, directly or indirectly, enter into, incur or permit to exist any agreement or other arrangement that prohibits, restricts or imposes any condition upon (a) the ability of such Loan Party or any of its Restricted Subsidiaries to create, incur or permit to exist any Lien upon any of the Collateral, or (b) the ability of any Restricted Subsidiary to pay dividends or other distributions with respect to any shares of its capital stock or to make or repay loans or advances to any Borrower or any other Subsidiary or to Guarantee Indebtedness of any Borrower or any other Restricted Subsidiary; </w:t>
      </w:r>
      <w:r>
        <w:rPr>
          <w:rFonts w:ascii="Times New Roman" w:hAnsi="Times New Roman"/>
          <w:sz w:val="20"/>
          <w:u w:val="single"/>
        </w:rPr>
        <w:t>provided</w:t>
      </w:r>
      <w:r>
        <w:rPr>
          <w:rFonts w:ascii="Times New Roman" w:hAnsi="Times New Roman"/>
          <w:sz w:val="20"/>
        </w:rPr>
        <w:t xml:space="preserve"> that (i) the foregoing shall not apply to restrictions and conditions imposed by law or by any Loan Document, (ii) the foregoing shall not apply to restrictions and conditions existing on the Fourth Restatement Date with respect to documents identified on </w:t>
      </w:r>
      <w:r>
        <w:rPr>
          <w:rFonts w:ascii="Times New Roman" w:hAnsi="Times New Roman"/>
          <w:sz w:val="20"/>
          <w:u w:val="single"/>
        </w:rPr>
        <w:t>Schedule 6.10</w:t>
      </w:r>
      <w:r>
        <w:rPr>
          <w:rFonts w:ascii="Times New Roman" w:hAnsi="Times New Roman"/>
          <w:sz w:val="20"/>
        </w:rPr>
        <w:t xml:space="preserve"> or any extension or renewal of, or any amendment, modification or replacement of such documents (to the extent such extension, renewal, amendment, modification or replacement is not prohibited by this Agreement) which does not expand the scope of, any such restriction or condition, (iii) the foregoing shall not apply to customary restrictions and conditions contained in agreements relating to the purchase agreements pending such sale or purchase, as applicable, (iv) the foregoing shall not apply to customary restrictions and conditions contained in any agreement relating to Indebtedness of a special purpose entity if such restriction applies to the creation of Liens on the assets of such special purpose entity or limits such special purpose entity from paying dividends or distributions in respect of such special purpose entity’s income or property, (v) clause (a) of the foregoing shall not apply to restrictions or conditions imposed by any agreement relating to secured Indebtedness permitted by this Agreement if such restrictions or conditions apply only to the property or assets securing such Indebtedness, (vi) clause (a) of the foregoing shall not apply to customary provisions in leases restricting the assignment thereof, and (vii) the foregoing shall not apply to restrictions imposed by any Senior Notes Indenture,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Permitted Term Loan Agreement or any agreement governing Indebtedness entered into after the Fourth Restatement Date and permitted under Section 6.01(l); </w:t>
      </w:r>
      <w:r>
        <w:rPr>
          <w:rFonts w:ascii="Times New Roman" w:hAnsi="Times New Roman"/>
          <w:sz w:val="20"/>
          <w:u w:val="single"/>
        </w:rPr>
        <w:t>provided</w:t>
      </w:r>
      <w:r>
        <w:rPr>
          <w:rFonts w:ascii="Times New Roman" w:hAnsi="Times New Roman"/>
          <w:sz w:val="20"/>
        </w:rPr>
        <w:t xml:space="preserve"> that such restrictions contained in such Senior Notes Indenture, such Permitted Term Loan Agreement or other agreement (x) taken as a whole, in the good faith judgment of the Borrower Representative, are no more restrictive with respect to the Loan Parties than customary market terms for Indebtedness of such type (and, in any event, are no more restrictive than the restrictions contained in this Agreement), and (y) do not adversely affect the ability of the Loan Parties (A) to make any payments required to be paid by the Loan Parties with respect to the Obligations or (B) to grant Liens on the Collateral in favor of the Administrative Agent. </w:t>
      </w:r>
    </w:p>
    <w:p>
      <w:pPr>
        <w:pStyle w:val="TextBody"/>
        <w:bidi w:val="0"/>
        <w:spacing w:before="240" w:after="0"/>
        <w:jc w:val="left"/>
        <w:rPr>
          <w:rFonts w:ascii="Times New Roman" w:hAnsi="Times New Roman"/>
          <w:sz w:val="20"/>
        </w:rPr>
      </w:pPr>
      <w:r>
        <w:rPr>
          <w:rFonts w:ascii="Times New Roman" w:hAnsi="Times New Roman"/>
          <w:sz w:val="20"/>
          <w:u w:val="single"/>
        </w:rPr>
        <w:t>SECTION 6.11 Amendment of Material Documents</w:t>
      </w:r>
      <w:r>
        <w:rPr>
          <w:rFonts w:ascii="Times New Roman" w:hAnsi="Times New Roman"/>
          <w:sz w:val="20"/>
        </w:rPr>
        <w:t xml:space="preserve">. No Loan Party will, nor will it permit any Restricted Subsidiary to, amend, modify or waive any term or provision of (a) the Receivables Securitization Agreements, except for amendments to the Receivable Securitization Agreements which do not adversely affect the Collateral, the Receivables Intercreditor Agreement or the Administrative Agent’s rights thereunder; (b) any Permitted Term Debt Documents in any manner which would violate the applicable Permitted Term Debt Intercreditor Agreement; (c) any Senior Notes Indentures, or its certificate of incorporation, by-laws, operating, memorandum of association, management or partnership agreement or other organizational documents, to the extent any such amendment, modification or waiver of any instrument, contract or agreement described in this clause (c) would be materially adverse to the Lenders, or (d) any other document evidencing any Material Indebtedness (other than Indebtedness described in clauses (a), (b) or (c) of this Section 6.11), to the extent any such amendment, modification or waiver would be materially adverse to the Lenders (it being understood and agreed that no such amendment, modification or waiver shall be deemed adverse to the Lenders if, after giving effect to such amendment, modification or waiver, assuming such Indebtedness was not outstanding, the Borrowers and their Subsidiaries would be able to incur Indebtedness on such terms pursuant to Section 6.01). </w:t>
      </w:r>
    </w:p>
    <w:p>
      <w:pPr>
        <w:pStyle w:val="TextBody"/>
        <w:bidi w:val="0"/>
        <w:spacing w:before="240" w:after="0"/>
        <w:jc w:val="left"/>
        <w:rPr>
          <w:rFonts w:ascii="Times New Roman" w:hAnsi="Times New Roman"/>
          <w:sz w:val="20"/>
        </w:rPr>
      </w:pPr>
      <w:r>
        <w:rPr>
          <w:rFonts w:ascii="Times New Roman" w:hAnsi="Times New Roman"/>
          <w:sz w:val="20"/>
          <w:u w:val="single"/>
        </w:rPr>
        <w:t>SECTION 6.12 Fixed Charge Coverage Ratio</w:t>
      </w:r>
      <w:r>
        <w:rPr>
          <w:rFonts w:ascii="Times New Roman" w:hAnsi="Times New Roman"/>
          <w:sz w:val="20"/>
        </w:rPr>
        <w:t>. If a Fixed Charge Coverage Trigger Event shall occur, the Loan Parties will not permit the Fixed Charge Coverage Ratio to be less than 1.00 to 1.00 (a) as of the last day of the fiscal quarter which has ended immediately prior to such Fixed Charge Coverage Trigger Event and for which financial statements are available or are required to be delivered hereunder (the “</w:t>
      </w:r>
      <w:r>
        <w:rPr>
          <w:rFonts w:ascii="Times New Roman" w:hAnsi="Times New Roman"/>
          <w:sz w:val="20"/>
          <w:u w:val="single"/>
        </w:rPr>
        <w:t>Initial Test Date</w:t>
      </w:r>
      <w:r>
        <w:rPr>
          <w:rFonts w:ascii="Times New Roman" w:hAnsi="Times New Roman"/>
          <w:sz w:val="20"/>
        </w:rPr>
        <w:t xml:space="preserve">”) and (b) as of the last day of each fiscal quarter ending after such Initial Test Date until the Fixed Charge Coverage Trigger Period shall no longer be continuing. </w:t>
      </w:r>
    </w:p>
    <w:p>
      <w:pPr>
        <w:pStyle w:val="TextBody"/>
        <w:bidi w:val="0"/>
        <w:spacing w:before="240" w:after="0"/>
        <w:jc w:val="left"/>
        <w:rPr>
          <w:rFonts w:ascii="Times New Roman" w:hAnsi="Times New Roman"/>
          <w:sz w:val="20"/>
        </w:rPr>
      </w:pPr>
      <w:r>
        <w:rPr>
          <w:rFonts w:ascii="Times New Roman" w:hAnsi="Times New Roman"/>
          <w:sz w:val="20"/>
          <w:u w:val="single"/>
        </w:rPr>
        <w:t>SECTION 6.13 Designation of Subsidiaries</w:t>
      </w:r>
      <w:r>
        <w:rPr>
          <w:rFonts w:ascii="Times New Roman" w:hAnsi="Times New Roman"/>
          <w:sz w:val="20"/>
        </w:rPr>
        <w:t xml:space="preserve">. No Loan Party will designate any Restricted Subsidiary as an Unrestricted Subsidiary unless (i) the Borrower Representative delivers a written notice to the Administrative Agent of such designation, (ii) immediately before and after such designation, no Default or Event of Default shall have occurred and be continuing, (iii) immediately after giving effect to such designation, the Total Leverage Ratio is less than 4.75 to 1.00 as of the last day of the most recently completed period of four consecutive fiscal quarters ending prior to the date of such designation for which the financial statements and certificates required by Section 5.01(a) or 5.01(b), as the case may be, and Section 5.01(d), have been delivered and, as a condition precedent to the effectiveness of any such designation, the Borrower Representative shall deliver to the Administrative Agent a certificate setting forth in reasonable detail the calculations demonstrating such compliance, (iv) such Subsidiary is not designated as a “Restricted Subsidiary” (or the equivalent) for the purpose of any Senior Notes, any Subordinated Indebtedness of the Loan Parties or any Permitted Term Debt Documents and is not otherwise generally subject to the representations, warranties, covenants and events of default under any Senior Notes, any Subordinated Indebtedness of the Loan Parties or such Permitted Term Debt Documents, (v) such Restricted Subsidiary and its subsidiaries do not own any Equity Interests or Indebtedness of, or own or hold any Lien on, any property of any Loan Party, (vi) such Subsidiary or such Subsidiary’s subsidiaries have not at the time of designation, and do not, thereafter, create, incur, issue, assume, guarantee, or otherwise become directly or indirectly liable with respect to any Indebtedness pursuant to which the lender has recourse to any of the assets of any Loan Party, (vii) such Subsidiary is not WESCO Receivables or any Subsidiary which holds any Equity Interests or Indebtedness of WESCO Receivables, (viii) the revenues of such Subsidiary, as of </w:t>
      </w:r>
      <w:r>
        <w:rPr>
          <w:rFonts w:ascii="Times New Roman" w:hAnsi="Times New Roman"/>
          <w:color w:val="0000FF"/>
          <w:sz w:val="20"/>
          <w:u w:val="single"/>
          <w:bdr w:val="double" w:sz="2" w:space="1" w:color="000000"/>
        </w:rPr>
        <w:t xml:space="preserve">the </w:t>
      </w:r>
      <w:r>
        <w:rPr>
          <w:rFonts w:ascii="Times New Roman" w:hAnsi="Times New Roman"/>
          <w:sz w:val="20"/>
        </w:rPr>
        <w:t xml:space="preserve">end of any fiscal year, for the period of four consecutive fiscal quarters then ended, were less than 5% of the consolidated revenues of Holdings and its Subsidiaries for such period, (ix) the revenues of such Subsidiary, as of </w:t>
      </w:r>
      <w:r>
        <w:rPr>
          <w:rFonts w:ascii="Times New Roman" w:hAnsi="Times New Roman"/>
          <w:color w:val="0000FF"/>
          <w:sz w:val="20"/>
          <w:u w:val="single"/>
          <w:bdr w:val="double" w:sz="2" w:space="1" w:color="000000"/>
        </w:rPr>
        <w:t xml:space="preserve">the </w:t>
      </w:r>
      <w:r>
        <w:rPr>
          <w:rFonts w:ascii="Times New Roman" w:hAnsi="Times New Roman"/>
          <w:sz w:val="20"/>
        </w:rPr>
        <w:t xml:space="preserve">end of any fiscal year, for the period of four consecutive fiscal quarters then ended, when taken together with the revenues of all Unrestricted Subsidiaries were less than 15% of the consolidated revenues of Holdings and its Subsidiaries for such period, (x) the consolidated assets of such Subsidiary, as of </w:t>
      </w:r>
      <w:r>
        <w:rPr>
          <w:rFonts w:ascii="Times New Roman" w:hAnsi="Times New Roman"/>
          <w:color w:val="0000FF"/>
          <w:sz w:val="20"/>
          <w:u w:val="single"/>
          <w:bdr w:val="double" w:sz="2" w:space="1" w:color="000000"/>
        </w:rPr>
        <w:t xml:space="preserve">the </w:t>
      </w:r>
      <w:r>
        <w:rPr>
          <w:rFonts w:ascii="Times New Roman" w:hAnsi="Times New Roman"/>
          <w:sz w:val="20"/>
        </w:rPr>
        <w:t xml:space="preserve">end of any fiscal year, were less than 5% of the consolidated total assets of Holdings and its Subsidiaries as of the end of such fiscal year, and (xi) the consolidated assets of such Subsidiary, as of </w:t>
      </w:r>
      <w:r>
        <w:rPr>
          <w:rFonts w:ascii="Times New Roman" w:hAnsi="Times New Roman"/>
          <w:color w:val="0000FF"/>
          <w:sz w:val="20"/>
          <w:u w:val="single"/>
          <w:bdr w:val="double" w:sz="2" w:space="1" w:color="000000"/>
        </w:rPr>
        <w:t xml:space="preserve">the </w:t>
      </w:r>
      <w:r>
        <w:rPr>
          <w:rFonts w:ascii="Times New Roman" w:hAnsi="Times New Roman"/>
          <w:sz w:val="20"/>
        </w:rPr>
        <w:t xml:space="preserve">end of any fiscal year, when taken together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consolidated assets of all Unrestricted Subsidiaries were less than 15% of the consolidated total assets of Holdings and its Subsidiaries as of the end of such fiscal year (in the case of each of the foregoing clauses (viii) through (xi), as reflected on the most recent annual or quarterly consolidated financial statements of Holdings and its Subsidiaries). The designation of any Subsidiary as an Unrestricted Subsidiary shall constitute an Investment therein by such Borrower and its Restricted Subsidiaries, as applicable, at the date of designation in an amount equal to the fair market value of the applicable parties’ investment therein (the fair market value of such investment to be calculated without regard to any guarantee provided by such designated or re designated Unrestricted Subsidiary). The designation of any Unrestricted Subsidiary as a Restricted Subsidiary shall constitute (A) the incurrence at the time of designation of any Investment, Indebtedness or Liens of such Subsidiary existing at such time and (B) a return on any Investment by such Borrower or any Restricted Subsidiary in Unrestricted Subsidiaries pursuant to the preceding sentence in an amount equal to the fair market value at the date of such designation of such Borrower’s and its Restricted Subsidiaries’ (as applicable) Investment in such Subsidiary. Notwithstanding anything to the contrary herein, any Unrestricted Subsidiary that has been redesignated as a Restricted Subsidiary may not be subsequently redesignated as an Unrestricted Subsidiary. </w:t>
      </w:r>
    </w:p>
    <w:p>
      <w:pPr>
        <w:pStyle w:val="TextBody"/>
        <w:bidi w:val="0"/>
        <w:spacing w:before="240" w:after="0"/>
        <w:jc w:val="left"/>
        <w:rPr>
          <w:rFonts w:ascii="Times New Roman" w:hAnsi="Times New Roman"/>
          <w:sz w:val="20"/>
        </w:rPr>
      </w:pPr>
      <w:r>
        <w:rPr>
          <w:rFonts w:ascii="Times New Roman" w:hAnsi="Times New Roman"/>
          <w:sz w:val="20"/>
          <w:u w:val="single"/>
        </w:rPr>
        <w:t>SECTION 6.14 Canadian Defined Benefit Plans</w:t>
      </w:r>
      <w:r>
        <w:rPr>
          <w:rFonts w:ascii="Times New Roman" w:hAnsi="Times New Roman"/>
          <w:sz w:val="20"/>
        </w:rPr>
        <w:t xml:space="preserve">. None of the Canadian Loan Parties shall, (a) without the consent of the Administrative Agent (not to be unreasonably withheld) maintain, administer, contribute or have any liability in respect of any Canadian Pension Plan which contains a “defined benefit provision,” as defined in subsection 147.1(1) of the </w:t>
      </w:r>
      <w:r>
        <w:rPr>
          <w:rFonts w:ascii="Times New Roman" w:hAnsi="Times New Roman"/>
          <w:i/>
          <w:sz w:val="20"/>
        </w:rPr>
        <w:t>Income Tax Act</w:t>
      </w:r>
      <w:r>
        <w:rPr>
          <w:rFonts w:ascii="Times New Roman" w:hAnsi="Times New Roman"/>
          <w:sz w:val="20"/>
        </w:rPr>
        <w:t xml:space="preserve"> (Canada) (“</w:t>
      </w:r>
      <w:r>
        <w:rPr>
          <w:rFonts w:ascii="Times New Roman" w:hAnsi="Times New Roman"/>
          <w:sz w:val="20"/>
          <w:u w:val="single"/>
        </w:rPr>
        <w:t>Canadian Defined Benefit Plan</w:t>
      </w:r>
      <w:r>
        <w:rPr>
          <w:rFonts w:ascii="Times New Roman" w:hAnsi="Times New Roman"/>
          <w:sz w:val="20"/>
        </w:rPr>
        <w:t xml:space="preserve">”) (other than the Canadian Defined Benefit Plans listed in </w:t>
      </w:r>
      <w:r>
        <w:rPr>
          <w:rFonts w:ascii="Times New Roman" w:hAnsi="Times New Roman"/>
          <w:sz w:val="20"/>
          <w:u w:val="single"/>
        </w:rPr>
        <w:t>Schedule 3.10</w:t>
      </w:r>
      <w:r>
        <w:rPr>
          <w:rFonts w:ascii="Times New Roman" w:hAnsi="Times New Roman"/>
          <w:sz w:val="20"/>
        </w:rPr>
        <w:t xml:space="preserve"> on the Fourth Restatement Date, the Canadian Defined Benefit Plan of EECOL Electric Corp. or any Canadian Defined Benefit Plan sponsored, maintained, administered or contributed to by a Person described in clause (b) of this Section 6.14) or (b) acquire an interest in any Person if such Person sponsors, maintains, administers or contributes to, or has any liability in respect of any Canadian Defined Benefit Plan if such acquisition would, or could reasonably be expected to, result in a Material Adverse Effect.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any of the following events (“</w:t>
      </w:r>
      <w:r>
        <w:rPr>
          <w:rFonts w:ascii="Times New Roman" w:hAnsi="Times New Roman"/>
          <w:sz w:val="20"/>
          <w:u w:val="single"/>
        </w:rPr>
        <w:t>Events of Default</w:t>
      </w:r>
      <w:r>
        <w:rPr>
          <w:rFonts w:ascii="Times New Roman" w:hAnsi="Times New Roman"/>
          <w:sz w:val="20"/>
        </w:rPr>
        <w:t xml:space="preserve">”) shall occur: </w:t>
      </w:r>
    </w:p>
    <w:p>
      <w:pPr>
        <w:pStyle w:val="TextBody"/>
        <w:bidi w:val="0"/>
        <w:spacing w:before="120" w:after="0"/>
        <w:jc w:val="left"/>
        <w:rPr>
          <w:rFonts w:ascii="Times New Roman" w:hAnsi="Times New Roman"/>
          <w:sz w:val="20"/>
        </w:rPr>
      </w:pPr>
      <w:r>
        <w:rPr>
          <w:rFonts w:ascii="Times New Roman" w:hAnsi="Times New Roman"/>
          <w:sz w:val="20"/>
        </w:rPr>
        <w:t xml:space="preserve">(a) any Borrower shall fail to pay any principal of any Loan or any reimbursement obligation in respect of any LC Disbursement when and as the same shall become due and payable, whether at the due date thereof or at a date fixed for prepayment thereof or otherwise; </w:t>
      </w:r>
    </w:p>
    <w:p>
      <w:pPr>
        <w:pStyle w:val="TextBody"/>
        <w:bidi w:val="0"/>
        <w:spacing w:before="240" w:after="0"/>
        <w:jc w:val="left"/>
        <w:rPr>
          <w:rFonts w:ascii="Times New Roman" w:hAnsi="Times New Roman"/>
          <w:sz w:val="20"/>
        </w:rPr>
      </w:pPr>
      <w:r>
        <w:rPr>
          <w:rFonts w:ascii="Times New Roman" w:hAnsi="Times New Roman"/>
          <w:sz w:val="20"/>
        </w:rPr>
        <w:t>(b) any Borrower shall fail to pay any interest on any Loan or any fee or any other amount (other than an amount referred to in clause (a) of this Article) payable under this Agreement, when and as the same shall become due and payable</w:t>
      </w:r>
      <w:r>
        <w:rPr>
          <w:rFonts w:ascii="Times New Roman" w:hAnsi="Times New Roman"/>
          <w:strike/>
          <w:color w:val="FF0000"/>
          <w:sz w:val="20"/>
        </w:rPr>
        <w:t xml:space="preserve">, </w:t>
      </w:r>
      <w:r>
        <w:rPr>
          <w:rFonts w:ascii="Times New Roman" w:hAnsi="Times New Roman"/>
          <w:sz w:val="20"/>
        </w:rPr>
        <w:t xml:space="preserve">and such failure shall continue unremedied for a period of three Business Days; </w:t>
      </w:r>
    </w:p>
    <w:p>
      <w:pPr>
        <w:pStyle w:val="TextBody"/>
        <w:bidi w:val="0"/>
        <w:spacing w:before="240" w:after="0"/>
        <w:jc w:val="left"/>
        <w:rPr>
          <w:rFonts w:ascii="Times New Roman" w:hAnsi="Times New Roman"/>
          <w:sz w:val="20"/>
        </w:rPr>
      </w:pPr>
      <w:r>
        <w:rPr>
          <w:rFonts w:ascii="Times New Roman" w:hAnsi="Times New Roman"/>
          <w:sz w:val="20"/>
        </w:rPr>
        <w:t xml:space="preserve">(c) any representation or warranty made by or on behalf of any Loan Party or any Restricted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materially incorrect when made; </w:t>
      </w:r>
    </w:p>
    <w:p>
      <w:pPr>
        <w:pStyle w:val="TextBody"/>
        <w:bidi w:val="0"/>
        <w:spacing w:before="240" w:after="0"/>
        <w:jc w:val="left"/>
        <w:rPr>
          <w:rFonts w:ascii="Times New Roman" w:hAnsi="Times New Roman"/>
          <w:sz w:val="20"/>
        </w:rPr>
      </w:pPr>
      <w:r>
        <w:rPr>
          <w:rFonts w:ascii="Times New Roman" w:hAnsi="Times New Roman"/>
          <w:sz w:val="20"/>
        </w:rPr>
        <w:t xml:space="preserve">(d) any Loan Party shall fail to observe or perform any covenant, condition or agreement contained in: (i) Section 5.02(a), Section 5.03 (with respect to a Loan Party’s existence), Section 5.08 or in Article VI of this Agreement, or (ii) Article IV or Article VII of the Canadian Security Agreement or the U.S.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(e) any Loan Party shall fail to observe or perform any covenant, condition or agreement contained in this Agreement or any other Loan Document (other than those which constitute an event of default under another Section of this Article), and such failure shall continue unremedied for a period of (i) 5 days after the earlier of any Loan Party’s knowledge of such failure or notice thereof from the Administrative Agent if such failure relates to terms or provisions of Section 5.01(a), (b), (c), (d), (f), (g) or (h), (ii) 5 days after the earlier of any Loan Party’s knowledge of such failure or notice thereof from the Administrative Agent if such failure relates to terms or provisions of Section 5.01 (other than those which constitute an event of default under clause (e)(i) of this Article VII), (iii) 10 days after the earlier of any Loan Party’s knowledge of such failure or notice thereof from the Administrative Agent if such failure relates to terms or provisions of Section 5.02 (other than Section 5.02(a)), 5.03 (other than with respect to a Loan Party’s existence) through 5.06, 5.09, 5.10, 5.12 or 5.14 of this Agreement or (iv) 30 days after the earlier of any Loan Party’s knowledge of such failure or notice thereof from the Administrative Agent if such failure relates to terms or provisions of any other Section of this Agreement or any other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any Loan Party or any Restricted Subsidiary shall fail to make any payment (whether of principal or interest and regardless of amount) in respect of any Material Indebtedness, when and as the same shall become due and payable (</w:t>
      </w:r>
      <w:r>
        <w:rPr>
          <w:rFonts w:ascii="Times New Roman" w:hAnsi="Times New Roman"/>
          <w:color w:val="0000FF"/>
          <w:sz w:val="20"/>
          <w:u w:val="single"/>
          <w:bdr w:val="double" w:sz="2" w:space="1" w:color="000000"/>
        </w:rPr>
        <w:t xml:space="preserve">but only </w:t>
      </w:r>
      <w:r>
        <w:rPr>
          <w:rFonts w:ascii="Times New Roman" w:hAnsi="Times New Roman"/>
          <w:sz w:val="20"/>
        </w:rPr>
        <w:t xml:space="preserve">after </w:t>
      </w:r>
      <w:r>
        <w:rPr>
          <w:rFonts w:ascii="Times New Roman" w:hAnsi="Times New Roman"/>
          <w:strike/>
          <w:color w:val="FF0000"/>
          <w:sz w:val="20"/>
        </w:rPr>
        <w:t>giving effect to</w:t>
      </w:r>
      <w:r>
        <w:rPr>
          <w:rFonts w:ascii="Times New Roman" w:hAnsi="Times New Roman"/>
          <w:color w:val="0000FF"/>
          <w:sz w:val="20"/>
          <w:u w:val="single"/>
          <w:bdr w:val="double" w:sz="2" w:space="1" w:color="000000"/>
        </w:rPr>
        <w:t>the expiration of</w:t>
      </w:r>
      <w:r>
        <w:rPr>
          <w:rFonts w:ascii="Times New Roman" w:hAnsi="Times New Roman"/>
          <w:sz w:val="20"/>
        </w:rPr>
        <w:t xml:space="preserve"> any </w:t>
      </w:r>
      <w:r>
        <w:rPr>
          <w:rFonts w:ascii="Times New Roman" w:hAnsi="Times New Roman"/>
          <w:strike/>
          <w:color w:val="FF0000"/>
          <w:sz w:val="20"/>
        </w:rPr>
        <w:t xml:space="preserve">applicable </w:t>
      </w:r>
      <w:r>
        <w:rPr>
          <w:rFonts w:ascii="Times New Roman" w:hAnsi="Times New Roman"/>
          <w:sz w:val="20"/>
        </w:rPr>
        <w:t xml:space="preserve">grace period set forth in the documents governing such Material Indebtedness); </w:t>
      </w:r>
    </w:p>
    <w:p>
      <w:pPr>
        <w:pStyle w:val="TextBody"/>
        <w:bidi w:val="0"/>
        <w:spacing w:before="240" w:after="0"/>
        <w:jc w:val="left"/>
        <w:rPr>
          <w:rFonts w:ascii="Times New Roman" w:hAnsi="Times New Roman"/>
          <w:sz w:val="20"/>
        </w:rPr>
      </w:pPr>
      <w:r>
        <w:rPr>
          <w:rFonts w:ascii="Times New Roman" w:hAnsi="Times New Roman"/>
          <w:sz w:val="20"/>
        </w:rPr>
        <w:t>(g) any “Termination Event” (or any other similar event) occurs under the Receivables Securitization Agreements (as “Termination Event” is defined therein)</w:t>
      </w:r>
      <w:r>
        <w:rPr>
          <w:rFonts w:ascii="Times New Roman" w:hAnsi="Times New Roman"/>
          <w:color w:val="0000FF"/>
          <w:sz w:val="20"/>
          <w:u w:val="single"/>
          <w:bdr w:val="double" w:sz="2" w:space="1" w:color="000000"/>
        </w:rPr>
        <w:t xml:space="preserve"> (but only after the giving of any required notice and the expiration of any grace period set forth in therein);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any event or condition occurs that results in any Material Indebtedness becoming due prior to its scheduled maturity or that enables or permits (</w:t>
      </w:r>
      <w:r>
        <w:rPr>
          <w:rFonts w:ascii="Times New Roman" w:hAnsi="Times New Roman"/>
          <w:strike/>
          <w:color w:val="FF0000"/>
          <w:sz w:val="20"/>
        </w:rPr>
        <w:t>with or without</w:t>
      </w:r>
      <w:r>
        <w:rPr>
          <w:rFonts w:ascii="Times New Roman" w:hAnsi="Times New Roman"/>
          <w:color w:val="0000FF"/>
          <w:sz w:val="20"/>
          <w:u w:val="single"/>
          <w:bdr w:val="double" w:sz="2" w:space="1" w:color="000000"/>
        </w:rPr>
        <w:t>but only after</w:t>
      </w:r>
      <w:r>
        <w:rPr>
          <w:rFonts w:ascii="Times New Roman" w:hAnsi="Times New Roman"/>
          <w:sz w:val="20"/>
        </w:rPr>
        <w:t xml:space="preserve"> the giving of </w:t>
      </w:r>
      <w:r>
        <w:rPr>
          <w:rFonts w:ascii="Times New Roman" w:hAnsi="Times New Roman"/>
          <w:color w:val="0000FF"/>
          <w:sz w:val="20"/>
          <w:u w:val="single"/>
          <w:bdr w:val="double" w:sz="2" w:space="1" w:color="000000"/>
        </w:rPr>
        <w:t xml:space="preserve">any required </w:t>
      </w:r>
      <w:r>
        <w:rPr>
          <w:rFonts w:ascii="Times New Roman" w:hAnsi="Times New Roman"/>
          <w:sz w:val="20"/>
        </w:rPr>
        <w:t>notice</w:t>
      </w:r>
      <w:r>
        <w:rPr>
          <w:rFonts w:ascii="Times New Roman" w:hAnsi="Times New Roman"/>
          <w:strike/>
          <w:color w:val="FF0000"/>
          <w:sz w:val="20"/>
        </w:rPr>
        <w:t>,</w:t>
      </w:r>
      <w:r>
        <w:rPr>
          <w:rFonts w:ascii="Times New Roman" w:hAnsi="Times New Roman"/>
          <w:sz w:val="20"/>
        </w:rPr>
        <w:t xml:space="preserve"> </w:t>
      </w:r>
      <w:r>
        <w:rPr>
          <w:rFonts w:ascii="Times New Roman" w:hAnsi="Times New Roman"/>
          <w:color w:val="0000FF"/>
          <w:sz w:val="20"/>
          <w:u w:val="single"/>
          <w:bdr w:val="double" w:sz="2" w:space="1" w:color="000000"/>
        </w:rPr>
        <w:t xml:space="preserve">and </w:t>
      </w:r>
      <w:r>
        <w:rPr>
          <w:rFonts w:ascii="Times New Roman" w:hAnsi="Times New Roman"/>
          <w:sz w:val="20"/>
        </w:rPr>
        <w:t xml:space="preserve">the </w:t>
      </w:r>
      <w:r>
        <w:rPr>
          <w:rFonts w:ascii="Times New Roman" w:hAnsi="Times New Roman"/>
          <w:strike/>
          <w:color w:val="FF0000"/>
          <w:sz w:val="20"/>
        </w:rPr>
        <w:t>lapse of time or both</w:t>
      </w:r>
      <w:r>
        <w:rPr>
          <w:rFonts w:ascii="Times New Roman" w:hAnsi="Times New Roman"/>
          <w:color w:val="0000FF"/>
          <w:sz w:val="20"/>
          <w:u w:val="single"/>
          <w:bdr w:val="double" w:sz="2" w:space="1" w:color="000000"/>
        </w:rPr>
        <w:t>expiration of any grace period set forth in the documents governing such Material Indebtedness</w:t>
      </w:r>
      <w:r>
        <w:rPr>
          <w:rFonts w:ascii="Times New Roman" w:hAnsi="Times New Roman"/>
          <w:sz w:val="20"/>
        </w:rPr>
        <w:t xml:space="preserve">) the holder or holders of any such Material Indebtedness or any trustee or agent on its or their behalf to cause any such Material Indebtedness to become due, or to require the prepayment, repurchase, redemption or defeasance thereof, prior to its scheduled maturity; </w:t>
      </w:r>
      <w:r>
        <w:rPr>
          <w:rFonts w:ascii="Times New Roman" w:hAnsi="Times New Roman"/>
          <w:sz w:val="20"/>
          <w:u w:val="single"/>
        </w:rPr>
        <w:t>provided</w:t>
      </w:r>
      <w:r>
        <w:rPr>
          <w:rFonts w:ascii="Times New Roman" w:hAnsi="Times New Roman"/>
          <w:sz w:val="20"/>
        </w:rPr>
        <w:t xml:space="preserve"> that this clause (</w:t>
      </w:r>
      <w:r>
        <w:rPr>
          <w:rFonts w:ascii="Times New Roman" w:hAnsi="Times New Roman"/>
          <w:strike/>
          <w:color w:val="FF0000"/>
          <w:sz w:val="20"/>
        </w:rPr>
        <w:t>g</w:t>
      </w:r>
      <w:r>
        <w:rPr>
          <w:rFonts w:ascii="Times New Roman" w:hAnsi="Times New Roman"/>
          <w:color w:val="0000FF"/>
          <w:sz w:val="20"/>
          <w:u w:val="single"/>
          <w:bdr w:val="double" w:sz="2" w:space="1" w:color="000000"/>
        </w:rPr>
        <w:t>h</w:t>
      </w:r>
      <w:r>
        <w:rPr>
          <w:rFonts w:ascii="Times New Roman" w:hAnsi="Times New Roman"/>
          <w:sz w:val="20"/>
        </w:rPr>
        <w:t xml:space="preserve">) shall not apply to secured Indebtedness that becomes due as a result of the voluntary sale or transfer of the property or assets securing such Indebtedness; </w:t>
      </w:r>
    </w:p>
    <w:p>
      <w:pPr>
        <w:pStyle w:val="TextBody"/>
        <w:bidi w:val="0"/>
        <w:spacing w:before="240" w:after="0"/>
        <w:jc w:val="left"/>
        <w:rPr>
          <w:rFonts w:ascii="Times New Roman" w:hAnsi="Times New Roman"/>
          <w:sz w:val="20"/>
        </w:rPr>
      </w:pPr>
      <w:r>
        <w:rPr>
          <w:rFonts w:ascii="Times New Roman" w:hAnsi="Times New Roman"/>
          <w:sz w:val="20"/>
        </w:rPr>
        <w:t xml:space="preserve">(i) an involuntary proceeding shall be commenced or an involuntary petition shall be filed seeking (i) liquidation, reorganization or other relief in respect of a Loan Party, a Significant Subsidiary or WESCO Receivables or its debts, or of a substantial part of its assets, under any federal, state, provincial or foreign bankruptcy, insolvency, receivership or similar law now or hereafter in effect or (ii) the appointment of a receiver, interim receiver, trustee, custodian, sequestrator, monitor, administrator, conservator or similar official for any Loan Party, any Significant Subsidiary or WESCO Receivables or for a substantial part of its assets, and, in any such case, such proceeding or petition shall continue undismissed for 60 </w:t>
      </w:r>
      <w:r>
        <w:rPr>
          <w:rFonts w:ascii="Times New Roman" w:hAnsi="Times New Roman"/>
          <w:color w:val="0000FF"/>
          <w:sz w:val="20"/>
          <w:u w:val="single"/>
          <w:bdr w:val="double" w:sz="2" w:space="1" w:color="000000"/>
        </w:rPr>
        <w:t xml:space="preserve">consecutive </w:t>
      </w:r>
      <w:r>
        <w:rPr>
          <w:rFonts w:ascii="Times New Roman" w:hAnsi="Times New Roman"/>
          <w:sz w:val="20"/>
        </w:rPr>
        <w:t xml:space="preserve">days or an order or decree approving or ordering any of the foregoing shall be entered;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color w:val="0000FF"/>
          <w:sz w:val="20"/>
          <w:u w:val="single"/>
          <w:bdr w:val="double" w:sz="2" w:space="1" w:color="000000"/>
        </w:rPr>
        <w:t xml:space="preserve">(a) </w:t>
      </w:r>
      <w:r>
        <w:rPr>
          <w:rFonts w:ascii="Times New Roman" w:hAnsi="Times New Roman"/>
          <w:sz w:val="20"/>
        </w:rPr>
        <w:t xml:space="preserve">any Loan Party, any Significant Subsidiary or WESCO Receivables shall (i) voluntarily commence any proceeding or file any petition seeking liquidation, reorganization or other relief under any federal, state, provincial or foreign bankruptcy, insolvency, receivership or similar law now or hereafter in effect, (ii) consent to the institution of, or fail to contest in a timely and appropriate manner, any proceeding or petition described in clause (k) of this Article, (iii) apply for or consent to the appointment of a receiver, interim receiver, trustee, custodian, sequestrator, monitor, administrator, conservator or similar official for such Loan Party, such Significant Subsidiary or WESCO Receivables or for a substantial part of its assets, (iv) file an answer admitting the material allegations of a petition filed against it in any such proceeding, </w:t>
      </w:r>
      <w:r>
        <w:rPr>
          <w:rFonts w:ascii="Times New Roman" w:hAnsi="Times New Roman"/>
          <w:color w:val="0000FF"/>
          <w:sz w:val="20"/>
          <w:u w:val="single"/>
          <w:bdr w:val="double" w:sz="2" w:space="1" w:color="000000"/>
        </w:rPr>
        <w:t xml:space="preserve">or </w:t>
      </w:r>
      <w:r>
        <w:rPr>
          <w:rFonts w:ascii="Times New Roman" w:hAnsi="Times New Roman"/>
          <w:sz w:val="20"/>
        </w:rPr>
        <w:t>(v) make a general assignment for the benefit of creditors or (</w:t>
      </w:r>
      <w:r>
        <w:rPr>
          <w:rFonts w:ascii="Times New Roman" w:hAnsi="Times New Roman"/>
          <w:strike/>
          <w:color w:val="FF0000"/>
          <w:sz w:val="20"/>
        </w:rPr>
        <w:t>vi) take any action for the purpose of effecting</w:t>
      </w:r>
      <w:r>
        <w:rPr>
          <w:rFonts w:ascii="Times New Roman" w:hAnsi="Times New Roman"/>
          <w:color w:val="0000FF"/>
          <w:sz w:val="20"/>
          <w:u w:val="single"/>
          <w:bdr w:val="double" w:sz="2" w:space="1" w:color="000000"/>
        </w:rPr>
        <w:t>b) the board of directors (or equivalent governing body) of any Loan Party, any Significant Subsidiary or Wesco Receivables shall adopt any resolution or otherwise authorize any action to approve</w:t>
      </w:r>
      <w:r>
        <w:rPr>
          <w:rFonts w:ascii="Times New Roman" w:hAnsi="Times New Roman"/>
          <w:sz w:val="20"/>
        </w:rPr>
        <w:t xml:space="preserve"> any of the foregoing</w:t>
      </w:r>
      <w:r>
        <w:rPr>
          <w:rFonts w:ascii="Times New Roman" w:hAnsi="Times New Roman"/>
          <w:color w:val="0000FF"/>
          <w:sz w:val="20"/>
          <w:u w:val="single"/>
          <w:bdr w:val="double" w:sz="2" w:space="1" w:color="000000"/>
        </w:rPr>
        <w:t xml:space="preserve"> actions set forth in clause (j)(a) of this 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any Loan Party, any Significant Subsidiary or WESCO Receivables shall become unable, admit in writing its inability or fail generally to pay its debts as they become due; </w:t>
      </w:r>
    </w:p>
    <w:p>
      <w:pPr>
        <w:pStyle w:val="TextBody"/>
        <w:bidi w:val="0"/>
        <w:spacing w:before="240" w:after="0"/>
        <w:jc w:val="left"/>
        <w:rPr>
          <w:rFonts w:ascii="Times New Roman" w:hAnsi="Times New Roman"/>
          <w:sz w:val="20"/>
        </w:rPr>
      </w:pPr>
      <w:r>
        <w:rPr>
          <w:rFonts w:ascii="Times New Roman" w:hAnsi="Times New Roman"/>
          <w:sz w:val="20"/>
        </w:rPr>
        <w:t xml:space="preserve">(l) one or more judgments for the payment of money in an aggregate amount in excess of the Threshold Amount (to the extent not covered by insurance as to which the relevant insurance company has not disputed coverage) shall be rendered against any Loan Party or any combination thereof and the same shall remain undischarged for a period of 30 consecutive days during which execution shall not be effectively stayed, or any action shall be legally taken by a judgment creditor to attach or levy upon any assets of any Loan Party to enforce any such judgment or any Loan Party shall fail within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(i) an ERISA Event shall have occurred that, in the opinion of the Required Lenders, when taken together with all other ERISA Events that have occurred, could reasonably be expected to result in a Material Adverse Effect; or (ii) a Pension Event shall occur which, in the Administrative Agent’s determination, constitutes grounds for the termination under any applicable law, of any Canadian Pension Plan or for the appointment by the appropriate Governmental Authority of a trustee for any Canadian Pension Plan, or if any Canadian Pension Plan shall be terminated or any such trustee shall be requested or appointed, or if a Loan Party or any of its Subsidiaries is in default with respect to payments to a Multiemployer Plan or Canadian Pension Plan resulting from their complete or partial withdrawal from such Canadian Pension Plan and any such event may reasonably be expected to have a Material Adverse Effect or any Canadian Loan Party is in default of or with respect to any required contributions to a Canadian Pension Plan or a Canadian Union Plan or any Lien arises (except for contribution amounts not yet due) in connection with any Canadian Pension Plan and any such event may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(n) a Change in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(o) the Loan Guaranty, the Canadian Guarantee or any other Guarantee shall fail to remain in full force or effect (other than in accordance with its terms) or any action shall be taken to discontinue or to assert the invalidity or unenforceability of the Loan Guaranty, the Canadian Guarantee or any other Guarantee, or any Loan Guarantor shall deny that it has any further liability under the Loan Guaranty, the Canadian Guarantee or any other Guarantee to which it is a party, or shall give notice to such effect (except, in each case, as a result of the discharge of such Loan Guarantor’s obligations under the Loan Guaranty, the Canadian Guarantee or any other Guarantee in accordance with the terms of the Loan Guaranty, the Canadian Guarantee or such other Guarantee); </w:t>
      </w:r>
    </w:p>
    <w:p>
      <w:pPr>
        <w:pStyle w:val="TextBody"/>
        <w:bidi w:val="0"/>
        <w:spacing w:before="240" w:after="0"/>
        <w:jc w:val="left"/>
        <w:rPr>
          <w:rFonts w:ascii="Times New Roman" w:hAnsi="Times New Roman"/>
          <w:sz w:val="20"/>
        </w:rPr>
      </w:pPr>
      <w:r>
        <w:rPr>
          <w:rFonts w:ascii="Times New Roman" w:hAnsi="Times New Roman"/>
          <w:sz w:val="20"/>
        </w:rPr>
        <w:t xml:space="preserve">(p) any security interest purported to be created by any Collateral Document shall cease to be, or shall be asserted by any Loan Party not to be, a valid and perfected first priority security interest in any portion of the ABL Priority Collateral having a value in excess of the Threshold Amount which is purported to be covered thereby, except as permitted by the terms of this Agreement or any Collateral Document other than as a result of any action or inaction within the control of the Administrative Agent; or </w:t>
      </w:r>
    </w:p>
    <w:p>
      <w:pPr>
        <w:pStyle w:val="TextBody"/>
        <w:bidi w:val="0"/>
        <w:spacing w:before="240" w:after="0"/>
        <w:jc w:val="left"/>
        <w:rPr>
          <w:rFonts w:ascii="Times New Roman" w:hAnsi="Times New Roman"/>
          <w:sz w:val="20"/>
        </w:rPr>
      </w:pPr>
      <w:r>
        <w:rPr>
          <w:rFonts w:ascii="Times New Roman" w:hAnsi="Times New Roman"/>
          <w:sz w:val="20"/>
        </w:rPr>
        <w:t xml:space="preserve">(q) 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in each case, other than in connection with a termination of such Loan Document (or, with respect to any Loan Party, the release of such Loan Party from its obligations under such Loan Document) in accordance with the terms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(other than an event with respect to the Borrowers described in clauses (i) or (j) of this Article), and at any time thereafter during the continuance of such event, the Administrative Agent may, and at the request of the Required Lenders shall, by notice to the Borrower Representative, take either or both of the following actions, at the same or different times: (i) terminate the Revolving Commitments, and thereupon the Revolving Commitments shall terminate immediately, (ii) require the deposit of cash collateral pursuant to Section 2.06(k) hereto, or (iii) declare the Loans and other Obligations then outstanding to be due and payable in whole (or in part, in which case any Obligations not so declared to be due and payable may thereafter be declared to be due and payable), and thereupon the principal of the Loans and other Obligations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the Borrowers described in clauses (i) or (j) of this Article, the Revolving Commitments shall automatically terminate and the principal of the Loans and other Obligations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 and the deposit of cash collateral required under Section 2.06(k) shall be automatically required. Upon the occurrence and the continuance of an Event of Default, the Administrative Agent may, and at the request of the Required Lenders shall, exercise any rights and remedies provided to it under the Loan Documents or at law or equity, including all remedies provided under the UCC and the PPSA. Notwithstanding anything herein or in any other Loan Document to the contrary, the Administrative Agent shall not deliver a notice to the U.S. Borrowers instructing all U.S. Loan Parties to terminate and cease all transfers of Receivables (as defined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Receivables Intercreditor Agreement) from the U.S. Loan Parties to WESCO Receivables prior to the occurrence of one or more of the following: (A) an Event of Default under </w:t>
      </w:r>
      <w:r>
        <w:rPr>
          <w:rFonts w:ascii="Times New Roman" w:hAnsi="Times New Roman"/>
          <w:strike/>
          <w:color w:val="FF0000"/>
          <w:sz w:val="20"/>
        </w:rPr>
        <w:t>paragraphs</w:t>
      </w:r>
      <w:r>
        <w:rPr>
          <w:rFonts w:ascii="Times New Roman" w:hAnsi="Times New Roman"/>
          <w:color w:val="0000FF"/>
          <w:sz w:val="20"/>
          <w:u w:val="single"/>
          <w:bdr w:val="double" w:sz="2" w:space="1" w:color="000000"/>
        </w:rPr>
        <w:t>clause</w:t>
      </w:r>
      <w:r>
        <w:rPr>
          <w:rFonts w:ascii="Times New Roman" w:hAnsi="Times New Roman"/>
          <w:sz w:val="20"/>
        </w:rPr>
        <w:t xml:space="preserve"> (i), (j) or (k) of this Article VII or (B) any declaration by the Administrative Agent that the Loans and other Obligations are due and payable pursuant to clause (ii) of this paragraph. </w:t>
      </w:r>
    </w:p>
    <w:p>
      <w:pPr>
        <w:pStyle w:val="TextBody"/>
        <w:bidi w:val="0"/>
        <w:spacing w:before="240" w:after="0"/>
        <w:jc w:val="left"/>
        <w:rPr>
          <w:rFonts w:ascii="Times New Roman" w:hAnsi="Times New Roman"/>
          <w:sz w:val="20"/>
        </w:rPr>
      </w:pPr>
      <w:r>
        <w:rPr>
          <w:rFonts w:ascii="Times New Roman" w:hAnsi="Times New Roman"/>
          <w:strike/>
          <w:color w:val="008000"/>
          <w:sz w:val="20"/>
        </w:rPr>
        <w:t xml:space="preserve">Notwithstanding anything to the contrary in </w:t>
      </w:r>
      <w:r>
        <w:rPr>
          <w:rFonts w:ascii="Times New Roman" w:hAnsi="Times New Roman"/>
          <w:strike/>
          <w:color w:val="FF0000"/>
          <w:sz w:val="20"/>
        </w:rPr>
        <w:t>Article III or in this Article VII, during the Clean-Up Period, any representation or warranty (other than the Specified Representations and the Anixter Acquisition Agreement Representations) made by Anixter or any of its Subsidiaries in connection with the Transactions that would have been breached or inaccurate, or any other default, arising by reason of any matter or circumstance relating to Anixter or any of its Subsidiaries with respect to the Transactions (were it not for this paragraph), shall be deemed not to constitute a breach of or a default for all purposes under the Loan Documents, and for so long as the circumstances giving rise thereto (a) are capable of being remedied within the Clean-Up Period and Holdings or any of its subsidiaries is taking appropriate steps to remedy such circumstances and (b) do not have and are not reasonably likely to have a Material Adverse Effect on the business, property, operations or financial condition of Holdings and its subsidiaries, taken as a whole, or the validity or enforceability of any of the Loan Documents or the rights and remedies of the Administrative Agent and the Lender Parties; provided that such Clean-Up Period shall not apply with respect to any representation, warranty or default in respect of the Aggregate Borrowing Base, the Canadian Borrowing Base or the U.S. Borrowing Base.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r>
        <w:rPr>
          <w:rFonts w:ascii="Times New Roman" w:hAnsi="Times New Roman"/>
          <w:sz w:val="20"/>
          <w:u w:val="single"/>
        </w:rPr>
        <w:t>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Appointment of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As of the Fourth Restatement Date, upon the consummation of the Transactions, each Existing Administrative Agent shall cease to be an “Administrative Agent,” an “Agent,” and a “Canadian Administrative Agent,” as applicable, under the Existing Credit Agreement. The Lenders, the Borrowers and Holdings hereby waive any notice requirement provided for under the Existing Credit Agreement with respect to the resignation of the Existing Administrative Agents and the appointment of Barclays as successor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Lender Parties hereby irrevocably appoints the Administrative Agent as its agent hereunder and under the other Loan Documents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w:t>
      </w:r>
    </w:p>
    <w:p>
      <w:pPr>
        <w:pStyle w:val="TextBody"/>
        <w:bidi w:val="0"/>
        <w:spacing w:before="240" w:after="0"/>
        <w:jc w:val="left"/>
        <w:rPr>
          <w:rFonts w:ascii="Times New Roman" w:hAnsi="Times New Roman"/>
          <w:sz w:val="20"/>
        </w:rPr>
      </w:pPr>
      <w:r>
        <w:rPr>
          <w:rFonts w:ascii="Times New Roman" w:hAnsi="Times New Roman"/>
          <w:sz w:val="20"/>
        </w:rPr>
        <w:t xml:space="preserve">(b) Canadian Considerations. </w:t>
      </w:r>
    </w:p>
    <w:p>
      <w:pPr>
        <w:pStyle w:val="TextBody"/>
        <w:bidi w:val="0"/>
        <w:spacing w:before="240" w:after="0"/>
        <w:jc w:val="left"/>
        <w:rPr>
          <w:rFonts w:ascii="Times New Roman" w:hAnsi="Times New Roman"/>
          <w:sz w:val="20"/>
        </w:rPr>
      </w:pPr>
      <w:r>
        <w:rPr>
          <w:rFonts w:ascii="Times New Roman" w:hAnsi="Times New Roman"/>
          <w:sz w:val="20"/>
        </w:rPr>
        <w:t>Without limiting the generality of the paragraph above, for the purposes of creating a solidarité active in accordance with Article 1541 of the Civil Code of Québec, between each Lender Party, taken individually, on the one hand, and the Administrative Agent, on the other hand, each Loan Party, each such Lender Party and the Administrative Agent acknowledge and agree with the Administrative Agent that each such Lender Party and the Administrative Agent are hereby conferred the legal status of solidary creditors of each Loan Party in respect of all Obligations, present and future, owed by each such Loan Party to the Administrative Agent and each such Lender Party hereunder and under the other Loan Documents (collectively, the “</w:t>
      </w:r>
      <w:r>
        <w:rPr>
          <w:rFonts w:ascii="Times New Roman" w:hAnsi="Times New Roman"/>
          <w:sz w:val="20"/>
          <w:u w:val="single"/>
        </w:rPr>
        <w:t>Solidary Claim</w:t>
      </w:r>
      <w:r>
        <w:rPr>
          <w:rFonts w:ascii="Times New Roman" w:hAnsi="Times New Roman"/>
          <w:sz w:val="20"/>
        </w:rPr>
        <w:t xml:space="preserve">”). Each Loan Party which is not a signatory of this Agreement but is or may become a signatory to any other Loan Documents shall be deemed to have accepted the provisions contained in this paragraph by its execution of such other Loan Documents. Accordingly, but subject (for the avoidance of doubt) to Article 1542 of the Civil Code of Québec, each such Loan Party is irrevocably bound towards the Administrative Agent and each Lender Party in respect of the entire Solidary Claim of the Administrative Agent and such Lender Party. As a result of the foregoing, the parties hereto acknowledge that the Administrative Agent and each Lender Party shall at all times have a valid and effective right of action for the entire Solidary Claim of the Administrative Agent and such Lender Party and the right to give full acquittance for same. The parties further agree and acknowledge that the Administrative Agent’s Liens on the Collateral under the Collateral Documents shall be granted to the Administrative Agent, for its own benefit and for the benefit of the Lender Parties, as solidary creditor as hereinabove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addition, and without limiting any of the foregoing, for the purposes of holding any security granted by any Borrower or any other Loan Party pursuant to the laws of the Province of Quebec to secure payment of any bond issued by any Borrower or any Loan Party, each of the Lender Parties hereby irrevocably appoints and authorizes the Administrative Agent and, to the extent necessary, ratifies the appointment and authorization of the Administrative Agent, to act as the person holding the power of attorney (i.e. “fondé de pouvoir”) and hypothecary representative (in such capacity, the “</w:t>
      </w:r>
      <w:r>
        <w:rPr>
          <w:rFonts w:ascii="Times New Roman" w:hAnsi="Times New Roman"/>
          <w:sz w:val="20"/>
          <w:u w:val="single"/>
        </w:rPr>
        <w:t>Attorney</w:t>
      </w:r>
      <w:r>
        <w:rPr>
          <w:rFonts w:ascii="Times New Roman" w:hAnsi="Times New Roman"/>
          <w:sz w:val="20"/>
        </w:rPr>
        <w:t>”) of the Lender Parties as contemplated under Article 2692 of the Civil Code of Québec, and to enter into, to take and to hold on its behalf, and for its benefit, any hypothec, and to exercise such powers and duties that are conferred upon the Attorney under any hypothec. Moreover, without prejudice to such appointment and authorization to act as the person holding the power of attorney as aforesaid, each of the Lender Parties hereby irrevocably appoints and authorizes the Administrative Agent (in such capacity, the “</w:t>
      </w:r>
      <w:r>
        <w:rPr>
          <w:rFonts w:ascii="Times New Roman" w:hAnsi="Times New Roman"/>
          <w:sz w:val="20"/>
          <w:u w:val="single"/>
        </w:rPr>
        <w:t>Custodian</w:t>
      </w:r>
      <w:r>
        <w:rPr>
          <w:rFonts w:ascii="Times New Roman" w:hAnsi="Times New Roman"/>
          <w:sz w:val="20"/>
        </w:rPr>
        <w:t xml:space="preserve">”) to act as agent and custodian for and on behalf of the Lender Parties to hold and be the sole registered holder of any bond which may be issued under any hypothec, the whole notwithstanding Section 32 of An Act respecting the special powers of legal persons (Quebec) or any other applicable law, and to execute all related documents. Each of the Attorney and the Custodian shall: (a) have the sole and exclusive right and authority to exercise, except as may be otherwise specifically restricted by the terms hereof, all rights and remedies given to the Attorney and the Custodian (as applicable) pursuant to any hypothec, bond, pledge, applicable laws or otherwise, (b) benefit from and be subject to all provisions hereof with respect to the Administrative Agent mutatis mutandis, including, without limitation, all such provisions with respect to the liability or responsibility to and indemnification by the Lender Parties, and (c) be entitled to delegate from time to time any of its powers or duties under any hypothec, bond, or pledge on such terms and conditions as it may determine from time to time. Any person who becomes a Lender Party shall, by its execution of an Assignment and Assumption, be deemed to have consented to and confirmed: (i) the Attorney as the person holding the power of attorney as aforesaid and to have ratified, as of the date it becomes a Lender Party, all actions taken by the Attorney in such capacity, and (ii) the Custodian as the agent and custodian as aforesaid and to have ratified, as of the date it becomes a Lender Party, all actions taken by the Custodian in such capacity. The substitution of the Administrative Agent pursuant to the provisions of this Article VIII shall also constitute the substitution of the Attorney and the Custodian. </w:t>
      </w:r>
    </w:p>
    <w:p>
      <w:pPr>
        <w:pStyle w:val="TextBody"/>
        <w:bidi w:val="0"/>
        <w:spacing w:before="240" w:after="0"/>
        <w:jc w:val="left"/>
        <w:rPr>
          <w:rFonts w:ascii="Times New Roman" w:hAnsi="Times New Roman"/>
          <w:sz w:val="20"/>
        </w:rPr>
      </w:pPr>
      <w:r>
        <w:rPr>
          <w:rFonts w:ascii="Times New Roman" w:hAnsi="Times New Roman"/>
          <w:sz w:val="20"/>
        </w:rPr>
        <w:t xml:space="preserve">All services rendered in Canada under this Agreement or any other Loan Document to be performed by the Administrative Agent will be performed by a Canadian resident for purposes of the ITA or an authorized foreign bank for purposes of the </w:t>
      </w:r>
      <w:r>
        <w:rPr>
          <w:rFonts w:ascii="Times New Roman" w:hAnsi="Times New Roman"/>
          <w:i/>
          <w:sz w:val="20"/>
        </w:rPr>
        <w:t>Bank Act</w:t>
      </w:r>
      <w:r>
        <w:rPr>
          <w:rFonts w:ascii="Times New Roman" w:hAnsi="Times New Roman"/>
          <w:sz w:val="20"/>
        </w:rPr>
        <w:t xml:space="preserve"> (Canada). </w:t>
      </w:r>
    </w:p>
    <w:p>
      <w:pPr>
        <w:pStyle w:val="TextBody"/>
        <w:bidi w:val="0"/>
        <w:spacing w:before="240" w:after="0"/>
        <w:jc w:val="left"/>
        <w:rPr>
          <w:rFonts w:ascii="Times New Roman" w:hAnsi="Times New Roman"/>
          <w:sz w:val="20"/>
        </w:rPr>
      </w:pPr>
      <w:r>
        <w:rPr>
          <w:rFonts w:ascii="Times New Roman" w:hAnsi="Times New Roman"/>
          <w:sz w:val="20"/>
        </w:rPr>
        <w:t xml:space="preserve">(c) Rights as Lender Unimpaired. </w:t>
      </w:r>
    </w:p>
    <w:p>
      <w:pPr>
        <w:pStyle w:val="TextBody"/>
        <w:bidi w:val="0"/>
        <w:spacing w:before="240" w:after="0"/>
        <w:jc w:val="left"/>
        <w:rPr>
          <w:rFonts w:ascii="Times New Roman" w:hAnsi="Times New Roman"/>
          <w:sz w:val="20"/>
        </w:rPr>
      </w:pPr>
      <w:r>
        <w:rPr>
          <w:rFonts w:ascii="Times New Roman" w:hAnsi="Times New Roman"/>
          <w:sz w:val="20"/>
        </w:rPr>
        <w:t xml:space="preserve">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Loan Parties or any Subsidiary of a Loan Party or other Affiliate thereof as if it were not the Administrative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(d) Limitation on Obligations and Duties of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any Loan Party or any of the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bad faith, gross negligence or willful misconduct. The Administrative Agent shall be deemed not to have knowledge of any Default unless and until written notice thereof is given to the Administrative Agent by the Borrower Representative or a Lender Party, and the Administrative Agent shall not be responsible for or have any duty to ascertain or inquire into (i) any statement, warranty or representation made in or in connection with any Loan Document, (ii) the contents of any certificate, report or other document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or in connection with any Loan Document, (iii) the performance or observance of any of the covenants, agreements or other terms or conditions set forth in any Loan Document, (iv) the adequacy, accuracy or completeness of any information (whether oral or written) set forth or in connection with any Loan Document, (v) the legality, the validity, enforceability, effectiveness, adequacy or genuineness of any Loan Document or any other agreement, instrument or document, (vi) the creation, perfection or priority of Liens on the Collateral or the existence of the Collateral, or (vii) the satisfaction of any condition set forth in Article IV or elsewhere in any Loan Document, other than to confirm receipt of items expressly required to be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be entitled to rely upon, and shall not incur any liability for relying upon, any representation, notice, request, certificate, consent, statement, instrument, document or other writing or communication believed by it to be genuine, correct and to have been authorized, signed or sent by the proper Person. The Administrative Agent also may rely upon any statement made to it orally or by telephone and believed by it to be made or authorized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may perform any and all its duties and exercise its rights and powers by or through any one or more sub-agents appointed by the Administrative Agent. The Administrative Agent and any such sub-agent thereof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Resignation of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appointment and acceptance of a successor Administrative Agent as provided in this paragraph, the Administrative Agent may resign at any time by notifying the Lenders, the Issuing Banks and the Borrower Representative. Upon any such resignation, the Required Lenders shall have the right, in consultation with the Borrowers (and, so long as no Event of Default described in clauses (a), (i), (j) or (k) of Article VII shall have occurred and be continuing, subject to the prior written consent of the Borrower Representative (such consent not to be unreasonably withheld or delayed)),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 Parties, appoint a successor Administrative Agent which shall be a commercial bank or an Affiliate of any such commercial bank and shall be reasonably acceptable to the Borrowers. Upon the acceptance of its appointment as Administrative Agent hereunder by a successor, such successor shall succeed to and become vested with all the rights, powers, privileges, obligations and duties of the retiring (or retired) Administrative Agent and the retiring Administrative Agent shall be discharged from its duties and obligations hereunder. The fees payable by the Borrowers to a successor Administrative Agent shall be the same as those payable to its predecessor unless otherwise agreed between the Borrowers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Borrowers, whereupon, on the date of effectiveness of such resignation stated in such notice, (a) the retiring Administrative Agent shall be discharged from its duties and obligations hereunder and under the other Loan Documents, </w:t>
      </w:r>
      <w:r>
        <w:rPr>
          <w:rFonts w:ascii="Times New Roman" w:hAnsi="Times New Roman"/>
          <w:sz w:val="20"/>
          <w:u w:val="single"/>
        </w:rPr>
        <w:t>provided</w:t>
      </w:r>
      <w:r>
        <w:rPr>
          <w:rFonts w:ascii="Times New Roman" w:hAnsi="Times New Roman"/>
          <w:sz w:val="20"/>
        </w:rPr>
        <w:t xml:space="preserve"> that, solely for purposes of maintaining any security interest and hypothecs granted to the Administrative Agent under any Collateral Document for the benefit of the Lender Parties, the retiring Administrative Agent shall continue to be vested with such security interest and hypothecs as collateral agent for the benefit of the Lender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duly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w:t>
      </w:r>
      <w:r>
        <w:rPr>
          <w:rFonts w:ascii="Times New Roman" w:hAnsi="Times New Roman"/>
          <w:sz w:val="20"/>
          <w:u w:val="single"/>
        </w:rPr>
        <w:t>provided</w:t>
      </w:r>
      <w:r>
        <w:rPr>
          <w:rFonts w:ascii="Times New Roman" w:hAnsi="Times New Roman"/>
          <w:sz w:val="20"/>
        </w:rPr>
        <w:t xml:space="preserve"> that (i) all payments required to be made hereunder or under any other Loan Document to the Administrative Agent for the account of any Person other than the Administrative Agent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it was acting as Administrative Agent and in respect of the matters referred to in the proviso under clause (a) above. </w:t>
      </w:r>
    </w:p>
    <w:p>
      <w:pPr>
        <w:pStyle w:val="TextBody"/>
        <w:bidi w:val="0"/>
        <w:spacing w:before="240" w:after="0"/>
        <w:jc w:val="left"/>
        <w:rPr>
          <w:rFonts w:ascii="Times New Roman" w:hAnsi="Times New Roman"/>
          <w:sz w:val="20"/>
        </w:rPr>
      </w:pPr>
      <w:r>
        <w:rPr>
          <w:rFonts w:ascii="Times New Roman" w:hAnsi="Times New Roman"/>
          <w:sz w:val="20"/>
        </w:rPr>
        <w:t xml:space="preserve">(f) Additional Lender Acknowledgements. </w:t>
      </w:r>
    </w:p>
    <w:p>
      <w:pPr>
        <w:pStyle w:val="TextBody"/>
        <w:bidi w:val="0"/>
        <w:spacing w:before="240" w:after="0"/>
        <w:jc w:val="left"/>
        <w:rPr>
          <w:rFonts w:ascii="Times New Roman" w:hAnsi="Times New Roman"/>
          <w:sz w:val="20"/>
        </w:rPr>
      </w:pPr>
      <w:r>
        <w:rPr>
          <w:rFonts w:ascii="Times New Roman" w:hAnsi="Times New Roman"/>
          <w:sz w:val="20"/>
        </w:rPr>
        <w:t xml:space="preserve">Each Lender Party acknowledges that it has, independently and without reliance upon the Administrative Agent or any other Lender and based on such documents and information as it has deemed appropriate, made its own credit analysis and decision to enter into this Agreement. Each Lender Party also acknowledges that it will, independently and without reliance upon the Administrative Agent or any other Lender Party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bidi w:val="0"/>
        <w:spacing w:before="240" w:after="0"/>
        <w:jc w:val="left"/>
        <w:rPr>
          <w:rFonts w:ascii="Times New Roman" w:hAnsi="Times New Roman"/>
          <w:sz w:val="20"/>
        </w:rPr>
      </w:pPr>
      <w:r>
        <w:rPr>
          <w:rFonts w:ascii="Times New Roman" w:hAnsi="Times New Roman"/>
          <w:sz w:val="20"/>
        </w:rPr>
        <w:t xml:space="preserve">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 no obligation to update, correct or supplement the Reports; (d) it will keep all Reports confidential and strictly for its internal use, not share the Report with any Loan Party or any other Person except as otherwise permitted pursuant to this Agreement; and (e) without limiting the generality of any other indemnification provision contained in this Agreement,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 </w:t>
      </w:r>
    </w:p>
    <w:p>
      <w:pPr>
        <w:pStyle w:val="TextBody"/>
        <w:bidi w:val="0"/>
        <w:spacing w:before="240" w:after="0"/>
        <w:jc w:val="left"/>
        <w:rPr>
          <w:rFonts w:ascii="Times New Roman" w:hAnsi="Times New Roman"/>
          <w:sz w:val="20"/>
        </w:rPr>
      </w:pPr>
      <w:r>
        <w:rPr>
          <w:rFonts w:ascii="Times New Roman" w:hAnsi="Times New Roman"/>
          <w:sz w:val="20"/>
        </w:rPr>
        <w:t xml:space="preserve">The Bookrunners and the Lead Arrangers shall not have any right, power, obligation, liability, responsibility or duty under this Agreement, except in their capacities, as applicable, as the Administrative Agent, a Lender or an Issuing Bank hereunder other than those applicable to all Lenders as such. Without limiting the foregoing, none of such Lenders shall have or be deemed to have a fiduciary relationship with any Lender. Each Lender hereby makes the same acknowledgments with respect to the relevant Lenders in their respective capacities as Bookrunners and Lead Arrangers, as it makes with respect to the Administrative Agent in the preceding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in its capacity as such, is a “representative” of the Secured Parties within the meaning of the term “secured party” as defined in the New York Uniform Commercial Code.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Lender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Lender Parties any Loan Documents necessary or appropriate to grant and perfect a Lien on such Collateral in favor of the Administrative Agent on behalf of the Lender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Lender Parties hereby agrees that the Administrative Agent may enter into any intercreditor agreement and/or subordination agreement pursuant to, contemplated by or as requested by the Loan Parties in connection with the incurrence of debt and/or liens permitted, the terms of this Credit Agreement (including with respect to Indebtedness permitted pursuant to Section 6.01) on its behalf and agrees to be bound by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(g) Erroneous Payments. </w:t>
      </w:r>
    </w:p>
    <w:p>
      <w:pPr>
        <w:pStyle w:val="TextBody"/>
        <w:bidi w:val="0"/>
        <w:spacing w:before="240" w:after="0"/>
        <w:jc w:val="left"/>
        <w:rPr>
          <w:rFonts w:ascii="Times New Roman" w:hAnsi="Times New Roman"/>
          <w:sz w:val="20"/>
        </w:rPr>
      </w:pPr>
      <w:r>
        <w:rPr>
          <w:rFonts w:ascii="Times New Roman" w:hAnsi="Times New Roman"/>
          <w:sz w:val="20"/>
        </w:rPr>
        <w:t>Each Lender and each Issuing Bank (and each Participant of any of the foregoing, by its acceptance of a participation) hereby acknowledges and agrees that if the Administrative Agent notifies such Lender or Issuing Bank that the Administrative Agent has determined in its sole discretion that any funds (or any portion thereof) received by such Lender or Issuing Bank (any of the foregoing, a “</w:t>
      </w:r>
      <w:r>
        <w:rPr>
          <w:rFonts w:ascii="Times New Roman" w:hAnsi="Times New Roman"/>
          <w:sz w:val="20"/>
          <w:u w:val="single"/>
        </w:rPr>
        <w:t>Payment Recipient</w:t>
      </w:r>
      <w:r>
        <w:rPr>
          <w:rFonts w:ascii="Times New Roman" w:hAnsi="Times New Roman"/>
          <w:sz w:val="20"/>
        </w:rPr>
        <w:t>”) from the Administrative Agent (or any of its Affiliates) were erroneously transmitted to, or otherwise erroneously or mistakenly received by, such Payment Recipient (whether or not known to such Payment Recipient) (whether as a payment, prepayment or repayment of principal, interest, fees or otherwise; individually and collectively, a “</w:t>
      </w:r>
      <w:r>
        <w:rPr>
          <w:rFonts w:ascii="Times New Roman" w:hAnsi="Times New Roman"/>
          <w:sz w:val="20"/>
          <w:u w:val="single"/>
        </w:rPr>
        <w:t>Payment</w:t>
      </w:r>
      <w:r>
        <w:rPr>
          <w:rFonts w:ascii="Times New Roman" w:hAnsi="Times New Roman"/>
          <w:sz w:val="20"/>
        </w:rPr>
        <w:t xml:space="preserve">”) and demands the return of such Payment, such Payment Recipient shall promptly, but in no event later than one Business Day thereafter, return to the Administrative Agent the amount of any such Payment as to which such a demand was made. A notice of the Administrative Agent to any Payment Recipient under this Section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Without limitation of the preceding paragraph, each Payment Recipient further acknowledges and agrees that if such Payment Recipient receives a Payment from the Administrative Agent (or any of its Affiliates) (x) that is in an amount, or on a date different from the amount and/or date specified in a notice of payment sent by the Administrative Agent (or any of its Affiliates) with respect to such Payment (a “</w:t>
      </w:r>
      <w:r>
        <w:rPr>
          <w:rFonts w:ascii="Times New Roman" w:hAnsi="Times New Roman"/>
          <w:sz w:val="20"/>
          <w:u w:val="single"/>
        </w:rPr>
        <w:t>Payment Notice</w:t>
      </w:r>
      <w:r>
        <w:rPr>
          <w:rFonts w:ascii="Times New Roman" w:hAnsi="Times New Roman"/>
          <w:sz w:val="20"/>
        </w:rPr>
        <w:t xml:space="preserve">”), (y) that was not preceded or accompanied by a Payment Notice, or (z) that such Payment Recipient otherwise becomes aware was transmitted, or received, in error or by mistake (in whole or in part), in each case, it understands and agrees at the time of receipt of such Payment that an error has been made (and that it is deemed to have knowledge of such error) with respect to such Payment. Each Payment Recipient agrees that, in each such case, it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w:t>
      </w:r>
    </w:p>
    <w:p>
      <w:pPr>
        <w:pStyle w:val="TextBody"/>
        <w:bidi w:val="0"/>
        <w:spacing w:before="240" w:after="0"/>
        <w:jc w:val="left"/>
        <w:rPr>
          <w:rFonts w:ascii="Times New Roman" w:hAnsi="Times New Roman"/>
          <w:sz w:val="20"/>
        </w:rPr>
      </w:pPr>
      <w:r>
        <w:rPr>
          <w:rFonts w:ascii="Times New Roman" w:hAnsi="Times New Roman"/>
          <w:sz w:val="20"/>
        </w:rPr>
        <w:t xml:space="preserve">Any Payment required to be returned by a Payment Recipient under this Section shall be made in same-day funds in the currency so received, together with interest thereon in respect of each day from and including the date such Payment (or portion thereof) was received by such Payment Recipient to the date such amount is repaid to the Administrative Agent at the greater of the Federal Funds Effective Rate and a rate determined by the Administrative Agent in accordance with banking industry rules on interbank compensation from time to time in effect. Each Payment Recipient hereby agrees that it shall not assert and, to the fullest extent permitted by applicable law, hereby waives, any right to retain such Payment, and any claim, counterclaim, defense or right of set-off or recoupment or similar right to any demand by the Administrative Agent for the return of any Payment received, including without limitation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The Borrower and each other Subsidiary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Subsidiary except, in each case, to the extent such erroneous Payment is, and with respect to the amount of such erroneous Payment that is, comprised of funds of the Borrower or any other Subsidiary. </w:t>
      </w:r>
    </w:p>
    <w:p>
      <w:pPr>
        <w:pStyle w:val="TextBody"/>
        <w:bidi w:val="0"/>
        <w:spacing w:before="240" w:after="0"/>
        <w:jc w:val="left"/>
        <w:rPr>
          <w:rFonts w:ascii="Times New Roman" w:hAnsi="Times New Roman"/>
          <w:sz w:val="20"/>
        </w:rPr>
      </w:pPr>
      <w:r>
        <w:rPr>
          <w:rFonts w:ascii="Times New Roman" w:hAnsi="Times New Roman"/>
          <w:sz w:val="20"/>
        </w:rPr>
        <w:t xml:space="preserve">Each party’s obligations, agreements and waivers under this Section shall survive the resignation or replacement of the Administrative Agent, any transfer of rights or obligations by, or the replacement of, a Lender or Issuing Bank, the termination of the Aggregate Revolving Commitments and/or the repayment, satisfaction or discharge of all Obligations (or any portion thereof) under any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herein or in any other Loan Document, this Section will not create any additional obligations of the Loan Parties under the Loan Documents or otherwise increase or alter the Obligations.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9.01 Notices</w:t>
      </w:r>
      <w:r>
        <w:rPr>
          <w:rFonts w:ascii="Times New Roman" w:hAnsi="Times New Roman"/>
          <w:sz w:val="20"/>
        </w:rPr>
        <w:t xml:space="preserve">.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facsimile or electronic mail,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any Loan Party, to the Borrower Representative at: </w:t>
      </w:r>
    </w:p>
    <w:p>
      <w:pPr>
        <w:pStyle w:val="TextBody"/>
        <w:bidi w:val="0"/>
        <w:spacing w:before="120" w:after="0"/>
        <w:jc w:val="left"/>
        <w:rPr>
          <w:rFonts w:ascii="Times New Roman" w:hAnsi="Times New Roman"/>
          <w:sz w:val="20"/>
        </w:rPr>
      </w:pPr>
      <w:r>
        <w:rPr>
          <w:rFonts w:ascii="Times New Roman" w:hAnsi="Times New Roman"/>
          <w:sz w:val="20"/>
        </w:rPr>
        <w:t xml:space="preserve">WESCO Distribution, Inc. </w:t>
      </w:r>
    </w:p>
    <w:p>
      <w:pPr>
        <w:pStyle w:val="TextBody"/>
        <w:bidi w:val="0"/>
        <w:spacing w:before="0" w:after="0"/>
        <w:jc w:val="left"/>
        <w:rPr>
          <w:rFonts w:ascii="Times New Roman" w:hAnsi="Times New Roman"/>
          <w:sz w:val="20"/>
        </w:rPr>
      </w:pPr>
      <w:r>
        <w:rPr>
          <w:rFonts w:ascii="Times New Roman" w:hAnsi="Times New Roman"/>
          <w:sz w:val="20"/>
        </w:rPr>
        <w:t xml:space="preserve">Suite 700 </w:t>
      </w:r>
    </w:p>
    <w:p>
      <w:pPr>
        <w:pStyle w:val="TextBody"/>
        <w:bidi w:val="0"/>
        <w:spacing w:before="0" w:after="0"/>
        <w:jc w:val="left"/>
        <w:rPr>
          <w:rFonts w:ascii="Times New Roman" w:hAnsi="Times New Roman"/>
          <w:sz w:val="20"/>
        </w:rPr>
      </w:pPr>
      <w:r>
        <w:rPr>
          <w:rFonts w:ascii="Times New Roman" w:hAnsi="Times New Roman"/>
          <w:sz w:val="20"/>
        </w:rPr>
        <w:t xml:space="preserve">225 West Station Square Drive </w:t>
      </w:r>
    </w:p>
    <w:p>
      <w:pPr>
        <w:pStyle w:val="TextBody"/>
        <w:bidi w:val="0"/>
        <w:spacing w:before="0" w:after="0"/>
        <w:jc w:val="left"/>
        <w:rPr>
          <w:rFonts w:ascii="Times New Roman" w:hAnsi="Times New Roman"/>
          <w:sz w:val="20"/>
        </w:rPr>
      </w:pPr>
      <w:r>
        <w:rPr>
          <w:rFonts w:ascii="Times New Roman" w:hAnsi="Times New Roman"/>
          <w:sz w:val="20"/>
        </w:rPr>
        <w:t xml:space="preserve">Pittsburgh, PA 15219 </w:t>
      </w:r>
    </w:p>
    <w:p>
      <w:pPr>
        <w:pStyle w:val="TextBody"/>
        <w:bidi w:val="0"/>
        <w:spacing w:before="0" w:after="0"/>
        <w:jc w:val="left"/>
        <w:rPr>
          <w:rFonts w:ascii="Times New Roman" w:hAnsi="Times New Roman"/>
          <w:sz w:val="20"/>
        </w:rPr>
      </w:pPr>
      <w:r>
        <w:rPr>
          <w:rFonts w:ascii="Times New Roman" w:hAnsi="Times New Roman"/>
          <w:sz w:val="20"/>
        </w:rPr>
        <w:t xml:space="preserve">Attention: Treasurer </w:t>
      </w:r>
    </w:p>
    <w:p>
      <w:pPr>
        <w:pStyle w:val="TextBody"/>
        <w:bidi w:val="0"/>
        <w:spacing w:before="0" w:after="0"/>
        <w:jc w:val="left"/>
        <w:rPr>
          <w:rFonts w:ascii="Times New Roman" w:hAnsi="Times New Roman"/>
          <w:sz w:val="20"/>
        </w:rPr>
      </w:pPr>
      <w:r>
        <w:rPr>
          <w:rFonts w:ascii="Times New Roman" w:hAnsi="Times New Roman"/>
          <w:sz w:val="20"/>
        </w:rPr>
        <w:t xml:space="preserve">Email: BBegg@wesco.com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t>
      </w:r>
    </w:p>
    <w:p>
      <w:pPr>
        <w:pStyle w:val="TextBody"/>
        <w:bidi w:val="0"/>
        <w:spacing w:before="120" w:after="0"/>
        <w:jc w:val="left"/>
        <w:rPr>
          <w:rFonts w:ascii="Times New Roman" w:hAnsi="Times New Roman"/>
          <w:sz w:val="20"/>
        </w:rPr>
      </w:pPr>
      <w:r>
        <w:rPr>
          <w:rFonts w:ascii="Times New Roman" w:hAnsi="Times New Roman"/>
          <w:sz w:val="20"/>
        </w:rPr>
        <w:t xml:space="preserve">WESCO Distribution, Inc. </w:t>
      </w:r>
    </w:p>
    <w:p>
      <w:pPr>
        <w:pStyle w:val="TextBody"/>
        <w:bidi w:val="0"/>
        <w:spacing w:before="0" w:after="0"/>
        <w:jc w:val="left"/>
        <w:rPr>
          <w:rFonts w:ascii="Times New Roman" w:hAnsi="Times New Roman"/>
          <w:sz w:val="20"/>
        </w:rPr>
      </w:pPr>
      <w:r>
        <w:rPr>
          <w:rFonts w:ascii="Times New Roman" w:hAnsi="Times New Roman"/>
          <w:sz w:val="20"/>
        </w:rPr>
        <w:t xml:space="preserve">Suite 700 </w:t>
      </w:r>
    </w:p>
    <w:p>
      <w:pPr>
        <w:pStyle w:val="TextBody"/>
        <w:bidi w:val="0"/>
        <w:spacing w:before="0" w:after="0"/>
        <w:jc w:val="left"/>
        <w:rPr>
          <w:rFonts w:ascii="Times New Roman" w:hAnsi="Times New Roman"/>
          <w:sz w:val="20"/>
        </w:rPr>
      </w:pPr>
      <w:r>
        <w:rPr>
          <w:rFonts w:ascii="Times New Roman" w:hAnsi="Times New Roman"/>
          <w:sz w:val="20"/>
        </w:rPr>
        <w:t xml:space="preserve">225 West Station Square Drive </w:t>
      </w:r>
    </w:p>
    <w:p>
      <w:pPr>
        <w:pStyle w:val="TextBody"/>
        <w:bidi w:val="0"/>
        <w:spacing w:before="0" w:after="0"/>
        <w:jc w:val="left"/>
        <w:rPr>
          <w:rFonts w:ascii="Times New Roman" w:hAnsi="Times New Roman"/>
          <w:sz w:val="20"/>
        </w:rPr>
      </w:pPr>
      <w:r>
        <w:rPr>
          <w:rFonts w:ascii="Times New Roman" w:hAnsi="Times New Roman"/>
          <w:sz w:val="20"/>
        </w:rPr>
        <w:t xml:space="preserve">Pittsburgh, PA 15219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DLazzaris@wesco.com </w:t>
      </w:r>
    </w:p>
    <w:p>
      <w:pPr>
        <w:pStyle w:val="TextBody"/>
        <w:bidi w:val="0"/>
        <w:spacing w:before="120" w:after="0"/>
        <w:jc w:val="left"/>
        <w:rPr>
          <w:rFonts w:ascii="Times New Roman" w:hAnsi="Times New Roman"/>
          <w:sz w:val="20"/>
        </w:rPr>
      </w:pPr>
      <w:r>
        <w:rPr>
          <w:rFonts w:ascii="Times New Roman" w:hAnsi="Times New Roman"/>
          <w:sz w:val="20"/>
        </w:rPr>
        <w:t xml:space="preserve">Jones Day </w:t>
      </w:r>
    </w:p>
    <w:p>
      <w:pPr>
        <w:pStyle w:val="TextBody"/>
        <w:bidi w:val="0"/>
        <w:spacing w:before="0" w:after="0"/>
        <w:jc w:val="left"/>
        <w:rPr>
          <w:rFonts w:ascii="Times New Roman" w:hAnsi="Times New Roman"/>
          <w:sz w:val="20"/>
        </w:rPr>
      </w:pPr>
      <w:r>
        <w:rPr>
          <w:rFonts w:ascii="Times New Roman" w:hAnsi="Times New Roman"/>
          <w:sz w:val="20"/>
        </w:rPr>
        <w:t xml:space="preserve">901 Lakeside Avenue </w:t>
      </w:r>
    </w:p>
    <w:p>
      <w:pPr>
        <w:pStyle w:val="TextBody"/>
        <w:bidi w:val="0"/>
        <w:spacing w:before="0" w:after="0"/>
        <w:jc w:val="left"/>
        <w:rPr>
          <w:rFonts w:ascii="Times New Roman" w:hAnsi="Times New Roman"/>
          <w:sz w:val="20"/>
        </w:rPr>
      </w:pPr>
      <w:r>
        <w:rPr>
          <w:rFonts w:ascii="Times New Roman" w:hAnsi="Times New Roman"/>
          <w:sz w:val="20"/>
        </w:rPr>
        <w:t xml:space="preserve">Cleveland, OH 44114-1190 </w:t>
      </w:r>
    </w:p>
    <w:p>
      <w:pPr>
        <w:pStyle w:val="TextBody"/>
        <w:bidi w:val="0"/>
        <w:spacing w:before="0" w:after="0"/>
        <w:jc w:val="left"/>
        <w:rPr>
          <w:rFonts w:ascii="Times New Roman" w:hAnsi="Times New Roman"/>
          <w:sz w:val="20"/>
        </w:rPr>
      </w:pPr>
      <w:r>
        <w:rPr>
          <w:rFonts w:ascii="Times New Roman" w:hAnsi="Times New Roman"/>
          <w:sz w:val="20"/>
        </w:rPr>
        <w:t xml:space="preserve">Attention: Kevin Samuels </w:t>
      </w:r>
    </w:p>
    <w:p>
      <w:pPr>
        <w:pStyle w:val="TextBody"/>
        <w:bidi w:val="0"/>
        <w:spacing w:before="0" w:after="0"/>
        <w:jc w:val="left"/>
        <w:rPr>
          <w:rFonts w:ascii="Times New Roman" w:hAnsi="Times New Roman"/>
          <w:sz w:val="20"/>
        </w:rPr>
      </w:pPr>
      <w:r>
        <w:rPr>
          <w:rFonts w:ascii="Times New Roman" w:hAnsi="Times New Roman"/>
          <w:sz w:val="20"/>
        </w:rPr>
        <w:t xml:space="preserve">Email: kmsamuels@jonesday.com </w:t>
      </w:r>
    </w:p>
    <w:p>
      <w:pPr>
        <w:pStyle w:val="TextBody"/>
        <w:bidi w:val="0"/>
        <w:spacing w:before="120" w:after="0"/>
        <w:jc w:val="left"/>
        <w:rPr>
          <w:rFonts w:ascii="Times New Roman" w:hAnsi="Times New Roman"/>
          <w:sz w:val="20"/>
        </w:rPr>
      </w:pPr>
      <w:r>
        <w:rPr>
          <w:rFonts w:ascii="Times New Roman" w:hAnsi="Times New Roman"/>
          <w:sz w:val="20"/>
        </w:rPr>
        <w:t xml:space="preserve">(ii) if to the Administrative Agent or the Swingline Lender, to: </w:t>
      </w:r>
    </w:p>
    <w:p>
      <w:pPr>
        <w:pStyle w:val="TextBody"/>
        <w:bidi w:val="0"/>
        <w:spacing w:before="120" w:after="0"/>
        <w:jc w:val="left"/>
        <w:rPr>
          <w:rFonts w:ascii="Times New Roman" w:hAnsi="Times New Roman"/>
          <w:sz w:val="20"/>
        </w:rPr>
      </w:pPr>
      <w:r>
        <w:rPr>
          <w:rFonts w:ascii="Times New Roman" w:hAnsi="Times New Roman"/>
          <w:sz w:val="20"/>
        </w:rPr>
        <w:t xml:space="preserve">Barclays Bank PLC </w:t>
      </w:r>
    </w:p>
    <w:p>
      <w:pPr>
        <w:pStyle w:val="TextBody"/>
        <w:bidi w:val="0"/>
        <w:spacing w:before="0" w:after="0"/>
        <w:jc w:val="left"/>
        <w:rPr>
          <w:rFonts w:ascii="Times New Roman" w:hAnsi="Times New Roman"/>
          <w:sz w:val="20"/>
        </w:rPr>
      </w:pPr>
      <w:r>
        <w:rPr>
          <w:rFonts w:ascii="Times New Roman" w:hAnsi="Times New Roman"/>
          <w:sz w:val="20"/>
        </w:rPr>
        <w:t xml:space="preserve">745 Seventh Avenue, 8th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0" w:after="0"/>
        <w:jc w:val="left"/>
        <w:rPr>
          <w:rFonts w:ascii="Times New Roman" w:hAnsi="Times New Roman"/>
          <w:sz w:val="20"/>
        </w:rPr>
      </w:pPr>
      <w:r>
        <w:rPr>
          <w:rFonts w:ascii="Times New Roman" w:hAnsi="Times New Roman"/>
          <w:sz w:val="20"/>
        </w:rPr>
        <w:t xml:space="preserve">Attention: Arup Ghosh </w:t>
      </w:r>
    </w:p>
    <w:p>
      <w:pPr>
        <w:pStyle w:val="TextBody"/>
        <w:bidi w:val="0"/>
        <w:spacing w:before="0" w:after="0"/>
        <w:jc w:val="left"/>
        <w:rPr>
          <w:rFonts w:ascii="Times New Roman" w:hAnsi="Times New Roman"/>
          <w:sz w:val="20"/>
        </w:rPr>
      </w:pPr>
      <w:r>
        <w:rPr>
          <w:rFonts w:ascii="Times New Roman" w:hAnsi="Times New Roman"/>
          <w:sz w:val="20"/>
        </w:rPr>
        <w:t xml:space="preserve">Email: arup.ghosh@barclays.com </w:t>
      </w:r>
    </w:p>
    <w:p>
      <w:pPr>
        <w:pStyle w:val="TextBody"/>
        <w:bidi w:val="0"/>
        <w:spacing w:before="120" w:after="0"/>
        <w:jc w:val="left"/>
        <w:rPr>
          <w:rFonts w:ascii="Times New Roman" w:hAnsi="Times New Roman"/>
          <w:sz w:val="20"/>
        </w:rPr>
      </w:pPr>
      <w:r>
        <w:rPr>
          <w:rFonts w:ascii="Times New Roman" w:hAnsi="Times New Roman"/>
          <w:sz w:val="20"/>
        </w:rPr>
        <w:t xml:space="preserve">(iii) if to any other Lender or any Issuing Bank, to it at its address, facsimile number or electronic mail address set forth in its Administrative Questionnaire or in any other writing delivered by any such Person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other communications (i) sent by hand or overnight courier service, or mailed by certified or registered mail, shall be deemed to have been given when received, or (ii) sent by facsimile shall be deemed to have been given when sent, </w:t>
      </w:r>
      <w:r>
        <w:rPr>
          <w:rFonts w:ascii="Times New Roman" w:hAnsi="Times New Roman"/>
          <w:sz w:val="20"/>
          <w:u w:val="single"/>
        </w:rPr>
        <w:t>provided</w:t>
      </w:r>
      <w:r>
        <w:rPr>
          <w:rFonts w:ascii="Times New Roman" w:hAnsi="Times New Roman"/>
          <w:sz w:val="20"/>
        </w:rPr>
        <w:t xml:space="preserve"> that if not given during normal business hours of the recipient, such notice or communication shall be deemed to have been given at the opening of business on the next Business Day of the recipient, or (iii) delivered through Electronic Systems to the extent provided in paragraph (b) below shall be effective as provided in such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Notices and other communications to the Lenders hereunder may be delivered or furnished by Electronic Systems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pursuant to Article II or to compliance or Default certificates delivered pursuant to Section 5.01 or 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0"/>
          <w:u w:val="single"/>
        </w:rPr>
        <w:t>provided</w:t>
      </w:r>
      <w:r>
        <w:rPr>
          <w:rFonts w:ascii="Times New Roman" w:hAnsi="Times New Roman"/>
          <w:sz w:val="20"/>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(b)(i) of notification that such notice or communication is available and identifying the website address therefor. </w:t>
      </w:r>
    </w:p>
    <w:p>
      <w:pPr>
        <w:pStyle w:val="TextBody"/>
        <w:bidi w:val="0"/>
        <w:spacing w:before="240" w:after="0"/>
        <w:jc w:val="left"/>
        <w:rPr>
          <w:rFonts w:ascii="Times New Roman" w:hAnsi="Times New Roman"/>
          <w:sz w:val="20"/>
        </w:rPr>
      </w:pPr>
      <w:r>
        <w:rPr>
          <w:rFonts w:ascii="Times New Roman" w:hAnsi="Times New Roman"/>
          <w:sz w:val="20"/>
        </w:rPr>
        <w:t xml:space="preserve">(c) Any party hereto may change its address, electronic mail address or facsimile number for notices and other communications hereunder by notice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Electronic Systems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Each Loan Party agrees that the Administrative Agent may, but shall not be obligated to, make Communications (as defined below) available to the Issuing Bank and the other Lenders by posting the Communications on Debt Domain, Intralinks, Syndtrak, ClearPar or any other electronic system chosen by the Administrative Agent to be its electronic transmission system (collectively, an “</w:t>
      </w:r>
      <w:r>
        <w:rPr>
          <w:rFonts w:ascii="Times New Roman" w:hAnsi="Times New Roman"/>
          <w:sz w:val="20"/>
          <w:u w:val="single"/>
        </w:rPr>
        <w:t>Electronic System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 Although the Electronic System and its primary web portal are secured with generally-applicable security procedures and policies implemented or modified by the Administrative Agent from time to time (including, as of the Fourth Restatement Date, a user ID/password authorization system) and the Electronic System is secured through a per-deal authorization method whereby each user may access the Electronic System only on a deal-by-deal basis, each of the Lenders, the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Electronic System, and that there may be confidentiality and other risks associated with such distribution. Each of the Lenders, the Issuing Bank and each Borrower hereby approves distribution of the Communications through the Electronic System and understands and assumes the risks of such distribution. </w:t>
      </w:r>
    </w:p>
    <w:p>
      <w:pPr>
        <w:pStyle w:val="TextBody"/>
        <w:bidi w:val="0"/>
        <w:spacing w:before="120" w:after="0"/>
        <w:jc w:val="left"/>
        <w:rPr>
          <w:rFonts w:ascii="Times New Roman" w:hAnsi="Times New Roman"/>
          <w:sz w:val="20"/>
        </w:rPr>
      </w:pPr>
      <w:r>
        <w:rPr>
          <w:rFonts w:ascii="Times New Roman" w:hAnsi="Times New Roman"/>
          <w:sz w:val="20"/>
        </w:rPr>
        <w:t>(ii) 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have any liability to the Borrowers or the other Loan Parties, any Lender, the Issuing Bank or any other Person or entity for damages of any kind, including direct or indirect, special, incidental or consequential damages, losses or expenses (whether in tort, contract or otherwise) arising out of any Borrower’s, any Loan Party’s or the Administrative Agent’s transmission of communications through an Electronic System. “</w:t>
      </w:r>
      <w:r>
        <w:rPr>
          <w:rFonts w:ascii="Times New Roman" w:hAnsi="Times New Roman"/>
          <w:sz w:val="20"/>
          <w:u w:val="single"/>
        </w:rPr>
        <w:t>Communications</w:t>
      </w:r>
      <w:r>
        <w:rPr>
          <w:rFonts w:ascii="Times New Roman" w:hAnsi="Times New Roman"/>
          <w:sz w:val="20"/>
        </w:rPr>
        <w:t xml:space="preserve">”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 </w:t>
      </w:r>
    </w:p>
    <w:p>
      <w:pPr>
        <w:pStyle w:val="TextBody"/>
        <w:bidi w:val="0"/>
        <w:spacing w:before="120" w:after="0"/>
        <w:jc w:val="left"/>
        <w:rPr>
          <w:rFonts w:ascii="Times New Roman" w:hAnsi="Times New Roman"/>
          <w:sz w:val="20"/>
        </w:rPr>
      </w:pPr>
      <w:r>
        <w:rPr>
          <w:rFonts w:ascii="Times New Roman" w:hAnsi="Times New Roman"/>
          <w:sz w:val="20"/>
        </w:rPr>
        <w:t xml:space="preserve">(iii) Each Lender and Issuing Bank agrees that notice to it (as provided in the next sentence) specifying that Communications have been posted to the Electronic System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Each of the Lenders, Issuing Bank and each Borrower agrees that the Administrative Agent may, but (except as may be required by applicable law) shall not be obligated to, store the Communications on the Electronic System in accordance with the Administrative Agent’s generally applicable document retention procedures and policies. </w:t>
      </w:r>
    </w:p>
    <w:p>
      <w:pPr>
        <w:pStyle w:val="TextBody"/>
        <w:bidi w:val="0"/>
        <w:spacing w:before="120" w:after="0"/>
        <w:jc w:val="left"/>
        <w:rPr>
          <w:rFonts w:ascii="Times New Roman" w:hAnsi="Times New Roman"/>
          <w:sz w:val="20"/>
        </w:rPr>
      </w:pPr>
      <w:r>
        <w:rPr>
          <w:rFonts w:ascii="Times New Roman" w:hAnsi="Times New Roman"/>
          <w:sz w:val="20"/>
        </w:rPr>
        <w:t xml:space="preserve">(v) Nothing herein shall prejudice the right of the Administrative Agent, any Lender or Issuing Bank to give any notice or other communication pursuant to any Loan Document in any other manner specified in such Loan Document. </w:t>
      </w:r>
    </w:p>
    <w:p>
      <w:pPr>
        <w:pStyle w:val="TextBody"/>
        <w:bidi w:val="0"/>
        <w:spacing w:before="240" w:after="0"/>
        <w:jc w:val="left"/>
        <w:rPr>
          <w:rFonts w:ascii="Times New Roman" w:hAnsi="Times New Roman"/>
          <w:sz w:val="20"/>
        </w:rPr>
      </w:pPr>
      <w:r>
        <w:rPr>
          <w:rFonts w:ascii="Times New Roman" w:hAnsi="Times New Roman"/>
          <w:sz w:val="20"/>
          <w:u w:val="single"/>
        </w:rPr>
        <w:t>SECTION 9.02 Waivers; Amendments</w:t>
      </w:r>
      <w:r>
        <w:rPr>
          <w:rFonts w:ascii="Times New Roman" w:hAnsi="Times New Roman"/>
          <w:sz w:val="20"/>
        </w:rPr>
        <w:t xml:space="preserve">. (a) No failure or delay by any Lender Party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Lenders Parties,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of a Letter of Credit shall not be construed as a waiver of any Default, regardless of whether any Lender Party may have had notice or knowledge of such Default at the time. </w:t>
      </w:r>
    </w:p>
    <w:p>
      <w:pPr>
        <w:pStyle w:val="TextBody"/>
        <w:bidi w:val="0"/>
        <w:spacing w:before="240" w:after="0"/>
        <w:jc w:val="left"/>
        <w:rPr>
          <w:rFonts w:ascii="Times New Roman" w:hAnsi="Times New Roman"/>
          <w:sz w:val="20"/>
        </w:rPr>
      </w:pPr>
      <w:r>
        <w:rPr>
          <w:rFonts w:ascii="Times New Roman" w:hAnsi="Times New Roman"/>
          <w:sz w:val="20"/>
        </w:rPr>
        <w:t xml:space="preserve">(b) Neither this Agreement nor any other Loan Document nor any provision hereof or thereof may be waived, amended or modified except (i) in the case of this Agreement, pursuant to an agreement or agreements in writing entered into by the Borrower Representative and the Required Lenders or (ii) in the case of any other Loan Document, pursuant to an agreement or agreements in writing entered into by the Administrative Agent (to the extent it is a party to such Loan Document) and each Loan Party that is a party thereto, with the consent of the Required Lenders; </w:t>
      </w:r>
      <w:r>
        <w:rPr>
          <w:rFonts w:ascii="Times New Roman" w:hAnsi="Times New Roman"/>
          <w:sz w:val="20"/>
          <w:u w:val="single"/>
        </w:rPr>
        <w:t>provided</w:t>
      </w:r>
      <w:r>
        <w:rPr>
          <w:rFonts w:ascii="Times New Roman" w:hAnsi="Times New Roman"/>
          <w:sz w:val="20"/>
        </w:rPr>
        <w:t xml:space="preserve"> that no such agreement shall (A) increase the U.S. Commitment or Canadian Commitment of any Lender without the written consent of such Lender (including any such Lender that is a Defaulting Lender), (B) reduce or forgive the principal amount of any Loan or LC Disbursement or reduce the rate of interest thereon (other than any waiver of default interest or any increase in any commitment fee or participation fee during an Event of Default made with the consent of the Required Lenders), or reduce or forgive any interest or fees (other than any waiver of default interest made with the consent of the Required Lenders) payable hereunder, without the written consent of each Lender directly affected thereby (including any such Lender that is a Defaulting Lender), (C) postpone any scheduled date of payment of the principal amount of any Loan or LC Disbursement, or any date for the payment of any interest, fees or other Obligations payable hereunder, or reduce the amount of, waive or excuse any such payment, postpone the scheduled date of expiration of the Revolving Commitment, without the written consent of each Lender (including any such Lender that is a Defaulting Lender) directly affected thereby, (D) change Section 2.18(b)</w:t>
      </w:r>
      <w:r>
        <w:rPr>
          <w:rFonts w:ascii="Times New Roman" w:hAnsi="Times New Roman"/>
          <w:strike/>
          <w:color w:val="008000"/>
          <w:sz w:val="20"/>
        </w:rPr>
        <w:t xml:space="preserve"> in any manner adverse to any Lender </w:t>
      </w:r>
      <w:r>
        <w:rPr>
          <w:rFonts w:ascii="Times New Roman" w:hAnsi="Times New Roman"/>
          <w:strike/>
          <w:color w:val="FF0000"/>
          <w:sz w:val="20"/>
        </w:rPr>
        <w:t>without such Lender’s consent or</w:t>
      </w:r>
      <w:r>
        <w:rPr>
          <w:rFonts w:ascii="Times New Roman" w:hAnsi="Times New Roman"/>
          <w:color w:val="0000FF"/>
          <w:sz w:val="20"/>
          <w:u w:val="single"/>
          <w:bdr w:val="double" w:sz="2" w:space="1" w:color="000000"/>
        </w:rPr>
        <w:t xml:space="preserve">, Section 2.11, the definition of “Applicable Percentage” or any other section of this Agreement </w:t>
      </w:r>
      <w:r>
        <w:rPr>
          <w:rFonts w:ascii="Times New Roman" w:hAnsi="Times New Roman"/>
          <w:sz w:val="20"/>
        </w:rPr>
        <w:t xml:space="preserve">in a manner that would alter the </w:t>
      </w:r>
      <w:r>
        <w:rPr>
          <w:rFonts w:ascii="Times New Roman" w:hAnsi="Times New Roman"/>
          <w:strike/>
          <w:color w:val="FF0000"/>
          <w:sz w:val="20"/>
        </w:rPr>
        <w:t>manner in which</w:t>
      </w:r>
      <w:r>
        <w:rPr>
          <w:rFonts w:ascii="Times New Roman" w:hAnsi="Times New Roman"/>
          <w:color w:val="0000FF"/>
          <w:sz w:val="20"/>
          <w:u w:val="single"/>
          <w:bdr w:val="double" w:sz="2" w:space="1" w:color="000000"/>
        </w:rPr>
        <w:t xml:space="preserve">pro rata sharing of </w:t>
      </w:r>
      <w:r>
        <w:rPr>
          <w:rFonts w:ascii="Times New Roman" w:hAnsi="Times New Roman"/>
          <w:sz w:val="20"/>
        </w:rPr>
        <w:t xml:space="preserve">payments </w:t>
      </w:r>
      <w:r>
        <w:rPr>
          <w:rFonts w:ascii="Times New Roman" w:hAnsi="Times New Roman"/>
          <w:strike/>
          <w:color w:val="FF0000"/>
          <w:sz w:val="20"/>
        </w:rPr>
        <w:t>are shared</w:t>
      </w:r>
      <w:r>
        <w:rPr>
          <w:rFonts w:ascii="Times New Roman" w:hAnsi="Times New Roman"/>
          <w:color w:val="0000FF"/>
          <w:sz w:val="20"/>
          <w:u w:val="single"/>
          <w:bdr w:val="double" w:sz="2" w:space="1" w:color="000000"/>
        </w:rPr>
        <w:t>or the pro rata reduction in commitments required thereby, or</w:t>
      </w:r>
      <w:r>
        <w:rPr>
          <w:rFonts w:ascii="Times New Roman" w:hAnsi="Times New Roman"/>
          <w:color w:val="008000"/>
          <w:sz w:val="20"/>
          <w:u w:val="single"/>
          <w:bdr w:val="double" w:sz="2" w:space="1" w:color="000000"/>
        </w:rPr>
        <w:t> in any manner adverse to any Lender</w:t>
      </w:r>
      <w:r>
        <w:rPr>
          <w:rFonts w:ascii="Times New Roman" w:hAnsi="Times New Roman"/>
          <w:sz w:val="20"/>
        </w:rPr>
        <w:t>, without the written consent of each Lender affected thereby, (E) increase the advance rates set forth in the definition of Canadian Borrowing Base or U.S. Borrowing Base or add new categories of eligible assets, without the written consent of the Supermajority Revolving Lenders, (F) change any of the provisions of this Section or the definition of “</w:t>
      </w:r>
      <w:r>
        <w:rPr>
          <w:rFonts w:ascii="Times New Roman" w:hAnsi="Times New Roman"/>
          <w:sz w:val="20"/>
          <w:u w:val="single"/>
        </w:rPr>
        <w:t>Required Lenders</w:t>
      </w:r>
      <w:r>
        <w:rPr>
          <w:rFonts w:ascii="Times New Roman" w:hAnsi="Times New Roman"/>
          <w:sz w:val="20"/>
        </w:rPr>
        <w:t>” or “</w:t>
      </w:r>
      <w:r>
        <w:rPr>
          <w:rFonts w:ascii="Times New Roman" w:hAnsi="Times New Roman"/>
          <w:sz w:val="20"/>
          <w:u w:val="single"/>
        </w:rPr>
        <w:t>Supermajority Revolving Lenders</w:t>
      </w:r>
      <w:r>
        <w:rPr>
          <w:rFonts w:ascii="Times New Roman" w:hAnsi="Times New Roman"/>
          <w:sz w:val="20"/>
        </w:rPr>
        <w:t xml:space="preserve">” or any other provision of any Loan Document specifying the number or percentage of Lenders (or Lenders of any Class) required to waive, amend or modify any rights thereunder or make any determination or grant any consent thereunder, without the written consent of each Lender, (G) release any Loan Guarantor from its obligation under its Loan Guaranty or Canadian Guarantee (except as otherwise permitted herein or in the other Loan Documents), without the written consent of each Lender, </w:t>
      </w:r>
      <w:r>
        <w:rPr>
          <w:rFonts w:ascii="Times New Roman" w:hAnsi="Times New Roman"/>
          <w:color w:val="0000FF"/>
          <w:sz w:val="20"/>
          <w:u w:val="single"/>
          <w:bdr w:val="double" w:sz="2" w:space="1" w:color="000000"/>
        </w:rPr>
        <w:t xml:space="preserve">and </w:t>
      </w:r>
      <w:r>
        <w:rPr>
          <w:rFonts w:ascii="Times New Roman" w:hAnsi="Times New Roman"/>
          <w:sz w:val="20"/>
        </w:rPr>
        <w:t xml:space="preserve">(H) except as provided in clause (c) of this Section or in any Collateral Document, release all or substantially all of the Collateral, without the written consent of each Lender; </w:t>
      </w:r>
      <w:r>
        <w:rPr>
          <w:rFonts w:ascii="Times New Roman" w:hAnsi="Times New Roman"/>
          <w:sz w:val="20"/>
          <w:u w:val="single"/>
        </w:rPr>
        <w:t>provided</w:t>
      </w:r>
      <w:r>
        <w:rPr>
          <w:rFonts w:ascii="Times New Roman" w:hAnsi="Times New Roman"/>
          <w:sz w:val="20"/>
        </w:rPr>
        <w:t xml:space="preserve"> further that no such agreement shall amend, modify or otherwise affect the rights or duties of the Administrative Agent, any Issuing Bank or any Swingline Lender hereunder without the prior written consent of the Administrative Agent, such Issuing Bank or such Swingline Lender, as the case may be (it being understood that any change to Section 2.20 shall require the consent of the Administrative Agent, the Swingline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and the Issuing Banks). Notwithstanding the foregoing, (x) the Administrative Agent may also amend the </w:t>
      </w:r>
      <w:r>
        <w:rPr>
          <w:rFonts w:ascii="Times New Roman" w:hAnsi="Times New Roman"/>
          <w:sz w:val="20"/>
          <w:u w:val="single"/>
        </w:rPr>
        <w:t>Revolving Commitment Schedule</w:t>
      </w:r>
      <w:r>
        <w:rPr>
          <w:rFonts w:ascii="Times New Roman" w:hAnsi="Times New Roman"/>
          <w:sz w:val="20"/>
        </w:rPr>
        <w:t xml:space="preserve"> to reflect assignments entered into pursuant to Section 9.04 and (y) any amendment entered into in connection with an Aggregate Commitment Increase or a Canadian Sublimit Increase pursuant to Section 2.09(f) or Section 2.09(g), as applicable, shall require only the signature of the Administrative Agent, the Borrowers and the Lender(s) being added or increasing their Revolving Commitment(s) or Canadian Commitments, as applicable, except as otherwise provided in such Section 2.09(f). </w:t>
      </w:r>
    </w:p>
    <w:p>
      <w:pPr>
        <w:pStyle w:val="TextBody"/>
        <w:bidi w:val="0"/>
        <w:spacing w:before="240" w:after="0"/>
        <w:jc w:val="left"/>
        <w:rPr>
          <w:rFonts w:ascii="Times New Roman" w:hAnsi="Times New Roman"/>
          <w:sz w:val="20"/>
        </w:rPr>
      </w:pPr>
      <w:r>
        <w:rPr>
          <w:rFonts w:ascii="Times New Roman" w:hAnsi="Times New Roman"/>
          <w:sz w:val="20"/>
        </w:rPr>
        <w:t xml:space="preserve">(c) The Lender Parties hereby irrevocably authorize the Administrative Agent, at its option and in its sole discretion, to release (x) any guaranty provided by an Excluded Subsidiary and (y) any Liens granted to the Administrative Agent by the Loan Parties or the Canadian Loan Parties or their respective Subsidiaries, as the case may be, on any Collateral (i) upon the termination of all Revolving Commitments, payment and satisfaction in full in cash of all Secured Obligations (other than Unliquidated Obligations), and the cash collateralization of all Unliquidated Obligations in a manner reasonably satisfactory to each affected Lender Party,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Equity Interest of a Subsidiary, the Administrative Agent is authorized to release any Loan Guaranty or Canadian Guarantee provided by such Subsidiary, (iii) constituting property leased to a Loan Party under a lease which has expired or been terminated in a transaction permitted under this Agreement, (iv) constituting an Account originated by a Loan Party which has been sold or otherwise transferred to WESCO Receivables pursuant to the Receivables Securitization Agreements; (v) as required to effect any sale or other disposition of such Collateral in connection with any exercise of remedies of the Administrative Agent and the Lenders pursuant to Article VII; (vi) that constitutes Excluded Collateral (as defined in the U.S. Security Agreement or the Canadian Security Agreement), or (vii) otherwise having a value in the aggregate not in excess of $40,000,000 during any calendar year. Except as provided in the preceding sentence, the Administrative Agent will not release any Liens on Collateral valued in the aggregate (A) in excess of $40,000,000 but not in excess of $100,000,000 during any calendar year without the prior written authorization of the Required Lenders; and (B) in excess of $100,000,000 during any calendar year without the prior written authorization of the Supermajority Revolving Lenders; </w:t>
      </w:r>
      <w:r>
        <w:rPr>
          <w:rFonts w:ascii="Times New Roman" w:hAnsi="Times New Roman"/>
          <w:sz w:val="20"/>
          <w:u w:val="single"/>
        </w:rPr>
        <w:t>provided</w:t>
      </w:r>
      <w:r>
        <w:rPr>
          <w:rFonts w:ascii="Times New Roman" w:hAnsi="Times New Roman"/>
          <w:sz w:val="20"/>
        </w:rPr>
        <w:t xml:space="preserve"> that the consent of all Lenders shall be required for a release of all or substantially all of the Collateral as provided in Section 9.02(b)(H).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 </w:t>
      </w:r>
    </w:p>
    <w:p>
      <w:pPr>
        <w:pStyle w:val="TextBody"/>
        <w:bidi w:val="0"/>
        <w:spacing w:before="240" w:after="0"/>
        <w:jc w:val="left"/>
        <w:rPr>
          <w:rFonts w:ascii="Times New Roman" w:hAnsi="Times New Roman"/>
          <w:sz w:val="20"/>
        </w:rPr>
      </w:pPr>
      <w:r>
        <w:rPr>
          <w:rFonts w:ascii="Times New Roman" w:hAnsi="Times New Roman"/>
          <w:sz w:val="20"/>
        </w:rPr>
        <w:t>(d) 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not obtained being referred to herein as a “</w:t>
      </w:r>
      <w:r>
        <w:rPr>
          <w:rFonts w:ascii="Times New Roman" w:hAnsi="Times New Roman"/>
          <w:sz w:val="20"/>
          <w:u w:val="single"/>
        </w:rPr>
        <w:t>Non-Consenting Lender</w:t>
      </w:r>
      <w:r>
        <w:rPr>
          <w:rFonts w:ascii="Times New Roman" w:hAnsi="Times New Roman"/>
          <w:sz w:val="20"/>
        </w:rPr>
        <w:t xml:space="preserve">”), then the Borrowers may elect to replace a Non-Consenting Lender as a Lender party to this Agreement, </w:t>
      </w:r>
      <w:r>
        <w:rPr>
          <w:rFonts w:ascii="Times New Roman" w:hAnsi="Times New Roman"/>
          <w:sz w:val="20"/>
          <w:u w:val="single"/>
        </w:rPr>
        <w:t>provided</w:t>
      </w:r>
      <w:r>
        <w:rPr>
          <w:rFonts w:ascii="Times New Roman" w:hAnsi="Times New Roman"/>
          <w:sz w:val="20"/>
        </w:rPr>
        <w:t xml:space="preserve"> that, concurrently with such replacement, (i) another bank or other entity which is reasonably satisfactory to the Borrowers and the Administrative Agent (1)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(2) such assignee bank or other entity shall have consented to the applicable amendment, waiver or consent,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Electronic System as to which the Administrative Agent and such parties are participants), and the Lender required to make such assignment need not be a party thereto in order for such assignment to be effective and shall be deemed to have consented to an be bound by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hAnsi="Times New Roman"/>
          <w:sz w:val="20"/>
          <w:u w:val="single"/>
        </w:rPr>
        <w:t>provided</w:t>
      </w:r>
      <w:r>
        <w:rPr>
          <w:rFonts w:ascii="Times New Roman" w:hAnsi="Times New Roman"/>
          <w:sz w:val="20"/>
        </w:rPr>
        <w:t xml:space="preserve"> further that any such documents shall be without recourse to or warranty by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herein the Administrative Agent may, with the consent of the Borrower Representative only, amend, modify or supplement this Agreement or any of the other Loan Documents to cure any ambiguity, omission, mistake, defect or inconsistency.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(f)</w:t>
      </w:r>
      <w:r>
        <w:rPr>
          <w:rFonts w:ascii="Times New Roman" w:hAnsi="Times New Roman"/>
          <w:sz w:val="20"/>
        </w:rPr>
        <w:t xml:space="preserve"> </w:t>
      </w:r>
      <w:r>
        <w:rPr>
          <w:rFonts w:ascii="Times New Roman" w:hAnsi="Times New Roman"/>
          <w:color w:val="008000"/>
          <w:sz w:val="20"/>
          <w:u w:val="single"/>
          <w:bdr w:val="double" w:sz="2" w:space="1" w:color="000000"/>
        </w:rPr>
        <w:t xml:space="preserve">Notwithstanding anything to the contrary in </w:t>
      </w:r>
      <w:r>
        <w:rPr>
          <w:rFonts w:ascii="Times New Roman" w:hAnsi="Times New Roman"/>
          <w:color w:val="0000FF"/>
          <w:sz w:val="20"/>
          <w:u w:val="single"/>
          <w:bdr w:val="double" w:sz="2" w:space="1" w:color="000000"/>
        </w:rPr>
        <w:t>this Section 9.02, neither this Agreement nor any other Loan Document nor any provision hereof or thereof may be waived, amended or modified for the purpose of subordinating (x) the Administrative Agent’s Lien on all or substantially all of the ABL Priority Collateral to the Liens on such ABL Priority Collateral securing any other Indebtedness for borrowed money (such senior Indebtedness, “Priming Indebtedness”) or (y) the Obligations (including any guaranty thereof) under the Loan Documents in right of payment to any Priming Indebtedness, in each case, without the written consent of each Lender directly affected thereby; provided, however, that this clause (f) shall not apply to (x) customary Lien subordination provisions in connection with any purchase money Indebtedness, Capital Lease Obligations and similar obligations otherwise expressly permitted hereunder, (y) the subordination of Liens on assets not constituting ABL Priority Collateral, which Liens secure Indebtedness permitted under this Agreement as of the Ninth Amendment Effective Date, or (z) any debtor-in-possession financing so long as each Lender directly affected thereby is offered a bona fide opportunity to participate on a pro rata basis in any such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9.03 Expenses; Indemnity; Damage Waiver</w:t>
      </w:r>
      <w:r>
        <w:rPr>
          <w:rFonts w:ascii="Times New Roman" w:hAnsi="Times New Roman"/>
          <w:sz w:val="20"/>
        </w:rPr>
        <w:t xml:space="preserve">. (a) The Borrowers shall pay (i) all reasonable and documented out-of-pocket expenses incurred by the Administrative Agent and its Affiliates (limited, in the case of legal fees and expenses, to the reasonable fees, charges and disbursements of one U.S. counsel and one Canadian counsel to the Administrative Agent and its Affiliates (and, if reasonably necessary, of one local counsel in any relevant material jurisdiction to all such persons, taken as a whole)), in connection with the syndication and distribution (including, without limitation, via the internet or through a service such as IntraLinks)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out-of-pocket expenses incurred by the applicable Issuing Bank in connection with the issuance, amendment, renewal or extension of any Letter of Credit or any demand for payment thereunder and (iii) all out-of-pocket expenses incurred by the Administrative Agent, any Issuing Bank or any Lender, including the fees, charges and disbursements of any counsel for the Administrative Agent, any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thereof. Subject to the limitations set forth herein or in the Collateral Documents, expenses being reimbursed by the Borrowers under this Section include, without limiting the generality of the foregoing, costs and expenses incurred by the Administrative Agent and its Affiliates in connection with: </w:t>
      </w:r>
    </w:p>
    <w:p>
      <w:pPr>
        <w:pStyle w:val="TextBody"/>
        <w:bidi w:val="0"/>
        <w:spacing w:before="120" w:after="0"/>
        <w:jc w:val="left"/>
        <w:rPr>
          <w:rFonts w:ascii="Times New Roman" w:hAnsi="Times New Roman"/>
          <w:sz w:val="20"/>
        </w:rPr>
      </w:pPr>
      <w:r>
        <w:rPr>
          <w:rFonts w:ascii="Times New Roman" w:hAnsi="Times New Roman"/>
          <w:sz w:val="20"/>
        </w:rPr>
        <w:t xml:space="preserve">(i) appraisals and insurance reviews; </w:t>
      </w:r>
    </w:p>
    <w:p>
      <w:pPr>
        <w:pStyle w:val="TextBody"/>
        <w:bidi w:val="0"/>
        <w:spacing w:before="120" w:after="0"/>
        <w:jc w:val="left"/>
        <w:rPr>
          <w:rFonts w:ascii="Times New Roman" w:hAnsi="Times New Roman"/>
          <w:sz w:val="20"/>
        </w:rPr>
      </w:pPr>
      <w:r>
        <w:rPr>
          <w:rFonts w:ascii="Times New Roman" w:hAnsi="Times New Roman"/>
          <w:sz w:val="20"/>
        </w:rPr>
        <w:t xml:space="preserve">(ii) field examinations and the preparation of Reports based on the fees charged by a third party retained by the Administrative Agent or the internally allocated fees for each Person employed by the Administrative Agent with respect to each field examination; </w:t>
      </w:r>
    </w:p>
    <w:p>
      <w:pPr>
        <w:pStyle w:val="TextBody"/>
        <w:bidi w:val="0"/>
        <w:spacing w:before="120" w:after="0"/>
        <w:jc w:val="left"/>
        <w:rPr>
          <w:rFonts w:ascii="Times New Roman" w:hAnsi="Times New Roman"/>
          <w:sz w:val="20"/>
        </w:rPr>
      </w:pPr>
      <w:r>
        <w:rPr>
          <w:rFonts w:ascii="Times New Roman" w:hAnsi="Times New Roman"/>
          <w:sz w:val="20"/>
        </w:rPr>
        <w:t xml:space="preserve">(iii) taxes, fees and other charges for (A) lien searches and (B) recording the Collateral Documents, filing financing statements and continuations, and other actions to perfect, protect, and continue the Administrative Agent’s Liens; </w:t>
      </w:r>
    </w:p>
    <w:p>
      <w:pPr>
        <w:pStyle w:val="TextBody"/>
        <w:bidi w:val="0"/>
        <w:spacing w:before="120" w:after="0"/>
        <w:jc w:val="left"/>
        <w:rPr>
          <w:rFonts w:ascii="Times New Roman" w:hAnsi="Times New Roman"/>
          <w:sz w:val="20"/>
        </w:rPr>
      </w:pPr>
      <w:r>
        <w:rPr>
          <w:rFonts w:ascii="Times New Roman" w:hAnsi="Times New Roman"/>
          <w:sz w:val="20"/>
        </w:rPr>
        <w:t xml:space="preserve">(iv) sums paid or incurred to take any action required of any Loan Party under the Loan Documents that such Loan Party fails to pay or take; and </w:t>
      </w:r>
    </w:p>
    <w:p>
      <w:pPr>
        <w:pStyle w:val="TextBody"/>
        <w:bidi w:val="0"/>
        <w:spacing w:before="120" w:after="0"/>
        <w:jc w:val="left"/>
        <w:rPr>
          <w:rFonts w:ascii="Times New Roman" w:hAnsi="Times New Roman"/>
          <w:sz w:val="20"/>
        </w:rPr>
      </w:pPr>
      <w:r>
        <w:rPr>
          <w:rFonts w:ascii="Times New Roman" w:hAnsi="Times New Roman"/>
          <w:sz w:val="20"/>
        </w:rPr>
        <w:t xml:space="preserve">(v) forwarding loan proceeds, collecting checks and other items of payment, and establishing and maintaining the accounts and lock boxes, and costs and expenses of preserving and protecting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Borrowers shall, jointly and severally (subject to Section 12.01), indemnify the Administrative Agent, each Issuing Bank and each Lender,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penalties, liabilities and related expenses, including the fees, charges and disbursements of counsel for any Indemnitee but limited, in the case of legal fees and expenses, to one counsel to such Indemnitees taken as a whole and, solely in the case of an actual or potential conflict of interest, one additional counsel to all affected Indemnitees, taken as a whole (and, if reasonably necessary, of one local counsel in any relevant jurisdiction to all such persons, taken as a whole and, solely in the case of an actual or potential conflict of interest, one additional local counsel to all affected indemnified persons, taken as a whole), incurred by any Indemnitee or asserted against any Indemnitee by any Person (including any Borrower, any other Loan Party or any shareholder or Affiliate of any Borrower or any other Loan Party)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resulting in any Environmental Liability related in any way to any Borrower or any of its Subsidiaries, (iv) the failure of the Borrowers to deliver to the Administrative Agent the required receipts or other required documentary evidence with respect to a payment made by the Borrowers for Taxes pursuant to Section 2.17, or (v) any actual or prospective claim, litigation, investigation or proceeding relating to any of the foregoing, whether based on contract, tort or any other theory and regardless of whether any Indemnitee is a party thereto;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penalties, liabilities or related expenses have resulted from (i) the willful misconduct, bad faith or gross negligence of such Indemnitee, in each case as determined by a final non-appealable judgment of a court of competent jurisdiction or (ii) any disputes solely among Indemnitees and not arising out of any act or omission of the Loan Parties or any of their respective Subsidiaries or Affiliates. This Section 9.03(b) shall not apply with respect to Taxes other than any Taxes that represent losses or damages arising from any non-Tax claim. Notwithstanding anything in the Agreement to the contrary, no Loan Party nor any Indemnitee shall have any liability for any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further that, nothing in this paragraph (d) shall relieve any Loan Party of any obligation it may have to indemnify an Indemnitee against special, indirect, consequential or punitive damages asserted against such Indemnitee by a third party. All of the foregoing costs and expenses may be charged to the Borrowers as Revolving Loans or to another deposit account, all as described in Section 2.18(c).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Loan Party fails to pay any amount required to be paid by it to the Administrative Agent (or any sub-agent thereof) or any Swingline Lender or the Issuing Bank (or any Related Party of any of the foregoing) under paragraph (a) or (b) of this Section, each Lender severally agrees to pay to the Administrative Agent, such Swingline Lender or such Issuing Bank (or any Related Party of any of the foregoing), as the case may be, such Lender’s Applicable Percentage (determined as of the time that the applicable unreimbursed expense or indemnity payment is sought) of such unpaid amount (it being understood that the Loan Parties’ failure to pay any such amount shall not relieve any Loan Party of any default in the payment thereof); </w:t>
      </w:r>
      <w:r>
        <w:rPr>
          <w:rFonts w:ascii="Times New Roman" w:hAnsi="Times New Roman"/>
          <w:sz w:val="20"/>
          <w:u w:val="single"/>
        </w:rPr>
        <w:t>provided</w:t>
      </w:r>
      <w:r>
        <w:rPr>
          <w:rFonts w:ascii="Times New Roman" w:hAnsi="Times New Roman"/>
          <w:sz w:val="20"/>
        </w:rPr>
        <w:t xml:space="preserve"> that the unreimbursed expense or indemnified loss, claim, damage, penalty, liability or related expense, as the case may be, was incurred by or asserted against the Administrative Agent, such Swingline Lender or such Issuing Bank in its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permitted by applicable law, no Loan Party shall assert, and each Loan Party hereby waives, any claim against any Indemnitee (i) for any damages arising from the use by others of information or other materials obtained through telecommunications, electronic or other information transmission systems (including the Internet), other than to the extent such damages are determined by a final non-appealable judgment of a court of competent jurisdiction to have resulted from the gross negligence, bad faith or willful misconduct of such Indemnitee (or any of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All amounts due under this Section shall be payable promptly after written demand therefor. </w:t>
      </w:r>
    </w:p>
    <w:p>
      <w:pPr>
        <w:pStyle w:val="TextBody"/>
        <w:bidi w:val="0"/>
        <w:spacing w:before="240" w:after="0"/>
        <w:jc w:val="left"/>
        <w:rPr>
          <w:rFonts w:ascii="Times New Roman" w:hAnsi="Times New Roman"/>
          <w:sz w:val="20"/>
        </w:rPr>
      </w:pPr>
      <w:r>
        <w:rPr>
          <w:rFonts w:ascii="Times New Roman" w:hAnsi="Times New Roman"/>
          <w:sz w:val="20"/>
          <w:u w:val="single"/>
        </w:rPr>
        <w:t>SECTION 9.04 Successors and Assigns</w:t>
      </w:r>
      <w:r>
        <w:rPr>
          <w:rFonts w:ascii="Times New Roman" w:hAnsi="Times New Roman"/>
          <w:sz w:val="20"/>
        </w:rPr>
        <w:t xml:space="preserve">. (a) The provisions of this Agreement shall be binding upon and inure to the benefit of the parties hereto and their respective successors and assigns permitted hereby (including any Affiliate of an Issuing Bank that issues any Letter of Credit), except that (i) 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 Subject to the conditions set forth in paragraph 9.04(b)(ii) below, any Lender may assign to one or more Persons (other than (x) a natural person (or holding company, investment vehicle or trust for, or owned and operated for the primary benefit of a natural person), (y) a Defaulting Lender or (z) the Loan Parties or any of their Affiliates) all or a portion of its rights and obligations under this Agreement (including all or a portion of its Revolving Commitment and the Loans at the time owing to it): </w:t>
      </w:r>
    </w:p>
    <w:p>
      <w:pPr>
        <w:pStyle w:val="TextBody"/>
        <w:bidi w:val="0"/>
        <w:spacing w:before="120" w:after="0"/>
        <w:jc w:val="left"/>
        <w:rPr>
          <w:rFonts w:ascii="Times New Roman" w:hAnsi="Times New Roman"/>
          <w:sz w:val="20"/>
        </w:rPr>
      </w:pPr>
      <w:r>
        <w:rPr>
          <w:rFonts w:ascii="Times New Roman" w:hAnsi="Times New Roman"/>
          <w:sz w:val="20"/>
        </w:rPr>
        <w:t xml:space="preserve">(A) with the prior written consent (such consent not to be unreasonably withheld or delayed) of the Borrower Representative (which consent shall be deemed to have been given by the Borrower Representative if the Borrower Representative shall not have responded within </w:t>
      </w:r>
      <w:r>
        <w:rPr>
          <w:rFonts w:ascii="Times New Roman" w:hAnsi="Times New Roman"/>
          <w:strike/>
          <w:color w:val="FF0000"/>
          <w:sz w:val="20"/>
        </w:rPr>
        <w:t>five</w:t>
      </w:r>
      <w:r>
        <w:rPr>
          <w:rFonts w:ascii="Times New Roman" w:hAnsi="Times New Roman"/>
          <w:color w:val="0000FF"/>
          <w:sz w:val="20"/>
          <w:u w:val="single"/>
          <w:bdr w:val="double" w:sz="2" w:space="1" w:color="000000"/>
        </w:rPr>
        <w:t>ten</w:t>
      </w:r>
      <w:r>
        <w:rPr>
          <w:rFonts w:ascii="Times New Roman" w:hAnsi="Times New Roman"/>
          <w:sz w:val="20"/>
        </w:rPr>
        <w:t xml:space="preserve"> Business Days of a </w:t>
      </w:r>
      <w:r>
        <w:rPr>
          <w:rFonts w:ascii="Times New Roman" w:hAnsi="Times New Roman"/>
          <w:color w:val="0000FF"/>
          <w:sz w:val="20"/>
          <w:u w:val="single"/>
          <w:bdr w:val="double" w:sz="2" w:space="1" w:color="000000"/>
        </w:rPr>
        <w:t xml:space="preserve">written </w:t>
      </w:r>
      <w:r>
        <w:rPr>
          <w:rFonts w:ascii="Times New Roman" w:hAnsi="Times New Roman"/>
          <w:sz w:val="20"/>
        </w:rPr>
        <w:t>request for such consent)</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consent of the Borrower Representative shall be required for an assignment to a Lender, an Affiliate of a Lender, an Approved Fund or, if an Event of Default </w:t>
      </w:r>
      <w:r>
        <w:rPr>
          <w:rFonts w:ascii="Times New Roman" w:hAnsi="Times New Roman"/>
          <w:color w:val="0000FF"/>
          <w:sz w:val="20"/>
          <w:u w:val="single"/>
          <w:bdr w:val="double" w:sz="2" w:space="1" w:color="000000"/>
        </w:rPr>
        <w:t xml:space="preserve">under clause (a), (b), (d) (with respect to Section 6.12 only), (i), (j) or (k) of Article VII </w:t>
      </w:r>
      <w:r>
        <w:rPr>
          <w:rFonts w:ascii="Times New Roman" w:hAnsi="Times New Roman"/>
          <w:sz w:val="20"/>
        </w:rPr>
        <w:t xml:space="preserve">has occurred and is continuing, any other assignee; </w:t>
      </w:r>
    </w:p>
    <w:p>
      <w:pPr>
        <w:pStyle w:val="TextBody"/>
        <w:bidi w:val="0"/>
        <w:spacing w:before="120" w:after="0"/>
        <w:jc w:val="left"/>
        <w:rPr>
          <w:rFonts w:ascii="Times New Roman" w:hAnsi="Times New Roman"/>
          <w:sz w:val="20"/>
        </w:rPr>
      </w:pPr>
      <w:r>
        <w:rPr>
          <w:rFonts w:ascii="Times New Roman" w:hAnsi="Times New Roman"/>
          <w:sz w:val="20"/>
        </w:rPr>
        <w:t>(B) with the prior written consent of the Administrative Agent (such consent not to be unreasonably withheld</w:t>
      </w:r>
      <w:r>
        <w:rPr>
          <w:rFonts w:ascii="Times New Roman" w:hAnsi="Times New Roman"/>
          <w:color w:val="0000FF"/>
          <w:sz w:val="20"/>
          <w:u w:val="single"/>
          <w:bdr w:val="double" w:sz="2" w:space="1" w:color="000000"/>
        </w:rPr>
        <w:t xml:space="preserve"> or delayed</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(C) with the prior written consent of the Issuing Banks (such consent not to be unreasonably withheld</w:t>
      </w:r>
      <w:r>
        <w:rPr>
          <w:rFonts w:ascii="Times New Roman" w:hAnsi="Times New Roman"/>
          <w:color w:val="0000FF"/>
          <w:sz w:val="20"/>
          <w:u w:val="single"/>
          <w:bdr w:val="double" w:sz="2" w:space="1" w:color="000000"/>
        </w:rPr>
        <w:t xml:space="preserve"> or delayed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except in the case of an assignment to a Lender or an Affiliate of a Lender or an Approved Fund or an assignment of the entire remaining amount of the assigning Lender’s Revolving Commitment or Loans of any Class, the amount of the Revolving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Times New Roman" w:hAnsi="Times New Roman"/>
          <w:sz w:val="20"/>
          <w:u w:val="single"/>
        </w:rPr>
        <w:t>provided</w:t>
      </w:r>
      <w:r>
        <w:rPr>
          <w:rFonts w:ascii="Times New Roman" w:hAnsi="Times New Roman"/>
          <w:sz w:val="20"/>
        </w:rPr>
        <w:t xml:space="preserve"> that no such consent of the Borrower Representative shall be required if an Event of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(B) each partial assignment shall be made as an assignment of a proportionate part of all the assigning Lender’s rights and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parties to each assignment shall execute and deliver to the Administrative Agent (x) an Assignment and Assumption or (y) to the extent applicable, an agreement incorporating an Assignment and Assumption by reference pursuant to an Electronic System as to which the Administrative Agent and the parties to the Assignment and Assumption are participants, together with a processing and recordation fee of $3,500;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assignee, if it shall not be a Lender, shall deliver to the Administrative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For the purposes of this Section 9.04(b), the term “</w:t>
      </w:r>
      <w:r>
        <w:rPr>
          <w:rFonts w:ascii="Times New Roman" w:hAnsi="Times New Roman"/>
          <w:sz w:val="20"/>
          <w:u w:val="single"/>
        </w:rPr>
        <w:t>Approved Fund</w:t>
      </w:r>
      <w:r>
        <w:rPr>
          <w:rFonts w:ascii="Times New Roman" w:hAnsi="Times New Roman"/>
          <w:sz w:val="20"/>
        </w:rPr>
        <w:t xml:space="preserve">” has the following meaning: </w:t>
      </w:r>
    </w:p>
    <w:p>
      <w:pPr>
        <w:pStyle w:val="TextBody"/>
        <w:bidi w:val="0"/>
        <w:spacing w:before="120" w:after="0"/>
        <w:jc w:val="left"/>
        <w:rPr/>
      </w:pPr>
      <w:r>
        <w:rPr/>
        <w:t>“</w:t>
      </w:r>
      <w:r>
        <w:rPr>
          <w:rFonts w:ascii="Times New Roman" w:hAnsi="Times New Roman"/>
          <w:sz w:val="20"/>
          <w:u w:val="single"/>
        </w:rPr>
        <w:t>Approved Fund</w:t>
      </w:r>
      <w:r>
        <w:rPr>
          <w:rFonts w:ascii="Times New Roman" w:hAnsi="Times New Roman"/>
          <w:sz w:val="20"/>
        </w:rPr>
        <w:t xml:space="preserve">”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w:t>
      </w:r>
    </w:p>
    <w:p>
      <w:pPr>
        <w:pStyle w:val="TextBody"/>
        <w:bidi w:val="0"/>
        <w:spacing w:before="120" w:after="0"/>
        <w:jc w:val="left"/>
        <w:rPr>
          <w:rFonts w:ascii="Times New Roman" w:hAnsi="Times New Roman"/>
          <w:sz w:val="20"/>
        </w:rPr>
      </w:pPr>
      <w:r>
        <w:rPr>
          <w:rFonts w:ascii="Times New Roman" w:hAnsi="Times New Roman"/>
          <w:sz w:val="20"/>
        </w:rPr>
        <w:t>(iv) The Administrative Agent, acting for this purpose as a non-fiduciary agent of the Borrowers, shall maintain at one of its United States offices a copy of each Assignment and Assumption delivered to it and a register for the recordation of the names and addresses of the Lenders, and the Revolving Commitment of, and principal amount of (and stated interest on) the Loans and LC Disbursements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Borrowers, any Issuing Bank and any Lender, at any reasonable time and from time to time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(v)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hAnsi="Times New Roman"/>
          <w:sz w:val="20"/>
          <w:u w:val="single"/>
        </w:rPr>
        <w:t>provided</w:t>
      </w:r>
      <w:r>
        <w:rPr>
          <w:rFonts w:ascii="Times New Roman" w:hAnsi="Times New Roman"/>
          <w:sz w:val="20"/>
        </w:rPr>
        <w:t xml:space="preserve">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w:t>
      </w:r>
    </w:p>
    <w:p>
      <w:pPr>
        <w:pStyle w:val="TextBody"/>
        <w:bidi w:val="0"/>
        <w:spacing w:before="240" w:after="0"/>
        <w:jc w:val="left"/>
        <w:rPr>
          <w:rFonts w:ascii="Times New Roman" w:hAnsi="Times New Roman"/>
          <w:sz w:val="20"/>
        </w:rPr>
      </w:pPr>
      <w:r>
        <w:rPr>
          <w:rFonts w:ascii="Times New Roman" w:hAnsi="Times New Roman"/>
          <w:sz w:val="20"/>
        </w:rPr>
        <w:t>(c) Any Lender may, without the consent of the Borrowers, the Administrative Agent, the Issuing Banks or the Swingline Lenders, sell participations to one or more banks or other entities (</w:t>
      </w:r>
      <w:r>
        <w:rPr>
          <w:rFonts w:ascii="Times New Roman" w:hAnsi="Times New Roman"/>
          <w:color w:val="0000FF"/>
          <w:sz w:val="20"/>
          <w:u w:val="single"/>
          <w:bdr w:val="double" w:sz="2" w:space="1" w:color="000000"/>
        </w:rPr>
        <w:t>other than a Defaulting Lender, natural person or a holding company, investment vehicle or trust for, or owned and operated for the primary benefit of a natural person) (</w:t>
      </w:r>
      <w:r>
        <w:rPr>
          <w:rFonts w:ascii="Times New Roman" w:hAnsi="Times New Roman"/>
          <w:sz w:val="20"/>
        </w:rPr>
        <w:t>a “</w:t>
      </w:r>
      <w:r>
        <w:rPr>
          <w:rFonts w:ascii="Times New Roman" w:hAnsi="Times New Roman"/>
          <w:sz w:val="20"/>
          <w:u w:val="single"/>
        </w:rPr>
        <w:t>Participant</w:t>
      </w:r>
      <w:r>
        <w:rPr>
          <w:rFonts w:ascii="Times New Roman" w:hAnsi="Times New Roman"/>
          <w:sz w:val="20"/>
        </w:rPr>
        <w:t xml:space="preserve">”) in all or a portion of such Lender’s rights and obligations under this Agreement (including all or a portion of its Revolving Commitment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and (C) the Borrowers, the Administrative Agent, the Issuing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the first proviso to Section 9.02(b) that affects such Participant. Subject to the following paragraph, the Borrowers agree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w:t>
      </w:r>
      <w:r>
        <w:rPr>
          <w:rFonts w:ascii="Times New Roman" w:hAnsi="Times New Roman"/>
          <w:sz w:val="20"/>
          <w:u w:val="single"/>
        </w:rPr>
        <w:t>provided</w:t>
      </w:r>
      <w:r>
        <w:rPr>
          <w:rFonts w:ascii="Times New Roman" w:hAnsi="Times New Roman"/>
          <w:sz w:val="20"/>
        </w:rPr>
        <w:t xml:space="preserve"> that such Participant (A) agrees to be subject to the provisions of Sections 2.18 and 2.19 as if it were an assignee under paragraph (b) of this Section; and (B) shall not be entitled to receive any greater payment under Section 2.15, 2.16 or 2.17, with respect to any participation, than its participating Lender would have been entitled to receive, except to the extent such entitlement to receive a greater payment results from a Change in Law that occurs after the Participant acquired the applicable participation. </w:t>
      </w:r>
    </w:p>
    <w:p>
      <w:pPr>
        <w:pStyle w:val="TextBody"/>
        <w:bidi w:val="0"/>
        <w:spacing w:before="240" w:after="0"/>
        <w:jc w:val="left"/>
        <w:rPr>
          <w:rFonts w:ascii="Times New Roman" w:hAnsi="Times New Roman"/>
          <w:sz w:val="20"/>
        </w:rPr>
      </w:pPr>
      <w:r>
        <w:rPr>
          <w:rFonts w:ascii="Times New Roman" w:hAnsi="Times New Roman"/>
          <w:sz w:val="20"/>
        </w:rPr>
        <w:t xml:space="preserve">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w:t>
      </w:r>
      <w:r>
        <w:rPr>
          <w:rFonts w:ascii="Times New Roman" w:hAnsi="Times New Roman"/>
          <w:sz w:val="20"/>
          <w:u w:val="single"/>
        </w:rPr>
        <w:t>provided</w:t>
      </w:r>
      <w:r>
        <w:rPr>
          <w:rFonts w:ascii="Times New Roman" w:hAnsi="Times New Roman"/>
          <w:sz w:val="20"/>
        </w:rPr>
        <w:t xml:space="preserve"> such Participant agrees to be subject to Section 2.18(c) as though it were a Lender. 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under this Agreement or any other Loan Document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Aggregate Revolving Commitments, Loans, Letters of Credit or its other obligations under any Loan Document) to any Person except to the extent that such disclosure is necessary to establish that such Aggregate Revolving Commitment, Loan, Letter of Credit or other obligation is in registered form under Section 5f.103-1(c) of the United States Treasury Regulations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(d) Any Lender may at any time pledge or assign a security interest in all or any portion of its rights under this Agreement to secure obligations of such Lender, including without limitation any pledge or assignment to secure obligations to a Federal Reserve Bank (or to any other central bank having jurisdiction over such Lender), and this Section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u w:val="single"/>
        </w:rPr>
        <w:t>SECTION 9.05 Survival</w:t>
      </w:r>
      <w:r>
        <w:rPr>
          <w:rFonts w:ascii="Times New Roman" w:hAnsi="Times New Roman"/>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any Lender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(unless such Letter of Credit has been cash collateralized in accordance with Section 2.06(k)) and so long as the Revolving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Revolving Commitments or the termination of this Agreement or any provision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9.06 Counterparts; Integration; Effectiveness</w:t>
      </w:r>
      <w:r>
        <w:rPr>
          <w:rFonts w:ascii="Times New Roman" w:hAnsi="Times New Roman"/>
          <w:sz w:val="20"/>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emailed.pdf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left"/>
        <w:rPr>
          <w:rFonts w:ascii="Times New Roman" w:hAnsi="Times New Roman"/>
          <w:sz w:val="20"/>
        </w:rPr>
      </w:pPr>
      <w:r>
        <w:rPr>
          <w:rFonts w:ascii="Times New Roman" w:hAnsi="Times New Roman"/>
          <w:sz w:val="20"/>
          <w:u w:val="single"/>
        </w:rPr>
        <w:t>SECTION 9.07 Severability</w:t>
      </w:r>
      <w:r>
        <w:rPr>
          <w:rFonts w:ascii="Times New Roman" w:hAnsi="Times New Roman"/>
          <w:sz w:val="20"/>
        </w:rPr>
        <w:t xml:space="preserve">.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u w:val="single"/>
        </w:rPr>
        <w:t>SECTION 9.08 Right of Setoff</w:t>
      </w:r>
      <w:r>
        <w:rPr>
          <w:rFonts w:ascii="Times New Roman" w:hAnsi="Times New Roman"/>
          <w:sz w:val="20"/>
        </w:rPr>
        <w:t xml:space="preserve">. If </w:t>
      </w:r>
      <w:r>
        <w:rPr>
          <w:rFonts w:ascii="Times New Roman" w:hAnsi="Times New Roman"/>
          <w:strike/>
          <w:color w:val="FF0000"/>
          <w:sz w:val="20"/>
        </w:rPr>
        <w:t>an</w:t>
      </w:r>
      <w:r>
        <w:rPr>
          <w:rFonts w:ascii="Times New Roman" w:hAnsi="Times New Roman"/>
          <w:color w:val="0000FF"/>
          <w:sz w:val="20"/>
          <w:u w:val="single"/>
          <w:bdr w:val="double" w:sz="2" w:space="1" w:color="000000"/>
        </w:rPr>
        <w:t>a Specified</w:t>
      </w:r>
      <w:r>
        <w:rPr>
          <w:rFonts w:ascii="Times New Roman" w:hAnsi="Times New Roman"/>
          <w:sz w:val="20"/>
        </w:rPr>
        <w:t xml:space="preserve"> Event of Default </w:t>
      </w:r>
      <w:r>
        <w:rPr>
          <w:rFonts w:ascii="Times New Roman" w:hAnsi="Times New Roman"/>
          <w:strike/>
          <w:color w:val="FF0000"/>
          <w:sz w:val="20"/>
        </w:rPr>
        <w:t>shall have</w:t>
      </w:r>
      <w:r>
        <w:rPr>
          <w:rFonts w:ascii="Times New Roman" w:hAnsi="Times New Roman"/>
          <w:color w:val="0000FF"/>
          <w:sz w:val="20"/>
          <w:u w:val="single"/>
          <w:bdr w:val="double" w:sz="2" w:space="1" w:color="000000"/>
        </w:rPr>
        <w:t>has</w:t>
      </w:r>
      <w:r>
        <w:rPr>
          <w:rFonts w:ascii="Times New Roman" w:hAnsi="Times New Roman"/>
          <w:sz w:val="20"/>
        </w:rPr>
        <w:t xml:space="preserve"> occurred and </w:t>
      </w:r>
      <w:r>
        <w:rPr>
          <w:rFonts w:ascii="Times New Roman" w:hAnsi="Times New Roman"/>
          <w:strike/>
          <w:color w:val="FF0000"/>
          <w:sz w:val="20"/>
        </w:rPr>
        <w:t>be</w:t>
      </w:r>
      <w:r>
        <w:rPr>
          <w:rFonts w:ascii="Times New Roman" w:hAnsi="Times New Roman"/>
          <w:color w:val="0000FF"/>
          <w:sz w:val="20"/>
          <w:u w:val="single"/>
          <w:bdr w:val="double" w:sz="2" w:space="1" w:color="000000"/>
        </w:rPr>
        <w:t>is</w:t>
      </w:r>
      <w:r>
        <w:rPr>
          <w:rFonts w:ascii="Times New Roman" w:hAnsi="Times New Roman"/>
          <w:sz w:val="20"/>
        </w:rPr>
        <w:t xml:space="preserve"> continuing</w:t>
      </w:r>
      <w:r>
        <w:rPr>
          <w:rFonts w:ascii="Times New Roman" w:hAnsi="Times New Roman"/>
          <w:color w:val="0000FF"/>
          <w:sz w:val="20"/>
          <w:u w:val="single"/>
          <w:bdr w:val="double" w:sz="2" w:space="1" w:color="000000"/>
        </w:rPr>
        <w:t xml:space="preserve"> or if the Obligations have otherwise been accelerated</w:t>
      </w:r>
      <w:r>
        <w:rPr>
          <w:rFonts w:ascii="Times New Roman" w:hAnsi="Times New Roman"/>
          <w:sz w:val="20"/>
        </w:rPr>
        <w:t xml:space="preserve">,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Borrowers or any Loan Guarantor against any of and all the Secured Obligations held by such Lender, irrespective of whether or not such Lender shall have made any demand under the Loan Documents and although such obligations may be unmatured. The applicable Lender shall notify the Borrower Representative and the Administrative Agent of such set-off or application, </w:t>
      </w:r>
      <w:r>
        <w:rPr>
          <w:rFonts w:ascii="Times New Roman" w:hAnsi="Times New Roman"/>
          <w:sz w:val="20"/>
          <w:u w:val="single"/>
        </w:rPr>
        <w:t>provided</w:t>
      </w:r>
      <w:r>
        <w:rPr>
          <w:rFonts w:ascii="Times New Roman" w:hAnsi="Times New Roman"/>
          <w:sz w:val="20"/>
        </w:rPr>
        <w:t xml:space="preserve"> 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 </w:t>
      </w:r>
    </w:p>
    <w:p>
      <w:pPr>
        <w:pStyle w:val="TextBody"/>
        <w:bidi w:val="0"/>
        <w:spacing w:before="240" w:after="0"/>
        <w:jc w:val="left"/>
        <w:rPr>
          <w:rFonts w:ascii="Times New Roman" w:hAnsi="Times New Roman"/>
          <w:sz w:val="20"/>
        </w:rPr>
      </w:pPr>
      <w:r>
        <w:rPr>
          <w:rFonts w:ascii="Times New Roman" w:hAnsi="Times New Roman"/>
          <w:sz w:val="20"/>
          <w:u w:val="single"/>
        </w:rPr>
        <w:t>SECTION 9.09 Governing Law; Jurisdiction; Consent to Service of Process</w:t>
      </w:r>
      <w:r>
        <w:rPr>
          <w:rFonts w:ascii="Times New Roman" w:hAnsi="Times New Roman"/>
          <w:sz w:val="20"/>
        </w:rPr>
        <w:t xml:space="preserve">. (a) The Loan Documents (other than those containing a contrary express choice of law provision) shall be governed by and construed in accordance with the internal laws (and not the law of conflicts) of the State of New York, but giving effect to federal laws applicable to national banks; </w:t>
      </w:r>
      <w:r>
        <w:rPr>
          <w:rFonts w:ascii="Times New Roman" w:hAnsi="Times New Roman"/>
          <w:sz w:val="20"/>
          <w:u w:val="single"/>
        </w:rPr>
        <w:t>provided</w:t>
      </w:r>
      <w:r>
        <w:rPr>
          <w:rFonts w:ascii="Times New Roman" w:hAnsi="Times New Roman"/>
          <w:sz w:val="20"/>
        </w:rPr>
        <w:t xml:space="preserve">, however, that if the laws of any jurisdiction other than the State of New York shall govern in regard to the validity, perfection or effect of perfection of any Lien or in regard to procedural matters affecting enforcement of any Liens on all or any party of the Collateral, such laws of such other jurisdictions shall continue to apply to that extent.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hereby irrevocably and unconditionally submits, for itself and its property, to the exclusive jurisdiction of any U.S. federal or New York State court sitting in New York County, New York in any action or proceeding (whether in contract or tort or otherwise)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w:t>
      </w:r>
      <w:r>
        <w:rPr>
          <w:rFonts w:ascii="Times New Roman" w:hAnsi="Times New Roman"/>
          <w:sz w:val="20"/>
          <w:u w:val="single"/>
        </w:rPr>
        <w:t>provided</w:t>
      </w:r>
      <w:r>
        <w:rPr>
          <w:rFonts w:ascii="Times New Roman" w:hAnsi="Times New Roman"/>
          <w:sz w:val="20"/>
        </w:rPr>
        <w:t xml:space="preserve"> that claims with respect to Canadian Loan Documents may, as provided therein, also be tried in the courts of the Province of Ontario.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Banks or any Lender may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to bring any action or proceeding (whether in contract or tort or otherwise) relating to this Agreement or any other Loan Document against any Loan Party or its properties in the courts of any jurisdiction. Any judicial proceeding (whether in contract or tort or otherwise) by any Loan Party party hereto against the Administrative Agent or any Lender or any affiliate of the Administrative Agent or any Lender involving, directly or indirectly, any matter in any way arising out of, related to, or connected with this Agreement or any other Loan Document (other than the Canadian Loan Documents) shall be brought only in a court in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(e) Each Canadian Loan Party party hereto hereby irrevocably appoints the Borrower Representative as its agent for service of process with respect to this Agreement and each other Loan Document and all other related agreements to which it is a party (the “</w:t>
      </w:r>
      <w:r>
        <w:rPr>
          <w:rFonts w:ascii="Times New Roman" w:hAnsi="Times New Roman"/>
          <w:sz w:val="20"/>
          <w:u w:val="single"/>
        </w:rPr>
        <w:t>Process Agent</w:t>
      </w:r>
      <w:r>
        <w:rPr>
          <w:rFonts w:ascii="Times New Roman" w:hAnsi="Times New Roman"/>
          <w:sz w:val="20"/>
        </w:rPr>
        <w:t xml:space="preserve">”) and the Borrower Representative hereby accepts such appointment as the Process Agent and hereby agrees to forward promptly to each Canadian Loan Party party hereto all legal process addressed to such Canadian Loan Party received by the Process Agent. Each Canadian Loan Party party hereto hereby agrees that the failure of the Borrower Representative to give any notice of any such service shall not impair or affect the validity of such service or of any judgment rendered in any action or proceeding based thereon. To the extent any Canadian Loan Party party hereto has or hereafter may acquire any immunity from jurisdiction of any court or from any legal process (whether through service or notice, attachment prior to judgment, attachment in aid of execution, execution or otherwise) with respect to itself or its property, such Canadian Loan Party hereby irrevocably waives such immunity in respect of its obligations under this Agreement and each other Loan Document. </w:t>
      </w:r>
    </w:p>
    <w:p>
      <w:pPr>
        <w:pStyle w:val="TextBody"/>
        <w:bidi w:val="0"/>
        <w:spacing w:before="240" w:after="0"/>
        <w:jc w:val="left"/>
        <w:rPr>
          <w:rFonts w:ascii="Times New Roman" w:hAnsi="Times New Roman"/>
          <w:sz w:val="20"/>
        </w:rPr>
      </w:pPr>
      <w:r>
        <w:rPr>
          <w:rFonts w:ascii="Times New Roman" w:hAnsi="Times New Roman"/>
          <w:sz w:val="20"/>
          <w:u w:val="single"/>
        </w:rPr>
        <w:t>SECTION 9.10 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sz w:val="20"/>
          <w:u w:val="single"/>
        </w:rPr>
        <w:t>SECTION 9.11 Headings</w:t>
      </w:r>
      <w:r>
        <w:rPr>
          <w:rFonts w:ascii="Times New Roman" w:hAnsi="Times New Roman"/>
          <w:sz w:val="20"/>
        </w:rPr>
        <w:t xml:space="preserve">. 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240" w:after="0"/>
        <w:jc w:val="left"/>
        <w:rPr>
          <w:rFonts w:ascii="Times New Roman" w:hAnsi="Times New Roman"/>
          <w:sz w:val="20"/>
        </w:rPr>
      </w:pPr>
      <w:r>
        <w:rPr>
          <w:rFonts w:ascii="Times New Roman" w:hAnsi="Times New Roman"/>
          <w:sz w:val="20"/>
          <w:u w:val="single"/>
        </w:rPr>
        <w:t>SECTION 9.12 Confidentiality</w:t>
      </w:r>
      <w:r>
        <w:rPr>
          <w:rFonts w:ascii="Times New Roman" w:hAnsi="Times New Roman"/>
          <w:sz w:val="20"/>
        </w:rPr>
        <w:t xml:space="preserve">. Each of the Lender Parties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Requirement of Laws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Representative, (h) any financing sources, (i) 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agencies or (j) to the extent such Information (i) becomes publicly available other than as a result of a breach of this Section or (ii) becomes available to any Lender Party on a non-confidential basis from a source other than the Borrowers unless such Lender Party knows that such information was obtained in violation of any confidentiality agreement or arrangement. For the avoidance of doubt, nothing herein prohibits any individual from voluntarily communicating or disclosing information regarding suspected violations of laws, rules, or regulations to a governmental, regulatory, or self-regulatory authority without any notification to any person. For the purposes of this Section, “</w:t>
      </w:r>
      <w:r>
        <w:rPr>
          <w:rFonts w:ascii="Times New Roman" w:hAnsi="Times New Roman"/>
          <w:sz w:val="20"/>
          <w:u w:val="single"/>
        </w:rPr>
        <w:t>Information</w:t>
      </w:r>
      <w:r>
        <w:rPr>
          <w:rFonts w:ascii="Times New Roman" w:hAnsi="Times New Roman"/>
          <w:sz w:val="20"/>
        </w:rPr>
        <w:t xml:space="preserve">” means all information received from the Borrowers relating to the Borrowers or their business, other than any such information that is available to any Lender Party on a non-confidential basis prior to disclosure by the Borrowers and other than information pertaining to this Agreement routinely provided by arrangers to data service providers, including league table providers, that serve the lending industry; </w:t>
      </w:r>
      <w:r>
        <w:rPr>
          <w:rFonts w:ascii="Times New Roman" w:hAnsi="Times New Roman"/>
          <w:sz w:val="20"/>
          <w:u w:val="single"/>
        </w:rPr>
        <w:t>provided</w:t>
      </w:r>
      <w:r>
        <w:rPr>
          <w:rFonts w:ascii="Times New Roman" w:hAnsi="Times New Roman"/>
          <w:sz w:val="20"/>
        </w:rPr>
        <w:t xml:space="preserve"> that, in the case of information received from the Borrowers after the Fourth Restatement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EACH LENDER ACKNOWLEDGES THAT INFORMATION AS DEFINED IN SECTION 9.12 FURNISHED TO IT PURSUANT TO THIS AGREEMENT MAY INCLUDE MATERIAL NON-PUBLIC INFORMATION CONCERNING HOLDINGS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240" w:after="0"/>
        <w:jc w:val="left"/>
        <w:rPr>
          <w:rFonts w:ascii="Times New Roman" w:hAnsi="Times New Roman"/>
          <w:b/>
          <w:sz w:val="20"/>
        </w:rPr>
      </w:pPr>
      <w:r>
        <w:rPr>
          <w:rFonts w:ascii="Times New Roman" w:hAnsi="Times New Roman"/>
          <w:b/>
          <w:sz w:val="20"/>
        </w:rPr>
        <w:t xml:space="preserve">ALL INFORMATION, INCLUDING REQUESTS FOR WAIVERS AND AMENDMENTS, FURNISHED BY THE BORROWERS OR THE ADMINISTRATIVE AGENT PURSUANT TO, OR IN THE COURSE OF ADMINISTERING, THIS AGREEMENT WILL BE SYNDICATE-LEVEL INFORMATION, WHICH MAY CONTAIN MATERIAL NON-PUBLIC INFORMATION ABOUT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sz w:val="20"/>
          <w:u w:val="single"/>
        </w:rPr>
        <w:t>SECTION 9.13 Several Obligations; Nonreliance; Violation of Law</w:t>
      </w:r>
      <w:r>
        <w:rPr>
          <w:rFonts w:ascii="Times New Roman" w:hAnsi="Times New Roman"/>
          <w:sz w:val="20"/>
        </w:rPr>
        <w:t xml:space="preserve">.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for the repayment of the Borrowings provided for herein. Anything contained in this Agreement to the contrary notwithstanding, neither any Issuing Bank nor any Lender shall be obligated to extend credit to the Borrowers in violation of any Requirement of Law. </w:t>
      </w:r>
    </w:p>
    <w:p>
      <w:pPr>
        <w:pStyle w:val="TextBody"/>
        <w:bidi w:val="0"/>
        <w:spacing w:before="240" w:after="0"/>
        <w:jc w:val="left"/>
        <w:rPr>
          <w:rFonts w:ascii="Times New Roman" w:hAnsi="Times New Roman"/>
          <w:sz w:val="20"/>
        </w:rPr>
      </w:pPr>
      <w:r>
        <w:rPr>
          <w:rFonts w:ascii="Times New Roman" w:hAnsi="Times New Roman"/>
          <w:sz w:val="20"/>
          <w:u w:val="single"/>
        </w:rPr>
        <w:t>SECTION 9.14 USA PATRIOT Act; Beneficial Ownership Regulation</w:t>
      </w:r>
      <w:r>
        <w:rPr>
          <w:rFonts w:ascii="Times New Roman" w:hAnsi="Times New Roman"/>
          <w:sz w:val="20"/>
        </w:rPr>
        <w:t>. Each Lender that is subject to the requirements of the USA PATRIOT Act (Title III of Pub. L. 107-56 (signed into law October 26, 2001)) (the “</w:t>
      </w:r>
      <w:r>
        <w:rPr>
          <w:rFonts w:ascii="Times New Roman" w:hAnsi="Times New Roman"/>
          <w:sz w:val="20"/>
          <w:u w:val="single"/>
        </w:rPr>
        <w:t>USA PATRIOT Act</w:t>
      </w:r>
      <w:r>
        <w:rPr>
          <w:rFonts w:ascii="Times New Roman" w:hAnsi="Times New Roman"/>
          <w:sz w:val="20"/>
        </w:rPr>
        <w:t xml:space="preserve">”) hereby notifies Holdings and the Borrowers that pursuant to the requirements of the USA PATRIOT Act, it is required to obtain, verify and record information that identifies Holdings, the Borrowers and the other Loan Parties, which information includes the names and addresses of Holdings, the Borrowers and the other Loan Parties and other information that will allow such Lender to identify Holdings, the Borrowers and the other Loan Parties in accordance with the USA PATRIOT Act and the Beneficial Ownership Regulation. </w:t>
      </w:r>
    </w:p>
    <w:p>
      <w:pPr>
        <w:pStyle w:val="TextBody"/>
        <w:bidi w:val="0"/>
        <w:spacing w:before="240" w:after="0"/>
        <w:jc w:val="left"/>
        <w:rPr>
          <w:rFonts w:ascii="Times New Roman" w:hAnsi="Times New Roman"/>
          <w:sz w:val="20"/>
        </w:rPr>
      </w:pPr>
      <w:r>
        <w:rPr>
          <w:rFonts w:ascii="Times New Roman" w:hAnsi="Times New Roman"/>
          <w:sz w:val="20"/>
          <w:u w:val="single"/>
        </w:rPr>
        <w:t>SECTION 9.15 Disclosure</w:t>
      </w:r>
      <w:r>
        <w:rPr>
          <w:rFonts w:ascii="Times New Roman" w:hAnsi="Times New Roman"/>
          <w:sz w:val="20"/>
        </w:rPr>
        <w:t xml:space="preserve">. Each Loan Party and each Lender hereby acknowledges and agrees that the Administrative Agent and/or its Affiliates from time to time may hold investments in, make other loans to or have other relationships with any of the Loan Parties and their respective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9.16 Appointment for Perfection</w:t>
      </w:r>
      <w:r>
        <w:rPr>
          <w:rFonts w:ascii="Times New Roman" w:hAnsi="Times New Roman"/>
          <w:sz w:val="20"/>
        </w:rPr>
        <w:t xml:space="preserve">. Each Lender Party hereby appoints each other Lender Party as its agent for the purpose of perfecting Liens, for the benefit of the Lender Parties or the Canadian Lender Parties, as the case may be, in assets which, in accordance with Article 9 of the UCC, the PPSA, the </w:t>
      </w:r>
      <w:r>
        <w:rPr>
          <w:rFonts w:ascii="Times New Roman" w:hAnsi="Times New Roman"/>
          <w:i/>
          <w:sz w:val="20"/>
        </w:rPr>
        <w:t>Securities Transfer Act</w:t>
      </w:r>
      <w:r>
        <w:rPr>
          <w:rFonts w:ascii="Times New Roman" w:hAnsi="Times New Roman"/>
          <w:sz w:val="20"/>
        </w:rPr>
        <w:t xml:space="preserve"> (Ontario) or any other applicable law can be perfected only by possession. Should any Lender Party (other than the Administrative Agent) obtain possession of any such Collateral, such Lender Party shall notify the Administrative Agent thereof, and, promptly upon the Administrative Agent’s request therefor shall deliver such Collateral to the Administrative Agent or otherwise deal with such Collateral in accordance with the Administrative Agent’s instructions. </w:t>
      </w:r>
    </w:p>
    <w:p>
      <w:pPr>
        <w:pStyle w:val="TextBody"/>
        <w:bidi w:val="0"/>
        <w:spacing w:before="240" w:after="0"/>
        <w:jc w:val="left"/>
        <w:rPr>
          <w:rFonts w:ascii="Times New Roman" w:hAnsi="Times New Roman"/>
          <w:sz w:val="20"/>
        </w:rPr>
      </w:pPr>
      <w:r>
        <w:rPr>
          <w:rFonts w:ascii="Times New Roman" w:hAnsi="Times New Roman"/>
          <w:sz w:val="20"/>
          <w:u w:val="single"/>
        </w:rPr>
        <w:t>SECTION 9.17 Interest Rate Limitation</w:t>
      </w:r>
      <w:r>
        <w:rPr>
          <w:rFonts w:ascii="Times New Roman" w:hAnsi="Times New Roman"/>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hAnsi="Times New Roman"/>
          <w:sz w:val="20"/>
          <w:u w:val="single"/>
        </w:rPr>
        <w:t>Charges</w:t>
      </w:r>
      <w:r>
        <w:rPr>
          <w:rFonts w:ascii="Times New Roman" w:hAnsi="Times New Roman"/>
          <w:sz w:val="20"/>
        </w:rPr>
        <w:t>”), shall exceed the maximum lawful rate (the “</w:t>
      </w:r>
      <w:r>
        <w:rPr>
          <w:rFonts w:ascii="Times New Roman" w:hAnsi="Times New Roman"/>
          <w:sz w:val="20"/>
          <w:u w:val="single"/>
        </w:rPr>
        <w:t>Maximum Rate</w:t>
      </w:r>
      <w:r>
        <w:rPr>
          <w:rFonts w:ascii="Times New Roman" w:hAnsi="Times New Roman"/>
          <w:sz w:val="20"/>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(in the case of dollar denominated amounts) or the Canadian Overnight Rate (in the case of Canadian Dollar denominated amounts) to the date of repayment, shall have been received by such Lender. </w:t>
      </w:r>
    </w:p>
    <w:p>
      <w:pPr>
        <w:pStyle w:val="TextBody"/>
        <w:bidi w:val="0"/>
        <w:spacing w:before="240" w:after="0"/>
        <w:jc w:val="left"/>
        <w:rPr>
          <w:rFonts w:ascii="Times New Roman" w:hAnsi="Times New Roman"/>
          <w:sz w:val="20"/>
        </w:rPr>
      </w:pPr>
      <w:r>
        <w:rPr>
          <w:rFonts w:ascii="Times New Roman" w:hAnsi="Times New Roman"/>
          <w:sz w:val="20"/>
          <w:u w:val="single"/>
        </w:rPr>
        <w:t>SECTION 9.18 Judgment Currency Conversion</w:t>
      </w:r>
      <w:r>
        <w:rPr>
          <w:rFonts w:ascii="Times New Roman" w:hAnsi="Times New Roman"/>
          <w:sz w:val="20"/>
        </w:rPr>
        <w:t>. (a) The obligations of the Loan Parties hereunder and under the other Loan Documents to make payments in dollars or in Canadian Dollars, as the case may be (the “</w:t>
      </w:r>
      <w:r>
        <w:rPr>
          <w:rFonts w:ascii="Times New Roman" w:hAnsi="Times New Roman"/>
          <w:sz w:val="20"/>
          <w:u w:val="single"/>
        </w:rPr>
        <w:t>Obligation Currency</w:t>
      </w:r>
      <w:r>
        <w:rPr>
          <w:rFonts w:ascii="Times New Roman" w:hAnsi="Times New Roman"/>
          <w:sz w:val="20"/>
        </w:rPr>
        <w:t>”), shall not be discharged or satisfied by any tender or recovery pursuant to any judgment expressed in or converted into any currency other than the Obligation Currency, except to the extent that such tender or recovery results in the effective receipt by the applicable Loan Party of the full amount of the Obligation Currency expressed to be payable to the applicable Loan Party under this Agreement or the other Loan Documents. If, for the purpose of obtaining or enforcing judgment against any Loan Party in any court or in any jurisdiction, it becomes necessary to convert into or from any currency other than the Obligation Currency (such other currency being hereinafter referred to as the “</w:t>
      </w:r>
      <w:r>
        <w:rPr>
          <w:rFonts w:ascii="Times New Roman" w:hAnsi="Times New Roman"/>
          <w:sz w:val="20"/>
          <w:u w:val="single"/>
        </w:rPr>
        <w:t>Judgment Currency</w:t>
      </w:r>
      <w:r>
        <w:rPr>
          <w:rFonts w:ascii="Times New Roman" w:hAnsi="Times New Roman"/>
          <w:sz w:val="20"/>
        </w:rPr>
        <w:t>”) an amount due in the Obligation Currency, the conversion shall be made, at the Administrative Agent’s quoted rate of exchange prevailing, in each case, as of the date immediately preceding the day on which the judgment is given (such Business Day being hereinafter referred to as the “</w:t>
      </w:r>
      <w:r>
        <w:rPr>
          <w:rFonts w:ascii="Times New Roman" w:hAnsi="Times New Roman"/>
          <w:sz w:val="20"/>
          <w:u w:val="single"/>
        </w:rPr>
        <w:t>Judgment Currency Conversion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there is a change in the rate of exchange prevailing between the Judgment Currency Conversion Date and the date of actual payment of the amount due, the Loan Parties each covenant and agree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of exchange prevailing on the Judgment Currency Conversion Date. Any amount due from a Loan Party under this Section 9.18 shall be due as a separate debt and shall not be affected by judgment being obtained for any other amounts due under or in respect of any of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determining the prevailing rate of exchange, such amounts shall include any premium and costs payable in connection with the purchase of the Obligation Currency. </w:t>
      </w:r>
    </w:p>
    <w:p>
      <w:pPr>
        <w:pStyle w:val="TextBody"/>
        <w:bidi w:val="0"/>
        <w:spacing w:before="240" w:after="0"/>
        <w:jc w:val="left"/>
        <w:rPr>
          <w:rFonts w:ascii="Times New Roman" w:hAnsi="Times New Roman"/>
          <w:sz w:val="20"/>
        </w:rPr>
      </w:pPr>
      <w:r>
        <w:rPr>
          <w:rFonts w:ascii="Times New Roman" w:hAnsi="Times New Roman"/>
          <w:sz w:val="20"/>
          <w:u w:val="single"/>
        </w:rPr>
        <w:t>SECTION 9.19 Canadian Anti-Money Laundering Legislation</w:t>
      </w:r>
      <w:r>
        <w:rPr>
          <w:rFonts w:ascii="Times New Roman" w:hAnsi="Times New Roman"/>
          <w:sz w:val="20"/>
        </w:rPr>
        <w:t>. (a) Each Borrower acknowledges that, pursuant to the Proceeds of Crime Act and other applicable anti-money laundering, anti-terrorist financing, government sanction and “know your client” laws (collectively, including any guidelines or orders thereunder, “</w:t>
      </w:r>
      <w:r>
        <w:rPr>
          <w:rFonts w:ascii="Times New Roman" w:hAnsi="Times New Roman"/>
          <w:sz w:val="20"/>
          <w:u w:val="single"/>
        </w:rPr>
        <w:t>AML Legislation</w:t>
      </w:r>
      <w:r>
        <w:rPr>
          <w:rFonts w:ascii="Times New Roman" w:hAnsi="Times New Roman"/>
          <w:sz w:val="20"/>
        </w:rPr>
        <w:t xml:space="preserve">”), the Lender Parties may be required to obtain, verify and record information regarding the Borrowers and their respective directors, authorized signing officers, direct or indirect shareholders or other Persons in control of the Borrowers, and the transactions contemplated hereby. Each Borrower shall promptly provide all such information, including supporting documentation and other evidence, as may be reasonably requested by any Lender Party or any prospective assignee or Participant of a Lender, any Issuing Bank or the Administrative Agent, in order to comply with any applicable AML Legislation, whether now or hereafter in existence.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Administrative Agent has ascertained the identity of any Borrower or any authorized signatories of the Borrower for the purposes of applicable AML Legislation, then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(i) shall be deemed to have done so as an agent for each Lender Party, and this Agreement shall constitute a “written agreement” in such regard between each Lender Party and the Administrative Agent within the meaning of the applicable AML Legislation; and </w:t>
      </w:r>
    </w:p>
    <w:p>
      <w:pPr>
        <w:pStyle w:val="TextBody"/>
        <w:bidi w:val="0"/>
        <w:spacing w:before="120" w:after="0"/>
        <w:jc w:val="left"/>
        <w:rPr>
          <w:rFonts w:ascii="Times New Roman" w:hAnsi="Times New Roman"/>
          <w:sz w:val="20"/>
        </w:rPr>
      </w:pPr>
      <w:r>
        <w:rPr>
          <w:rFonts w:ascii="Times New Roman" w:hAnsi="Times New Roman"/>
          <w:sz w:val="20"/>
        </w:rPr>
        <w:t xml:space="preserve">(ii) shall provide to each Lender Party copies of all information obtained in such regard without any representation or warranty as to its accuracy or completeness.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sentence and except as may otherwise be agreed in writing, each of the Lender Parties agrees that the Administrative Agent has no obligation to ascertain the identity of the Borrowers or any authorized signatories of the Borrowers on behalf of any Lender Party, or to confirm the completeness or accuracy of any information it obtains from any Borrower or any such authorized signatory in doing so. </w:t>
      </w:r>
    </w:p>
    <w:p>
      <w:pPr>
        <w:pStyle w:val="TextBody"/>
        <w:bidi w:val="0"/>
        <w:spacing w:before="240" w:after="0"/>
        <w:jc w:val="left"/>
        <w:rPr>
          <w:rFonts w:ascii="Times New Roman" w:hAnsi="Times New Roman"/>
          <w:sz w:val="20"/>
        </w:rPr>
      </w:pPr>
      <w:r>
        <w:rPr>
          <w:rFonts w:ascii="Times New Roman" w:hAnsi="Times New Roman"/>
          <w:sz w:val="20"/>
          <w:u w:val="single"/>
        </w:rPr>
        <w:t>SECTION 9.20 Lender Loss Sharing Agreement</w:t>
      </w:r>
      <w:r>
        <w:rPr>
          <w:rFonts w:ascii="Times New Roman" w:hAnsi="Times New Roman"/>
          <w:sz w:val="20"/>
        </w:rPr>
        <w:t xml:space="preserve">. (a) Definitions. As used in this Section 9.20,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CAM</w:t>
      </w:r>
      <w:r>
        <w:rPr>
          <w:rFonts w:ascii="Times New Roman" w:hAnsi="Times New Roman"/>
          <w:sz w:val="20"/>
        </w:rPr>
        <w:t xml:space="preserve">” means the mechanism for the allocation and exchange of interests in the Loans, participations in Letters of Credit and collections thereunder established under Section 9.20(b).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CAM Exchange</w:t>
      </w:r>
      <w:r>
        <w:rPr>
          <w:rFonts w:ascii="Times New Roman" w:hAnsi="Times New Roman"/>
          <w:sz w:val="20"/>
        </w:rPr>
        <w:t xml:space="preserve">” means the exchange of the U.S. Lenders’ interests and the Canadian Lenders’ interests provided for in Section 9.20(b).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CAM Exchange Date</w:t>
      </w:r>
      <w:r>
        <w:rPr>
          <w:rFonts w:ascii="Times New Roman" w:hAnsi="Times New Roman"/>
          <w:sz w:val="20"/>
        </w:rPr>
        <w:t xml:space="preserve">” means the first date after the Fourth Restatement Date on which there shall occur (a) any event described in paragraphs (i), (j) or (k) of Article VII with respect to any Borrower, or (b) an acceleration of Loans and termination of the Revolving Commitments pursuant to Article VII.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CAM Percentage</w:t>
      </w:r>
      <w:r>
        <w:rPr>
          <w:rFonts w:ascii="Times New Roman" w:hAnsi="Times New Roman"/>
          <w:sz w:val="20"/>
        </w:rPr>
        <w:t xml:space="preserve">” means as to each Lender, a fraction, (a) the numerator of which shall be the aggregate amount of such Lender’s Revolving Commitments immediately prior to the CAM Exchange Date and the termination of the Revolving Commitments, and (b) the denominator of which shall be the amount of the Revolving Commitments of all the Lenders immediately prior to the CAM Exchange Date and the termination of the Revolving Commitments.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Designated Obligations</w:t>
      </w:r>
      <w:r>
        <w:rPr>
          <w:rFonts w:ascii="Times New Roman" w:hAnsi="Times New Roman"/>
          <w:sz w:val="20"/>
        </w:rPr>
        <w:t xml:space="preserve">” means all Obligations of the Borrowers with respect to (a) principal and interest under the Loans, (b) unreimbursed drawings under Letters of Credit and interest thereon and (c) fees under Section 2.12.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Revolver Facility</w:t>
      </w:r>
      <w:r>
        <w:rPr>
          <w:rFonts w:ascii="Times New Roman" w:hAnsi="Times New Roman"/>
          <w:sz w:val="20"/>
        </w:rPr>
        <w:t xml:space="preserve">” means the facility established under the U.S. Commitments and the Canadian Commitments. </w:t>
      </w:r>
    </w:p>
    <w:p>
      <w:pPr>
        <w:pStyle w:val="TextBody"/>
        <w:bidi w:val="0"/>
        <w:spacing w:before="120" w:after="0"/>
        <w:jc w:val="left"/>
        <w:rPr>
          <w:rFonts w:ascii="Times New Roman" w:hAnsi="Times New Roman"/>
          <w:sz w:val="20"/>
        </w:rPr>
      </w:pPr>
      <w:r>
        <w:rPr>
          <w:rFonts w:ascii="Times New Roman" w:hAnsi="Times New Roman"/>
          <w:sz w:val="20"/>
        </w:rPr>
        <w:t xml:space="preserve">(b) CAM Exchange. </w:t>
      </w:r>
    </w:p>
    <w:p>
      <w:pPr>
        <w:pStyle w:val="TextBody"/>
        <w:bidi w:val="0"/>
        <w:spacing w:before="120" w:after="0"/>
        <w:jc w:val="left"/>
        <w:rPr>
          <w:rFonts w:ascii="Times New Roman" w:hAnsi="Times New Roman"/>
          <w:sz w:val="20"/>
        </w:rPr>
      </w:pPr>
      <w:r>
        <w:rPr>
          <w:rFonts w:ascii="Times New Roman" w:hAnsi="Times New Roman"/>
          <w:sz w:val="20"/>
        </w:rPr>
        <w:t xml:space="preserve">(i) On the CAM Exchange Date, </w:t>
      </w:r>
    </w:p>
    <w:p>
      <w:pPr>
        <w:pStyle w:val="TextBody"/>
        <w:bidi w:val="0"/>
        <w:spacing w:before="120" w:after="0"/>
        <w:jc w:val="left"/>
        <w:rPr>
          <w:rFonts w:ascii="Times New Roman" w:hAnsi="Times New Roman"/>
          <w:sz w:val="20"/>
        </w:rPr>
      </w:pPr>
      <w:r>
        <w:rPr>
          <w:rFonts w:ascii="Times New Roman" w:hAnsi="Times New Roman"/>
          <w:sz w:val="20"/>
        </w:rPr>
        <w:t xml:space="preserve">(A) the U.S. Commitments and the Canadian Commitments shall have terminated in accordance with Article VII; </w:t>
      </w:r>
    </w:p>
    <w:p>
      <w:pPr>
        <w:pStyle w:val="TextBody"/>
        <w:bidi w:val="0"/>
        <w:spacing w:before="120" w:after="0"/>
        <w:jc w:val="left"/>
        <w:rPr>
          <w:rFonts w:ascii="Times New Roman" w:hAnsi="Times New Roman"/>
          <w:sz w:val="20"/>
        </w:rPr>
      </w:pPr>
      <w:r>
        <w:rPr>
          <w:rFonts w:ascii="Times New Roman" w:hAnsi="Times New Roman"/>
          <w:sz w:val="20"/>
        </w:rPr>
        <w:t xml:space="preserve">(B) each U.S. Lender shall fund its participation in any outstanding Swingline Loans and Protective Advances in accordance with Section 2.04 and Section 2.05 of this Agreement, and each Canadian Lender shall fund its participation in any outstanding Swingline Loans and Protective Advances in accordance with Section 2.04 and Section 2.05;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U.S. Lender shall fund its participation in any unreimbursed LC Disbursements made under the U.S. Letters of Credit in accordance with Section 2.06(e), and each Canadian Lender shall fund its participation in any unreimbursed LC Disbursements made under the Canadian Letters of Credit in accordance with Section 2.06(e); and </w:t>
      </w:r>
    </w:p>
    <w:p>
      <w:pPr>
        <w:pStyle w:val="TextBody"/>
        <w:bidi w:val="0"/>
        <w:spacing w:before="120" w:after="0"/>
        <w:jc w:val="left"/>
        <w:rPr>
          <w:rFonts w:ascii="Times New Roman" w:hAnsi="Times New Roman"/>
          <w:sz w:val="20"/>
        </w:rPr>
      </w:pPr>
      <w:r>
        <w:rPr>
          <w:rFonts w:ascii="Times New Roman" w:hAnsi="Times New Roman"/>
          <w:sz w:val="20"/>
        </w:rPr>
        <w:t xml:space="preserve">(D) the Lenders shall purchase in dollars at par interests in the Designated Obligations under each Revolver Facility (and shall make payments in dollars to the Administrative Agent for reallocation to other Lenders to the extent necessary to give effect to such purchases) and shall assume the obligations to reimburse Issuing Banks for unreimbursed LC Disbursements under outstanding Letters of Credit under such Revolver Facility such that, in lieu of the interests of each Lender in the Designated Obligations under the U.S. Commitments and the Canadian Commitments in which it shall have participated immediately prior to the CAM Exchange Date, such Lender shall own an interest equal to such Lender’s CAM Percentage in each component of the Designated Obligations immediately following the CAM Exchange. </w:t>
      </w:r>
    </w:p>
    <w:p>
      <w:pPr>
        <w:pStyle w:val="TextBody"/>
        <w:bidi w:val="0"/>
        <w:spacing w:before="120" w:after="0"/>
        <w:jc w:val="left"/>
        <w:rPr>
          <w:rFonts w:ascii="Times New Roman" w:hAnsi="Times New Roman"/>
          <w:sz w:val="20"/>
        </w:rPr>
      </w:pPr>
      <w:r>
        <w:rPr>
          <w:rFonts w:ascii="Times New Roman" w:hAnsi="Times New Roman"/>
          <w:sz w:val="20"/>
        </w:rPr>
        <w:t xml:space="preserve">(ii) Each Lender and each Person acquiring a participation from any Lender as contemplated by this Section 9.20 hereby consents and agrees to the CAM Exchange. Each Borrower agrees from time to time to execute and deliver to the Lenders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under this Agreement to the Administrative Agent against delivery of any promissory notes so executed and delivered; </w:t>
      </w:r>
      <w:r>
        <w:rPr>
          <w:rFonts w:ascii="Times New Roman" w:hAnsi="Times New Roman"/>
          <w:sz w:val="20"/>
          <w:u w:val="single"/>
        </w:rPr>
        <w:t>provided</w:t>
      </w:r>
      <w:r>
        <w:rPr>
          <w:rFonts w:ascii="Times New Roman" w:hAnsi="Times New Roman"/>
          <w:sz w:val="20"/>
        </w:rPr>
        <w:t xml:space="preserve"> that the failure of any Lender to deliver or accept any such promissory note, instrument or document shall not affect the validity or effectiveness of the CAM Exchange. </w:t>
      </w:r>
    </w:p>
    <w:p>
      <w:pPr>
        <w:pStyle w:val="TextBody"/>
        <w:bidi w:val="0"/>
        <w:spacing w:before="120" w:after="0"/>
        <w:jc w:val="left"/>
        <w:rPr>
          <w:rFonts w:ascii="Times New Roman" w:hAnsi="Times New Roman"/>
          <w:sz w:val="20"/>
        </w:rPr>
      </w:pPr>
      <w:r>
        <w:rPr>
          <w:rFonts w:ascii="Times New Roman" w:hAnsi="Times New Roman"/>
          <w:sz w:val="20"/>
        </w:rPr>
        <w:t xml:space="preserve">(iii) As a result of the CAM Exchange, from and after the CAM Exchange Date, each payment received by the Administrative Agent pursuant to any Loan Document in respect of any of the Designated Obligations shall be distributed to the Lenders, pro rata in accordance with their respective CAM Percentages. </w:t>
      </w:r>
    </w:p>
    <w:p>
      <w:pPr>
        <w:pStyle w:val="TextBody"/>
        <w:bidi w:val="0"/>
        <w:spacing w:before="120" w:after="0"/>
        <w:jc w:val="left"/>
        <w:rPr>
          <w:rFonts w:ascii="Times New Roman" w:hAnsi="Times New Roman"/>
          <w:sz w:val="20"/>
        </w:rPr>
      </w:pPr>
      <w:r>
        <w:rPr>
          <w:rFonts w:ascii="Times New Roman" w:hAnsi="Times New Roman"/>
          <w:sz w:val="20"/>
        </w:rPr>
        <w:t xml:space="preserve">(iv) In the event that on or after the CAM Exchange Date, the aggregate amount of the Designated Obligations shall change as a result of the making of a disbursement under a Letter of Credit by an Issuing Bank that is not reimbursed by the U.S. Borrowers or the Canadian Borrowers, if applicable, then each Lender shall promptly reimburse such Issuing Bank in dollars for the Dollar Amount of its CAM Percentage of such unreimbursed payment.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Section 9.20, each Lender Party agrees that if any Lender Party is required under applicable law to withhold or deduct any taxes or other amounts from payments made by it hereunder or as a result hereof, such Person shall be entitled to withhold or deduct such amounts and pay over such taxes or other amounts to the applicable Governmental Authority imposing such tax without any obligation to indemnify any Lender Party with respect to such amounts and without any other obligation of gross up or offset with respect thereto and there shall be no recourse whatsoever by any Lender Party subject to such withholding to any other Lender Party making such withholding and paying over such amounts, but without diminution of the rights of such Lender Party subject to such withholding as against Borrowers and the other Loan Parties to the extent (if any) provided in this Agreement and the other Loan Documents. Any amounts so withheld or deducted shall be treated as, for the purpose of this Section 9.20, having been paid to such Lender Party to which such withholding or deduction was made. </w:t>
      </w:r>
    </w:p>
    <w:p>
      <w:pPr>
        <w:pStyle w:val="TextBody"/>
        <w:bidi w:val="0"/>
        <w:spacing w:before="240" w:after="0"/>
        <w:jc w:val="left"/>
        <w:rPr>
          <w:rFonts w:ascii="Times New Roman" w:hAnsi="Times New Roman"/>
          <w:sz w:val="20"/>
        </w:rPr>
      </w:pPr>
      <w:r>
        <w:rPr>
          <w:rFonts w:ascii="Times New Roman" w:hAnsi="Times New Roman"/>
          <w:sz w:val="20"/>
          <w:u w:val="single"/>
        </w:rPr>
        <w:t>SECTION 9.21 Restatement</w:t>
      </w:r>
      <w:r>
        <w:rPr>
          <w:rFonts w:ascii="Times New Roman" w:hAnsi="Times New Roman"/>
          <w:sz w:val="20"/>
        </w:rPr>
        <w:t xml:space="preserve">. (a) As of the Fourth Restatement Date, the terms, conditions, agreements, covenants, representations and warranties set forth in the Existing Credit Agreement are hereby amended, restated, replaced and superseded in their entirety by this Agreement, </w:t>
      </w:r>
      <w:r>
        <w:rPr>
          <w:rFonts w:ascii="Times New Roman" w:hAnsi="Times New Roman"/>
          <w:sz w:val="20"/>
          <w:u w:val="single"/>
        </w:rPr>
        <w:t>provided</w:t>
      </w:r>
      <w:r>
        <w:rPr>
          <w:rFonts w:ascii="Times New Roman" w:hAnsi="Times New Roman"/>
          <w:sz w:val="20"/>
        </w:rPr>
        <w:t xml:space="preserve"> that (a) nothing herein shall impair or adversely affect the continuation of the liability and obligations of the Loan Parties under the Existing Credit Agreement, as amended hereby, (b) nothing herein shall be construed to constitute payment of, or impair, limit, cancel or extinguish, or constitute a novation in respect of, the Indebtedness and other obligations and liabilities of the Loan Parties evidenced by or arising under the Existing Credit Agreement or the other Existing Loan Documents, as amended hereby, and (c) nothing herein shall be construed to impair, limit, terminate, release or adversely affect the liens and security interests in favor of the Administrative Agent securing such Indebtedness and other obligations and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Loan Party and each Lender Party that is a party to the Existing Credit Agreement immediately prior to the Fourth Restatement Date hereby: (i) acknowledges and agrees that such Person has received and fully reviewed the Agency Transfer Agreement; (ii) consents to the execution and delivery by each of JPMorgan Chase Bank, N.A. and JPMorgan Chase Bank, N.A., Toronto Branch in their respective capacities as Existing Administrative Agents, of the Agency Transfer Agreement, the resignation by each of Existing Administrative Agents from their respective roles as U.S. administrative agent and Canadian administrative agent under the Existing Credit Agreement, and the appointment of Barclays Bank PLC as Administrative Agent under this Agreement; (iii) waives all notice requirements under the Existing Credit Agreement with respect to the resignation of the Existing Administrative Agents and the appointment of the Administrative Agent; (iv) agrees to all of the terms and provisions of the Agency Transfer Agreement; and (v) agrees that from and after the Fourth Restatement Date, neither of the Existing Administrative Agents shall have any duties, responsibilities, obligations or other liabilities to any Lender Party in respect of any agency role under this Agreement or any duties, responsibilities, obligations or other liabilities to any Loan Party or Lender Party under the Existing Credit Agreement, except as otherwise set forth in the Agency Transfer Agreement. Each of the Existing Administrative Agents shall be entitled to rely upon the agreements of the Loan Parties and the Lender Parties set forth in this Section 9.21(b). </w:t>
      </w:r>
    </w:p>
    <w:p>
      <w:pPr>
        <w:pStyle w:val="TextBody"/>
        <w:bidi w:val="0"/>
        <w:spacing w:before="240" w:after="0"/>
        <w:jc w:val="left"/>
        <w:rPr>
          <w:rFonts w:ascii="Times New Roman" w:hAnsi="Times New Roman"/>
          <w:sz w:val="20"/>
        </w:rPr>
      </w:pPr>
      <w:r>
        <w:rPr>
          <w:rFonts w:ascii="Times New Roman" w:hAnsi="Times New Roman"/>
          <w:sz w:val="20"/>
          <w:u w:val="single"/>
        </w:rPr>
        <w:t>SECTION 9.22 Permitted Term Debt Intercreditor Agreement</w:t>
      </w:r>
      <w:r>
        <w:rPr>
          <w:rFonts w:ascii="Times New Roman" w:hAnsi="Times New Roman"/>
          <w:sz w:val="20"/>
        </w:rPr>
        <w:t xml:space="preserve">. Notwithstanding anything to the contrary contained herein, each Lender acknowledges that from and after the date of incurrence of any Permitted Term Debt, the Liens and security interest granted to the Administrative Agent pursuant to the Collateral Documents and the exercise of any right or remedy by such Administrative Agent thereunder are subject to the provisions of the applicable Permitted Term Debt Intercreditor Agreement. In the event of any conflict between the terms of the applicable Permitted Term Debt Intercreditor Agreement and the Collateral Documents, the terms of such Permitted Term Debt Intercreditor Agreement shall govern and control. </w:t>
      </w:r>
    </w:p>
    <w:p>
      <w:pPr>
        <w:pStyle w:val="TextBody"/>
        <w:bidi w:val="0"/>
        <w:spacing w:before="240" w:after="0"/>
        <w:jc w:val="left"/>
        <w:rPr>
          <w:rFonts w:ascii="Times New Roman" w:hAnsi="Times New Roman"/>
          <w:sz w:val="20"/>
        </w:rPr>
      </w:pPr>
      <w:r>
        <w:rPr>
          <w:rFonts w:ascii="Times New Roman" w:hAnsi="Times New Roman"/>
          <w:sz w:val="20"/>
          <w:u w:val="single"/>
        </w:rPr>
        <w:t>SECTION 9.23 No Advisory or Fiduciary Responsibility</w:t>
      </w:r>
      <w:r>
        <w:rPr>
          <w:rFonts w:ascii="Times New Roman" w:hAnsi="Times New Roman"/>
          <w:sz w:val="20"/>
        </w:rPr>
        <w:t xml:space="preserve">. In connection with all aspects of each transaction contemplated by this Agreement, the Loan Parties acknowledge and agree that (a)(i) this credit facility and any related arranging or other services by the Administrative Agent, the Bookrunners, the Lead Arrangers, the Lenders or any of their respective Affiliates are arm’s-length commercial transactions between the Loan Parties and such Person or Persons; (ii) the Loan Parties have consulted their own legal, accounting, regulatory and tax advisors to the extent they have deemed appropriate; and (iii) the Loan Parties are capable of evaluating, and understand and accept, the terms, risks and conditions of the transactions contemplated by this Agreement and the other Loan Documents; (b) each of the Administrative Agent, the Bookrunners, the Lead Arrangers, the Lenders and their respective Affiliates is and has been acting solely as a principal and, except as expressly agreed in writing by the relevant parties, has not been, is not, and will not be acting as an advisor, agent or fiduciary for the Loan Parties, any of their Affiliates or any other Person, and has no obligation with respect to the transactions contemplated by the Loan Documents except as expressly set forth herein or therein; and (c) the Administrative Agent, the Bookrunners, the Lead Arrangers, the Lenders and their respective Affiliates may be engaged in a broad range of transactions that involve interests that differ from those of the Loan Parties and their Affiliates, and have no obligation to disclose any of such interests to the Loan Parties or their Affiliates. To the fullest extent permitted by applicable law, each Loan Party hereby waives and releases any claims that it may have against the Administrative Agent, the Bookrunners, the Lead Arrangers, the Lenders and their respective Affiliates with respect to any breach of agency or fiduciary duty in connection with any transaction contemplated by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u w:val="single"/>
        </w:rPr>
        <w:t>SECTION 9.24 Certain 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any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the Plan Asset Regulations) of one or more Benefit Plans with respect to such Lender’s funding of, entrance into, participation in, administration of and performance of the Loans, the Letters of Credit or the Revolving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 </w:t>
      </w:r>
    </w:p>
    <w:p>
      <w:pPr>
        <w:pStyle w:val="TextBody"/>
        <w:bidi w:val="0"/>
        <w:spacing w:before="120" w:after="0"/>
        <w:jc w:val="left"/>
        <w:rPr>
          <w:rFonts w:ascii="Times New Roman" w:hAnsi="Times New Roman"/>
          <w:sz w:val="20"/>
        </w:rPr>
      </w:pPr>
      <w:r>
        <w:rPr>
          <w:rFonts w:ascii="Times New Roman" w:hAnsi="Times New Roman"/>
          <w:sz w:val="20"/>
        </w:rPr>
        <w:t>(iii) (A) such Lender is an investment fund managed by a “</w:t>
      </w:r>
      <w:r>
        <w:rPr>
          <w:rFonts w:ascii="Times New Roman" w:hAnsi="Times New Roman"/>
          <w:sz w:val="20"/>
          <w:u w:val="single"/>
        </w:rPr>
        <w:t>Qualified Professional Asset Manager</w:t>
      </w:r>
      <w:r>
        <w:rPr>
          <w:rFonts w:ascii="Times New Roman" w:hAnsi="Times New Roman"/>
          <w:sz w:val="20"/>
        </w:rPr>
        <w:t xml:space="preserve">”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any Borrower or any other Loan Party, that none of the Administrative Agent, any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Commitments, this Agreement and any other Loan Documents, (ii) may recognize a gain if it extended the Loans, the Letters of Credit or the Revolving Commitments for an amount less than the amount being paid for an interest in the Loans, the Letters of Credit or the Revolving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w:t>
      </w:r>
    </w:p>
    <w:p>
      <w:pPr>
        <w:pStyle w:val="TextBody"/>
        <w:bidi w:val="0"/>
        <w:spacing w:before="240" w:after="0"/>
        <w:jc w:val="left"/>
        <w:rPr>
          <w:rFonts w:ascii="Times New Roman" w:hAnsi="Times New Roman"/>
          <w:sz w:val="20"/>
        </w:rPr>
      </w:pPr>
      <w:r>
        <w:rPr>
          <w:rFonts w:ascii="Times New Roman" w:hAnsi="Times New Roman"/>
          <w:sz w:val="20"/>
          <w:u w:val="single"/>
        </w:rPr>
        <w:t>SECTION 9.25 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the Affected Financial Institution;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sz w:val="20"/>
          <w:u w:val="single"/>
        </w:rPr>
        <w:t>SECTION 9.26 Acknowledgement Regarding Any Supported QFCs</w:t>
      </w:r>
      <w:r>
        <w:rPr>
          <w:rFonts w:ascii="Times New Roman" w:hAnsi="Times New Roman"/>
          <w:sz w:val="20"/>
        </w:rPr>
        <w:t>. To the extent that the Loan Documents provide support, through a guarantee or otherwise, for Swap Agreements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12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X.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ARTICLE XI. </w:t>
      </w:r>
      <w:r>
        <w:rPr>
          <w:rFonts w:ascii="Times New Roman" w:hAnsi="Times New Roman"/>
          <w:sz w:val="20"/>
          <w:u w:val="single"/>
        </w:rPr>
        <w:t xml:space="preserve">The Borrower Representative </w:t>
      </w:r>
    </w:p>
    <w:p>
      <w:pPr>
        <w:pStyle w:val="TextBody"/>
        <w:bidi w:val="0"/>
        <w:spacing w:before="240" w:after="0"/>
        <w:jc w:val="left"/>
        <w:rPr>
          <w:rFonts w:ascii="Times New Roman" w:hAnsi="Times New Roman"/>
          <w:sz w:val="20"/>
        </w:rPr>
      </w:pPr>
      <w:r>
        <w:rPr>
          <w:rFonts w:ascii="Times New Roman" w:hAnsi="Times New Roman"/>
          <w:sz w:val="20"/>
          <w:u w:val="single"/>
        </w:rPr>
        <w:t>SECTION 11.01 Appointment; Nature of Relationship</w:t>
      </w:r>
      <w:r>
        <w:rPr>
          <w:rFonts w:ascii="Times New Roman" w:hAnsi="Times New Roman"/>
          <w:sz w:val="20"/>
        </w:rPr>
        <w:t>. WESCO Distribution, Inc., a Delaware corporation, is hereby appointed by each of the Borrowers as its contractual representative (herein referred to as the “</w:t>
      </w:r>
      <w:r>
        <w:rPr>
          <w:rFonts w:ascii="Times New Roman" w:hAnsi="Times New Roman"/>
          <w:sz w:val="20"/>
          <w:u w:val="single"/>
        </w:rPr>
        <w:t>Borrower Representative</w:t>
      </w:r>
      <w:r>
        <w:rPr>
          <w:rFonts w:ascii="Times New Roman" w:hAnsi="Times New Roman"/>
          <w:sz w:val="20"/>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 subject to the limits as between Canadian Borrowers and U.S. Borrowers contained in this Agreement. None of the Lender Parties and their respective officers, directors, agents or employees, shall be liable to the Borrower Representative or any Borrower for any action taken or omitted to be taken by the Borrower Representative or the Borrowers pursuant to this Section 11.01. </w:t>
      </w:r>
    </w:p>
    <w:p>
      <w:pPr>
        <w:pStyle w:val="TextBody"/>
        <w:bidi w:val="0"/>
        <w:spacing w:before="240" w:after="0"/>
        <w:jc w:val="left"/>
        <w:rPr>
          <w:rFonts w:ascii="Times New Roman" w:hAnsi="Times New Roman"/>
          <w:sz w:val="20"/>
        </w:rPr>
      </w:pPr>
      <w:r>
        <w:rPr>
          <w:rFonts w:ascii="Times New Roman" w:hAnsi="Times New Roman"/>
          <w:sz w:val="20"/>
          <w:u w:val="single"/>
        </w:rPr>
        <w:t>SECTION 11.02 Powers</w:t>
      </w:r>
      <w:r>
        <w:rPr>
          <w:rFonts w:ascii="Times New Roman" w:hAnsi="Times New Roman"/>
          <w:sz w:val="20"/>
        </w:rPr>
        <w:t xml:space="preserve">.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 Parties to take any action thereunder except any action specifically provided by the Loan Documents to be taken by the Borrower Representative. </w:t>
      </w:r>
    </w:p>
    <w:p>
      <w:pPr>
        <w:pStyle w:val="TextBody"/>
        <w:bidi w:val="0"/>
        <w:spacing w:before="240" w:after="0"/>
        <w:jc w:val="left"/>
        <w:rPr>
          <w:rFonts w:ascii="Times New Roman" w:hAnsi="Times New Roman"/>
          <w:sz w:val="20"/>
        </w:rPr>
      </w:pPr>
      <w:r>
        <w:rPr>
          <w:rFonts w:ascii="Times New Roman" w:hAnsi="Times New Roman"/>
          <w:sz w:val="20"/>
          <w:u w:val="single"/>
        </w:rPr>
        <w:t>SECTION 11.03 Employment of Agents</w:t>
      </w:r>
      <w:r>
        <w:rPr>
          <w:rFonts w:ascii="Times New Roman" w:hAnsi="Times New Roman"/>
          <w:sz w:val="20"/>
        </w:rPr>
        <w:t xml:space="preserve">. The Borrower Representative may execute any of its duties as the Borrower Representative hereunder and under any other Loan Document by or through authorized officers. </w:t>
      </w:r>
    </w:p>
    <w:p>
      <w:pPr>
        <w:pStyle w:val="TextBody"/>
        <w:bidi w:val="0"/>
        <w:spacing w:before="240" w:after="0"/>
        <w:jc w:val="left"/>
        <w:rPr>
          <w:rFonts w:ascii="Times New Roman" w:hAnsi="Times New Roman"/>
          <w:sz w:val="20"/>
        </w:rPr>
      </w:pPr>
      <w:r>
        <w:rPr>
          <w:rFonts w:ascii="Times New Roman" w:hAnsi="Times New Roman"/>
          <w:sz w:val="20"/>
          <w:u w:val="single"/>
        </w:rPr>
        <w:t>SECTION 11.04 Notices</w:t>
      </w:r>
      <w:r>
        <w:rPr>
          <w:rFonts w:ascii="Times New Roman" w:hAnsi="Times New Roman"/>
          <w:sz w:val="20"/>
        </w:rPr>
        <w:t xml:space="preserve">. Each Borrower shall immediately notify the Borrower Representative of the occurrence of any Default or unmatured Default hereunder referring to this Agreement describing such Default or unmatured Default and stating that such notice is a “notice of default.” In the event that the Borrower Representative receives such a notice, the Borrower Representative shall give prompt notice thereof to the Administrative Agent and the Lender Parties. Any notice provided to the Borrower Representative hereunder shall constitute notice to each Borrower on the date received by the Borrower Representative. </w:t>
      </w:r>
    </w:p>
    <w:p>
      <w:pPr>
        <w:pStyle w:val="TextBody"/>
        <w:bidi w:val="0"/>
        <w:spacing w:before="240" w:after="0"/>
        <w:jc w:val="left"/>
        <w:rPr>
          <w:rFonts w:ascii="Times New Roman" w:hAnsi="Times New Roman"/>
          <w:sz w:val="20"/>
        </w:rPr>
      </w:pPr>
      <w:r>
        <w:rPr>
          <w:rFonts w:ascii="Times New Roman" w:hAnsi="Times New Roman"/>
          <w:sz w:val="20"/>
          <w:u w:val="single"/>
        </w:rPr>
        <w:t>SECTION 11.05 Successor Borrower Representative</w:t>
      </w:r>
      <w:r>
        <w:rPr>
          <w:rFonts w:ascii="Times New Roman" w:hAnsi="Times New Roman"/>
          <w:sz w:val="20"/>
        </w:rPr>
        <w:t xml:space="preserve">.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 Parties. </w:t>
      </w:r>
    </w:p>
    <w:p>
      <w:pPr>
        <w:pStyle w:val="TextBody"/>
        <w:bidi w:val="0"/>
        <w:spacing w:before="240" w:after="0"/>
        <w:jc w:val="left"/>
        <w:rPr>
          <w:rFonts w:ascii="Times New Roman" w:hAnsi="Times New Roman"/>
          <w:sz w:val="20"/>
        </w:rPr>
      </w:pPr>
      <w:r>
        <w:rPr>
          <w:rFonts w:ascii="Times New Roman" w:hAnsi="Times New Roman"/>
          <w:sz w:val="20"/>
          <w:u w:val="single"/>
        </w:rPr>
        <w:t>SECTION 11.06 Execution of Loan Documents; Borrowing Base Certificate</w:t>
      </w:r>
      <w:r>
        <w:rPr>
          <w:rFonts w:ascii="Times New Roman" w:hAnsi="Times New Roman"/>
          <w:sz w:val="20"/>
        </w:rPr>
        <w:t xml:space="preserve">. The Borrowers hereby empower and authorize the Borrower Representative, on behalf of the Borrowers, to execute and deliver to the Lender Parties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 </w:t>
      </w:r>
    </w:p>
    <w:p>
      <w:pPr>
        <w:pStyle w:val="TextBody"/>
        <w:bidi w:val="0"/>
        <w:spacing w:before="240" w:after="0"/>
        <w:jc w:val="left"/>
        <w:rPr>
          <w:rFonts w:ascii="Times New Roman" w:hAnsi="Times New Roman"/>
          <w:sz w:val="20"/>
        </w:rPr>
      </w:pPr>
      <w:r>
        <w:rPr>
          <w:rFonts w:ascii="Times New Roman" w:hAnsi="Times New Roman"/>
          <w:sz w:val="20"/>
          <w:u w:val="single"/>
        </w:rPr>
        <w:t>SECTION 11.07 Reporting</w:t>
      </w:r>
      <w:r>
        <w:rPr>
          <w:rFonts w:ascii="Times New Roman" w:hAnsi="Times New Roman"/>
          <w:sz w:val="20"/>
        </w:rPr>
        <w:t xml:space="preserve">. Each Borrower hereby agrees that such Borrower shall furnish promptly after each fiscal month to the Borrower Representative a copy of any certificate or report required hereunder or requested by the Borrower Representative on which the Borrower Representative shall rely to prepare the Borrowing Base Certificates and Compliance Certificates required pursuant to the provisions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XII. </w:t>
      </w:r>
      <w:r>
        <w:rPr>
          <w:rFonts w:ascii="Times New Roman" w:hAnsi="Times New Roman"/>
          <w:sz w:val="20"/>
          <w:u w:val="single"/>
        </w:rPr>
        <w:t>Limitations on Obligations of Canadian Loan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SECTION 12.01 Limitations</w:t>
      </w:r>
      <w:r>
        <w:rPr>
          <w:rFonts w:ascii="Times New Roman" w:hAnsi="Times New Roman"/>
          <w:sz w:val="20"/>
        </w:rPr>
        <w:t xml:space="preserve">. Notwithstanding provision to the contrary set forth in this Credit Agreement or any of the Loan Documents, the obligations of the Canadian Loan Parties (other than the Canadian Cross-Border Loan Guarantors) </w:t>
      </w:r>
      <w:r>
        <w:rPr>
          <w:rFonts w:ascii="Times New Roman" w:hAnsi="Times New Roman"/>
          <w:strike/>
          <w:color w:val="FF0000"/>
          <w:sz w:val="20"/>
        </w:rPr>
        <w:t xml:space="preserve">and Anixter Mid Holdings B.V. </w:t>
      </w:r>
      <w:r>
        <w:rPr>
          <w:rFonts w:ascii="Times New Roman" w:hAnsi="Times New Roman"/>
          <w:sz w:val="20"/>
        </w:rPr>
        <w:t xml:space="preserve">shall be limited to the Canadian Obligations and in no event shall any Canadian Loan Party (other than the Canadian Cross-Border Loan Guarantors) </w:t>
      </w:r>
      <w:r>
        <w:rPr>
          <w:rFonts w:ascii="Times New Roman" w:hAnsi="Times New Roman"/>
          <w:strike/>
          <w:color w:val="FF0000"/>
          <w:sz w:val="20"/>
        </w:rPr>
        <w:t xml:space="preserve">or Anixter Mid Holdings B.V. </w:t>
      </w:r>
      <w:r>
        <w:rPr>
          <w:rFonts w:ascii="Times New Roman" w:hAnsi="Times New Roman"/>
          <w:sz w:val="20"/>
        </w:rPr>
        <w:t xml:space="preserve">be liable for, guarantee or otherwise have any obligation with respect to, nor shall any such entity’s assets secure any U.S. Secured Obligations, whether arising under any provisions of such documents relating to guaranty, set off, contribution, subrogation, indemnity, requirements to post collateral, use of deposits or otherwise. For the avoidance of doubt, this Section 12.01 shall have no application to the loss sharing agreement set forth in Section 9.20.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LOAN PARTY SCHEDULE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U.S. Borrowers: </w:t>
      </w:r>
    </w:p>
    <w:p>
      <w:pPr>
        <w:pStyle w:val="TextBody"/>
        <w:bidi w:val="0"/>
        <w:spacing w:before="120" w:after="0"/>
        <w:jc w:val="left"/>
        <w:rPr>
          <w:rFonts w:ascii="Times New Roman" w:hAnsi="Times New Roman"/>
          <w:sz w:val="20"/>
        </w:rPr>
      </w:pPr>
      <w:r>
        <w:rPr>
          <w:rFonts w:ascii="Times New Roman" w:hAnsi="Times New Roman"/>
          <w:sz w:val="20"/>
        </w:rPr>
        <w:t xml:space="preserve">Wesco Distribution, Inc., a Delaware corporation </w:t>
      </w:r>
    </w:p>
    <w:p>
      <w:pPr>
        <w:pStyle w:val="TextBody"/>
        <w:bidi w:val="0"/>
        <w:spacing w:before="0" w:after="0"/>
        <w:jc w:val="left"/>
        <w:rPr>
          <w:rFonts w:ascii="Times New Roman" w:hAnsi="Times New Roman"/>
          <w:sz w:val="20"/>
        </w:rPr>
      </w:pPr>
      <w:r>
        <w:rPr>
          <w:rFonts w:ascii="Times New Roman" w:hAnsi="Times New Roman"/>
          <w:sz w:val="20"/>
        </w:rPr>
        <w:t xml:space="preserve">Calvert Wire &amp; Cable Corporation, a Delaware corporation </w:t>
      </w:r>
    </w:p>
    <w:p>
      <w:pPr>
        <w:pStyle w:val="TextBody"/>
        <w:bidi w:val="0"/>
        <w:spacing w:before="0" w:after="0"/>
        <w:jc w:val="left"/>
        <w:rPr>
          <w:rFonts w:ascii="Times New Roman" w:hAnsi="Times New Roman"/>
          <w:sz w:val="20"/>
        </w:rPr>
      </w:pPr>
      <w:r>
        <w:rPr>
          <w:rFonts w:ascii="Times New Roman" w:hAnsi="Times New Roman"/>
          <w:sz w:val="20"/>
        </w:rPr>
        <w:t xml:space="preserve">Carlton-Bates Company, an Arkansas corporation </w:t>
      </w:r>
    </w:p>
    <w:p>
      <w:pPr>
        <w:pStyle w:val="TextBody"/>
        <w:bidi w:val="0"/>
        <w:spacing w:before="0" w:after="0"/>
        <w:jc w:val="left"/>
        <w:rPr>
          <w:rFonts w:ascii="Times New Roman" w:hAnsi="Times New Roman"/>
          <w:sz w:val="20"/>
        </w:rPr>
      </w:pPr>
      <w:r>
        <w:rPr>
          <w:rFonts w:ascii="Times New Roman" w:hAnsi="Times New Roman"/>
          <w:sz w:val="20"/>
        </w:rPr>
        <w:t xml:space="preserve">Communications Supply Corporation, a Connecticut corporation </w:t>
      </w:r>
    </w:p>
    <w:p>
      <w:pPr>
        <w:pStyle w:val="TextBody"/>
        <w:bidi w:val="0"/>
        <w:spacing w:before="0" w:after="0"/>
        <w:jc w:val="left"/>
        <w:rPr>
          <w:rFonts w:ascii="Times New Roman" w:hAnsi="Times New Roman"/>
          <w:sz w:val="20"/>
        </w:rPr>
      </w:pPr>
      <w:r>
        <w:rPr>
          <w:rFonts w:ascii="Times New Roman" w:hAnsi="Times New Roman"/>
          <w:sz w:val="20"/>
        </w:rPr>
        <w:t xml:space="preserve">Hi-Line Utility Supply Company, LLC, an Illinois limited liability company </w:t>
      </w:r>
    </w:p>
    <w:p>
      <w:pPr>
        <w:pStyle w:val="TextBody"/>
        <w:bidi w:val="0"/>
        <w:spacing w:before="0" w:after="0"/>
        <w:jc w:val="left"/>
        <w:rPr>
          <w:rFonts w:ascii="Times New Roman" w:hAnsi="Times New Roman"/>
          <w:sz w:val="20"/>
        </w:rPr>
      </w:pPr>
      <w:r>
        <w:rPr>
          <w:rFonts w:ascii="Times New Roman" w:hAnsi="Times New Roman"/>
          <w:sz w:val="20"/>
        </w:rPr>
        <w:t xml:space="preserve">Hill Country Electric Supply, L.P., a Texas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TVC Communications, L.L.C., a Delaware limited liability company </w:t>
      </w:r>
    </w:p>
    <w:p>
      <w:pPr>
        <w:pStyle w:val="TextBody"/>
        <w:bidi w:val="0"/>
        <w:spacing w:before="0" w:after="0"/>
        <w:jc w:val="left"/>
        <w:rPr>
          <w:rFonts w:ascii="Times New Roman" w:hAnsi="Times New Roman"/>
          <w:sz w:val="20"/>
        </w:rPr>
      </w:pPr>
      <w:r>
        <w:rPr>
          <w:rFonts w:ascii="Times New Roman" w:hAnsi="Times New Roman"/>
          <w:sz w:val="20"/>
        </w:rPr>
        <w:t xml:space="preserve">WESCO Equity Corporation, a Delaware corporation </w:t>
      </w:r>
    </w:p>
    <w:p>
      <w:pPr>
        <w:pStyle w:val="TextBody"/>
        <w:bidi w:val="0"/>
        <w:spacing w:before="0" w:after="0"/>
        <w:jc w:val="left"/>
        <w:rPr>
          <w:rFonts w:ascii="Times New Roman" w:hAnsi="Times New Roman"/>
          <w:sz w:val="20"/>
        </w:rPr>
      </w:pPr>
      <w:r>
        <w:rPr>
          <w:rFonts w:ascii="Times New Roman" w:hAnsi="Times New Roman"/>
          <w:sz w:val="20"/>
        </w:rPr>
        <w:t xml:space="preserve">WESCO Nevada, Ltd., a Nevada corporation </w:t>
      </w:r>
    </w:p>
    <w:p>
      <w:pPr>
        <w:pStyle w:val="TextBody"/>
        <w:bidi w:val="0"/>
        <w:spacing w:before="0" w:after="0"/>
        <w:jc w:val="left"/>
        <w:rPr>
          <w:rFonts w:ascii="Times New Roman" w:hAnsi="Times New Roman"/>
          <w:sz w:val="20"/>
        </w:rPr>
      </w:pPr>
      <w:r>
        <w:rPr>
          <w:rFonts w:ascii="Times New Roman" w:hAnsi="Times New Roman"/>
          <w:sz w:val="20"/>
        </w:rPr>
        <w:t xml:space="preserve">Anixter Inc., a Delaware corporation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U.S. Loan Guarantors: </w:t>
      </w:r>
    </w:p>
    <w:p>
      <w:pPr>
        <w:pStyle w:val="TextBody"/>
        <w:bidi w:val="0"/>
        <w:spacing w:before="120" w:after="0"/>
        <w:jc w:val="left"/>
        <w:rPr>
          <w:rFonts w:ascii="Times New Roman" w:hAnsi="Times New Roman"/>
          <w:sz w:val="20"/>
        </w:rPr>
      </w:pPr>
      <w:r>
        <w:rPr>
          <w:rFonts w:ascii="Times New Roman" w:hAnsi="Times New Roman"/>
          <w:sz w:val="20"/>
        </w:rPr>
        <w:t xml:space="preserve">CDW Holdco, LLC, a Delaware limited liability company </w:t>
      </w:r>
    </w:p>
    <w:p>
      <w:pPr>
        <w:pStyle w:val="TextBody"/>
        <w:bidi w:val="0"/>
        <w:spacing w:before="0" w:after="0"/>
        <w:jc w:val="left"/>
        <w:rPr>
          <w:rFonts w:ascii="Times New Roman" w:hAnsi="Times New Roman"/>
          <w:sz w:val="20"/>
        </w:rPr>
      </w:pPr>
      <w:r>
        <w:rPr>
          <w:rFonts w:ascii="Times New Roman" w:hAnsi="Times New Roman"/>
          <w:sz w:val="20"/>
        </w:rPr>
        <w:t xml:space="preserve">TVC International Holding, L.L.C., a Delaware limited liability company </w:t>
      </w:r>
    </w:p>
    <w:p>
      <w:pPr>
        <w:pStyle w:val="TextBody"/>
        <w:bidi w:val="0"/>
        <w:spacing w:before="0" w:after="0"/>
        <w:jc w:val="left"/>
        <w:rPr>
          <w:rFonts w:ascii="Times New Roman" w:hAnsi="Times New Roman"/>
          <w:sz w:val="20"/>
        </w:rPr>
      </w:pPr>
      <w:r>
        <w:rPr>
          <w:rFonts w:ascii="Times New Roman" w:hAnsi="Times New Roman"/>
          <w:sz w:val="20"/>
        </w:rPr>
        <w:t xml:space="preserve">WDC Holding Inc., a Delaware corporation </w:t>
      </w:r>
    </w:p>
    <w:p>
      <w:pPr>
        <w:pStyle w:val="TextBody"/>
        <w:bidi w:val="0"/>
        <w:spacing w:before="0" w:after="0"/>
        <w:jc w:val="left"/>
        <w:rPr>
          <w:rFonts w:ascii="Times New Roman" w:hAnsi="Times New Roman"/>
          <w:sz w:val="20"/>
        </w:rPr>
      </w:pPr>
      <w:r>
        <w:rPr>
          <w:rFonts w:ascii="Times New Roman" w:hAnsi="Times New Roman"/>
          <w:sz w:val="20"/>
        </w:rPr>
        <w:t xml:space="preserve">WDCH US LP, a Delaware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WESCO Enterprises, Inc., a Delaware corporation </w:t>
      </w:r>
    </w:p>
    <w:p>
      <w:pPr>
        <w:pStyle w:val="TextBody"/>
        <w:bidi w:val="0"/>
        <w:spacing w:before="0" w:after="0"/>
        <w:jc w:val="left"/>
        <w:rPr>
          <w:rFonts w:ascii="Times New Roman" w:hAnsi="Times New Roman"/>
          <w:sz w:val="20"/>
        </w:rPr>
      </w:pPr>
      <w:r>
        <w:rPr>
          <w:rFonts w:ascii="Times New Roman" w:hAnsi="Times New Roman"/>
          <w:sz w:val="20"/>
        </w:rPr>
        <w:t xml:space="preserve">WESCO International, Inc., a Delaware corporation </w:t>
      </w:r>
    </w:p>
    <w:p>
      <w:pPr>
        <w:pStyle w:val="TextBody"/>
        <w:bidi w:val="0"/>
        <w:spacing w:before="0" w:after="0"/>
        <w:jc w:val="left"/>
        <w:rPr>
          <w:rFonts w:ascii="Times New Roman" w:hAnsi="Times New Roman"/>
          <w:sz w:val="20"/>
        </w:rPr>
      </w:pPr>
      <w:r>
        <w:rPr>
          <w:rFonts w:ascii="Times New Roman" w:hAnsi="Times New Roman"/>
          <w:sz w:val="20"/>
        </w:rPr>
        <w:t xml:space="preserve">WESCO Nigeria, Inc., a Delaware corporation </w:t>
      </w:r>
    </w:p>
    <w:p>
      <w:pPr>
        <w:pStyle w:val="TextBody"/>
        <w:bidi w:val="0"/>
        <w:spacing w:before="0" w:after="0"/>
        <w:jc w:val="left"/>
        <w:rPr>
          <w:rFonts w:ascii="Times New Roman" w:hAnsi="Times New Roman"/>
          <w:sz w:val="20"/>
        </w:rPr>
      </w:pPr>
      <w:r>
        <w:rPr>
          <w:rFonts w:ascii="Times New Roman" w:hAnsi="Times New Roman"/>
          <w:sz w:val="20"/>
        </w:rPr>
        <w:t xml:space="preserve">WESCO SERVICES, LLC, a Delaware limited liability company </w:t>
      </w:r>
    </w:p>
    <w:p>
      <w:pPr>
        <w:pStyle w:val="TextBody"/>
        <w:bidi w:val="0"/>
        <w:spacing w:before="0" w:after="0"/>
        <w:jc w:val="left"/>
        <w:rPr>
          <w:rFonts w:ascii="Times New Roman" w:hAnsi="Times New Roman"/>
          <w:sz w:val="20"/>
        </w:rPr>
      </w:pPr>
      <w:r>
        <w:rPr>
          <w:rFonts w:ascii="Times New Roman" w:hAnsi="Times New Roman"/>
          <w:sz w:val="20"/>
        </w:rPr>
        <w:t xml:space="preserve">Wesco Anixter USVI, LLC, a Delaware limited liability company </w:t>
      </w:r>
    </w:p>
    <w:p>
      <w:pPr>
        <w:pStyle w:val="TextBody"/>
        <w:bidi w:val="0"/>
        <w:spacing w:before="0" w:after="0"/>
        <w:jc w:val="left"/>
        <w:rPr>
          <w:rFonts w:ascii="Times New Roman" w:hAnsi="Times New Roman"/>
          <w:sz w:val="20"/>
        </w:rPr>
      </w:pPr>
      <w:r>
        <w:rPr>
          <w:rFonts w:ascii="Times New Roman" w:hAnsi="Times New Roman"/>
          <w:sz w:val="20"/>
        </w:rPr>
        <w:t xml:space="preserve">Accu-Tech Corporation, a Georgia corporation </w:t>
      </w:r>
    </w:p>
    <w:p>
      <w:pPr>
        <w:pStyle w:val="TextBody"/>
        <w:bidi w:val="0"/>
        <w:spacing w:before="0" w:after="0"/>
        <w:jc w:val="left"/>
        <w:rPr>
          <w:rFonts w:ascii="Times New Roman" w:hAnsi="Times New Roman"/>
          <w:sz w:val="20"/>
        </w:rPr>
      </w:pPr>
      <w:r>
        <w:rPr>
          <w:rFonts w:ascii="Times New Roman" w:hAnsi="Times New Roman"/>
          <w:sz w:val="20"/>
        </w:rPr>
        <w:t xml:space="preserve">Anixter Power Solutions Inc., a Michigan corporation </w:t>
      </w:r>
    </w:p>
    <w:p>
      <w:pPr>
        <w:pStyle w:val="TextBody"/>
        <w:bidi w:val="0"/>
        <w:spacing w:before="0" w:after="0"/>
        <w:jc w:val="left"/>
        <w:rPr>
          <w:rFonts w:ascii="Times New Roman" w:hAnsi="Times New Roman"/>
          <w:sz w:val="20"/>
        </w:rPr>
      </w:pPr>
      <w:r>
        <w:rPr>
          <w:rFonts w:ascii="Times New Roman" w:hAnsi="Times New Roman"/>
          <w:sz w:val="20"/>
        </w:rPr>
        <w:t xml:space="preserve">Rahi Systems Holdings US, Inc., a Delaware corporation </w:t>
      </w:r>
    </w:p>
    <w:p>
      <w:pPr>
        <w:pStyle w:val="TextBody"/>
        <w:bidi w:val="0"/>
        <w:spacing w:before="0" w:after="0"/>
        <w:jc w:val="left"/>
        <w:rPr>
          <w:rFonts w:ascii="Times New Roman" w:hAnsi="Times New Roman"/>
          <w:sz w:val="20"/>
        </w:rPr>
      </w:pPr>
      <w:r>
        <w:rPr>
          <w:rFonts w:ascii="Times New Roman" w:hAnsi="Times New Roman"/>
          <w:sz w:val="20"/>
        </w:rPr>
        <w:t xml:space="preserve">Rahi Systems Inc, a California corporation </w:t>
      </w:r>
    </w:p>
    <w:p>
      <w:pPr>
        <w:pStyle w:val="TextBody"/>
        <w:bidi w:val="0"/>
        <w:spacing w:before="0" w:after="0"/>
        <w:jc w:val="left"/>
        <w:rPr>
          <w:rFonts w:ascii="Times New Roman" w:hAnsi="Times New Roman"/>
          <w:sz w:val="20"/>
        </w:rPr>
      </w:pPr>
      <w:r>
        <w:rPr>
          <w:rFonts w:ascii="Times New Roman" w:hAnsi="Times New Roman"/>
          <w:sz w:val="20"/>
        </w:rPr>
        <w:t xml:space="preserve">XpressConnect Supply, LLC, a Delaware limited liability company </w:t>
      </w:r>
    </w:p>
    <w:p>
      <w:pPr>
        <w:pStyle w:val="TextBody"/>
        <w:bidi w:val="0"/>
        <w:spacing w:before="0" w:after="0"/>
        <w:jc w:val="left"/>
        <w:rPr>
          <w:rFonts w:ascii="Times New Roman" w:hAnsi="Times New Roman"/>
          <w:sz w:val="20"/>
        </w:rPr>
      </w:pPr>
      <w:r>
        <w:rPr>
          <w:rFonts w:ascii="Times New Roman" w:hAnsi="Times New Roman"/>
          <w:sz w:val="20"/>
        </w:rPr>
        <w:t xml:space="preserve">Anixter Holdings, LLC, a Delaware limited liability company </w:t>
      </w:r>
    </w:p>
    <w:p>
      <w:pPr>
        <w:pStyle w:val="TextBody"/>
        <w:bidi w:val="0"/>
        <w:spacing w:before="0" w:after="0"/>
        <w:jc w:val="left"/>
        <w:rPr>
          <w:rFonts w:ascii="Times New Roman" w:hAnsi="Times New Roman"/>
          <w:sz w:val="20"/>
        </w:rPr>
      </w:pPr>
      <w:r>
        <w:rPr>
          <w:rFonts w:ascii="Times New Roman" w:hAnsi="Times New Roman"/>
          <w:sz w:val="20"/>
        </w:rPr>
        <w:t xml:space="preserve">Ascent, LLC, a Missouri limited liability company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Canadian Borrowers: </w:t>
      </w:r>
    </w:p>
    <w:p>
      <w:pPr>
        <w:pStyle w:val="TextBody"/>
        <w:bidi w:val="0"/>
        <w:spacing w:before="120" w:after="0"/>
        <w:jc w:val="left"/>
        <w:rPr>
          <w:rFonts w:ascii="Times New Roman" w:hAnsi="Times New Roman"/>
          <w:sz w:val="20"/>
        </w:rPr>
      </w:pPr>
      <w:r>
        <w:rPr>
          <w:rFonts w:ascii="Times New Roman" w:hAnsi="Times New Roman"/>
          <w:sz w:val="20"/>
        </w:rPr>
        <w:t xml:space="preserve">WESCO Distribution Canada LP, an Ontario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EECOL Electric Corp., an Alberta corporation </w:t>
      </w:r>
    </w:p>
    <w:p>
      <w:pPr>
        <w:pStyle w:val="TextBody"/>
        <w:bidi w:val="0"/>
        <w:spacing w:before="0" w:after="0"/>
        <w:jc w:val="left"/>
        <w:rPr>
          <w:rFonts w:ascii="Times New Roman" w:hAnsi="Times New Roman"/>
          <w:sz w:val="20"/>
        </w:rPr>
      </w:pPr>
      <w:r>
        <w:rPr>
          <w:rFonts w:ascii="Times New Roman" w:hAnsi="Times New Roman"/>
          <w:sz w:val="20"/>
        </w:rPr>
        <w:t xml:space="preserve">Anixter Canada Inc., a Canadian corporation </w:t>
      </w:r>
    </w:p>
    <w:p>
      <w:pPr>
        <w:pStyle w:val="TextBody"/>
        <w:bidi w:val="0"/>
        <w:spacing w:before="0" w:after="0"/>
        <w:jc w:val="left"/>
        <w:rPr>
          <w:rFonts w:ascii="Times New Roman" w:hAnsi="Times New Roman"/>
          <w:sz w:val="20"/>
        </w:rPr>
      </w:pPr>
      <w:r>
        <w:rPr>
          <w:rFonts w:ascii="Times New Roman" w:hAnsi="Times New Roman"/>
          <w:sz w:val="20"/>
        </w:rPr>
        <w:t xml:space="preserve">ANIXTER POWER SOLUTIONS CANADA INC., a Nova Scotia corporation </w:t>
      </w:r>
    </w:p>
    <w:p>
      <w:pPr>
        <w:pStyle w:val="TextBody"/>
        <w:bidi w:val="0"/>
        <w:spacing w:before="0" w:after="0"/>
        <w:jc w:val="left"/>
        <w:rPr>
          <w:rFonts w:ascii="Times New Roman" w:hAnsi="Times New Roman"/>
          <w:sz w:val="20"/>
        </w:rPr>
      </w:pPr>
      <w:r>
        <w:rPr>
          <w:rFonts w:ascii="Times New Roman" w:hAnsi="Times New Roman"/>
          <w:sz w:val="20"/>
        </w:rPr>
        <w:t xml:space="preserve">XpressConnect Supply Canada, Ltd., a Canadian corporation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Canadian Loan Guarantors: </w:t>
      </w:r>
    </w:p>
    <w:p>
      <w:pPr>
        <w:pStyle w:val="TextBody"/>
        <w:bidi w:val="0"/>
        <w:spacing w:before="120" w:after="0"/>
        <w:jc w:val="left"/>
        <w:rPr>
          <w:rFonts w:ascii="Times New Roman" w:hAnsi="Times New Roman"/>
          <w:sz w:val="20"/>
        </w:rPr>
      </w:pPr>
      <w:r>
        <w:rPr>
          <w:rFonts w:ascii="Times New Roman" w:hAnsi="Times New Roman"/>
          <w:sz w:val="20"/>
        </w:rPr>
        <w:t xml:space="preserve">WESCO Canada GP Inc., an Ontario corporation </w:t>
      </w:r>
    </w:p>
    <w:p>
      <w:pPr>
        <w:pStyle w:val="TextBody"/>
        <w:bidi w:val="0"/>
        <w:spacing w:before="0" w:after="0"/>
        <w:jc w:val="left"/>
        <w:rPr>
          <w:rFonts w:ascii="Times New Roman" w:hAnsi="Times New Roman"/>
          <w:sz w:val="20"/>
        </w:rPr>
      </w:pPr>
      <w:r>
        <w:rPr>
          <w:rFonts w:ascii="Times New Roman" w:hAnsi="Times New Roman"/>
          <w:sz w:val="20"/>
        </w:rPr>
        <w:t xml:space="preserve">WESCO DC Holding I LP, an Ontario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WESCO DC Holding II LP, an Ontario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WESCO DC Holding III LP, an Ontario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WESCO DC Holding IV LP, an Ontario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Anixter U.S. LLC, a Delaware limited liability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Canadian Cross-Border Loan Guarantors: </w:t>
      </w:r>
    </w:p>
    <w:p>
      <w:pPr>
        <w:pStyle w:val="TextBody"/>
        <w:bidi w:val="0"/>
        <w:spacing w:before="120" w:after="0"/>
        <w:jc w:val="left"/>
        <w:rPr>
          <w:rFonts w:ascii="Times New Roman" w:hAnsi="Times New Roman"/>
          <w:sz w:val="20"/>
        </w:rPr>
      </w:pPr>
      <w:r>
        <w:rPr>
          <w:rFonts w:ascii="Times New Roman" w:hAnsi="Times New Roman"/>
          <w:sz w:val="20"/>
        </w:rPr>
        <w:t xml:space="preserve">WESCO Distribution Canada Co., a Nova Scotia corporation </w:t>
      </w:r>
    </w:p>
    <w:p>
      <w:pPr>
        <w:pStyle w:val="TextBody"/>
        <w:bidi w:val="0"/>
        <w:spacing w:before="0" w:after="0"/>
        <w:jc w:val="left"/>
        <w:rPr>
          <w:rFonts w:ascii="Times New Roman" w:hAnsi="Times New Roman"/>
          <w:sz w:val="20"/>
        </w:rPr>
      </w:pPr>
      <w:r>
        <w:rPr>
          <w:rFonts w:ascii="Times New Roman" w:hAnsi="Times New Roman"/>
          <w:sz w:val="20"/>
        </w:rPr>
        <w:t xml:space="preserve">WESCO Distribution II ULC, a Nova Scotia unlimited liability company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2026 INCREMENTAL </w:t>
      </w:r>
    </w:p>
    <w:p>
      <w:pPr>
        <w:pStyle w:val="TextBody"/>
        <w:bidi w:val="0"/>
        <w:spacing w:before="0" w:after="0"/>
        <w:jc w:val="center"/>
        <w:rPr>
          <w:rFonts w:ascii="Times New Roman" w:hAnsi="Times New Roman"/>
          <w:b/>
          <w:sz w:val="20"/>
        </w:rPr>
      </w:pPr>
      <w:r>
        <w:rPr>
          <w:rFonts w:ascii="Times New Roman" w:hAnsi="Times New Roman"/>
          <w:b/>
          <w:sz w:val="20"/>
        </w:rPr>
        <w:t xml:space="preserve">REVOLVING COMMITMENT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1"/>
        <w:gridCol w:w="222"/>
        <w:gridCol w:w="140"/>
        <w:gridCol w:w="1652"/>
        <w:gridCol w:w="60"/>
        <w:gridCol w:w="222"/>
        <w:gridCol w:w="88"/>
        <w:gridCol w:w="2405"/>
        <w:gridCol w:w="325"/>
      </w:tblGrid>
      <w:tr>
        <w:trPr/>
        <w:tc>
          <w:tcPr>
            <w:tcW w:w="5091"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0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2026 Incremental Revolving Lender</w:t>
            </w:r>
          </w:p>
        </w:tc>
        <w:tc>
          <w:tcPr>
            <w:tcW w:w="222" w:type="dxa"/>
            <w:tcBorders/>
            <w:vAlign w:val="bottom"/>
          </w:tcPr>
          <w:p>
            <w:pPr>
              <w:pStyle w:val="TableContents"/>
              <w:bidi w:val="0"/>
              <w:spacing w:before="0" w:after="283"/>
              <w:jc w:val="left"/>
              <w:rPr/>
            </w:pPr>
            <w:r>
              <w:rPr/>
              <w:t>  </w:t>
            </w:r>
          </w:p>
        </w:tc>
        <w:tc>
          <w:tcPr>
            <w:tcW w:w="17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Incremental</w:t>
              <w:br/>
              <w:t>Revolving</w:t>
              <w:br/>
              <w:t>Commitment</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Percentage</w:t>
              <w:br/>
              <w:t>of Aggregate 2026</w:t>
              <w:br/>
              <w:t>Incremental Revolving</w:t>
              <w:br/>
              <w:t>Commitments</w:t>
            </w:r>
          </w:p>
        </w:tc>
        <w:tc>
          <w:tcPr>
            <w:tcW w:w="32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52" w:type="dxa"/>
            <w:tcBorders/>
            <w:shd w:fill="CCEEFF" w:val="clear"/>
            <w:vAlign w:val="bottom"/>
          </w:tcPr>
          <w:p>
            <w:pPr>
              <w:pStyle w:val="TableContents"/>
              <w:bidi w:val="0"/>
              <w:spacing w:before="0" w:after="283"/>
              <w:jc w:val="right"/>
              <w:rPr/>
            </w:pPr>
            <w:r>
              <w:rPr/>
              <w:t>14,000,000.00</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11.200000000</w:t>
            </w:r>
          </w:p>
        </w:tc>
        <w:tc>
          <w:tcPr>
            <w:tcW w:w="32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Canadian Imperial Bank Of Commerce, New York Branch</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52" w:type="dxa"/>
            <w:tcBorders/>
            <w:vAlign w:val="bottom"/>
          </w:tcPr>
          <w:p>
            <w:pPr>
              <w:pStyle w:val="TableContents"/>
              <w:bidi w:val="0"/>
              <w:spacing w:before="0" w:after="283"/>
              <w:jc w:val="right"/>
              <w:rPr/>
            </w:pPr>
            <w:r>
              <w:rPr/>
              <w:t>12,000,000.00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9.600000000</w:t>
            </w:r>
          </w:p>
        </w:tc>
        <w:tc>
          <w:tcPr>
            <w:tcW w:w="32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Bank, N.A.</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52" w:type="dxa"/>
            <w:tcBorders/>
            <w:shd w:fill="CCEEFF" w:val="clear"/>
            <w:vAlign w:val="bottom"/>
          </w:tcPr>
          <w:p>
            <w:pPr>
              <w:pStyle w:val="TableContents"/>
              <w:bidi w:val="0"/>
              <w:spacing w:before="0" w:after="283"/>
              <w:jc w:val="right"/>
              <w:rPr/>
            </w:pPr>
            <w:r>
              <w:rPr/>
              <w:t>11,000,000.00</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8.800000000</w:t>
            </w:r>
          </w:p>
        </w:tc>
        <w:tc>
          <w:tcPr>
            <w:tcW w:w="32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52" w:type="dxa"/>
            <w:tcBorders/>
            <w:vAlign w:val="bottom"/>
          </w:tcPr>
          <w:p>
            <w:pPr>
              <w:pStyle w:val="TableContents"/>
              <w:bidi w:val="0"/>
              <w:spacing w:before="0" w:after="283"/>
              <w:jc w:val="right"/>
              <w:rPr/>
            </w:pPr>
            <w:r>
              <w:rPr/>
              <w:t>11,000,000.00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8.800000000</w:t>
            </w:r>
          </w:p>
        </w:tc>
        <w:tc>
          <w:tcPr>
            <w:tcW w:w="32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52" w:type="dxa"/>
            <w:tcBorders/>
            <w:shd w:fill="CCEEFF" w:val="clear"/>
            <w:vAlign w:val="bottom"/>
          </w:tcPr>
          <w:p>
            <w:pPr>
              <w:pStyle w:val="TableContents"/>
              <w:bidi w:val="0"/>
              <w:spacing w:before="0" w:after="283"/>
              <w:jc w:val="right"/>
              <w:rPr/>
            </w:pPr>
            <w:r>
              <w:rPr/>
              <w:t>11,000,000.00</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8.800000000</w:t>
            </w:r>
          </w:p>
        </w:tc>
        <w:tc>
          <w:tcPr>
            <w:tcW w:w="32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Fifth Third Bank, National Association</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52" w:type="dxa"/>
            <w:tcBorders/>
            <w:vAlign w:val="bottom"/>
          </w:tcPr>
          <w:p>
            <w:pPr>
              <w:pStyle w:val="TableContents"/>
              <w:bidi w:val="0"/>
              <w:spacing w:before="0" w:after="283"/>
              <w:jc w:val="right"/>
              <w:rPr/>
            </w:pPr>
            <w:r>
              <w:rPr/>
              <w:t>10,000,000.00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8.000000000</w:t>
            </w:r>
          </w:p>
        </w:tc>
        <w:tc>
          <w:tcPr>
            <w:tcW w:w="32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Bank, N.A.</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52" w:type="dxa"/>
            <w:tcBorders/>
            <w:shd w:fill="CCEEFF" w:val="clear"/>
            <w:vAlign w:val="bottom"/>
          </w:tcPr>
          <w:p>
            <w:pPr>
              <w:pStyle w:val="TableContents"/>
              <w:bidi w:val="0"/>
              <w:spacing w:before="0" w:after="283"/>
              <w:jc w:val="right"/>
              <w:rPr/>
            </w:pPr>
            <w:r>
              <w:rPr/>
              <w:t>8,000,000.00</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6.400000000</w:t>
            </w:r>
          </w:p>
        </w:tc>
        <w:tc>
          <w:tcPr>
            <w:tcW w:w="32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The Bank of Nova Scotia</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52" w:type="dxa"/>
            <w:tcBorders/>
            <w:vAlign w:val="bottom"/>
          </w:tcPr>
          <w:p>
            <w:pPr>
              <w:pStyle w:val="TableContents"/>
              <w:bidi w:val="0"/>
              <w:spacing w:before="0" w:after="283"/>
              <w:jc w:val="right"/>
              <w:rPr/>
            </w:pPr>
            <w:r>
              <w:rPr/>
              <w:t>8,000,000.00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6.400000000</w:t>
            </w:r>
          </w:p>
        </w:tc>
        <w:tc>
          <w:tcPr>
            <w:tcW w:w="32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HSBC Bank USA, National Association</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52" w:type="dxa"/>
            <w:tcBorders/>
            <w:shd w:fill="CCEEFF" w:val="clear"/>
            <w:vAlign w:val="bottom"/>
          </w:tcPr>
          <w:p>
            <w:pPr>
              <w:pStyle w:val="TableContents"/>
              <w:bidi w:val="0"/>
              <w:spacing w:before="0" w:after="283"/>
              <w:jc w:val="right"/>
              <w:rPr/>
            </w:pPr>
            <w:r>
              <w:rPr/>
              <w:t>8,000,000.00</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6.400000000</w:t>
            </w:r>
          </w:p>
        </w:tc>
        <w:tc>
          <w:tcPr>
            <w:tcW w:w="32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52" w:type="dxa"/>
            <w:tcBorders/>
            <w:vAlign w:val="bottom"/>
          </w:tcPr>
          <w:p>
            <w:pPr>
              <w:pStyle w:val="TableContents"/>
              <w:bidi w:val="0"/>
              <w:spacing w:before="0" w:after="283"/>
              <w:jc w:val="right"/>
              <w:rPr/>
            </w:pPr>
            <w:r>
              <w:rPr/>
              <w:t>8,000,000.00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6.400000000</w:t>
            </w:r>
          </w:p>
        </w:tc>
        <w:tc>
          <w:tcPr>
            <w:tcW w:w="32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Citizens Bank, National Association</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52" w:type="dxa"/>
            <w:tcBorders/>
            <w:shd w:fill="CCEEFF" w:val="clear"/>
            <w:vAlign w:val="bottom"/>
          </w:tcPr>
          <w:p>
            <w:pPr>
              <w:pStyle w:val="TableContents"/>
              <w:bidi w:val="0"/>
              <w:spacing w:before="0" w:after="283"/>
              <w:jc w:val="right"/>
              <w:rPr/>
            </w:pPr>
            <w:r>
              <w:rPr/>
              <w:t>7,000,000.00</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5.600000000</w:t>
            </w:r>
          </w:p>
        </w:tc>
        <w:tc>
          <w:tcPr>
            <w:tcW w:w="32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Bank USA</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52" w:type="dxa"/>
            <w:tcBorders/>
            <w:vAlign w:val="bottom"/>
          </w:tcPr>
          <w:p>
            <w:pPr>
              <w:pStyle w:val="TableContents"/>
              <w:bidi w:val="0"/>
              <w:spacing w:before="0" w:after="283"/>
              <w:jc w:val="right"/>
              <w:rPr/>
            </w:pPr>
            <w:r>
              <w:rPr/>
              <w:t>7,000,000.00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5.600000000</w:t>
            </w:r>
          </w:p>
        </w:tc>
        <w:tc>
          <w:tcPr>
            <w:tcW w:w="325" w:type="dxa"/>
            <w:tcBorders/>
            <w:vAlign w:val="bottom"/>
          </w:tcPr>
          <w:p>
            <w:pPr>
              <w:pStyle w:val="TableContents"/>
              <w:bidi w:val="0"/>
              <w:spacing w:before="0" w:after="283"/>
              <w:jc w:val="left"/>
              <w:rPr/>
            </w:pPr>
            <w:r>
              <w:rPr/>
              <w:t>% </w:t>
            </w:r>
          </w:p>
        </w:tc>
      </w:tr>
      <w:tr>
        <w:trPr/>
        <w:tc>
          <w:tcPr>
            <w:tcW w:w="50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52"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4.000000000</w:t>
            </w:r>
          </w:p>
        </w:tc>
        <w:tc>
          <w:tcPr>
            <w:tcW w:w="325" w:type="dxa"/>
            <w:tcBorders/>
            <w:shd w:fill="CCEEFF" w:val="clear"/>
            <w:vAlign w:val="bottom"/>
          </w:tcPr>
          <w:p>
            <w:pPr>
              <w:pStyle w:val="TableContents"/>
              <w:bidi w:val="0"/>
              <w:spacing w:before="0" w:after="283"/>
              <w:jc w:val="left"/>
              <w:rPr/>
            </w:pPr>
            <w:r>
              <w:rPr/>
              <w:t>% </w:t>
            </w:r>
          </w:p>
        </w:tc>
      </w:tr>
      <w:tr>
        <w:trPr/>
        <w:tc>
          <w:tcPr>
            <w:tcW w:w="5091"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Bank, N.A.</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52"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4.000000000</w:t>
            </w:r>
          </w:p>
        </w:tc>
        <w:tc>
          <w:tcPr>
            <w:tcW w:w="325" w:type="dxa"/>
            <w:tcBorders/>
            <w:vAlign w:val="bottom"/>
          </w:tcPr>
          <w:p>
            <w:pPr>
              <w:pStyle w:val="TableContents"/>
              <w:bidi w:val="0"/>
              <w:spacing w:before="0" w:after="283"/>
              <w:jc w:val="left"/>
              <w:rPr/>
            </w:pPr>
            <w:r>
              <w:rPr/>
              <w:t>% </w:t>
            </w:r>
          </w:p>
        </w:tc>
      </w:tr>
      <w:tr>
        <w:trPr/>
        <w:tc>
          <w:tcPr>
            <w:tcW w:w="5091"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single" w:sz="2" w:space="1" w:color="000000"/>
              </w:pBdr>
              <w:bidi w:val="0"/>
              <w:spacing w:before="0" w:after="0"/>
              <w:jc w:val="left"/>
              <w:rPr/>
            </w:pPr>
            <w:r>
              <w:rPr/>
              <w:t> </w:t>
            </w:r>
          </w:p>
        </w:tc>
        <w:tc>
          <w:tcPr>
            <w:tcW w:w="2405"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r>
      <w:tr>
        <w:trPr/>
        <w:tc>
          <w:tcPr>
            <w:tcW w:w="509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652" w:type="dxa"/>
            <w:tcBorders/>
            <w:shd w:fill="CCEEFF" w:val="clear"/>
            <w:vAlign w:val="bottom"/>
          </w:tcPr>
          <w:p>
            <w:pPr>
              <w:pStyle w:val="TableContents"/>
              <w:bidi w:val="0"/>
              <w:spacing w:before="0" w:after="283"/>
              <w:jc w:val="right"/>
              <w:rPr>
                <w:b/>
              </w:rPr>
            </w:pPr>
            <w:r>
              <w:rPr>
                <w:b/>
              </w:rPr>
              <w:t>125,000,000.00</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b/>
              </w:rPr>
            </w:pPr>
            <w:r>
              <w:rPr>
                <w:b/>
              </w:rPr>
              <w:t>100.000000000</w:t>
            </w:r>
          </w:p>
        </w:tc>
        <w:tc>
          <w:tcPr>
            <w:tcW w:w="325" w:type="dxa"/>
            <w:tcBorders/>
            <w:shd w:fill="CCEEFF" w:val="clear"/>
            <w:vAlign w:val="bottom"/>
          </w:tcPr>
          <w:p>
            <w:pPr>
              <w:pStyle w:val="TableContents"/>
              <w:bidi w:val="0"/>
              <w:spacing w:before="0" w:after="283"/>
              <w:jc w:val="left"/>
              <w:rPr>
                <w:b/>
              </w:rPr>
            </w:pPr>
            <w:r>
              <w:rPr>
                <w:b/>
              </w:rPr>
              <w:t>% </w:t>
            </w:r>
          </w:p>
        </w:tc>
      </w:tr>
      <w:tr>
        <w:trPr/>
        <w:tc>
          <w:tcPr>
            <w:tcW w:w="5091"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8" w:type="dxa"/>
            <w:tcBorders/>
            <w:vAlign w:val="bottom"/>
          </w:tcPr>
          <w:p>
            <w:pPr>
              <w:pStyle w:val="TableContents"/>
              <w:pBdr>
                <w:top w:val="single" w:sz="2" w:space="1" w:color="000000"/>
              </w:pBdr>
              <w:bidi w:val="0"/>
              <w:spacing w:before="0" w:after="0"/>
              <w:jc w:val="left"/>
              <w:rPr/>
            </w:pPr>
            <w:r>
              <w:rPr/>
              <w:t> </w:t>
            </w:r>
          </w:p>
        </w:tc>
        <w:tc>
          <w:tcPr>
            <w:tcW w:w="2405" w:type="dxa"/>
            <w:tcBorders/>
            <w:vAlign w:val="bottom"/>
          </w:tcPr>
          <w:p>
            <w:pPr>
              <w:pStyle w:val="TableContents"/>
              <w:pBdr>
                <w:top w:val="single" w:sz="2" w:space="1" w:color="000000"/>
              </w:pBdr>
              <w:bidi w:val="0"/>
              <w:spacing w:before="0" w:after="0"/>
              <w:jc w:val="left"/>
              <w:rPr/>
            </w:pPr>
            <w:r>
              <w:rPr/>
              <w:t> </w:t>
            </w:r>
          </w:p>
        </w:tc>
        <w:tc>
          <w:tcPr>
            <w:tcW w:w="32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REVOLVING COMMITMENT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2"/>
        <w:gridCol w:w="179"/>
        <w:gridCol w:w="140"/>
        <w:gridCol w:w="1642"/>
        <w:gridCol w:w="60"/>
        <w:gridCol w:w="179"/>
        <w:gridCol w:w="140"/>
        <w:gridCol w:w="1839"/>
        <w:gridCol w:w="60"/>
        <w:gridCol w:w="179"/>
        <w:gridCol w:w="87"/>
        <w:gridCol w:w="2404"/>
        <w:gridCol w:w="324"/>
      </w:tblGrid>
      <w:tr>
        <w:trPr/>
        <w:tc>
          <w:tcPr>
            <w:tcW w:w="2972"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9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179" w:type="dxa"/>
            <w:tcBorders/>
            <w:vAlign w:val="bottom"/>
          </w:tcPr>
          <w:p>
            <w:pPr>
              <w:pStyle w:val="TableContents"/>
              <w:bidi w:val="0"/>
              <w:spacing w:before="0" w:after="283"/>
              <w:jc w:val="left"/>
              <w:rPr/>
            </w:pPr>
            <w:r>
              <w:rPr/>
              <w:t>  </w:t>
            </w:r>
          </w:p>
        </w:tc>
        <w:tc>
          <w:tcPr>
            <w:tcW w:w="1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Canadian</w:t>
              <w:br/>
              <w:t>Commitment*</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Revolving</w:t>
              <w:br/>
              <w:t>Commitment</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Percentage</w:t>
              <w:br/>
              <w:t>of Aggregate</w:t>
              <w:br/>
              <w:t>Revolving</w:t>
              <w:br/>
              <w:t>Commitments</w:t>
            </w:r>
          </w:p>
        </w:tc>
        <w:tc>
          <w:tcPr>
            <w:tcW w:w="324"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68,581,081.08</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39" w:type="dxa"/>
            <w:tcBorders/>
            <w:shd w:fill="CCEEFF" w:val="clear"/>
            <w:vAlign w:val="bottom"/>
          </w:tcPr>
          <w:p>
            <w:pPr>
              <w:pStyle w:val="TableContents"/>
              <w:bidi w:val="0"/>
              <w:spacing w:before="0" w:after="283"/>
              <w:jc w:val="right"/>
              <w:rPr/>
            </w:pPr>
            <w:r>
              <w:rPr/>
              <w:t>203,000,000.00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283"/>
              <w:jc w:val="right"/>
              <w:rPr/>
            </w:pPr>
            <w:r>
              <w:rPr/>
              <w:t>10.972972973</w:t>
            </w:r>
          </w:p>
        </w:tc>
        <w:tc>
          <w:tcPr>
            <w:tcW w:w="324"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Canadian Imperial Bank Of Commerce, New York Branch</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59,797,297.30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39" w:type="dxa"/>
            <w:tcBorders/>
            <w:vAlign w:val="bottom"/>
          </w:tcPr>
          <w:p>
            <w:pPr>
              <w:pStyle w:val="TableContents"/>
              <w:bidi w:val="0"/>
              <w:spacing w:before="0" w:after="283"/>
              <w:jc w:val="right"/>
              <w:rPr/>
            </w:pPr>
            <w:r>
              <w:rPr/>
              <w:t>177,000,000.00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404" w:type="dxa"/>
            <w:tcBorders/>
            <w:vAlign w:val="bottom"/>
          </w:tcPr>
          <w:p>
            <w:pPr>
              <w:pStyle w:val="TableContents"/>
              <w:bidi w:val="0"/>
              <w:spacing w:before="0" w:after="283"/>
              <w:jc w:val="right"/>
              <w:rPr/>
            </w:pPr>
            <w:r>
              <w:rPr/>
              <w:t>9.567567568</w:t>
            </w:r>
          </w:p>
        </w:tc>
        <w:tc>
          <w:tcPr>
            <w:tcW w:w="324"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Bank, N.A.</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56,418,918.92</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39" w:type="dxa"/>
            <w:tcBorders/>
            <w:shd w:fill="CCEEFF" w:val="clear"/>
            <w:vAlign w:val="bottom"/>
          </w:tcPr>
          <w:p>
            <w:pPr>
              <w:pStyle w:val="TableContents"/>
              <w:bidi w:val="0"/>
              <w:spacing w:before="0" w:after="283"/>
              <w:jc w:val="right"/>
              <w:rPr/>
            </w:pPr>
            <w:r>
              <w:rPr/>
              <w:t>167,000,000.00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283"/>
              <w:jc w:val="right"/>
              <w:rPr/>
            </w:pPr>
            <w:r>
              <w:rPr/>
              <w:t>9.027027027</w:t>
            </w:r>
          </w:p>
        </w:tc>
        <w:tc>
          <w:tcPr>
            <w:tcW w:w="324"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52,702,702.70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39" w:type="dxa"/>
            <w:tcBorders/>
            <w:vAlign w:val="bottom"/>
          </w:tcPr>
          <w:p>
            <w:pPr>
              <w:pStyle w:val="TableContents"/>
              <w:bidi w:val="0"/>
              <w:spacing w:before="0" w:after="283"/>
              <w:jc w:val="right"/>
              <w:rPr/>
            </w:pPr>
            <w:r>
              <w:rPr/>
              <w:t>156,000,000.00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404" w:type="dxa"/>
            <w:tcBorders/>
            <w:vAlign w:val="bottom"/>
          </w:tcPr>
          <w:p>
            <w:pPr>
              <w:pStyle w:val="TableContents"/>
              <w:bidi w:val="0"/>
              <w:spacing w:before="0" w:after="283"/>
              <w:jc w:val="right"/>
              <w:rPr/>
            </w:pPr>
            <w:r>
              <w:rPr/>
              <w:t>8.432432432</w:t>
            </w:r>
          </w:p>
        </w:tc>
        <w:tc>
          <w:tcPr>
            <w:tcW w:w="324"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52,702,702.70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39" w:type="dxa"/>
            <w:tcBorders/>
            <w:shd w:fill="CCEEFF" w:val="clear"/>
            <w:vAlign w:val="bottom"/>
          </w:tcPr>
          <w:p>
            <w:pPr>
              <w:pStyle w:val="TableContents"/>
              <w:bidi w:val="0"/>
              <w:spacing w:before="0" w:after="283"/>
              <w:jc w:val="right"/>
              <w:rPr/>
            </w:pPr>
            <w:r>
              <w:rPr/>
              <w:t>156,000,000.00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283"/>
              <w:jc w:val="right"/>
              <w:rPr/>
            </w:pPr>
            <w:r>
              <w:rPr/>
              <w:t>8.432432432</w:t>
            </w:r>
          </w:p>
        </w:tc>
        <w:tc>
          <w:tcPr>
            <w:tcW w:w="324"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Fifth Third Bank, National Association</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50,000,000.00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39" w:type="dxa"/>
            <w:tcBorders/>
            <w:vAlign w:val="bottom"/>
          </w:tcPr>
          <w:p>
            <w:pPr>
              <w:pStyle w:val="TableContents"/>
              <w:bidi w:val="0"/>
              <w:spacing w:before="0" w:after="283"/>
              <w:jc w:val="right"/>
              <w:rPr/>
            </w:pPr>
            <w:r>
              <w:rPr/>
              <w:t>148,000,000.00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404" w:type="dxa"/>
            <w:tcBorders/>
            <w:vAlign w:val="bottom"/>
          </w:tcPr>
          <w:p>
            <w:pPr>
              <w:pStyle w:val="TableContents"/>
              <w:bidi w:val="0"/>
              <w:spacing w:before="0" w:after="283"/>
              <w:jc w:val="right"/>
              <w:rPr/>
            </w:pPr>
            <w:r>
              <w:rPr/>
              <w:t>8.000000000</w:t>
            </w:r>
          </w:p>
        </w:tc>
        <w:tc>
          <w:tcPr>
            <w:tcW w:w="324"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Bank, N.A.</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41,554,054.05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39" w:type="dxa"/>
            <w:tcBorders/>
            <w:shd w:fill="CCEEFF" w:val="clear"/>
            <w:vAlign w:val="bottom"/>
          </w:tcPr>
          <w:p>
            <w:pPr>
              <w:pStyle w:val="TableContents"/>
              <w:bidi w:val="0"/>
              <w:spacing w:before="0" w:after="283"/>
              <w:jc w:val="right"/>
              <w:rPr/>
            </w:pPr>
            <w:r>
              <w:rPr/>
              <w:t>123,000,000.00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283"/>
              <w:jc w:val="right"/>
              <w:rPr/>
            </w:pPr>
            <w:r>
              <w:rPr/>
              <w:t>6.648648649</w:t>
            </w:r>
          </w:p>
        </w:tc>
        <w:tc>
          <w:tcPr>
            <w:tcW w:w="324"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The Bank of Nova Scotia</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39,864,864.86</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39" w:type="dxa"/>
            <w:tcBorders/>
            <w:vAlign w:val="bottom"/>
          </w:tcPr>
          <w:p>
            <w:pPr>
              <w:pStyle w:val="TableContents"/>
              <w:bidi w:val="0"/>
              <w:spacing w:before="0" w:after="283"/>
              <w:jc w:val="right"/>
              <w:rPr/>
            </w:pPr>
            <w:r>
              <w:rPr/>
              <w:t>118,000,000.00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404" w:type="dxa"/>
            <w:tcBorders/>
            <w:vAlign w:val="bottom"/>
          </w:tcPr>
          <w:p>
            <w:pPr>
              <w:pStyle w:val="TableContents"/>
              <w:bidi w:val="0"/>
              <w:spacing w:before="0" w:after="283"/>
              <w:jc w:val="right"/>
              <w:rPr/>
            </w:pPr>
            <w:r>
              <w:rPr/>
              <w:t>6.378378378</w:t>
            </w:r>
          </w:p>
        </w:tc>
        <w:tc>
          <w:tcPr>
            <w:tcW w:w="324"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HSBC Bank USA, National Association</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38,851,351.35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39" w:type="dxa"/>
            <w:tcBorders/>
            <w:shd w:fill="CCEEFF" w:val="clear"/>
            <w:vAlign w:val="bottom"/>
          </w:tcPr>
          <w:p>
            <w:pPr>
              <w:pStyle w:val="TableContents"/>
              <w:bidi w:val="0"/>
              <w:spacing w:before="0" w:after="283"/>
              <w:jc w:val="right"/>
              <w:rPr/>
            </w:pPr>
            <w:r>
              <w:rPr/>
              <w:t>115,000,000.00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283"/>
              <w:jc w:val="right"/>
              <w:rPr/>
            </w:pPr>
            <w:r>
              <w:rPr/>
              <w:t>6.216216216</w:t>
            </w:r>
          </w:p>
        </w:tc>
        <w:tc>
          <w:tcPr>
            <w:tcW w:w="324"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38,175,675.68</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39" w:type="dxa"/>
            <w:tcBorders/>
            <w:vAlign w:val="bottom"/>
          </w:tcPr>
          <w:p>
            <w:pPr>
              <w:pStyle w:val="TableContents"/>
              <w:bidi w:val="0"/>
              <w:spacing w:before="0" w:after="283"/>
              <w:jc w:val="right"/>
              <w:rPr/>
            </w:pPr>
            <w:r>
              <w:rPr/>
              <w:t>113,000,000.00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404" w:type="dxa"/>
            <w:tcBorders/>
            <w:vAlign w:val="bottom"/>
          </w:tcPr>
          <w:p>
            <w:pPr>
              <w:pStyle w:val="TableContents"/>
              <w:bidi w:val="0"/>
              <w:spacing w:before="0" w:after="283"/>
              <w:jc w:val="right"/>
              <w:rPr/>
            </w:pPr>
            <w:r>
              <w:rPr/>
              <w:t>6.108108108</w:t>
            </w:r>
          </w:p>
        </w:tc>
        <w:tc>
          <w:tcPr>
            <w:tcW w:w="324"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Citizens Bank, National Association</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36,148,648.65</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39" w:type="dxa"/>
            <w:tcBorders/>
            <w:shd w:fill="CCEEFF" w:val="clear"/>
            <w:vAlign w:val="bottom"/>
          </w:tcPr>
          <w:p>
            <w:pPr>
              <w:pStyle w:val="TableContents"/>
              <w:bidi w:val="0"/>
              <w:spacing w:before="0" w:after="283"/>
              <w:jc w:val="right"/>
              <w:rPr/>
            </w:pPr>
            <w:r>
              <w:rPr/>
              <w:t>107,000,000.00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283"/>
              <w:jc w:val="right"/>
              <w:rPr/>
            </w:pPr>
            <w:r>
              <w:rPr/>
              <w:t>5.783783784</w:t>
            </w:r>
          </w:p>
        </w:tc>
        <w:tc>
          <w:tcPr>
            <w:tcW w:w="324"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Bank USA</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36,148,648.65</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39" w:type="dxa"/>
            <w:tcBorders/>
            <w:vAlign w:val="bottom"/>
          </w:tcPr>
          <w:p>
            <w:pPr>
              <w:pStyle w:val="TableContents"/>
              <w:bidi w:val="0"/>
              <w:spacing w:before="0" w:after="283"/>
              <w:jc w:val="right"/>
              <w:rPr/>
            </w:pPr>
            <w:r>
              <w:rPr/>
              <w:t>107,000,000.00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404" w:type="dxa"/>
            <w:tcBorders/>
            <w:vAlign w:val="bottom"/>
          </w:tcPr>
          <w:p>
            <w:pPr>
              <w:pStyle w:val="TableContents"/>
              <w:bidi w:val="0"/>
              <w:spacing w:before="0" w:after="283"/>
              <w:jc w:val="right"/>
              <w:rPr/>
            </w:pPr>
            <w:r>
              <w:rPr/>
              <w:t>5.783783784</w:t>
            </w:r>
          </w:p>
        </w:tc>
        <w:tc>
          <w:tcPr>
            <w:tcW w:w="324"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Citibank, N.A.</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42" w:type="dxa"/>
            <w:tcBorders/>
            <w:shd w:fill="CCEEFF" w:val="clear"/>
            <w:vAlign w:val="bottom"/>
          </w:tcPr>
          <w:p>
            <w:pPr>
              <w:pStyle w:val="TableContents"/>
              <w:bidi w:val="0"/>
              <w:spacing w:before="0" w:after="283"/>
              <w:jc w:val="right"/>
              <w:rPr/>
            </w:pPr>
            <w:r>
              <w:rPr/>
              <w:t>27,027,027.03</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839" w:type="dxa"/>
            <w:tcBorders/>
            <w:shd w:fill="CCEEFF" w:val="clear"/>
            <w:vAlign w:val="bottom"/>
          </w:tcPr>
          <w:p>
            <w:pPr>
              <w:pStyle w:val="TableContents"/>
              <w:bidi w:val="0"/>
              <w:spacing w:before="0" w:after="283"/>
              <w:jc w:val="right"/>
              <w:rPr/>
            </w:pPr>
            <w:r>
              <w:rPr/>
              <w:t>80,000,000.00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283"/>
              <w:jc w:val="right"/>
              <w:rPr/>
            </w:pPr>
            <w:r>
              <w:rPr/>
              <w:t>4.324324324</w:t>
            </w:r>
          </w:p>
        </w:tc>
        <w:tc>
          <w:tcPr>
            <w:tcW w:w="324"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Bank, N.A.</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42" w:type="dxa"/>
            <w:tcBorders/>
            <w:vAlign w:val="bottom"/>
          </w:tcPr>
          <w:p>
            <w:pPr>
              <w:pStyle w:val="TableContents"/>
              <w:bidi w:val="0"/>
              <w:spacing w:before="0" w:after="283"/>
              <w:jc w:val="right"/>
              <w:rPr/>
            </w:pPr>
            <w:r>
              <w:rPr/>
              <w:t>27,027,027.03</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839" w:type="dxa"/>
            <w:tcBorders/>
            <w:vAlign w:val="bottom"/>
          </w:tcPr>
          <w:p>
            <w:pPr>
              <w:pStyle w:val="TableContents"/>
              <w:bidi w:val="0"/>
              <w:spacing w:before="0" w:after="283"/>
              <w:jc w:val="right"/>
              <w:rPr/>
            </w:pPr>
            <w:r>
              <w:rPr/>
              <w:t>80,000,000.00</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2404" w:type="dxa"/>
            <w:tcBorders/>
            <w:vAlign w:val="bottom"/>
          </w:tcPr>
          <w:p>
            <w:pPr>
              <w:pStyle w:val="TableContents"/>
              <w:bidi w:val="0"/>
              <w:spacing w:before="0" w:after="283"/>
              <w:jc w:val="right"/>
              <w:rPr/>
            </w:pPr>
            <w:r>
              <w:rPr/>
              <w:t>4.324324324</w:t>
            </w:r>
          </w:p>
        </w:tc>
        <w:tc>
          <w:tcPr>
            <w:tcW w:w="324"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240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r>
      <w:tr>
        <w:trPr/>
        <w:tc>
          <w:tcPr>
            <w:tcW w:w="297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642" w:type="dxa"/>
            <w:tcBorders/>
            <w:shd w:fill="CCEEFF" w:val="clear"/>
            <w:vAlign w:val="bottom"/>
          </w:tcPr>
          <w:p>
            <w:pPr>
              <w:pStyle w:val="TableContents"/>
              <w:bidi w:val="0"/>
              <w:spacing w:before="0" w:after="283"/>
              <w:jc w:val="right"/>
              <w:rPr>
                <w:b/>
              </w:rPr>
            </w:pPr>
            <w:r>
              <w:rPr>
                <w:b/>
              </w:rPr>
              <w:t>625,000,000.00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839" w:type="dxa"/>
            <w:tcBorders/>
            <w:shd w:fill="CCEEFF" w:val="clear"/>
            <w:vAlign w:val="bottom"/>
          </w:tcPr>
          <w:p>
            <w:pPr>
              <w:pStyle w:val="TableContents"/>
              <w:bidi w:val="0"/>
              <w:spacing w:before="0" w:after="283"/>
              <w:jc w:val="right"/>
              <w:rPr>
                <w:b/>
              </w:rPr>
            </w:pPr>
            <w:r>
              <w:rPr>
                <w:b/>
              </w:rPr>
              <w:t>1,850,000,000.00</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2404" w:type="dxa"/>
            <w:tcBorders/>
            <w:shd w:fill="CCEEFF" w:val="clear"/>
            <w:vAlign w:val="bottom"/>
          </w:tcPr>
          <w:p>
            <w:pPr>
              <w:pStyle w:val="TableContents"/>
              <w:bidi w:val="0"/>
              <w:spacing w:before="0" w:after="283"/>
              <w:jc w:val="right"/>
              <w:rPr>
                <w:b/>
              </w:rPr>
            </w:pPr>
            <w:r>
              <w:rPr>
                <w:b/>
              </w:rPr>
              <w:t>100.000000000</w:t>
            </w:r>
          </w:p>
        </w:tc>
        <w:tc>
          <w:tcPr>
            <w:tcW w:w="324" w:type="dxa"/>
            <w:tcBorders/>
            <w:shd w:fill="CCEEFF" w:val="clear"/>
            <w:vAlign w:val="bottom"/>
          </w:tcPr>
          <w:p>
            <w:pPr>
              <w:pStyle w:val="TableContents"/>
              <w:bidi w:val="0"/>
              <w:spacing w:before="0" w:after="283"/>
              <w:jc w:val="left"/>
              <w:rPr>
                <w:b/>
              </w:rPr>
            </w:pPr>
            <w:r>
              <w:rPr>
                <w:b/>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240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Commitment and Canadian Commitment are sub-facilities of the Revolving Commitment and are not in addition to the Revolving Commitment. </w:t>
            </w:r>
          </w:p>
        </w:tc>
      </w:tr>
    </w:tbl>
    <w:p>
      <w:pPr>
        <w:pStyle w:val="TextBody"/>
        <w:bidi w:val="0"/>
        <w:spacing w:before="0" w:after="0"/>
        <w:jc w:val="right"/>
        <w:rPr>
          <w:rFonts w:ascii="Times New Roman" w:hAnsi="Times New Roman"/>
          <w:b/>
          <w:sz w:val="20"/>
        </w:rPr>
      </w:pPr>
      <w:bookmarkStart w:id="4" w:name="d163628dex102.htm"/>
      <w:bookmarkStart w:id="5" w:name="ksd163628dex102"/>
      <w:bookmarkEnd w:id="4"/>
      <w:bookmarkEnd w:id="5"/>
      <w:r>
        <w:rPr>
          <w:rFonts w:ascii="Times New Roman" w:hAnsi="Times New Roman"/>
          <w:b/>
          <w:sz w:val="20"/>
        </w:rPr>
        <w:t xml:space="preserve">Exhibit 10.2 </w:t>
      </w:r>
      <w:r>
        <w:br w:type="page"/>
      </w:r>
    </w:p>
    <w:p>
      <w:pPr>
        <w:pStyle w:val="TextBody"/>
        <w:bidi w:val="0"/>
        <w:spacing w:before="12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TENTH AMENDMENT TO FIFTH AMENDED AND RESTATED RECEIVABLES PURCHASE AGREEMENT </w:t>
      </w:r>
    </w:p>
    <w:p>
      <w:pPr>
        <w:pStyle w:val="TextBody"/>
        <w:bidi w:val="0"/>
        <w:spacing w:before="240" w:after="0"/>
        <w:jc w:val="left"/>
        <w:rPr>
          <w:rFonts w:ascii="Times New Roman" w:hAnsi="Times New Roman"/>
          <w:sz w:val="20"/>
        </w:rPr>
      </w:pPr>
      <w:r>
        <w:rPr>
          <w:rFonts w:ascii="Times New Roman" w:hAnsi="Times New Roman"/>
          <w:sz w:val="20"/>
        </w:rPr>
        <w:t>THIS TENTH AMENDMENT TO FIFTH AMENDED AND RESTATED RECEIVABLES PURCHASE AGREEMENT (this “</w:t>
      </w:r>
      <w:r>
        <w:rPr>
          <w:rFonts w:ascii="Times New Roman" w:hAnsi="Times New Roman"/>
          <w:sz w:val="20"/>
          <w:u w:val="single"/>
        </w:rPr>
        <w:t>Amendment</w:t>
      </w:r>
      <w:r>
        <w:rPr>
          <w:rFonts w:ascii="Times New Roman" w:hAnsi="Times New Roman"/>
          <w:sz w:val="20"/>
        </w:rPr>
        <w:t>”), dated as of September 17, 2026, is entered into among WESCO RECEIVABLES CORP. (the “</w:t>
      </w:r>
      <w:r>
        <w:rPr>
          <w:rFonts w:ascii="Times New Roman" w:hAnsi="Times New Roman"/>
          <w:sz w:val="20"/>
          <w:u w:val="single"/>
        </w:rPr>
        <w:t>Seller</w:t>
      </w:r>
      <w:r>
        <w:rPr>
          <w:rFonts w:ascii="Times New Roman" w:hAnsi="Times New Roman"/>
          <w:sz w:val="20"/>
        </w:rPr>
        <w:t>”), WESCO DISTRIBUTION, INC. (“</w:t>
      </w:r>
      <w:r>
        <w:rPr>
          <w:rFonts w:ascii="Times New Roman" w:hAnsi="Times New Roman"/>
          <w:sz w:val="20"/>
          <w:u w:val="single"/>
        </w:rPr>
        <w:t>WESCO</w:t>
      </w:r>
      <w:r>
        <w:rPr>
          <w:rFonts w:ascii="Times New Roman" w:hAnsi="Times New Roman"/>
          <w:sz w:val="20"/>
        </w:rPr>
        <w:t>” or the “</w:t>
      </w:r>
      <w:r>
        <w:rPr>
          <w:rFonts w:ascii="Times New Roman" w:hAnsi="Times New Roman"/>
          <w:sz w:val="20"/>
          <w:u w:val="single"/>
        </w:rPr>
        <w:t>Servicer</w:t>
      </w:r>
      <w:r>
        <w:rPr>
          <w:rFonts w:ascii="Times New Roman" w:hAnsi="Times New Roman"/>
          <w:sz w:val="20"/>
        </w:rPr>
        <w:t>”), the Purchasers party hereto (each, a “</w:t>
      </w:r>
      <w:r>
        <w:rPr>
          <w:rFonts w:ascii="Times New Roman" w:hAnsi="Times New Roman"/>
          <w:sz w:val="20"/>
          <w:u w:val="single"/>
        </w:rPr>
        <w:t>Purchaser</w:t>
      </w:r>
      <w:r>
        <w:rPr>
          <w:rFonts w:ascii="Times New Roman" w:hAnsi="Times New Roman"/>
          <w:sz w:val="20"/>
        </w:rPr>
        <w:t>”), the Purchaser Agents party hereto (each, a “</w:t>
      </w:r>
      <w:r>
        <w:rPr>
          <w:rFonts w:ascii="Times New Roman" w:hAnsi="Times New Roman"/>
          <w:sz w:val="20"/>
          <w:u w:val="single"/>
        </w:rPr>
        <w:t>Purchaser Agent</w:t>
      </w:r>
      <w:r>
        <w:rPr>
          <w:rFonts w:ascii="Times New Roman" w:hAnsi="Times New Roman"/>
          <w:sz w:val="20"/>
        </w:rPr>
        <w:t>”) and PNC BANK, NATIONAL ASSOCIATION, as Administrator (the “</w:t>
      </w:r>
      <w:r>
        <w:rPr>
          <w:rFonts w:ascii="Times New Roman" w:hAnsi="Times New Roman"/>
          <w:sz w:val="20"/>
          <w:u w:val="single"/>
        </w:rPr>
        <w:t>Administrator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1. The Seller, the Servicer, each Purchaser, each Purchaser Agent and the Administrator are parties to the Fifth Amended and Restated Receivables Purchase Agreement, dated as of June 22, 2020 (as amended, restated, supplemented or otherwise modified through the date hereof, the “</w:t>
      </w:r>
      <w:r>
        <w:rPr>
          <w:rFonts w:ascii="Times New Roman" w:hAnsi="Times New Roman"/>
          <w:sz w:val="20"/>
          <w:u w:val="single"/>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 Concurrently herewith, the Seller, the Servicer and the Originators are entering into that certain Fifth Amendment to the Purchase and Sale Agreement (the “</w:t>
      </w:r>
      <w:r>
        <w:rPr>
          <w:rFonts w:ascii="Times New Roman" w:hAnsi="Times New Roman"/>
          <w:sz w:val="20"/>
          <w:u w:val="single"/>
        </w:rPr>
        <w:t>PSA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The parties hereto desire to join PNC Capital Markets LLC as party to the Agreement as Structuring Agent. </w:t>
      </w:r>
    </w:p>
    <w:p>
      <w:pPr>
        <w:pStyle w:val="TextBody"/>
        <w:bidi w:val="0"/>
        <w:spacing w:before="240" w:after="0"/>
        <w:jc w:val="left"/>
        <w:rPr>
          <w:rFonts w:ascii="Times New Roman" w:hAnsi="Times New Roman"/>
          <w:sz w:val="20"/>
        </w:rPr>
      </w:pPr>
      <w:r>
        <w:rPr>
          <w:rFonts w:ascii="Times New Roman" w:hAnsi="Times New Roman"/>
          <w:sz w:val="20"/>
        </w:rPr>
        <w:t xml:space="preserve">4. The parties hereto desire to amend the Agreement as hereinafter set forth. </w:t>
      </w:r>
    </w:p>
    <w:p>
      <w:pPr>
        <w:pStyle w:val="TextBody"/>
        <w:bidi w:val="0"/>
        <w:spacing w:before="240" w:after="0"/>
        <w:jc w:val="left"/>
        <w:rPr>
          <w:rFonts w:ascii="Times New Roman" w:hAnsi="Times New Roman"/>
          <w:sz w:val="20"/>
        </w:rPr>
      </w:pPr>
      <w:r>
        <w:rPr>
          <w:rFonts w:ascii="Times New Roman" w:hAnsi="Times New Roman"/>
          <w:b/>
          <w:i/>
          <w:sz w:val="20"/>
        </w:rPr>
        <w:t>NOW THEREFORE</w:t>
      </w:r>
      <w:r>
        <w:rPr>
          <w:rFonts w:ascii="Times New Roman" w:hAnsi="Times New Roman"/>
          <w:sz w:val="20"/>
        </w:rPr>
        <w:t xml:space="preserve">, for good and valuable consideration, the receipt and sufficiency of which are hereby acknowledged,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u w:val="single"/>
        </w:rPr>
        <w:t>Certain Defined Terms</w:t>
      </w:r>
      <w:r>
        <w:rPr>
          <w:rFonts w:ascii="Times New Roman" w:hAnsi="Times New Roman"/>
          <w:sz w:val="20"/>
        </w:rPr>
        <w:t xml:space="preserve">. Capitalized terms that are used herein without definition and that are defined in </w:t>
      </w:r>
      <w:r>
        <w:rPr>
          <w:rFonts w:ascii="Times New Roman" w:hAnsi="Times New Roman"/>
          <w:sz w:val="20"/>
          <w:u w:val="single"/>
        </w:rPr>
        <w:t>Exhibit I</w:t>
      </w:r>
      <w:r>
        <w:rPr>
          <w:rFonts w:ascii="Times New Roman" w:hAnsi="Times New Roman"/>
          <w:sz w:val="20"/>
        </w:rPr>
        <w:t xml:space="preserve"> to the Agreement shall have the same meanings herein as therein defined.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u w:val="single"/>
        </w:rPr>
        <w:t>Amendments to the Agreement</w:t>
      </w:r>
      <w:r>
        <w:rPr>
          <w:rFonts w:ascii="Times New Roman" w:hAnsi="Times New Roman"/>
          <w:sz w:val="20"/>
        </w:rPr>
        <w:t xml:space="preserve">. The Agreement is hereby amended to read in the form of </w:t>
      </w:r>
      <w:r>
        <w:rPr>
          <w:rFonts w:ascii="Times New Roman" w:hAnsi="Times New Roman"/>
          <w:sz w:val="20"/>
          <w:u w:val="single"/>
        </w:rPr>
        <w:t>Exhibit A</w:t>
      </w:r>
      <w:r>
        <w:rPr>
          <w:rFonts w:ascii="Times New Roman" w:hAnsi="Times New Roman"/>
          <w:sz w:val="20"/>
        </w:rPr>
        <w:t xml:space="preserve"> to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u w:val="single"/>
        </w:rPr>
        <w:t>Representations and Warranties</w:t>
      </w:r>
      <w:r>
        <w:rPr>
          <w:rFonts w:ascii="Times New Roman" w:hAnsi="Times New Roman"/>
          <w:sz w:val="20"/>
        </w:rPr>
        <w:t xml:space="preserve">. The Seller and the Servicer hereby represent and warrant to each of the parties hereto as follows: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Representations and Warranties</w:t>
      </w:r>
      <w:r>
        <w:rPr>
          <w:rFonts w:ascii="Times New Roman" w:hAnsi="Times New Roman"/>
          <w:sz w:val="20"/>
        </w:rPr>
        <w:t xml:space="preserve">. The representations and warranties contained in </w:t>
      </w:r>
      <w:r>
        <w:rPr>
          <w:rFonts w:ascii="Times New Roman" w:hAnsi="Times New Roman"/>
          <w:sz w:val="20"/>
          <w:u w:val="single"/>
        </w:rPr>
        <w:t>Exhibit III</w:t>
      </w:r>
      <w:r>
        <w:rPr>
          <w:rFonts w:ascii="Times New Roman" w:hAnsi="Times New Roman"/>
          <w:sz w:val="20"/>
        </w:rPr>
        <w:t xml:space="preserve"> to the Agreement, as amended hereby, are true and correct in all material respects as of the date hereof; provided that if such representation and warranty relates solely to an earlier date, such representation and warranty was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No Default</w:t>
      </w:r>
      <w:r>
        <w:rPr>
          <w:rFonts w:ascii="Times New Roman" w:hAnsi="Times New Roman"/>
          <w:sz w:val="20"/>
        </w:rPr>
        <w:t xml:space="preserve">. Immediately before and after giving effect to this Amendment and the transactions contemplated hereby, no Termination Event or Unmatured Termination Event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u w:val="single"/>
        </w:rPr>
        <w:t>Effect of Amendment</w:t>
      </w:r>
      <w:r>
        <w:rPr>
          <w:rFonts w:ascii="Times New Roman" w:hAnsi="Times New Roman"/>
          <w:sz w:val="20"/>
        </w:rPr>
        <w:t xml:space="preserve">. All provisions of the Agreement, as expressly amended and modified by this Amendment, shall remain in full force and effect. As of and after the date hereof, all references in the Agreement (or in any other Transaction Document) to “this Agreement”, “hereof”, “herein” or words of similar effect referring to the Agreement shall be deemed to be references to the Agreement as amended by this Amendment. This Amendment shall not be deemed, either expressly or impliedly, to waive, amend or supplement any provision of the Agreement other than as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u w:val="single"/>
        </w:rPr>
        <w:t>Effectiveness</w:t>
      </w:r>
      <w:r>
        <w:rPr>
          <w:rFonts w:ascii="Times New Roman" w:hAnsi="Times New Roman"/>
          <w:sz w:val="20"/>
        </w:rPr>
        <w:t xml:space="preserve">. This Amendment shall become effective as of the date hereof, upon receipt by the Administrator of each of the documents, opinions, certificates and searches listed on </w:t>
      </w:r>
      <w:r>
        <w:rPr>
          <w:rFonts w:ascii="Times New Roman" w:hAnsi="Times New Roman"/>
          <w:sz w:val="20"/>
          <w:u w:val="single"/>
        </w:rPr>
        <w:t>Exhibit B</w:t>
      </w:r>
      <w:r>
        <w:rPr>
          <w:rFonts w:ascii="Times New Roman" w:hAnsi="Times New Roman"/>
          <w:sz w:val="20"/>
        </w:rPr>
        <w:t xml:space="preserve"> hereto, in each case in form and substance reasonably satisfactory to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u w:val="single"/>
        </w:rPr>
        <w:t>Counterparts</w:t>
      </w:r>
      <w:r>
        <w:rPr>
          <w:rFonts w:ascii="Times New Roman" w:hAnsi="Times New Roman"/>
          <w:sz w:val="20"/>
        </w:rPr>
        <w:t xml:space="preserve">. This Amendment may be executed in any number of counterparts and by different parties on separate counterparts, each of which when so executed shall be deemed to be an original and all of which when taken together shall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u w:val="single"/>
        </w:rPr>
        <w:t>Governing Law;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7.1 THIS AMENDMENT SHALL BE A CONTRACT MADE UNDER AND GOVERNED BY THE INTERNAL LAWS OF THE STATE OF NEW YORK (INCLUDING FOR SUCH PURPOSE SECTIONS 5-1401 AND 5-1402 OF THE GENERAL OBLIGATIONS LAW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7.2 ANY LEGAL ACTION OR PROCEEDING WITH RESPECT TO THIS AMENDMENT MAY BE BROUGHT IN THE COURTS OF THE STATE OF NEW YORK OR OF THE UNITED STATES FOR THE SOUTHERN DISTRICT OF NEW YORK; AND, BY EXECUTION AND DELIVERY OF THIS AMENDMENT, EACH OF THE PARTIES HERETO CONSENTS, FOR ITSELF AND IN RESPECT OF ITS PROPERTY, TO THE NON-EXCLUSIVE JURISDICTION OF THOSE COURTS. EACH OF THE PARTIES HERETO IRREVOCABLY WAIVES, TO THE MAXIMUM EXTENT PERMITTED BY LAW, ANY OBJECTION, INCLUDING ANY OBJECTION TO THE LAYING OF VENUE OR BASED ON THE GROUNDS OF FORUM NON CONVENIENS, THAT IT MAY NOW OR HEREAFTER HAVE TO THE BRINGING OF ANY ACTION OR PROCEEDING IN SUCH JURISDICTION IN RESPECT OF THIS AMENDMENT OR ANY DOCUMENT RELATED HERETO. EACH OF THE PARTIES HERETO WAIVES PERSONAL SERVICE OF ANY SUMMONS, COMPLAINT OR OTHER PROCESS, WHICH SERVICE MAY BE MADE BY ANY OTHER MEANS PERMITTED BY NEW YORK LAW.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u w:val="single"/>
        </w:rPr>
        <w:t>Section Headings</w:t>
      </w:r>
      <w:r>
        <w:rPr>
          <w:rFonts w:ascii="Times New Roman" w:hAnsi="Times New Roman"/>
          <w:sz w:val="20"/>
        </w:rPr>
        <w:t xml:space="preserve">. The various headings of this Amendment are included for convenience only and shall not affect the meaning or interpretation of this Amendment, the Agreement or any provision hereof or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i/>
          <w:sz w:val="20"/>
          <w:u w:val="single"/>
        </w:rPr>
        <w:t>Consents</w:t>
      </w:r>
      <w:r>
        <w:rPr>
          <w:rFonts w:ascii="Times New Roman" w:hAnsi="Times New Roman"/>
          <w:sz w:val="20"/>
        </w:rPr>
        <w:t xml:space="preserve">. The parties hereto hereby consent to the entry into the PSA Amendment by the Seller, the Servicer and the Originators.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u w:val="single"/>
        </w:rPr>
        <w:t>Certain Joinder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10.1 Effective as of the date hereof Bay Cube Funding LLC hereby becomes a party to the Agreement as a Conduit Purchaser thereunder with all the rights, interests, duties and obligations of a Conduit Purchaser thereunder and shall appoint Canadian Imperial Bank of Commerce to act as its Purchaser Agent and shall be a member of its Purchaser Group; and </w:t>
      </w:r>
    </w:p>
    <w:p>
      <w:pPr>
        <w:pStyle w:val="TextBody"/>
        <w:bidi w:val="0"/>
        <w:spacing w:before="120" w:after="0"/>
        <w:jc w:val="left"/>
        <w:rPr>
          <w:rFonts w:ascii="Times New Roman" w:hAnsi="Times New Roman"/>
          <w:sz w:val="20"/>
        </w:rPr>
      </w:pPr>
      <w:r>
        <w:rPr>
          <w:rFonts w:ascii="Times New Roman" w:hAnsi="Times New Roman"/>
          <w:sz w:val="20"/>
        </w:rPr>
        <w:t xml:space="preserve">10.2 To the extent that its consent is required therefor, each of the parties hereto hereby consent to the proposed joinder set forth in this Section and agrees that this Section shall constitute a Transfer Supplement for purposes of the Agreement.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Amendment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5"/>
        <w:gridCol w:w="60"/>
        <w:gridCol w:w="3377"/>
      </w:tblGrid>
      <w:tr>
        <w:trPr/>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WESCO RECEIVABLES CORP.</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Brian M. Begg</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Brian M. Begg</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WESCO DISTRIBUTION, INC.,</w:t>
            </w:r>
          </w:p>
        </w:tc>
      </w:tr>
      <w:tr>
        <w:trPr/>
        <w:tc>
          <w:tcPr>
            <w:tcW w:w="4082" w:type="dxa"/>
            <w:gridSpan w:val="3"/>
            <w:tcBorders/>
          </w:tcPr>
          <w:p>
            <w:pPr>
              <w:pStyle w:val="TableContents"/>
              <w:bidi w:val="0"/>
              <w:spacing w:before="0" w:after="283"/>
              <w:jc w:val="left"/>
              <w:rPr/>
            </w:pPr>
            <w:r>
              <w:rPr/>
              <w:t>as Servicer</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3437"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7" w:type="dxa"/>
            <w:tcBorders>
              <w:bottom w:val="single" w:sz="2" w:space="0" w:color="000000"/>
            </w:tcBorders>
            <w:tcMar>
              <w:bottom w:w="28" w:type="dxa"/>
            </w:tcMar>
          </w:tcPr>
          <w:p>
            <w:pPr>
              <w:pStyle w:val="TableContents"/>
              <w:bidi w:val="0"/>
              <w:spacing w:before="0" w:after="283"/>
              <w:jc w:val="left"/>
              <w:rPr/>
            </w:pPr>
            <w:r>
              <w:rPr/>
              <w:t>/s/ Brian M. Begg</w:t>
            </w:r>
          </w:p>
        </w:tc>
      </w:tr>
      <w:tr>
        <w:trPr/>
        <w:tc>
          <w:tcPr>
            <w:tcW w:w="64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Brian M. Begg</w:t>
            </w:r>
          </w:p>
        </w:tc>
      </w:tr>
      <w:tr>
        <w:trPr/>
        <w:tc>
          <w:tcPr>
            <w:tcW w:w="64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7" w:type="dxa"/>
            <w:tcBorders/>
          </w:tcPr>
          <w:p>
            <w:pPr>
              <w:pStyle w:val="TableContents"/>
              <w:bidi w:val="0"/>
              <w:spacing w:before="0" w:after="283"/>
              <w:jc w:val="left"/>
              <w:rPr/>
            </w:pPr>
            <w:r>
              <w:rPr/>
              <w:t>Senior Vice President &amp; Treasurer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S-1</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Tenth Amendment to</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Fifth A&amp;R RPA</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a Committed Purchaser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Imad Naja</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Imad Naja</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Senior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Purchaser Agent for PNC Bank, National Association</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Imad Naja</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Imad Naja</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Senior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Administrator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Imad Naja</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Imad Naja</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Senior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20"/>
              <w:jc w:val="left"/>
              <w:rPr>
                <w:rFonts w:ascii="Times New Roman" w:hAnsi="Times New Roman"/>
                <w:sz w:val="20"/>
              </w:rPr>
            </w:pPr>
            <w:r>
              <w:rPr>
                <w:rFonts w:ascii="Times New Roman" w:hAnsi="Times New Roman"/>
                <w:sz w:val="20"/>
              </w:rPr>
              <w:t>as Structuring Agent</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Imad Naja</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Imad Naja</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S-2</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Tenth Amendment to</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Fifth A&amp;R RPA</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a Committed Purchaser</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Charles Liles</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Charles Liles</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Executive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Purchaser Agent for Wells Fargo Bank, National Association</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Charles Liles</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Charles Liles</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Executive 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S-3</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Tenth Amendment to</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Fifth A&amp;R RPA</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FIFTH THIRD BANK, NATIONAL ASSOCIATION, as a Committed Purchaser</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Joseph Sandy</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Joseph Sandy</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FIFTH THIRD BANK, NATIONAL ASSOCIATION,</w:t>
            </w:r>
          </w:p>
          <w:p>
            <w:pPr>
              <w:pStyle w:val="TableContents"/>
              <w:bidi w:val="0"/>
              <w:spacing w:before="0" w:after="20"/>
              <w:jc w:val="left"/>
              <w:rPr>
                <w:rFonts w:ascii="Times New Roman" w:hAnsi="Times New Roman"/>
                <w:sz w:val="20"/>
              </w:rPr>
            </w:pPr>
            <w:r>
              <w:rPr>
                <w:rFonts w:ascii="Times New Roman" w:hAnsi="Times New Roman"/>
                <w:sz w:val="20"/>
              </w:rPr>
              <w:t>as Purchaser Agent for Fifth Third Bank, National Association</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Joseph Sandy</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Joseph Sandy</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Tenth Amendment to</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Fifth A&amp;R RPA</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LIBERTY STREET FUNDING LLC, as a Conduit Purchaser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Kevin J. Corrigan</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Kevin J. Corrigan</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NOVA SCOTIA, as Purchaser Agent for Liberty Street Funding LLC and as a Committed Purchaser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Elie Silver</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Elie Silver</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S-5</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Tenth Amendment to</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Fifth A&amp;R RPA</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81"/>
        <w:gridCol w:w="60"/>
        <w:gridCol w:w="3341"/>
      </w:tblGrid>
      <w:tr>
        <w:trPr/>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COMPUTERSHARE TRUST COMPANY OF CANADA, in its capacity as trustee of RELIANT TRUST, by its U.S. Financial Services Agent, THE TORONTO-DOMINION BANK, as a Conduit Purchaser</w:t>
            </w:r>
          </w:p>
        </w:tc>
      </w:tr>
      <w:tr>
        <w:trPr>
          <w:trHeight w:val="240" w:hRule="atLeast"/>
        </w:trPr>
        <w:tc>
          <w:tcPr>
            <w:tcW w:w="681" w:type="dxa"/>
            <w:tcBorders/>
            <w:vAlign w:val="center"/>
          </w:tcPr>
          <w:p>
            <w:pPr>
              <w:pStyle w:val="TableContents"/>
              <w:bidi w:val="0"/>
              <w:spacing w:before="0" w:after="283"/>
              <w:jc w:val="left"/>
              <w:rPr>
                <w:sz w:val="4"/>
                <w:szCs w:val="4"/>
              </w:rPr>
            </w:pPr>
            <w:r>
              <w:rPr>
                <w:sz w:val="4"/>
                <w:szCs w:val="4"/>
              </w:rPr>
            </w:r>
          </w:p>
        </w:tc>
        <w:tc>
          <w:tcPr>
            <w:tcW w:w="3401" w:type="dxa"/>
            <w:gridSpan w:val="2"/>
            <w:tcBorders/>
            <w:vAlign w:val="center"/>
          </w:tcPr>
          <w:p>
            <w:pPr>
              <w:pStyle w:val="TableContents"/>
              <w:bidi w:val="0"/>
              <w:spacing w:before="0" w:after="283"/>
              <w:jc w:val="left"/>
              <w:rPr>
                <w:sz w:val="4"/>
                <w:szCs w:val="4"/>
              </w:rPr>
            </w:pPr>
            <w:r>
              <w:rPr>
                <w:sz w:val="4"/>
                <w:szCs w:val="4"/>
              </w:rPr>
            </w:r>
          </w:p>
        </w:tc>
      </w:tr>
      <w:tr>
        <w:trPr/>
        <w:tc>
          <w:tcPr>
            <w:tcW w:w="68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1" w:type="dxa"/>
            <w:tcBorders>
              <w:bottom w:val="single" w:sz="2" w:space="0" w:color="000000"/>
            </w:tcBorders>
            <w:tcMar>
              <w:bottom w:w="28" w:type="dxa"/>
            </w:tcMar>
          </w:tcPr>
          <w:p>
            <w:pPr>
              <w:pStyle w:val="TableContents"/>
              <w:bidi w:val="0"/>
              <w:spacing w:before="0" w:after="283"/>
              <w:jc w:val="left"/>
              <w:rPr/>
            </w:pPr>
            <w:r>
              <w:rPr/>
              <w:t>/s/ Leena Mills</w:t>
            </w:r>
          </w:p>
        </w:tc>
      </w:tr>
      <w:tr>
        <w:trPr/>
        <w:tc>
          <w:tcPr>
            <w:tcW w:w="68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Leena Mills</w:t>
            </w:r>
          </w:p>
        </w:tc>
      </w:tr>
      <w:tr>
        <w:trPr/>
        <w:tc>
          <w:tcPr>
            <w:tcW w:w="68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GTA FUNDING LLC, as a Conduit Purchaser</w:t>
            </w:r>
          </w:p>
        </w:tc>
      </w:tr>
      <w:tr>
        <w:trPr>
          <w:trHeight w:val="240" w:hRule="atLeast"/>
        </w:trPr>
        <w:tc>
          <w:tcPr>
            <w:tcW w:w="681" w:type="dxa"/>
            <w:tcBorders/>
            <w:vAlign w:val="center"/>
          </w:tcPr>
          <w:p>
            <w:pPr>
              <w:pStyle w:val="TableContents"/>
              <w:bidi w:val="0"/>
              <w:spacing w:before="0" w:after="283"/>
              <w:jc w:val="left"/>
              <w:rPr>
                <w:sz w:val="4"/>
                <w:szCs w:val="4"/>
              </w:rPr>
            </w:pPr>
            <w:r>
              <w:rPr>
                <w:sz w:val="4"/>
                <w:szCs w:val="4"/>
              </w:rPr>
            </w:r>
          </w:p>
        </w:tc>
        <w:tc>
          <w:tcPr>
            <w:tcW w:w="3401" w:type="dxa"/>
            <w:gridSpan w:val="2"/>
            <w:tcBorders/>
            <w:vAlign w:val="center"/>
          </w:tcPr>
          <w:p>
            <w:pPr>
              <w:pStyle w:val="TableContents"/>
              <w:bidi w:val="0"/>
              <w:spacing w:before="0" w:after="283"/>
              <w:jc w:val="left"/>
              <w:rPr>
                <w:sz w:val="4"/>
                <w:szCs w:val="4"/>
              </w:rPr>
            </w:pPr>
            <w:r>
              <w:rPr>
                <w:sz w:val="4"/>
                <w:szCs w:val="4"/>
              </w:rPr>
            </w:r>
          </w:p>
        </w:tc>
      </w:tr>
      <w:tr>
        <w:trPr/>
        <w:tc>
          <w:tcPr>
            <w:tcW w:w="68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1" w:type="dxa"/>
            <w:tcBorders>
              <w:bottom w:val="single" w:sz="2" w:space="0" w:color="000000"/>
            </w:tcBorders>
            <w:tcMar>
              <w:bottom w:w="28" w:type="dxa"/>
            </w:tcMar>
          </w:tcPr>
          <w:p>
            <w:pPr>
              <w:pStyle w:val="TableContents"/>
              <w:bidi w:val="0"/>
              <w:spacing w:before="0" w:after="283"/>
              <w:jc w:val="left"/>
              <w:rPr/>
            </w:pPr>
            <w:r>
              <w:rPr/>
              <w:t>/s/ Kevin J. Corrigan</w:t>
            </w:r>
          </w:p>
        </w:tc>
      </w:tr>
      <w:tr>
        <w:trPr/>
        <w:tc>
          <w:tcPr>
            <w:tcW w:w="68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Kevin J. Corrigan</w:t>
            </w:r>
          </w:p>
        </w:tc>
      </w:tr>
      <w:tr>
        <w:trPr/>
        <w:tc>
          <w:tcPr>
            <w:tcW w:w="68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TORONTO-DOMINION BANK, as Purchaser Agent for Reliant Trust and GTA Funding LLC and as a Committed Purchaser</w:t>
            </w:r>
          </w:p>
        </w:tc>
      </w:tr>
      <w:tr>
        <w:trPr>
          <w:trHeight w:val="240" w:hRule="atLeast"/>
        </w:trPr>
        <w:tc>
          <w:tcPr>
            <w:tcW w:w="681" w:type="dxa"/>
            <w:tcBorders/>
            <w:vAlign w:val="center"/>
          </w:tcPr>
          <w:p>
            <w:pPr>
              <w:pStyle w:val="TableContents"/>
              <w:bidi w:val="0"/>
              <w:spacing w:before="0" w:after="283"/>
              <w:jc w:val="left"/>
              <w:rPr>
                <w:sz w:val="4"/>
                <w:szCs w:val="4"/>
              </w:rPr>
            </w:pPr>
            <w:r>
              <w:rPr>
                <w:sz w:val="4"/>
                <w:szCs w:val="4"/>
              </w:rPr>
            </w:r>
          </w:p>
        </w:tc>
        <w:tc>
          <w:tcPr>
            <w:tcW w:w="3401" w:type="dxa"/>
            <w:gridSpan w:val="2"/>
            <w:tcBorders/>
            <w:vAlign w:val="center"/>
          </w:tcPr>
          <w:p>
            <w:pPr>
              <w:pStyle w:val="TableContents"/>
              <w:bidi w:val="0"/>
              <w:spacing w:before="0" w:after="283"/>
              <w:jc w:val="left"/>
              <w:rPr>
                <w:sz w:val="4"/>
                <w:szCs w:val="4"/>
              </w:rPr>
            </w:pPr>
            <w:r>
              <w:rPr>
                <w:sz w:val="4"/>
                <w:szCs w:val="4"/>
              </w:rPr>
            </w:r>
          </w:p>
        </w:tc>
      </w:tr>
      <w:tr>
        <w:trPr/>
        <w:tc>
          <w:tcPr>
            <w:tcW w:w="68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1" w:type="dxa"/>
            <w:tcBorders>
              <w:bottom w:val="single" w:sz="2" w:space="0" w:color="000000"/>
            </w:tcBorders>
            <w:tcMar>
              <w:bottom w:w="28" w:type="dxa"/>
            </w:tcMar>
          </w:tcPr>
          <w:p>
            <w:pPr>
              <w:pStyle w:val="TableContents"/>
              <w:bidi w:val="0"/>
              <w:spacing w:before="0" w:after="283"/>
              <w:jc w:val="left"/>
              <w:rPr/>
            </w:pPr>
            <w:r>
              <w:rPr/>
              <w:t>/s/ Leena Mills</w:t>
            </w:r>
          </w:p>
        </w:tc>
      </w:tr>
      <w:tr>
        <w:trPr/>
        <w:tc>
          <w:tcPr>
            <w:tcW w:w="68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Leena Mills</w:t>
            </w:r>
          </w:p>
        </w:tc>
      </w:tr>
      <w:tr>
        <w:trPr/>
        <w:tc>
          <w:tcPr>
            <w:tcW w:w="68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1"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Tenth Amendment to</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Fifth A&amp;R RPA</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NATIONAL ASSOCIATION, as a Committed Purchaser</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Chris Haynes</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Chris Haynes</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Senior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NATIONAL ASSOCIATION, as Purchaser Agent for Bank of America, National Association</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8" w:type="dxa"/>
            <w:tcBorders>
              <w:bottom w:val="single" w:sz="2" w:space="0" w:color="000000"/>
            </w:tcBorders>
            <w:tcMar>
              <w:bottom w:w="28" w:type="dxa"/>
            </w:tcMar>
          </w:tcPr>
          <w:p>
            <w:pPr>
              <w:pStyle w:val="TableContents"/>
              <w:bidi w:val="0"/>
              <w:spacing w:before="0" w:after="283"/>
              <w:jc w:val="left"/>
              <w:rPr/>
            </w:pPr>
            <w:r>
              <w:rPr/>
              <w:t>/s/ Chris Haynes</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Chris Haynes</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S-7</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Tenth Amendment to</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Fifth A&amp;R RPA</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024"/>
        <w:gridCol w:w="67"/>
        <w:gridCol w:w="2991"/>
      </w:tblGrid>
      <w:tr>
        <w:trPr/>
        <w:tc>
          <w:tcPr>
            <w:tcW w:w="1024"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CANADIAN IMPERIAL BANK OF COMMERCE, as Purchaser Agent for Macro Trust, Bay Square Funding LLC and Bay Cube Funding LLC and as a Committed Purchaser</w:t>
            </w:r>
          </w:p>
        </w:tc>
      </w:tr>
      <w:tr>
        <w:trPr>
          <w:trHeight w:val="240" w:hRule="atLeast"/>
        </w:trPr>
        <w:tc>
          <w:tcPr>
            <w:tcW w:w="1024" w:type="dxa"/>
            <w:tcBorders/>
            <w:vAlign w:val="center"/>
          </w:tcPr>
          <w:p>
            <w:pPr>
              <w:pStyle w:val="TableContents"/>
              <w:bidi w:val="0"/>
              <w:spacing w:before="0" w:after="283"/>
              <w:jc w:val="left"/>
              <w:rPr>
                <w:sz w:val="4"/>
                <w:szCs w:val="4"/>
              </w:rPr>
            </w:pPr>
            <w:r>
              <w:rPr>
                <w:sz w:val="4"/>
                <w:szCs w:val="4"/>
              </w:rPr>
            </w:r>
          </w:p>
        </w:tc>
        <w:tc>
          <w:tcPr>
            <w:tcW w:w="3058" w:type="dxa"/>
            <w:gridSpan w:val="2"/>
            <w:tcBorders/>
            <w:vAlign w:val="center"/>
          </w:tcPr>
          <w:p>
            <w:pPr>
              <w:pStyle w:val="TableContents"/>
              <w:bidi w:val="0"/>
              <w:spacing w:before="0" w:after="283"/>
              <w:jc w:val="left"/>
              <w:rPr>
                <w:sz w:val="4"/>
                <w:szCs w:val="4"/>
              </w:rPr>
            </w:pPr>
            <w:r>
              <w:rPr>
                <w:sz w:val="4"/>
                <w:szCs w:val="4"/>
              </w:rPr>
            </w:r>
          </w:p>
        </w:tc>
      </w:tr>
      <w:tr>
        <w:trPr/>
        <w:tc>
          <w:tcPr>
            <w:tcW w:w="1024"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2991" w:type="dxa"/>
            <w:tcBorders>
              <w:bottom w:val="single" w:sz="2" w:space="0" w:color="000000"/>
            </w:tcBorders>
            <w:tcMar>
              <w:bottom w:w="28" w:type="dxa"/>
            </w:tcMar>
          </w:tcPr>
          <w:p>
            <w:pPr>
              <w:pStyle w:val="TableContents"/>
              <w:bidi w:val="0"/>
              <w:spacing w:before="0" w:after="283"/>
              <w:jc w:val="left"/>
              <w:rPr/>
            </w:pPr>
            <w:r>
              <w:rPr/>
              <w:t>/s/ King Lam</w:t>
            </w:r>
          </w:p>
        </w:tc>
      </w:tr>
      <w:tr>
        <w:trPr/>
        <w:tc>
          <w:tcPr>
            <w:tcW w:w="1024"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King Lam</w:t>
            </w:r>
          </w:p>
        </w:tc>
      </w:tr>
      <w:tr>
        <w:trPr/>
        <w:tc>
          <w:tcPr>
            <w:tcW w:w="1024"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Authorized Signatory</w:t>
            </w:r>
          </w:p>
        </w:tc>
      </w:tr>
      <w:tr>
        <w:trPr>
          <w:trHeight w:val="240" w:hRule="atLeast"/>
        </w:trPr>
        <w:tc>
          <w:tcPr>
            <w:tcW w:w="1024" w:type="dxa"/>
            <w:tcBorders/>
            <w:vAlign w:val="center"/>
          </w:tcPr>
          <w:p>
            <w:pPr>
              <w:pStyle w:val="TableContents"/>
              <w:bidi w:val="0"/>
              <w:spacing w:before="0" w:after="283"/>
              <w:jc w:val="left"/>
              <w:rPr>
                <w:sz w:val="4"/>
                <w:szCs w:val="4"/>
              </w:rPr>
            </w:pPr>
            <w:r>
              <w:rPr>
                <w:sz w:val="4"/>
                <w:szCs w:val="4"/>
              </w:rPr>
            </w:r>
          </w:p>
        </w:tc>
        <w:tc>
          <w:tcPr>
            <w:tcW w:w="3058" w:type="dxa"/>
            <w:gridSpan w:val="2"/>
            <w:tcBorders/>
            <w:vAlign w:val="center"/>
          </w:tcPr>
          <w:p>
            <w:pPr>
              <w:pStyle w:val="TableContents"/>
              <w:bidi w:val="0"/>
              <w:spacing w:before="0" w:after="283"/>
              <w:jc w:val="left"/>
              <w:rPr>
                <w:sz w:val="4"/>
                <w:szCs w:val="4"/>
              </w:rPr>
            </w:pPr>
            <w:r>
              <w:rPr>
                <w:sz w:val="4"/>
                <w:szCs w:val="4"/>
              </w:rPr>
            </w:r>
          </w:p>
        </w:tc>
      </w:tr>
      <w:tr>
        <w:trPr/>
        <w:tc>
          <w:tcPr>
            <w:tcW w:w="1024"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2991" w:type="dxa"/>
            <w:tcBorders>
              <w:bottom w:val="single" w:sz="2" w:space="0" w:color="000000"/>
            </w:tcBorders>
            <w:tcMar>
              <w:bottom w:w="28" w:type="dxa"/>
            </w:tcMar>
          </w:tcPr>
          <w:p>
            <w:pPr>
              <w:pStyle w:val="TableContents"/>
              <w:bidi w:val="0"/>
              <w:spacing w:before="0" w:after="283"/>
              <w:jc w:val="left"/>
              <w:rPr/>
            </w:pPr>
            <w:r>
              <w:rPr/>
              <w:t>/s/ Mike Jefferson</w:t>
            </w:r>
          </w:p>
        </w:tc>
      </w:tr>
      <w:tr>
        <w:trPr/>
        <w:tc>
          <w:tcPr>
            <w:tcW w:w="1024"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Mike Jefferson</w:t>
            </w:r>
          </w:p>
        </w:tc>
      </w:tr>
      <w:tr>
        <w:trPr/>
        <w:tc>
          <w:tcPr>
            <w:tcW w:w="1024"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BAY SQUARE FUNDING LLC, as a Conduit Purchaser</w:t>
            </w:r>
          </w:p>
        </w:tc>
      </w:tr>
      <w:tr>
        <w:trPr>
          <w:trHeight w:val="240" w:hRule="atLeast"/>
        </w:trPr>
        <w:tc>
          <w:tcPr>
            <w:tcW w:w="1024" w:type="dxa"/>
            <w:tcBorders/>
            <w:vAlign w:val="center"/>
          </w:tcPr>
          <w:p>
            <w:pPr>
              <w:pStyle w:val="TableContents"/>
              <w:bidi w:val="0"/>
              <w:spacing w:before="0" w:after="283"/>
              <w:jc w:val="left"/>
              <w:rPr>
                <w:sz w:val="4"/>
                <w:szCs w:val="4"/>
              </w:rPr>
            </w:pPr>
            <w:r>
              <w:rPr>
                <w:sz w:val="4"/>
                <w:szCs w:val="4"/>
              </w:rPr>
            </w:r>
          </w:p>
        </w:tc>
        <w:tc>
          <w:tcPr>
            <w:tcW w:w="3058" w:type="dxa"/>
            <w:gridSpan w:val="2"/>
            <w:tcBorders/>
            <w:vAlign w:val="center"/>
          </w:tcPr>
          <w:p>
            <w:pPr>
              <w:pStyle w:val="TableContents"/>
              <w:bidi w:val="0"/>
              <w:spacing w:before="0" w:after="283"/>
              <w:jc w:val="left"/>
              <w:rPr>
                <w:sz w:val="4"/>
                <w:szCs w:val="4"/>
              </w:rPr>
            </w:pPr>
            <w:r>
              <w:rPr>
                <w:sz w:val="4"/>
                <w:szCs w:val="4"/>
              </w:rPr>
            </w:r>
          </w:p>
        </w:tc>
      </w:tr>
      <w:tr>
        <w:trPr/>
        <w:tc>
          <w:tcPr>
            <w:tcW w:w="1024"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2991" w:type="dxa"/>
            <w:tcBorders>
              <w:bottom w:val="single" w:sz="2" w:space="0" w:color="000000"/>
            </w:tcBorders>
            <w:tcMar>
              <w:bottom w:w="28" w:type="dxa"/>
            </w:tcMar>
          </w:tcPr>
          <w:p>
            <w:pPr>
              <w:pStyle w:val="TableContents"/>
              <w:bidi w:val="0"/>
              <w:spacing w:before="0" w:after="283"/>
              <w:jc w:val="left"/>
              <w:rPr/>
            </w:pPr>
            <w:r>
              <w:rPr/>
              <w:t>/s/ Kevin J. Corrigan</w:t>
            </w:r>
          </w:p>
        </w:tc>
      </w:tr>
      <w:tr>
        <w:trPr/>
        <w:tc>
          <w:tcPr>
            <w:tcW w:w="1024"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Kevin J. Corrigan</w:t>
            </w:r>
          </w:p>
        </w:tc>
      </w:tr>
      <w:tr>
        <w:trPr/>
        <w:tc>
          <w:tcPr>
            <w:tcW w:w="1024"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COMPUTERSHARE TRUST COMPANY OF CANADA, in its capacity as trustee of MACRO TRUST, by its Financial Services Agent, CANADIAN IMPERIAL BANK OF COMMERCE, as a Conduit Purchaser</w:t>
            </w:r>
          </w:p>
        </w:tc>
      </w:tr>
      <w:tr>
        <w:trPr>
          <w:trHeight w:val="240" w:hRule="atLeast"/>
        </w:trPr>
        <w:tc>
          <w:tcPr>
            <w:tcW w:w="1024" w:type="dxa"/>
            <w:tcBorders/>
            <w:vAlign w:val="center"/>
          </w:tcPr>
          <w:p>
            <w:pPr>
              <w:pStyle w:val="TableContents"/>
              <w:bidi w:val="0"/>
              <w:spacing w:before="0" w:after="283"/>
              <w:jc w:val="left"/>
              <w:rPr>
                <w:sz w:val="4"/>
                <w:szCs w:val="4"/>
              </w:rPr>
            </w:pPr>
            <w:r>
              <w:rPr>
                <w:sz w:val="4"/>
                <w:szCs w:val="4"/>
              </w:rPr>
            </w:r>
          </w:p>
        </w:tc>
        <w:tc>
          <w:tcPr>
            <w:tcW w:w="3058" w:type="dxa"/>
            <w:gridSpan w:val="2"/>
            <w:tcBorders/>
            <w:vAlign w:val="center"/>
          </w:tcPr>
          <w:p>
            <w:pPr>
              <w:pStyle w:val="TableContents"/>
              <w:bidi w:val="0"/>
              <w:spacing w:before="0" w:after="283"/>
              <w:jc w:val="left"/>
              <w:rPr>
                <w:sz w:val="4"/>
                <w:szCs w:val="4"/>
              </w:rPr>
            </w:pPr>
            <w:r>
              <w:rPr>
                <w:sz w:val="4"/>
                <w:szCs w:val="4"/>
              </w:rPr>
            </w:r>
          </w:p>
        </w:tc>
      </w:tr>
      <w:tr>
        <w:trPr/>
        <w:tc>
          <w:tcPr>
            <w:tcW w:w="1024"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2991" w:type="dxa"/>
            <w:tcBorders>
              <w:bottom w:val="single" w:sz="2" w:space="0" w:color="000000"/>
            </w:tcBorders>
            <w:tcMar>
              <w:bottom w:w="28" w:type="dxa"/>
            </w:tcMar>
          </w:tcPr>
          <w:p>
            <w:pPr>
              <w:pStyle w:val="TableContents"/>
              <w:bidi w:val="0"/>
              <w:spacing w:before="0" w:after="283"/>
              <w:jc w:val="left"/>
              <w:rPr/>
            </w:pPr>
            <w:r>
              <w:rPr/>
              <w:t>/s/ King Lam</w:t>
            </w:r>
          </w:p>
        </w:tc>
      </w:tr>
      <w:tr>
        <w:trPr/>
        <w:tc>
          <w:tcPr>
            <w:tcW w:w="1024"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King Lam</w:t>
            </w:r>
          </w:p>
        </w:tc>
      </w:tr>
      <w:tr>
        <w:trPr/>
        <w:tc>
          <w:tcPr>
            <w:tcW w:w="1024"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Authorized Signatory</w:t>
            </w:r>
          </w:p>
        </w:tc>
      </w:tr>
      <w:tr>
        <w:trPr>
          <w:trHeight w:val="240" w:hRule="atLeast"/>
        </w:trPr>
        <w:tc>
          <w:tcPr>
            <w:tcW w:w="1024" w:type="dxa"/>
            <w:tcBorders/>
            <w:vAlign w:val="center"/>
          </w:tcPr>
          <w:p>
            <w:pPr>
              <w:pStyle w:val="TableContents"/>
              <w:bidi w:val="0"/>
              <w:spacing w:before="0" w:after="283"/>
              <w:jc w:val="left"/>
              <w:rPr>
                <w:sz w:val="4"/>
                <w:szCs w:val="4"/>
              </w:rPr>
            </w:pPr>
            <w:r>
              <w:rPr>
                <w:sz w:val="4"/>
                <w:szCs w:val="4"/>
              </w:rPr>
            </w:r>
          </w:p>
        </w:tc>
        <w:tc>
          <w:tcPr>
            <w:tcW w:w="3058" w:type="dxa"/>
            <w:gridSpan w:val="2"/>
            <w:tcBorders/>
            <w:vAlign w:val="center"/>
          </w:tcPr>
          <w:p>
            <w:pPr>
              <w:pStyle w:val="TableContents"/>
              <w:bidi w:val="0"/>
              <w:spacing w:before="0" w:after="283"/>
              <w:jc w:val="left"/>
              <w:rPr>
                <w:sz w:val="4"/>
                <w:szCs w:val="4"/>
              </w:rPr>
            </w:pPr>
            <w:r>
              <w:rPr>
                <w:sz w:val="4"/>
                <w:szCs w:val="4"/>
              </w:rPr>
            </w:r>
          </w:p>
        </w:tc>
      </w:tr>
      <w:tr>
        <w:trPr/>
        <w:tc>
          <w:tcPr>
            <w:tcW w:w="1024"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2991" w:type="dxa"/>
            <w:tcBorders>
              <w:bottom w:val="single" w:sz="2" w:space="0" w:color="000000"/>
            </w:tcBorders>
            <w:tcMar>
              <w:bottom w:w="28" w:type="dxa"/>
            </w:tcMar>
          </w:tcPr>
          <w:p>
            <w:pPr>
              <w:pStyle w:val="TableContents"/>
              <w:bidi w:val="0"/>
              <w:spacing w:before="0" w:after="283"/>
              <w:jc w:val="left"/>
              <w:rPr/>
            </w:pPr>
            <w:r>
              <w:rPr/>
              <w:t>/s/ Mike Jefferson</w:t>
            </w:r>
          </w:p>
        </w:tc>
      </w:tr>
      <w:tr>
        <w:trPr/>
        <w:tc>
          <w:tcPr>
            <w:tcW w:w="1024"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Mike Jefferson</w:t>
            </w:r>
          </w:p>
        </w:tc>
      </w:tr>
      <w:tr>
        <w:trPr/>
        <w:tc>
          <w:tcPr>
            <w:tcW w:w="1024"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BAY CUBE FUNDING LLC, as a Conduit Purchaser</w:t>
            </w:r>
          </w:p>
        </w:tc>
      </w:tr>
      <w:tr>
        <w:trPr>
          <w:trHeight w:val="240" w:hRule="atLeast"/>
        </w:trPr>
        <w:tc>
          <w:tcPr>
            <w:tcW w:w="1024" w:type="dxa"/>
            <w:tcBorders/>
            <w:vAlign w:val="center"/>
          </w:tcPr>
          <w:p>
            <w:pPr>
              <w:pStyle w:val="TableContents"/>
              <w:bidi w:val="0"/>
              <w:spacing w:before="0" w:after="283"/>
              <w:jc w:val="left"/>
              <w:rPr>
                <w:sz w:val="4"/>
                <w:szCs w:val="4"/>
              </w:rPr>
            </w:pPr>
            <w:r>
              <w:rPr>
                <w:sz w:val="4"/>
                <w:szCs w:val="4"/>
              </w:rPr>
            </w:r>
          </w:p>
        </w:tc>
        <w:tc>
          <w:tcPr>
            <w:tcW w:w="3058" w:type="dxa"/>
            <w:gridSpan w:val="2"/>
            <w:tcBorders/>
            <w:vAlign w:val="center"/>
          </w:tcPr>
          <w:p>
            <w:pPr>
              <w:pStyle w:val="TableContents"/>
              <w:bidi w:val="0"/>
              <w:spacing w:before="0" w:after="283"/>
              <w:jc w:val="left"/>
              <w:rPr>
                <w:sz w:val="4"/>
                <w:szCs w:val="4"/>
              </w:rPr>
            </w:pPr>
            <w:r>
              <w:rPr>
                <w:sz w:val="4"/>
                <w:szCs w:val="4"/>
              </w:rPr>
            </w:r>
          </w:p>
        </w:tc>
      </w:tr>
      <w:tr>
        <w:trPr/>
        <w:tc>
          <w:tcPr>
            <w:tcW w:w="1024"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2991" w:type="dxa"/>
            <w:tcBorders>
              <w:bottom w:val="single" w:sz="2" w:space="0" w:color="000000"/>
            </w:tcBorders>
            <w:tcMar>
              <w:bottom w:w="28" w:type="dxa"/>
            </w:tcMar>
          </w:tcPr>
          <w:p>
            <w:pPr>
              <w:pStyle w:val="TableContents"/>
              <w:bidi w:val="0"/>
              <w:spacing w:before="0" w:after="283"/>
              <w:jc w:val="left"/>
              <w:rPr/>
            </w:pPr>
            <w:r>
              <w:rPr/>
              <w:t>/s/ Kevin J. Corrigan</w:t>
            </w:r>
          </w:p>
        </w:tc>
      </w:tr>
      <w:tr>
        <w:trPr/>
        <w:tc>
          <w:tcPr>
            <w:tcW w:w="1024"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Kevin J. Corrigan</w:t>
            </w:r>
          </w:p>
        </w:tc>
      </w:tr>
      <w:tr>
        <w:trPr/>
        <w:tc>
          <w:tcPr>
            <w:tcW w:w="1024"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299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S-8</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Tenth Amendment to</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Fifth A&amp;R RPA</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HSBC BANK USA, NATIONAL ASSOCIATION,</w:t>
            </w:r>
          </w:p>
          <w:p>
            <w:pPr>
              <w:pStyle w:val="TableContents"/>
              <w:bidi w:val="0"/>
              <w:spacing w:before="0" w:after="20"/>
              <w:jc w:val="left"/>
              <w:rPr>
                <w:rFonts w:ascii="Times New Roman" w:hAnsi="Times New Roman"/>
                <w:sz w:val="20"/>
              </w:rPr>
            </w:pPr>
            <w:r>
              <w:rPr>
                <w:rFonts w:ascii="Times New Roman" w:hAnsi="Times New Roman"/>
                <w:sz w:val="20"/>
              </w:rPr>
              <w:t>as a Committed Purchaser</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Nicholas Walach</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Nicholas Walach</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HSBC SECURITIES (USA) INC., as Purchaser Agent for HSBC Bank USA, National Association</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Nicholas Walach</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Nicholas Walach</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S-9</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Tenth Amendment to</w:t>
            </w:r>
          </w:p>
        </w:tc>
      </w:tr>
      <w:tr>
        <w:trPr/>
        <w:tc>
          <w:tcPr>
            <w:tcW w:w="34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right"/>
              <w:rPr>
                <w:i/>
              </w:rPr>
            </w:pPr>
            <w:r>
              <w:rPr>
                <w:i/>
              </w:rPr>
              <w:t>Fifth A&amp;R RPA</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TO AMENDMENT 10, DATED AS OF SEPTEMBER 17, 2026 </w:t>
      </w:r>
    </w:p>
    <w:p>
      <w:pPr>
        <w:pStyle w:val="TextBody"/>
        <w:bidi w:val="0"/>
        <w:spacing w:before="240" w:after="0"/>
        <w:jc w:val="center"/>
        <w:rPr>
          <w:rFonts w:ascii="Times New Roman" w:hAnsi="Times New Roman"/>
          <w:sz w:val="20"/>
        </w:rPr>
      </w:pPr>
      <w:r>
        <w:rPr>
          <w:rFonts w:ascii="Times New Roman" w:hAnsi="Times New Roman"/>
          <w:sz w:val="20"/>
        </w:rPr>
        <w:t xml:space="preserve">FIFTH AMENDED AND RESTATED RECEIVABLES PURCHASE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June 22, 2020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WESCO RECEIVABLES CORP., </w:t>
      </w:r>
    </w:p>
    <w:p>
      <w:pPr>
        <w:pStyle w:val="TextBody"/>
        <w:bidi w:val="0"/>
        <w:spacing w:before="0" w:after="0"/>
        <w:jc w:val="center"/>
        <w:rPr>
          <w:rFonts w:ascii="Times New Roman" w:hAnsi="Times New Roman"/>
          <w:sz w:val="20"/>
        </w:rPr>
      </w:pPr>
      <w:r>
        <w:rPr>
          <w:rFonts w:ascii="Times New Roman" w:hAnsi="Times New Roman"/>
          <w:sz w:val="20"/>
        </w:rPr>
        <w:t xml:space="preserve">as Seller, </w:t>
      </w:r>
    </w:p>
    <w:p>
      <w:pPr>
        <w:pStyle w:val="TextBody"/>
        <w:bidi w:val="0"/>
        <w:spacing w:before="240" w:after="0"/>
        <w:jc w:val="center"/>
        <w:rPr>
          <w:rFonts w:ascii="Times New Roman" w:hAnsi="Times New Roman"/>
          <w:sz w:val="20"/>
        </w:rPr>
      </w:pPr>
      <w:r>
        <w:rPr>
          <w:rFonts w:ascii="Times New Roman" w:hAnsi="Times New Roman"/>
          <w:sz w:val="20"/>
        </w:rPr>
        <w:t xml:space="preserve">WESCO DISTRIBUTION, INC., </w:t>
      </w:r>
    </w:p>
    <w:p>
      <w:pPr>
        <w:pStyle w:val="TextBody"/>
        <w:bidi w:val="0"/>
        <w:spacing w:before="0" w:after="0"/>
        <w:jc w:val="center"/>
        <w:rPr>
          <w:rFonts w:ascii="Times New Roman" w:hAnsi="Times New Roman"/>
          <w:sz w:val="20"/>
        </w:rPr>
      </w:pPr>
      <w:r>
        <w:rPr>
          <w:rFonts w:ascii="Times New Roman" w:hAnsi="Times New Roman"/>
          <w:sz w:val="20"/>
        </w:rPr>
        <w:t xml:space="preserve">as Servicer, </w:t>
      </w:r>
    </w:p>
    <w:p>
      <w:pPr>
        <w:pStyle w:val="TextBody"/>
        <w:bidi w:val="0"/>
        <w:spacing w:before="240" w:after="0"/>
        <w:jc w:val="center"/>
        <w:rPr>
          <w:rFonts w:ascii="Times New Roman" w:hAnsi="Times New Roman"/>
          <w:sz w:val="20"/>
        </w:rPr>
      </w:pPr>
      <w:r>
        <w:rPr>
          <w:rFonts w:ascii="Times New Roman" w:hAnsi="Times New Roman"/>
          <w:sz w:val="20"/>
        </w:rPr>
        <w:t xml:space="preserve">THE VARIOUS PURCHASER GROUPS 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Administrator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center"/>
        <w:rPr>
          <w:rFonts w:ascii="Times New Roman" w:hAnsi="Times New Roman"/>
          <w:sz w:val="20"/>
        </w:rPr>
      </w:pPr>
      <w:r>
        <w:rPr>
          <w:rFonts w:ascii="Times New Roman" w:hAnsi="Times New Roman"/>
          <w:sz w:val="20"/>
        </w:rPr>
        <w:t xml:space="preserve">as Structuring Agent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43"/>
        <w:gridCol w:w="1374"/>
        <w:gridCol w:w="143"/>
        <w:gridCol w:w="7416"/>
        <w:gridCol w:w="143"/>
        <w:gridCol w:w="96"/>
        <w:gridCol w:w="420"/>
        <w:gridCol w:w="63"/>
      </w:tblGrid>
      <w:tr>
        <w:trPr/>
        <w:tc>
          <w:tcPr>
            <w:tcW w:w="407"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41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41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83" w:type="dxa"/>
            <w:gridSpan w:val="5"/>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9483"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I. AMOUNTS AND TERMS OF THE PURCHASES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1517" w:type="dxa"/>
            <w:gridSpan w:val="2"/>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0"/>
              <w:jc w:val="left"/>
              <w:rPr/>
            </w:pPr>
            <w:r>
              <w:rPr/>
              <w:t>  </w:t>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1.1.</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Purchase Facility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1.2.</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Making Purchases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1.3.</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Purchased Interest Computation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1.4.</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Settlement Procedures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1.5.</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Fees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1.6.</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Payments and Computations, Etc.</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1.7.</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Increased Costs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1.8.</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Requirements of Law</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1.9.</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Defaulting Purchasers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1.10.</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Extension of Termination Date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1.11.</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Increase in Commitments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1.12.</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Discount Rates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483" w:type="dxa"/>
            <w:gridSpan w:val="5"/>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9483"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II. REPRESENTATIONS AND WARRANTIES; COVENANTS; TERMINATION EVENTS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1517" w:type="dxa"/>
            <w:gridSpan w:val="2"/>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2.1.</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Representations and Warranties; Covenants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2.2.</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Termination Events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483" w:type="dxa"/>
            <w:gridSpan w:val="5"/>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9483"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III. INDEMNIFICATION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1517" w:type="dxa"/>
            <w:gridSpan w:val="2"/>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3.1.</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Indemnities by the Seller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3.2.</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Indemnities by the Servicer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483" w:type="dxa"/>
            <w:gridSpan w:val="5"/>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9483"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IV. ADMINISTRATION AND COLLECTIONS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1517" w:type="dxa"/>
            <w:gridSpan w:val="2"/>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4.1.</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Appointment of the Servicer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4.2.</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Duties of the Servicer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4.3.</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Lock-Box Account Arrangements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4.4.</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Enforcement Rights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4.5.</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Responsibilities of the Seller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4.6.</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Servicing Fee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4.7.</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[Reserved]</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4.8.</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Erroneous Payment</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483" w:type="dxa"/>
            <w:gridSpan w:val="5"/>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9483"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V. THE AGENTS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1517" w:type="dxa"/>
            <w:gridSpan w:val="2"/>
            <w:tcBorders/>
            <w:vAlign w:val="center"/>
          </w:tcPr>
          <w:p>
            <w:pPr>
              <w:pStyle w:val="TableContents"/>
              <w:bidi w:val="0"/>
              <w:spacing w:before="0" w:after="283"/>
              <w:jc w:val="left"/>
              <w:rPr>
                <w:sz w:val="4"/>
                <w:szCs w:val="4"/>
              </w:rPr>
            </w:pPr>
            <w:r>
              <w:rPr>
                <w:sz w:val="4"/>
                <w:szCs w:val="4"/>
              </w:rPr>
            </w:r>
          </w:p>
        </w:tc>
        <w:tc>
          <w:tcPr>
            <w:tcW w:w="7559"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5.1.</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Appointment and Authorization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5.2.</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Delegation of Duties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5.3.</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Exculpatory Provisions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5.4.</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Reliance by Agents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5.5.</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[Reserved]</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374" w:type="dxa"/>
            <w:tcBorders/>
          </w:tcPr>
          <w:p>
            <w:pPr>
              <w:pStyle w:val="TableContents"/>
              <w:bidi w:val="0"/>
              <w:spacing w:before="0" w:after="283"/>
              <w:jc w:val="left"/>
              <w:rPr/>
            </w:pPr>
            <w:r>
              <w:rPr/>
              <w:t>Section 5.6.</w:t>
            </w:r>
          </w:p>
        </w:tc>
        <w:tc>
          <w:tcPr>
            <w:tcW w:w="143" w:type="dxa"/>
            <w:tcBorders/>
            <w:vAlign w:val="bottom"/>
          </w:tcPr>
          <w:p>
            <w:pPr>
              <w:pStyle w:val="TableContents"/>
              <w:bidi w:val="0"/>
              <w:spacing w:before="0" w:after="283"/>
              <w:jc w:val="left"/>
              <w:rPr/>
            </w:pPr>
            <w:r>
              <w:rPr/>
              <w:t>  </w:t>
            </w:r>
          </w:p>
        </w:tc>
        <w:tc>
          <w:tcPr>
            <w:tcW w:w="7416" w:type="dxa"/>
            <w:tcBorders/>
          </w:tcPr>
          <w:p>
            <w:pPr>
              <w:pStyle w:val="TableContents"/>
              <w:bidi w:val="0"/>
              <w:spacing w:before="0" w:after="283"/>
              <w:jc w:val="left"/>
              <w:rPr/>
            </w:pPr>
            <w:r>
              <w:rPr/>
              <w:t>Notice of Termination Events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8"/>
        <w:gridCol w:w="124"/>
        <w:gridCol w:w="1285"/>
        <w:gridCol w:w="124"/>
        <w:gridCol w:w="7681"/>
        <w:gridCol w:w="124"/>
        <w:gridCol w:w="96"/>
        <w:gridCol w:w="419"/>
        <w:gridCol w:w="64"/>
      </w:tblGrid>
      <w:tr>
        <w:trPr/>
        <w:tc>
          <w:tcPr>
            <w:tcW w:w="28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68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68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288" w:type="dxa"/>
            <w:tcBorders/>
            <w:vAlign w:val="center"/>
          </w:tcPr>
          <w:p>
            <w:pPr>
              <w:pStyle w:val="TableContents"/>
              <w:bidi w:val="0"/>
              <w:spacing w:before="0" w:after="283"/>
              <w:jc w:val="left"/>
              <w:rPr>
                <w:sz w:val="4"/>
                <w:szCs w:val="4"/>
              </w:rPr>
            </w:pPr>
            <w:r>
              <w:rPr>
                <w:sz w:val="4"/>
                <w:szCs w:val="4"/>
              </w:rPr>
            </w:r>
          </w:p>
        </w:tc>
        <w:tc>
          <w:tcPr>
            <w:tcW w:w="1409" w:type="dxa"/>
            <w:gridSpan w:val="2"/>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5.7.</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Non-Reliance on Administrator, Purchaser Agents and Other Purchasers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5.8.</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Administrators and Affiliates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5.9.</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Indemnification</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5.10.</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Successor Administrator</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9502" w:type="dxa"/>
            <w:gridSpan w:val="5"/>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950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ARTICLE VI. MISCELLANEOUS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288" w:type="dxa"/>
            <w:tcBorders/>
            <w:vAlign w:val="center"/>
          </w:tcPr>
          <w:p>
            <w:pPr>
              <w:pStyle w:val="TableContents"/>
              <w:bidi w:val="0"/>
              <w:spacing w:before="0" w:after="283"/>
              <w:jc w:val="left"/>
              <w:rPr>
                <w:sz w:val="4"/>
                <w:szCs w:val="4"/>
              </w:rPr>
            </w:pPr>
            <w:r>
              <w:rPr>
                <w:sz w:val="4"/>
                <w:szCs w:val="4"/>
              </w:rPr>
            </w:r>
          </w:p>
        </w:tc>
        <w:tc>
          <w:tcPr>
            <w:tcW w:w="1409" w:type="dxa"/>
            <w:gridSpan w:val="2"/>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c>
          <w:tcPr>
            <w:tcW w:w="703" w:type="dxa"/>
            <w:gridSpan w:val="4"/>
            <w:tcBorders/>
            <w:vAlign w:val="center"/>
          </w:tcPr>
          <w:p>
            <w:pPr>
              <w:pStyle w:val="TableContents"/>
              <w:bidi w:val="0"/>
              <w:spacing w:before="0" w:after="283"/>
              <w:jc w:val="left"/>
              <w:rPr>
                <w:sz w:val="4"/>
                <w:szCs w:val="4"/>
              </w:rPr>
            </w:pPr>
            <w:r>
              <w:rPr>
                <w:sz w:val="4"/>
                <w:szCs w:val="4"/>
              </w:rPr>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Amendments, Etc.</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6.2.</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Notices, Etc.</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6.3.</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Successors and Assigns; Participations; Assignments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6.4.</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Costs, Expenses and Taxes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6.5.</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No Proceedings; Limitation on Payments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6.6.</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GOVERNING LAW AND JURISDICTION</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6.7.</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Execution in Counterparts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0"/>
              <w:jc w:val="left"/>
              <w:rPr/>
            </w:pPr>
            <w:r>
              <w:rPr/>
              <w:t>  </w:t>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6.8.</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Survival of Termination</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6.9.</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WAIVER OF JURY TRIAL</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6.10.</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Sharing of Recoveries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6.11.</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Right of Setoff</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6.12.</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Entire Agreement</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6.13.</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Headings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6.14.</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Limitation of Liability</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6.15.</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Pledge to a Federal Reserve Bank</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6.16.</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Confidentiality</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6.17.</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Mutual Negotiations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6.18.</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Replacement of Purchasers, Affected Entities and Agents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6.19.</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USA Patriot Act</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6.20.</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Acknowledgement and Consent to Bail-In of Affected Financial Institutions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2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285" w:type="dxa"/>
            <w:tcBorders/>
          </w:tcPr>
          <w:p>
            <w:pPr>
              <w:pStyle w:val="TableContents"/>
              <w:bidi w:val="0"/>
              <w:spacing w:before="0" w:after="283"/>
              <w:jc w:val="left"/>
              <w:rPr/>
            </w:pPr>
            <w:r>
              <w:rPr/>
              <w:t>Section 6.21.</w:t>
            </w:r>
          </w:p>
        </w:tc>
        <w:tc>
          <w:tcPr>
            <w:tcW w:w="124" w:type="dxa"/>
            <w:tcBorders/>
            <w:vAlign w:val="bottom"/>
          </w:tcPr>
          <w:p>
            <w:pPr>
              <w:pStyle w:val="TableContents"/>
              <w:bidi w:val="0"/>
              <w:spacing w:before="0" w:after="283"/>
              <w:jc w:val="left"/>
              <w:rPr/>
            </w:pPr>
            <w:r>
              <w:rPr/>
              <w:t>  </w:t>
            </w:r>
          </w:p>
        </w:tc>
        <w:tc>
          <w:tcPr>
            <w:tcW w:w="7681" w:type="dxa"/>
            <w:tcBorders/>
          </w:tcPr>
          <w:p>
            <w:pPr>
              <w:pStyle w:val="TableContents"/>
              <w:bidi w:val="0"/>
              <w:spacing w:before="0" w:after="283"/>
              <w:jc w:val="left"/>
              <w:rPr/>
            </w:pPr>
            <w:r>
              <w:rPr/>
              <w:t>Acknowledgement Regarding Any Supported QFCs</w:t>
            </w:r>
          </w:p>
        </w:tc>
        <w:tc>
          <w:tcPr>
            <w:tcW w:w="12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101"/>
        <w:gridCol w:w="8574"/>
      </w:tblGrid>
      <w:tr>
        <w:trPr/>
        <w:tc>
          <w:tcPr>
            <w:tcW w:w="153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EXHIBIT I</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Definitions</w:t>
            </w:r>
          </w:p>
        </w:tc>
      </w:tr>
      <w:tr>
        <w:trPr/>
        <w:tc>
          <w:tcPr>
            <w:tcW w:w="1530" w:type="dxa"/>
            <w:tcBorders/>
          </w:tcPr>
          <w:p>
            <w:pPr>
              <w:pStyle w:val="TableContents"/>
              <w:bidi w:val="0"/>
              <w:spacing w:before="0" w:after="283"/>
              <w:jc w:val="left"/>
              <w:rPr/>
            </w:pPr>
            <w:r>
              <w:rPr/>
              <w:t>EXHIBIT II</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Conditions Precedent</w:t>
            </w:r>
          </w:p>
        </w:tc>
      </w:tr>
      <w:tr>
        <w:trPr/>
        <w:tc>
          <w:tcPr>
            <w:tcW w:w="1530" w:type="dxa"/>
            <w:tcBorders/>
          </w:tcPr>
          <w:p>
            <w:pPr>
              <w:pStyle w:val="TableContents"/>
              <w:bidi w:val="0"/>
              <w:spacing w:before="0" w:after="283"/>
              <w:jc w:val="left"/>
              <w:rPr/>
            </w:pPr>
            <w:r>
              <w:rPr/>
              <w:t>EXHIBIT III</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Representations and Warranties</w:t>
            </w:r>
          </w:p>
        </w:tc>
      </w:tr>
      <w:tr>
        <w:trPr/>
        <w:tc>
          <w:tcPr>
            <w:tcW w:w="1530" w:type="dxa"/>
            <w:tcBorders/>
          </w:tcPr>
          <w:p>
            <w:pPr>
              <w:pStyle w:val="TableContents"/>
              <w:bidi w:val="0"/>
              <w:spacing w:before="0" w:after="283"/>
              <w:jc w:val="left"/>
              <w:rPr/>
            </w:pPr>
            <w:r>
              <w:rPr/>
              <w:t>EXHIBIT IV</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Covenants</w:t>
            </w:r>
          </w:p>
        </w:tc>
      </w:tr>
      <w:tr>
        <w:trPr/>
        <w:tc>
          <w:tcPr>
            <w:tcW w:w="1530" w:type="dxa"/>
            <w:tcBorders/>
          </w:tcPr>
          <w:p>
            <w:pPr>
              <w:pStyle w:val="TableContents"/>
              <w:bidi w:val="0"/>
              <w:spacing w:before="0" w:after="283"/>
              <w:jc w:val="left"/>
              <w:rPr/>
            </w:pPr>
            <w:r>
              <w:rPr/>
              <w:t>EXHIBIT V</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Termination Events</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SCHEDULE I</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Credit and Collection Policy</w:t>
            </w:r>
          </w:p>
        </w:tc>
      </w:tr>
      <w:tr>
        <w:trPr/>
        <w:tc>
          <w:tcPr>
            <w:tcW w:w="1530" w:type="dxa"/>
            <w:tcBorders/>
          </w:tcPr>
          <w:p>
            <w:pPr>
              <w:pStyle w:val="TableContents"/>
              <w:bidi w:val="0"/>
              <w:spacing w:before="0" w:after="283"/>
              <w:jc w:val="left"/>
              <w:rPr/>
            </w:pPr>
            <w:r>
              <w:rPr/>
              <w:t>SCHEDULE II</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[Reserved]</w:t>
            </w:r>
          </w:p>
        </w:tc>
      </w:tr>
      <w:tr>
        <w:trPr/>
        <w:tc>
          <w:tcPr>
            <w:tcW w:w="1530" w:type="dxa"/>
            <w:tcBorders/>
          </w:tcPr>
          <w:p>
            <w:pPr>
              <w:pStyle w:val="TableContents"/>
              <w:bidi w:val="0"/>
              <w:spacing w:before="0" w:after="283"/>
              <w:jc w:val="left"/>
              <w:rPr/>
            </w:pPr>
            <w:r>
              <w:rPr/>
              <w:t>SCHEDULE III</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Trade Names</w:t>
            </w:r>
          </w:p>
        </w:tc>
      </w:tr>
      <w:tr>
        <w:trPr/>
        <w:tc>
          <w:tcPr>
            <w:tcW w:w="1530" w:type="dxa"/>
            <w:tcBorders/>
          </w:tcPr>
          <w:p>
            <w:pPr>
              <w:pStyle w:val="TableContents"/>
              <w:bidi w:val="0"/>
              <w:spacing w:before="0" w:after="283"/>
              <w:jc w:val="left"/>
              <w:rPr/>
            </w:pPr>
            <w:r>
              <w:rPr/>
              <w:t>SCHEDULE IV</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Notice Information</w:t>
            </w:r>
          </w:p>
        </w:tc>
      </w:tr>
      <w:tr>
        <w:trPr/>
        <w:tc>
          <w:tcPr>
            <w:tcW w:w="1530" w:type="dxa"/>
            <w:tcBorders/>
          </w:tcPr>
          <w:p>
            <w:pPr>
              <w:pStyle w:val="TableContents"/>
              <w:bidi w:val="0"/>
              <w:spacing w:before="0" w:after="283"/>
              <w:jc w:val="left"/>
              <w:rPr/>
            </w:pPr>
            <w:r>
              <w:rPr/>
              <w:t>SCHEDULE V</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[Reserved]</w:t>
            </w:r>
          </w:p>
        </w:tc>
      </w:tr>
      <w:tr>
        <w:trPr/>
        <w:tc>
          <w:tcPr>
            <w:tcW w:w="1530" w:type="dxa"/>
            <w:tcBorders/>
          </w:tcPr>
          <w:p>
            <w:pPr>
              <w:pStyle w:val="TableContents"/>
              <w:bidi w:val="0"/>
              <w:spacing w:before="0" w:after="283"/>
              <w:jc w:val="left"/>
              <w:rPr/>
            </w:pPr>
            <w:r>
              <w:rPr/>
              <w:t>SCHEDULE VI</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Commitments</w:t>
            </w:r>
          </w:p>
        </w:tc>
      </w:tr>
      <w:tr>
        <w:trPr/>
        <w:tc>
          <w:tcPr>
            <w:tcW w:w="1530" w:type="dxa"/>
            <w:tcBorders/>
          </w:tcPr>
          <w:p>
            <w:pPr>
              <w:pStyle w:val="TableContents"/>
              <w:bidi w:val="0"/>
              <w:spacing w:before="0" w:after="283"/>
              <w:jc w:val="left"/>
              <w:rPr/>
            </w:pPr>
            <w:r>
              <w:rPr/>
              <w:t>SCHEDULE VII</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Scheduled Commitment Termination Date</w:t>
            </w:r>
          </w:p>
        </w:tc>
      </w:tr>
      <w:tr>
        <w:trPr/>
        <w:tc>
          <w:tcPr>
            <w:tcW w:w="1530" w:type="dxa"/>
            <w:tcBorders/>
          </w:tcPr>
          <w:p>
            <w:pPr>
              <w:pStyle w:val="TableContents"/>
              <w:bidi w:val="0"/>
              <w:spacing w:before="0" w:after="283"/>
              <w:jc w:val="left"/>
              <w:rPr/>
            </w:pPr>
            <w:r>
              <w:rPr/>
              <w:t>SCHEDULE VIII</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[Reserved]</w:t>
            </w:r>
          </w:p>
        </w:tc>
      </w:tr>
      <w:tr>
        <w:trPr/>
        <w:tc>
          <w:tcPr>
            <w:tcW w:w="1530" w:type="dxa"/>
            <w:tcBorders/>
          </w:tcPr>
          <w:p>
            <w:pPr>
              <w:pStyle w:val="TableContents"/>
              <w:bidi w:val="0"/>
              <w:spacing w:before="0" w:after="283"/>
              <w:jc w:val="left"/>
              <w:rPr/>
            </w:pPr>
            <w:r>
              <w:rPr/>
              <w:t>SCHEDULE IX</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[Reserved]</w:t>
            </w:r>
          </w:p>
        </w:tc>
      </w:tr>
      <w:tr>
        <w:trPr/>
        <w:tc>
          <w:tcPr>
            <w:tcW w:w="1530" w:type="dxa"/>
            <w:tcBorders/>
          </w:tcPr>
          <w:p>
            <w:pPr>
              <w:pStyle w:val="TableContents"/>
              <w:bidi w:val="0"/>
              <w:spacing w:before="0" w:after="283"/>
              <w:jc w:val="left"/>
              <w:rPr/>
            </w:pPr>
            <w:r>
              <w:rPr/>
              <w:t>SCHEDULE X</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Excluded Receivables</w:t>
            </w:r>
          </w:p>
        </w:tc>
      </w:tr>
      <w:tr>
        <w:trPr/>
        <w:tc>
          <w:tcPr>
            <w:tcW w:w="1530" w:type="dxa"/>
            <w:tcBorders/>
          </w:tcPr>
          <w:p>
            <w:pPr>
              <w:pStyle w:val="TableContents"/>
              <w:bidi w:val="0"/>
              <w:spacing w:before="0" w:after="283"/>
              <w:jc w:val="left"/>
              <w:rPr/>
            </w:pPr>
            <w:r>
              <w:rPr/>
              <w:t>SCHEDULE XI</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Closing Memorandum</w:t>
            </w:r>
          </w:p>
        </w:tc>
      </w:tr>
      <w:tr>
        <w:trPr>
          <w:trHeight w:val="120" w:hRule="atLeast"/>
        </w:trPr>
        <w:tc>
          <w:tcPr>
            <w:tcW w:w="1530"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pPr>
            <w:r>
              <w:rPr/>
              <w:t>ANNEX A</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Form of Information Package</w:t>
            </w:r>
          </w:p>
        </w:tc>
      </w:tr>
      <w:tr>
        <w:trPr/>
        <w:tc>
          <w:tcPr>
            <w:tcW w:w="1530" w:type="dxa"/>
            <w:tcBorders/>
          </w:tcPr>
          <w:p>
            <w:pPr>
              <w:pStyle w:val="TableContents"/>
              <w:bidi w:val="0"/>
              <w:spacing w:before="0" w:after="283"/>
              <w:jc w:val="left"/>
              <w:rPr/>
            </w:pPr>
            <w:r>
              <w:rPr/>
              <w:t>ANNEX B</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Form of Purchase Notice</w:t>
            </w:r>
          </w:p>
        </w:tc>
      </w:tr>
      <w:tr>
        <w:trPr/>
        <w:tc>
          <w:tcPr>
            <w:tcW w:w="1530" w:type="dxa"/>
            <w:tcBorders/>
          </w:tcPr>
          <w:p>
            <w:pPr>
              <w:pStyle w:val="TableContents"/>
              <w:bidi w:val="0"/>
              <w:spacing w:before="0" w:after="283"/>
              <w:jc w:val="left"/>
              <w:rPr/>
            </w:pPr>
            <w:r>
              <w:rPr/>
              <w:t>ANNEX C</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Form of Daily Report</w:t>
            </w:r>
          </w:p>
        </w:tc>
      </w:tr>
      <w:tr>
        <w:trPr/>
        <w:tc>
          <w:tcPr>
            <w:tcW w:w="1530" w:type="dxa"/>
            <w:tcBorders/>
          </w:tcPr>
          <w:p>
            <w:pPr>
              <w:pStyle w:val="TableContents"/>
              <w:bidi w:val="0"/>
              <w:spacing w:before="0" w:after="283"/>
              <w:jc w:val="left"/>
              <w:rPr/>
            </w:pPr>
            <w:r>
              <w:rPr/>
              <w:t>ANNEX D</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Form of Assumption Agreement</w:t>
            </w:r>
          </w:p>
        </w:tc>
      </w:tr>
      <w:tr>
        <w:trPr/>
        <w:tc>
          <w:tcPr>
            <w:tcW w:w="1530" w:type="dxa"/>
            <w:tcBorders/>
          </w:tcPr>
          <w:p>
            <w:pPr>
              <w:pStyle w:val="TableContents"/>
              <w:bidi w:val="0"/>
              <w:spacing w:before="0" w:after="283"/>
              <w:jc w:val="left"/>
              <w:rPr/>
            </w:pPr>
            <w:r>
              <w:rPr/>
              <w:t>ANNEX E</w:t>
            </w:r>
          </w:p>
        </w:tc>
        <w:tc>
          <w:tcPr>
            <w:tcW w:w="101" w:type="dxa"/>
            <w:tcBorders/>
            <w:vAlign w:val="bottom"/>
          </w:tcPr>
          <w:p>
            <w:pPr>
              <w:pStyle w:val="TableContents"/>
              <w:bidi w:val="0"/>
              <w:spacing w:before="0" w:after="283"/>
              <w:jc w:val="left"/>
              <w:rPr/>
            </w:pPr>
            <w:r>
              <w:rPr/>
              <w:t> </w:t>
            </w:r>
          </w:p>
        </w:tc>
        <w:tc>
          <w:tcPr>
            <w:tcW w:w="8574" w:type="dxa"/>
            <w:tcBorders/>
          </w:tcPr>
          <w:p>
            <w:pPr>
              <w:pStyle w:val="TableContents"/>
              <w:bidi w:val="0"/>
              <w:spacing w:before="0" w:after="283"/>
              <w:jc w:val="left"/>
              <w:rPr/>
            </w:pPr>
            <w:r>
              <w:rPr/>
              <w:t>Form of Transfer Supplement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FIFTH AMENDED AND RESTATED RECEIVABLES PURCHASE AGREEMENT (as amended, supplemented or otherwise modified from time to time, this “</w:t>
      </w:r>
      <w:r>
        <w:rPr>
          <w:rFonts w:ascii="Times New Roman" w:hAnsi="Times New Roman"/>
          <w:sz w:val="20"/>
          <w:u w:val="single"/>
        </w:rPr>
        <w:t>Agreement</w:t>
      </w:r>
      <w:r>
        <w:rPr>
          <w:rFonts w:ascii="Times New Roman" w:hAnsi="Times New Roman"/>
          <w:sz w:val="20"/>
        </w:rPr>
        <w:t>”) is entered into as of June 22, 2020, among WESCO RECEIVABLES CORP., a Delaware corporation, as seller (the “</w:t>
      </w:r>
      <w:r>
        <w:rPr>
          <w:rFonts w:ascii="Times New Roman" w:hAnsi="Times New Roman"/>
          <w:sz w:val="20"/>
          <w:u w:val="single"/>
        </w:rPr>
        <w:t>Seller</w:t>
      </w:r>
      <w:r>
        <w:rPr>
          <w:rFonts w:ascii="Times New Roman" w:hAnsi="Times New Roman"/>
          <w:sz w:val="20"/>
        </w:rPr>
        <w:t>”), WESCO DISTRIBUTION, INC., a Delaware corporation (“</w:t>
      </w:r>
      <w:r>
        <w:rPr>
          <w:rFonts w:ascii="Times New Roman" w:hAnsi="Times New Roman"/>
          <w:sz w:val="20"/>
          <w:u w:val="single"/>
        </w:rPr>
        <w:t>WESCO</w:t>
      </w:r>
      <w:r>
        <w:rPr>
          <w:rFonts w:ascii="Times New Roman" w:hAnsi="Times New Roman"/>
          <w:sz w:val="20"/>
        </w:rPr>
        <w:t>”), as initial servicer (in such capacity, together with its successors and permitted assigns in such capacity, the “</w:t>
      </w:r>
      <w:r>
        <w:rPr>
          <w:rFonts w:ascii="Times New Roman" w:hAnsi="Times New Roman"/>
          <w:sz w:val="20"/>
          <w:u w:val="single"/>
        </w:rPr>
        <w:t>Servicer</w:t>
      </w:r>
      <w:r>
        <w:rPr>
          <w:rFonts w:ascii="Times New Roman" w:hAnsi="Times New Roman"/>
          <w:sz w:val="20"/>
        </w:rPr>
        <w:t>”), THE VARIOUS CONDUIT PURCHASERS, COMMITTED PURCHASERS AND PURCHASER AGENTS FROM TIME TO TIME PARTY HERETO, PNC BANK, NATIONAL ASSOCIATION, as Administrator for each Purchaser Group (in such capacity, the “</w:t>
      </w:r>
      <w:r>
        <w:rPr>
          <w:rFonts w:ascii="Times New Roman" w:hAnsi="Times New Roman"/>
          <w:sz w:val="20"/>
          <w:u w:val="single"/>
        </w:rPr>
        <w:t>Administrator</w:t>
      </w:r>
      <w:r>
        <w:rPr>
          <w:rFonts w:ascii="Times New Roman" w:hAnsi="Times New Roman"/>
          <w:sz w:val="20"/>
        </w:rPr>
        <w:t xml:space="preserve">”), and PNC CAPITAL MARKETS LLC, a Pennsylvania limited liability company, as Structuring Agent. </w:t>
      </w:r>
    </w:p>
    <w:p>
      <w:pPr>
        <w:pStyle w:val="TextBody"/>
        <w:bidi w:val="0"/>
        <w:spacing w:before="240" w:after="0"/>
        <w:jc w:val="left"/>
        <w:rPr>
          <w:rFonts w:ascii="Times New Roman" w:hAnsi="Times New Roman"/>
          <w:sz w:val="20"/>
        </w:rPr>
      </w:pPr>
      <w:r>
        <w:rPr>
          <w:rFonts w:ascii="Times New Roman" w:hAnsi="Times New Roman"/>
          <w:sz w:val="20"/>
        </w:rPr>
        <w:t>Concurrently herewith, the Seller, the Servicer and the Originators are entering into that certain Second Amended and Restated Purchase and Sale Agreement (as further amended, restated, amended and restated, supplemented or otherwise modified from time to time, the “</w:t>
      </w:r>
      <w:r>
        <w:rPr>
          <w:rFonts w:ascii="Times New Roman" w:hAnsi="Times New Roman"/>
          <w:sz w:val="20"/>
          <w:u w:val="single"/>
        </w:rPr>
        <w:t>Purchase and Sale Agreement</w:t>
      </w:r>
      <w:r>
        <w:rPr>
          <w:rFonts w:ascii="Times New Roman" w:hAnsi="Times New Roman"/>
          <w:sz w:val="20"/>
        </w:rPr>
        <w:t>”), dated as of the date hereof. The parties hereto hereby consent to such amendment and restatement.</w:t>
      </w:r>
    </w:p>
    <w:p>
      <w:pPr>
        <w:pStyle w:val="TextBody"/>
        <w:bidi w:val="0"/>
        <w:spacing w:before="240" w:after="0"/>
        <w:jc w:val="left"/>
        <w:rPr>
          <w:rFonts w:ascii="Times New Roman" w:hAnsi="Times New Roman"/>
          <w:sz w:val="20"/>
        </w:rPr>
      </w:pPr>
      <w:r>
        <w:rPr>
          <w:rFonts w:ascii="Times New Roman" w:hAnsi="Times New Roman"/>
          <w:sz w:val="20"/>
        </w:rPr>
        <w:t xml:space="preserve">PRELIMINARY STATEMENTS. Certain terms that are capitalized and used throughout this Agreement are defined in </w:t>
      </w:r>
      <w:r>
        <w:rPr>
          <w:rFonts w:ascii="Times New Roman" w:hAnsi="Times New Roman"/>
          <w:sz w:val="20"/>
          <w:u w:val="single"/>
        </w:rPr>
        <w:t>Exhibit I</w:t>
      </w:r>
      <w:r>
        <w:rPr>
          <w:rFonts w:ascii="Times New Roman" w:hAnsi="Times New Roman"/>
          <w:sz w:val="20"/>
        </w:rPr>
        <w:t xml:space="preserve">. References in the Exhibits hereto to the “Agreement” refer to this Agreement, as amended, supplemented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mutual agreements, provisions and covenants contained herein, the parties hereto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AMENDMENT AND RESTATEMENT; JOINDER OF PARTIES; REBALANCING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 and Restatement</w:t>
      </w:r>
      <w:r>
        <w:rPr>
          <w:rFonts w:ascii="Times New Roman" w:hAnsi="Times New Roman"/>
          <w:sz w:val="20"/>
        </w:rPr>
        <w:t>. This Agreement amends and restates in its entirety, as of the Closing Date, the Fourth Amended and Restated Receivables Purchase Agreement, dated as of September 24, 2015 (as amended, restated, supplemented or otherwise modified prior to the date hereof, the “</w:t>
      </w:r>
      <w:r>
        <w:rPr>
          <w:rFonts w:ascii="Times New Roman" w:hAnsi="Times New Roman"/>
          <w:sz w:val="20"/>
          <w:u w:val="single"/>
        </w:rPr>
        <w:t>Original Agreement</w:t>
      </w:r>
      <w:r>
        <w:rPr>
          <w:rFonts w:ascii="Times New Roman" w:hAnsi="Times New Roman"/>
          <w:sz w:val="20"/>
        </w:rPr>
        <w:t xml:space="preserve">”), among the Seller, the Servicer, the various Conduit Purchasers, Committed Purchasers and Purchaser Agents from time to time party thereto and the Administrator. Notwithstanding the amendment and restatement of the Original Agreement by this Agreement, (i) the Seller and Servicer shall continue to be liable to each of the parties to the Original Agreement or any other Indemnified Party or Affected Person (as such terms are defined in the Original Agreement) for fees and expenses which are accrued and unpaid under the Original Agreement on the date hereof and all agreements to indemnify such parties in connection with events or conditions arising or existing prior to the effective date of this Agreement, (ii) the security interest created under the Original Agreement in favor of the Administrator shall remain in full force and effect under this Agreement and (iii) all Investment and Discount outstanding or owing under the Original Agreement shall be and constitute Investment and Discount outstanding or owing under this Agreement. Upon the effectiveness of this Agreement, each reference to the Original Agreement in any other document, instrument or agreement shall mean and be a reference to this Agreement. Nothing contained herein, unless expressly herein stated to the contrary, is intended to amend, modify or otherwise affect any other instrument, document or agreement executed and/or delivered in connection with the Original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Joinder of Parties</w:t>
      </w:r>
      <w:r>
        <w:rPr>
          <w:rFonts w:ascii="Times New Roman" w:hAnsi="Times New Roman"/>
          <w:sz w:val="20"/>
        </w:rPr>
        <w:t xml:space="preserve">. Effective as of the date hereof, (i) each of Canadian Imperial Bank of Commerce, New York Branch, Bank of America, National Association and HSBC Bank USA, N.A. hereby becomes a party to this Agreement as a Committed Purchaser hereunder with all the rights, interests, duties and obligations of a Committed Purchaser hereunder, (ii) Canadian Imperial Bank of Commerce, New York Branch, as a Committed Purchaser, shall constitute the sole member of a new Purchaser Group, which does not initially include a Conduit Purchaser, and Canadian Imperial Bank of Commerce, New York Branch, hereby appoints itself as the Purchaser Agent for such Purchaser Group, (iii) Bank of America, National Association, as a Committed Purchaser, shall constitute the sole member of a new Purchaser Group, which does not initially include a Conduit Purchaser, and Bank of America, National Association hereby appoints itself as the Purchaser Agent for such Purchaser Group, (iv) HSBC Bank USA, N.A., as a Committed Purchaser, shall constitute a new Purchaser Group and HSBC Bank USA, N.A. hereby appoints HSBC Securities USA Inc. as the Purchaser Agent for such Purchaser Group and (v) each of Canadian Imperial Bank of Commerce, Bank of America, National Association and HSBC Securities USA Inc. hereby becomes a party to this Agreement as a Purchaser Agent hereunder with all the rights, interests, duties and obligations of a Purchaser Agent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Initial Purchases; Rebalancing</w:t>
      </w:r>
      <w:r>
        <w:rPr>
          <w:rFonts w:ascii="Times New Roman" w:hAnsi="Times New Roman"/>
          <w:sz w:val="20"/>
        </w:rPr>
        <w:t xml:space="preserve">. Concurrently herewith, the Seller is requesting that the Purchasers fund a new Purchase on the Closing Date pursuant to a Purchase Notice delivered in accordance with </w:t>
      </w:r>
      <w:r>
        <w:rPr>
          <w:rFonts w:ascii="Times New Roman" w:hAnsi="Times New Roman"/>
          <w:sz w:val="20"/>
          <w:u w:val="single"/>
        </w:rPr>
        <w:t>Section 1.2(a)</w:t>
      </w:r>
      <w:r>
        <w:rPr>
          <w:rFonts w:ascii="Times New Roman" w:hAnsi="Times New Roman"/>
          <w:sz w:val="20"/>
        </w:rPr>
        <w:t xml:space="preserve">. Such Purchase Notice provides that each Purchaser Group will fund a non-ratable portion of the aggregate Purchase such that, after giving effect to such Purchase, each Purchaser Group’s outstanding Investment will be equal to its Ratable Share of the Aggregate Investment.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Certain Consents</w:t>
      </w:r>
      <w:r>
        <w:rPr>
          <w:rFonts w:ascii="Times New Roman" w:hAnsi="Times New Roman"/>
          <w:sz w:val="20"/>
        </w:rPr>
        <w:t xml:space="preserve">. The parties hereto hereby consent to the joinder of Canadian Imperial Bank of Commerce, New York Branch, Bank of America, National Association, HSBC Bank USA, N.A. and HSBC Securities USA Inc. as parties hereto on the terms set forth in </w:t>
      </w:r>
      <w:r>
        <w:rPr>
          <w:rFonts w:ascii="Times New Roman" w:hAnsi="Times New Roman"/>
          <w:sz w:val="20"/>
          <w:u w:val="single"/>
        </w:rPr>
        <w:t>clause (b)</w:t>
      </w:r>
      <w:r>
        <w:rPr>
          <w:rFonts w:ascii="Times New Roman" w:hAnsi="Times New Roman"/>
          <w:sz w:val="20"/>
        </w:rPr>
        <w:t xml:space="preserve"> above, to the non-ratable funding of the foregoing initial Purchase on the terms set forth in </w:t>
      </w:r>
      <w:r>
        <w:rPr>
          <w:rFonts w:ascii="Times New Roman" w:hAnsi="Times New Roman"/>
          <w:sz w:val="20"/>
          <w:u w:val="single"/>
        </w:rPr>
        <w:t>clause (c)</w:t>
      </w:r>
      <w:r>
        <w:rPr>
          <w:rFonts w:ascii="Times New Roman" w:hAnsi="Times New Roman"/>
          <w:sz w:val="20"/>
        </w:rPr>
        <w:t xml:space="preserve"> above, in each case, as set forth above on a one-time basis.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AMOUNTS AND TERMS OF THE PURCHASES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Purchase Facility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the terms and subject to the conditions hereof, the Seller may, from time to time before each applicable Facility Termination Date, request that the Purchasers ratably (based on the Ratable Share in their respective Purchaser Groups) make investments with regard to the Purchased Interest from the Seller from time to time from the date hereof to each applicable Facility Termination Date in accordance with </w:t>
      </w:r>
      <w:r>
        <w:rPr>
          <w:rFonts w:ascii="Times New Roman" w:hAnsi="Times New Roman"/>
          <w:sz w:val="20"/>
          <w:u w:val="single"/>
        </w:rPr>
        <w:t>Section 1.2</w:t>
      </w:r>
      <w:r>
        <w:rPr>
          <w:rFonts w:ascii="Times New Roman" w:hAnsi="Times New Roman"/>
          <w:sz w:val="20"/>
        </w:rPr>
        <w:t xml:space="preserve">. Each purchase requested by the Seller pursuant to </w:t>
      </w:r>
      <w:r>
        <w:rPr>
          <w:rFonts w:ascii="Times New Roman" w:hAnsi="Times New Roman"/>
          <w:sz w:val="20"/>
          <w:u w:val="single"/>
        </w:rPr>
        <w:t>Section 1.2(a)</w:t>
      </w:r>
      <w:r>
        <w:rPr>
          <w:rFonts w:ascii="Times New Roman" w:hAnsi="Times New Roman"/>
          <w:sz w:val="20"/>
        </w:rPr>
        <w:t xml:space="preserve"> (each, a “</w:t>
      </w:r>
      <w:r>
        <w:rPr>
          <w:rFonts w:ascii="Times New Roman" w:hAnsi="Times New Roman"/>
          <w:sz w:val="20"/>
          <w:u w:val="single"/>
        </w:rPr>
        <w:t>Purchase</w:t>
      </w:r>
      <w:r>
        <w:rPr>
          <w:rFonts w:ascii="Times New Roman" w:hAnsi="Times New Roman"/>
          <w:sz w:val="20"/>
        </w:rPr>
        <w:t xml:space="preserve">”) shall be made ratably by the Purchasers (based on the Ratable Share in their respective Purchaser Groups), and each Purchaser Group’s Ratable Share of each Purchase shall be made and funded (i) if such Purchaser Group contains a Conduit Purchaser and such Conduit Purchaser elects (in its sole discretion) to make and fund such portion of such Purchase, by the Conduit Purchaser in such Purchaser Group or (ii) if such Purchaser Group does not contain a Conduit Purchaser or if the Conduit Purchaser in such Purchaser Group declines (in its sole discretion) to make or fund such portion of such Purchase, by the Committed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Purchaser in such Purchaser Group. Subject to </w:t>
      </w:r>
      <w:r>
        <w:rPr>
          <w:rFonts w:ascii="Times New Roman" w:hAnsi="Times New Roman"/>
          <w:sz w:val="20"/>
          <w:u w:val="single"/>
        </w:rPr>
        <w:t>Section 1.4(b)</w:t>
      </w:r>
      <w:r>
        <w:rPr>
          <w:rFonts w:ascii="Times New Roman" w:hAnsi="Times New Roman"/>
          <w:sz w:val="20"/>
        </w:rPr>
        <w:t xml:space="preserve"> concerning reinvestments, at no time will any Conduit Purchaser have any obligation to make any Purchase or reinvestment. Each Committed Purchaser severally hereby agrees, on the terms and subject to the conditions hereof, to make Purchases before its applicable Facility Termination Date that are requested pursuant to </w:t>
      </w:r>
      <w:r>
        <w:rPr>
          <w:rFonts w:ascii="Times New Roman" w:hAnsi="Times New Roman"/>
          <w:sz w:val="20"/>
          <w:u w:val="single"/>
        </w:rPr>
        <w:t>Section 1.2(a)</w:t>
      </w:r>
      <w:r>
        <w:rPr>
          <w:rFonts w:ascii="Times New Roman" w:hAnsi="Times New Roman"/>
          <w:sz w:val="20"/>
        </w:rPr>
        <w:t xml:space="preserve">, based on the Ratable Share of its applicable Purchaser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under no circumstances shall any Purchaser make any Purchase or reinvestment hereunder if, after giving effect to such Purchase or reinvestment (i) the Group Investment of such Purchaser’s Purchaser Group would exceed the Group Commitment of such Purchaser’s Purchaser Group, (ii) the Aggregate Investment would (after giving effect to all Purchases and reinvestments on such date) exceed the Purchase Limit or (iii) the Purchased Interest would exceed 100%. </w:t>
      </w:r>
    </w:p>
    <w:p>
      <w:pPr>
        <w:pStyle w:val="TextBody"/>
        <w:bidi w:val="0"/>
        <w:spacing w:before="240" w:after="0"/>
        <w:jc w:val="left"/>
        <w:rPr>
          <w:rFonts w:ascii="Times New Roman" w:hAnsi="Times New Roman"/>
          <w:sz w:val="20"/>
        </w:rPr>
      </w:pPr>
      <w:r>
        <w:rPr>
          <w:rFonts w:ascii="Times New Roman" w:hAnsi="Times New Roman"/>
          <w:sz w:val="20"/>
        </w:rPr>
        <w:t xml:space="preserve">(b) The Seller may, upon at least thirty (30) days’ (or such shorter period as agreed to in writing by the Administrator) written notice to the Administrator and each Purchaser Agent, reduce the unfunded portion of the Purchase Limit in whole or in part (but not below the amount which would cause the Group Investment of any Purchaser Group to exceed its Group Commitment (after giving effect to such reduction)); provided that each partial reduction shall be in the amount of at least $5,000,000, or an integral multiple of $1,000,000 in excess thereof and unless terminated in whole, the Purchase Limit shall in no event be reduced below $150,000,000. Such reduction shall at the option of the Seller be applied either (i) ratably to reduce the Group Commitment of each Purchaser Group or (ii) to terminate the Group Commitment of any one Purchaser Group. </w:t>
      </w:r>
    </w:p>
    <w:p>
      <w:pPr>
        <w:pStyle w:val="TextBody"/>
        <w:bidi w:val="0"/>
        <w:spacing w:before="240" w:after="0"/>
        <w:jc w:val="left"/>
        <w:rPr>
          <w:rFonts w:ascii="Times New Roman" w:hAnsi="Times New Roman"/>
          <w:sz w:val="20"/>
        </w:rPr>
      </w:pPr>
      <w:r>
        <w:rPr>
          <w:rFonts w:ascii="Times New Roman" w:hAnsi="Times New Roman"/>
          <w:sz w:val="20"/>
        </w:rPr>
        <w:t xml:space="preserve">(c) The Seller may, upon at least thirty (30) days’ (or such shorter period as agreed to in writing by the Administrator) prior written notice to the Administrator and each Purchaser Agent, repay in whole (but not in part) the entire Aggregate Investment (and all accrued and unpaid Discount thereon) by making a cash payment of such amount to the Administrator for the benefit of the Purchasers. Such payments shall be made to the Administrator for the ratable benefit of the Purchasers (ratably based on the Investments outstanding at such time) and the Investment (and accrued and unpaid Discount) of each Purchaser shall only be deemed to be reduced by such payment when such payment is finally so paid to such Purchaser in full in cash. All payments as repayments made pursuant to this paragraph shall be subject to any applicable Termination Fee payable to any Purchaser at such time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Making Purchases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Purchase (but not reinvestment) of undivided percentage ownership interests with regard to the Purchased Interest hereunder may be made on any Business Day upon the Seller’s irrevocable written notice to the Administrator in the form of Annex B (each, a “</w:t>
      </w:r>
      <w:r>
        <w:rPr>
          <w:rFonts w:ascii="Times New Roman" w:hAnsi="Times New Roman"/>
          <w:sz w:val="20"/>
          <w:u w:val="single"/>
        </w:rPr>
        <w:t>Purchase Notice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at any time when PNC (or an Affiliate thereof) is the Administrator and the Seller has entered into a PINACLE Agreement, any request for a Purchase made by the Seller using PINACLE shall constitute a Purchase Notice delivered to the Administrator in accordance with </w:t>
      </w:r>
      <w:r>
        <w:rPr>
          <w:rFonts w:ascii="Times New Roman" w:hAnsi="Times New Roman"/>
          <w:sz w:val="20"/>
          <w:u w:val="single"/>
        </w:rPr>
        <w:t>Section 6.2</w:t>
      </w:r>
      <w:r>
        <w:rPr>
          <w:rFonts w:ascii="Times New Roman" w:hAnsi="Times New Roman"/>
          <w:sz w:val="20"/>
        </w:rPr>
        <w:t xml:space="preserve">. Any such Purchase Notice must be received by the Administrator (1) in the case of a Purchase Notice made pursuant to PINACLE, before 11:00 a.m. (New York City time) on the requested Purchase Date, or (2) in the case of any other Purchase Notice, before 11:00 a.m. (New York City time) at least two Business Days before the requested Purchase Date, which notice shall specify: (A) the date of such Purchase (which shall be a Business Day), (B) the aggregate amount requested to be paid to the Seller (such aggregate amount, which shall not be less than $500,000 or such lesser amount as agreed to by the Administrator and the Majority Purchasers) and (C) the pro forma calculation of the Purchased Interest after giving effect to the increase in the Aggregate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Funding Purchases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On the date of each Purchase specified in the applicable Purchase Notice, each Purchaser shall, upon satisfaction of the applicable conditions set forth in </w:t>
      </w:r>
      <w:r>
        <w:rPr>
          <w:rFonts w:ascii="Times New Roman" w:hAnsi="Times New Roman"/>
          <w:sz w:val="20"/>
          <w:u w:val="single"/>
        </w:rPr>
        <w:t>Exhibit II</w:t>
      </w:r>
      <w:r>
        <w:rPr>
          <w:rFonts w:ascii="Times New Roman" w:hAnsi="Times New Roman"/>
          <w:sz w:val="20"/>
        </w:rPr>
        <w:t xml:space="preserve">, remit to the Administrator, in same day funds to the account specified by the Administrator for such purpose, such Purchaser’s Ratable Share of such Purchase (as determined pursuant to </w:t>
      </w:r>
      <w:r>
        <w:rPr>
          <w:rFonts w:ascii="Times New Roman" w:hAnsi="Times New Roman"/>
          <w:sz w:val="20"/>
          <w:u w:val="single"/>
        </w:rPr>
        <w:t>Section 1.1</w:t>
      </w:r>
      <w:r>
        <w:rPr>
          <w:rFonts w:ascii="Times New Roman" w:hAnsi="Times New Roman"/>
          <w:sz w:val="20"/>
        </w:rPr>
        <w:t xml:space="preserve">) such that the Administrator is able to, and the Administrator shall, to the extent the Purchasers have made funds available to it for such purpose, fund such Purchase to the Seller on the date of such Purchase; provided that if any Purchaser fails to remit such funds to the Administrator in a timely manner, the Administrator may elect in its sole discretion to fund with its own funds such Purchaser’s portion of such Purchase on the date thereof, and such Purchaser shall be subject to the repayment obligation in </w:t>
      </w:r>
      <w:r>
        <w:rPr>
          <w:rFonts w:ascii="Times New Roman" w:hAnsi="Times New Roman"/>
          <w:sz w:val="20"/>
          <w:u w:val="single"/>
        </w:rPr>
        <w:t>Section 1.2(b)(ii)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Unless the Administrator shall have received notice from a Purchaser or Purchaser Agent prior to the proposed Purchase Date of any Purchase that such Purchaser’s or Purchaser Agent’s Purchaser Group will not make available to the Administrator such Purchaser Group’s share of such Purchase, the Administrator may assume that such Purchaser Group has made such share available on such date in accordance with the foregoing </w:t>
      </w:r>
      <w:r>
        <w:rPr>
          <w:rFonts w:ascii="Times New Roman" w:hAnsi="Times New Roman"/>
          <w:sz w:val="20"/>
          <w:u w:val="single"/>
        </w:rPr>
        <w:t>clause (b)(i)</w:t>
      </w:r>
      <w:r>
        <w:rPr>
          <w:rFonts w:ascii="Times New Roman" w:hAnsi="Times New Roman"/>
          <w:sz w:val="20"/>
        </w:rPr>
        <w:t xml:space="preserve"> and may, in reliance upon such assumption, make available to the Seller a corresponding amount. In such event, if a Purchaser Group has not in fact made its share of the applicable Purchase available to the Administrator, then the Committed Purchaser in such Purchaser Group and the Seller severally agree to pay to the Administrator forthwith on demand such corresponding amount with interest thereon, for each day from and including the date such amount is made available to the Seller to but excluding the date of payment to the Administrator, at (i) in the case of such Committed Purchaser, the greater of the Overnight Bank Funding Rate and a rate determined by the Administrator in accordance with banking industry rules on interbank compensation or (ii) in the case of the Seller, the Base Rate. If such Committed Purchaser pays such amount to the Administrator, then such amount shall constitute such Committed Purchaser’s Investment included in such Purchase. If the Seller and such Committed Purchaser shall pay such interest to the Administrator for the same or an overlapping period, the Administrator shall promptly remit to the Seller the amount of such interest paid by the Seller for such period. Any such payment by the Seller shall be without prejudice to any claim the Seller may have against a Committed Purchaser that shall have failed to make such payment to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Effective on the date of each Purchase pursuant to this </w:t>
      </w:r>
      <w:r>
        <w:rPr>
          <w:rFonts w:ascii="Times New Roman" w:hAnsi="Times New Roman"/>
          <w:sz w:val="20"/>
          <w:u w:val="single"/>
        </w:rPr>
        <w:t>Section 1.2</w:t>
      </w:r>
      <w:r>
        <w:rPr>
          <w:rFonts w:ascii="Times New Roman" w:hAnsi="Times New Roman"/>
          <w:sz w:val="20"/>
        </w:rPr>
        <w:t xml:space="preserve"> and each reinvestment pursuant to </w:t>
      </w:r>
      <w:r>
        <w:rPr>
          <w:rFonts w:ascii="Times New Roman" w:hAnsi="Times New Roman"/>
          <w:sz w:val="20"/>
          <w:u w:val="single"/>
        </w:rPr>
        <w:t>Section 1.4</w:t>
      </w:r>
      <w:r>
        <w:rPr>
          <w:rFonts w:ascii="Times New Roman" w:hAnsi="Times New Roman"/>
          <w:sz w:val="20"/>
        </w:rPr>
        <w:t xml:space="preserve">, the Seller hereby sells and assigns to the Administrator for the benefit of the Purchasers (ratably, according to each such Purchaser’s Investment) an undivided percentage ownership interest in: (i) each Pool Receivable then existing, (ii) all Related Security with respect to such Pool Receivables, and (iii) all Collections with respect to, and other proceeds of, such Pool Receivables and Related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To secure all of the Seller’s obligations (monetary or otherwise) under this Agreement and the other Transaction Documents to which it is a party, whether now or hereafter existing or arising, due or to become due, direct or indirect, absolute or contingent, the Seller hereby grants to the Administrator, for the benefit of the Purchasers, a security interest in all of the Seller’s right, title and interest (including any undivided interest of the Seller) in, to and under all of the following, whether now or hereafter owned, existing or arising: (i) all Pool Receivables, (ii) all Related Security with respect to such Pool Receivables, (iii) all Collections with respect to such Pool Receivables, (iv) the Lock-Box Accounts and all amounts on deposit therein, and all certificates and instruments, if any, from time to time evidencing such Lock-Box Accounts and amounts on deposit therein, (v) all rights (but none of the obligations) of the Seller under the Sale Agreement and (vi) all proceeds of, and all amounts received or receivable under any or all of, the foregoing (collectively, the “</w:t>
      </w:r>
      <w:r>
        <w:rPr>
          <w:rFonts w:ascii="Times New Roman" w:hAnsi="Times New Roman"/>
          <w:sz w:val="20"/>
          <w:u w:val="single"/>
        </w:rPr>
        <w:t>Pool Assets</w:t>
      </w:r>
      <w:r>
        <w:rPr>
          <w:rFonts w:ascii="Times New Roman" w:hAnsi="Times New Roman"/>
          <w:sz w:val="20"/>
        </w:rPr>
        <w:t xml:space="preserve">”). The Administrator, for the benefit of the Purchasers, shall have, with respect to the Pool Assets, and in addition to all the other rights and remedies available to the Administrator and the Purchasers, all the rights and remedies of a secured party under any applicable UCC. The Seller hereby authorizes the Administrator (for the benefit of the Purchasers) to file financing statements in each jurisdiction the Administrator deems necessary and appropriate to perfect its security interest in the Pool Assets, describing the collateral covered thereby as “all of the debtor’s personal property or assets” or words to that effect, notwithstanding that such wording may be broader in scope than the collateral described in this Agreement. Immediately upon the occurrence of the Final Payout Date, the Pool Assets shall be automatically released from the lien created hereby, and this Agreement and all obligations (other than those expressly stated to survive such termination) of the Administrator, the Purchasers, the Purchaser Agents, the Seller and the Servicer hereunder shall terminate, all without delivery of any instrument or performance of any act by any party, and all rights to the Pool Assets shall revert to the Seller; provided, however, that promptly following written request therefor by the Seller delivered to the Administrator following any such termination, and at the expense of the Seller, the Administrator shall execute and deliver to the Seller UCC-3 termination statements and such other documents as the Seller shall reasonably request to evidence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(e) Except with respect to the increases in Commitments contemplated by </w:t>
      </w:r>
      <w:r>
        <w:rPr>
          <w:rFonts w:ascii="Times New Roman" w:hAnsi="Times New Roman"/>
          <w:sz w:val="20"/>
          <w:u w:val="single"/>
        </w:rPr>
        <w:t>Section 1.11</w:t>
      </w:r>
      <w:r>
        <w:rPr>
          <w:rFonts w:ascii="Times New Roman" w:hAnsi="Times New Roman"/>
          <w:sz w:val="20"/>
        </w:rPr>
        <w:t xml:space="preserve">, the Seller may, with the written consent of the Administrator and each Purchaser, add additional Persons as Purchasers (either to an existing Purchaser Group or by creating new Purchaser Groups) or cause an existing Purchaser to increase its Commitment in connection with a corresponding increase in the Purchase Limit;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Commitment of any Purchaser may only be increased with the consent of such Purchaser, such consent to be in such Purchaser’s sole and absolute discretion. Each new Purchaser (or Purchaser Group) and each Purchaser increasing its Commitment shall become a party hereto or increase its Commitment, as the case may be, by executing and delivering to the Administrator and the Seller an Assumption Agreement in the form of Annex D hereto (which Assumption Agreement shall, in the case of any new Purchaser or Purchasers be executed by each Person in such new Purchaser’s Purchaser Group). </w:t>
      </w:r>
    </w:p>
    <w:p>
      <w:pPr>
        <w:pStyle w:val="TextBody"/>
        <w:bidi w:val="0"/>
        <w:spacing w:before="240" w:after="0"/>
        <w:jc w:val="left"/>
        <w:rPr>
          <w:rFonts w:ascii="Times New Roman" w:hAnsi="Times New Roman"/>
          <w:sz w:val="20"/>
        </w:rPr>
      </w:pPr>
      <w:r>
        <w:rPr>
          <w:rFonts w:ascii="Times New Roman" w:hAnsi="Times New Roman"/>
          <w:sz w:val="20"/>
        </w:rPr>
        <w:t xml:space="preserve">(f) Each Committed Purchaser’s obligation hereunder shall be several, such that the failure of any Committed Purchaser to make a payment in connection with any Purchase hereunder shall not relieve any other Committed Purchaser of its obligation hereunder to make payment for any Purchase. Further, in the event any Committed Purchaser fails to satisfy its obligation to make a Purchase as required hereunder, upon receipt of notice of such failure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Administrator (or any relevant Purchaser Agent), subject to the limitations set forth herein, the non-defaulting Committed Purchasers in such defaulting Committed Purchaser’s Purchaser Group shall purchase the defaulting Committed Purchaser’s Commitment Percentage of the related Purchase </w:t>
      </w:r>
      <w:r>
        <w:rPr>
          <w:rFonts w:ascii="Times New Roman" w:hAnsi="Times New Roman"/>
          <w:sz w:val="20"/>
          <w:u w:val="single"/>
        </w:rPr>
        <w:t>pro</w:t>
      </w:r>
      <w:r>
        <w:rPr>
          <w:rFonts w:ascii="Times New Roman" w:hAnsi="Times New Roman"/>
          <w:sz w:val="20"/>
        </w:rPr>
        <w:t xml:space="preserve"> </w:t>
      </w:r>
      <w:r>
        <w:rPr>
          <w:rFonts w:ascii="Times New Roman" w:hAnsi="Times New Roman"/>
          <w:sz w:val="20"/>
          <w:u w:val="single"/>
        </w:rPr>
        <w:t>rata</w:t>
      </w:r>
      <w:r>
        <w:rPr>
          <w:rFonts w:ascii="Times New Roman" w:hAnsi="Times New Roman"/>
          <w:sz w:val="20"/>
        </w:rPr>
        <w:t xml:space="preserve"> in proportion to their relative Commitment Percentages (determined without regard to the Commitment Percentage of the defaulting Committed Purchaser;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a defaulting Committed Purchaser’s Commitment Percentage of any Purchase shall be first put to the Committed Purchasers in such defaulting Committed Purchaser’s Purchaser Group and thereafter if there are no other Committed Purchasers in such Purchaser Group or if such other Committed Purchasers are also defaulting Committed Purchasers, then such defaulting Committed Purchaser’s Commitment Percentage of such Purchase shall be put to each other Purchaser Group ratably and applied in accordance with this </w:t>
      </w:r>
      <w:r>
        <w:rPr>
          <w:rFonts w:ascii="Times New Roman" w:hAnsi="Times New Roman"/>
          <w:sz w:val="20"/>
          <w:u w:val="single"/>
        </w:rPr>
        <w:t>paragraph (f)</w:t>
      </w:r>
      <w:r>
        <w:rPr>
          <w:rFonts w:ascii="Times New Roman" w:hAnsi="Times New Roman"/>
          <w:sz w:val="20"/>
        </w:rPr>
        <w:t xml:space="preserve">). Notwithstanding anything in this </w:t>
      </w:r>
      <w:r>
        <w:rPr>
          <w:rFonts w:ascii="Times New Roman" w:hAnsi="Times New Roman"/>
          <w:sz w:val="20"/>
          <w:u w:val="single"/>
        </w:rPr>
        <w:t>paragraph (f)</w:t>
      </w:r>
      <w:r>
        <w:rPr>
          <w:rFonts w:ascii="Times New Roman" w:hAnsi="Times New Roman"/>
          <w:sz w:val="20"/>
        </w:rPr>
        <w:t xml:space="preserve"> to the contrary, no Committed Purchaser shall be required to make a Purchase pursuant to this paragraph for an amount which would cause the aggregate Investment of such Committed Purchaser (after giving effect to such Purchase) to exceed its Commitment.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Purchased Interest Computation</w:t>
      </w:r>
      <w:r>
        <w:rPr>
          <w:rFonts w:ascii="Times New Roman" w:hAnsi="Times New Roman"/>
          <w:sz w:val="20"/>
        </w:rPr>
        <w:t xml:space="preserve">. The Purchased Interest shall be initially computed on the date of the initial Purchase hereunder. Thereafter, until the Facility Termination Date, such Purchased Interest shall be automatically recomputed (or deemed to be recomputed) on each Business Day other than a Termination Day. From and after the occurrence of any Termination Day, the Purchased Interest shall (until the event(s) giving rise to such Termination Day are satisfied or are waived in accordance with the terms hereof) be deemed to be 100%. The Purchased Interest shall become zero when the Aggregate Investment thereof and Aggregate Discount thereon shall have been paid in full, all the amounts owed by the Seller and the Servicer hereunder to each Purchaser, the Administrator and any other Indemnified Party or Affected Person are paid in full, and the Servicer shall have received the accrued Servicing Fee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Settlement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collection of the Pool Receivables shall be administered by the Servicer in accordance with this Agreement. The Seller shall provide to the Servicer on a timely basis all information needed for such administration, including notice of the occurrence of any Termination Day and current computations of the Purchased Interest. </w:t>
      </w:r>
    </w:p>
    <w:p>
      <w:pPr>
        <w:pStyle w:val="TextBody"/>
        <w:bidi w:val="0"/>
        <w:spacing w:before="240" w:after="0"/>
        <w:jc w:val="left"/>
        <w:rPr>
          <w:rFonts w:ascii="Times New Roman" w:hAnsi="Times New Roman"/>
          <w:sz w:val="20"/>
        </w:rPr>
      </w:pPr>
      <w:r>
        <w:rPr>
          <w:rFonts w:ascii="Times New Roman" w:hAnsi="Times New Roman"/>
          <w:sz w:val="20"/>
        </w:rPr>
        <w:t xml:space="preserve">(b) The Servicer shall, on each day on which Collections of Pool Receivables are received (or deemed received) by the Seller or the Servicer: </w:t>
      </w:r>
    </w:p>
    <w:p>
      <w:pPr>
        <w:pStyle w:val="TextBody"/>
        <w:bidi w:val="0"/>
        <w:spacing w:before="120" w:after="0"/>
        <w:jc w:val="left"/>
        <w:rPr>
          <w:rFonts w:ascii="Times New Roman" w:hAnsi="Times New Roman"/>
          <w:sz w:val="20"/>
        </w:rPr>
      </w:pPr>
      <w:r>
        <w:rPr>
          <w:rFonts w:ascii="Times New Roman" w:hAnsi="Times New Roman"/>
          <w:sz w:val="20"/>
        </w:rPr>
        <w:t xml:space="preserve">(i) set aside and hold in trust (and shall, at the request of the Administrator (with the consent or at the direction of a Simple Majority of the Purchasers), segregate in a separate account approved by the Administrator if, at the time of such request, there exists a Dominion Trigger Event) for the benefit of each Purchaser Group, out of such Collections, first, an amount equal to the Aggregate Discount accrued through such day for each Portion of Investment and not previously set aside, second, an amount equal to the fees set forth in each Purchaser Group Fee Letter accrued and unpaid through such day, and third, to the extent funds are available therefor, an amount equal to the aggregate of each Purchaser Group’s Ratable Share of the Servicing Fee accrued through such day and not previously set aside;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1.4(f)</w:t>
      </w:r>
      <w:r>
        <w:rPr>
          <w:rFonts w:ascii="Times New Roman" w:hAnsi="Times New Roman"/>
          <w:sz w:val="20"/>
        </w:rPr>
        <w:t xml:space="preserve">, if such day is not a Termination Day, remit to the Seller, ratably, on behalf of each Purchaser Group, the remainder of such Collections. Such remainder shall, to the extent representing a return on the Aggregate Investment, ratably, according to each Purchaser’s Investment, be automatically reinvested in Pool Receivables, and in the Related Security, Collections and other proceeds with respect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w:t>
      </w:r>
      <w:r>
        <w:rPr>
          <w:rFonts w:ascii="Times New Roman" w:hAnsi="Times New Roman"/>
          <w:sz w:val="20"/>
        </w:rPr>
        <w:t xml:space="preserve">r, that if the Purchased Interest would exceed 100%, then the Servicer shall not reinvest, but shall set aside and hold in trust for the benefit of the Purchasers (and shall, at the request of the Administrator (with the consent or at the direction of a Simple Majority of the Purchasers), segregate in a separate account approved by the Administrator if, at the time of such request, there exists a Dominion Trigger Event) a portion of such Collections that, together with the other Collections set aside pursuant to this paragraph, shall equal the amount necessary to reduce the Purchased Interest to 100%;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Facility Termination Date has been extended pursuant to </w:t>
      </w:r>
      <w:r>
        <w:rPr>
          <w:rFonts w:ascii="Times New Roman" w:hAnsi="Times New Roman"/>
          <w:sz w:val="20"/>
          <w:u w:val="single"/>
        </w:rPr>
        <w:t>Section 1.10</w:t>
      </w:r>
      <w:r>
        <w:rPr>
          <w:rFonts w:ascii="Times New Roman" w:hAnsi="Times New Roman"/>
          <w:sz w:val="20"/>
        </w:rPr>
        <w:t xml:space="preserve"> and any Purchaser (or its Purchaser Agent) has provided notice (an “</w:t>
      </w:r>
      <w:r>
        <w:rPr>
          <w:rFonts w:ascii="Times New Roman" w:hAnsi="Times New Roman"/>
          <w:sz w:val="20"/>
          <w:u w:val="single"/>
        </w:rPr>
        <w:t>Exiting Notice</w:t>
      </w:r>
      <w:r>
        <w:rPr>
          <w:rFonts w:ascii="Times New Roman" w:hAnsi="Times New Roman"/>
          <w:sz w:val="20"/>
        </w:rPr>
        <w:t xml:space="preserve">”) to the Administrator, the Seller and the Servicer of such Purchaser’s refusal, pursuant to </w:t>
      </w:r>
      <w:r>
        <w:rPr>
          <w:rFonts w:ascii="Times New Roman" w:hAnsi="Times New Roman"/>
          <w:sz w:val="20"/>
          <w:u w:val="single"/>
        </w:rPr>
        <w:t>Section 1.10</w:t>
      </w:r>
      <w:r>
        <w:rPr>
          <w:rFonts w:ascii="Times New Roman" w:hAnsi="Times New Roman"/>
          <w:sz w:val="20"/>
        </w:rPr>
        <w:t>, to extend its (or its Committed Purchaser’s) Commitment hereunder (an “</w:t>
      </w:r>
      <w:r>
        <w:rPr>
          <w:rFonts w:ascii="Times New Roman" w:hAnsi="Times New Roman"/>
          <w:sz w:val="20"/>
          <w:u w:val="single"/>
        </w:rPr>
        <w:t>Exiting Purchaser</w:t>
      </w:r>
      <w:r>
        <w:rPr>
          <w:rFonts w:ascii="Times New Roman" w:hAnsi="Times New Roman"/>
          <w:sz w:val="20"/>
        </w:rPr>
        <w:t xml:space="preserve">”) then such Collections shall not be reinvested and shall instead be held in trust for the benefit of such Purchaser and applied in accordance with </w:t>
      </w:r>
      <w:r>
        <w:rPr>
          <w:rFonts w:ascii="Times New Roman" w:hAnsi="Times New Roman"/>
          <w:sz w:val="20"/>
          <w:u w:val="single"/>
        </w:rPr>
        <w:t>clause (iii)</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(iii) if such day is a Termination Day (or any day following the provision of an Exiting Notice), set aside, segregate and hold in trust (and shall, at the request of the Administrator (with the consent or at the direction of a Simple Majority of the Purchasers), segregate in a separate account approved by the Administrator if, at the time of such request, there exists a Dominion Trigger Event) for the benefit of each Purchaser Group the entire remainder of the Collections (or in the case of an Exiting Purchaser, an amount equal to such Purchaser’s ratable share of such Collections based on its Investment; </w:t>
      </w:r>
      <w:r>
        <w:rPr>
          <w:rFonts w:ascii="Times New Roman" w:hAnsi="Times New Roman"/>
          <w:sz w:val="20"/>
          <w:u w:val="single"/>
        </w:rPr>
        <w:t>provided</w:t>
      </w:r>
      <w:r>
        <w:rPr>
          <w:rFonts w:ascii="Times New Roman" w:hAnsi="Times New Roman"/>
          <w:sz w:val="20"/>
        </w:rPr>
        <w:t xml:space="preserve">, that solely for the purpose of determining such Purchaser’s ratable share of such Collections, such Purchaser’s Investment shall be deemed to remain constant from the date of the provision of an Exiting Notice until the date such Purchaser’s Investment has been paid in full; it being understood that if such day is also a Termination Day, such Exiting Purchaser’s Investment shall be recalculated taking into account amounts received by such Purchaser in respect of this parenthetical and thereafter Collections shall be set aside for such Purchaser ratably in respect of its Investment (as recalculated)); </w:t>
      </w:r>
      <w:r>
        <w:rPr>
          <w:rFonts w:ascii="Times New Roman" w:hAnsi="Times New Roman"/>
          <w:sz w:val="20"/>
          <w:u w:val="single"/>
        </w:rPr>
        <w:t>provided</w:t>
      </w:r>
      <w:r>
        <w:rPr>
          <w:rFonts w:ascii="Times New Roman" w:hAnsi="Times New Roman"/>
          <w:sz w:val="20"/>
        </w:rPr>
        <w:t xml:space="preserve">, that if amounts are set aside and held in trust on any Termination Day of the type described in </w:t>
      </w:r>
      <w:r>
        <w:rPr>
          <w:rFonts w:ascii="Times New Roman" w:hAnsi="Times New Roman"/>
          <w:sz w:val="20"/>
          <w:u w:val="single"/>
        </w:rPr>
        <w:t>clause (a)</w:t>
      </w:r>
      <w:r>
        <w:rPr>
          <w:rFonts w:ascii="Times New Roman" w:hAnsi="Times New Roman"/>
          <w:sz w:val="20"/>
        </w:rPr>
        <w:t xml:space="preserve"> of the definition of “Termination Day” (or any day following the provision of an Exiting Notice) and, thereafter, the conditions set forth in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Exhibit II</w:t>
      </w:r>
      <w:r>
        <w:rPr>
          <w:rFonts w:ascii="Times New Roman" w:hAnsi="Times New Roman"/>
          <w:sz w:val="20"/>
        </w:rPr>
        <w:t xml:space="preserve"> are satisfied or waived by the Administrator and a Simple Majority of the Purchasers (or in the case of an Exiting Notice, such Exiting Notice has been revoked by the related Exiting Purchaser and written notice thereof has been provided by such Exiting Purchaser or its Purchaser Agent to the Administrator, the Seller and the Servicer), such previously set-aside amounts shall, to the extent representing a return on Aggregate Investment (or the Investment of the Exiting Purchaser) and ratably in accordance with each Purchaser’s Investment, be reinvested in accordance with </w:t>
      </w:r>
      <w:r>
        <w:rPr>
          <w:rFonts w:ascii="Times New Roman" w:hAnsi="Times New Roman"/>
          <w:sz w:val="20"/>
          <w:u w:val="single"/>
        </w:rPr>
        <w:t>clause (ii)</w:t>
      </w:r>
      <w:r>
        <w:rPr>
          <w:rFonts w:ascii="Times New Roman" w:hAnsi="Times New Roman"/>
          <w:sz w:val="20"/>
        </w:rPr>
        <w:t xml:space="preserve"> on the day of such subsequent satisfaction or waiver of conditions or revocation of such Exiting Notice;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release to the Seller (subject to </w:t>
      </w:r>
      <w:r>
        <w:rPr>
          <w:rFonts w:ascii="Times New Roman" w:hAnsi="Times New Roman"/>
          <w:sz w:val="20"/>
          <w:u w:val="single"/>
        </w:rPr>
        <w:t>Section 1.4(f)</w:t>
      </w:r>
      <w:r>
        <w:rPr>
          <w:rFonts w:ascii="Times New Roman" w:hAnsi="Times New Roman"/>
          <w:sz w:val="20"/>
        </w:rPr>
        <w:t xml:space="preserve">) for its own account any Collections in excess of: (x) amounts required to be reinvested in accordance with </w:t>
      </w:r>
      <w:r>
        <w:rPr>
          <w:rFonts w:ascii="Times New Roman" w:hAnsi="Times New Roman"/>
          <w:sz w:val="20"/>
          <w:u w:val="single"/>
        </w:rPr>
        <w:t>clause (ii)</w:t>
      </w:r>
      <w:r>
        <w:rPr>
          <w:rFonts w:ascii="Times New Roman" w:hAnsi="Times New Roman"/>
          <w:sz w:val="20"/>
        </w:rPr>
        <w:t xml:space="preserve"> or the proviso to </w:t>
      </w:r>
      <w:r>
        <w:rPr>
          <w:rFonts w:ascii="Times New Roman" w:hAnsi="Times New Roman"/>
          <w:sz w:val="20"/>
          <w:u w:val="single"/>
        </w:rPr>
        <w:t>clause (iii)</w:t>
      </w:r>
      <w:r>
        <w:rPr>
          <w:rFonts w:ascii="Times New Roman" w:hAnsi="Times New Roman"/>
          <w:sz w:val="20"/>
        </w:rPr>
        <w:t xml:space="preserve"> plus (y) the amounts that are required to be set aside pursuant to </w:t>
      </w:r>
      <w:r>
        <w:rPr>
          <w:rFonts w:ascii="Times New Roman" w:hAnsi="Times New Roman"/>
          <w:sz w:val="20"/>
          <w:u w:val="single"/>
        </w:rPr>
        <w:t>clause (i)</w:t>
      </w:r>
      <w:r>
        <w:rPr>
          <w:rFonts w:ascii="Times New Roman" w:hAnsi="Times New Roman"/>
          <w:sz w:val="20"/>
        </w:rPr>
        <w:t xml:space="preserve">, the proviso to </w:t>
      </w:r>
      <w:r>
        <w:rPr>
          <w:rFonts w:ascii="Times New Roman" w:hAnsi="Times New Roman"/>
          <w:sz w:val="20"/>
          <w:u w:val="single"/>
        </w:rPr>
        <w:t>clause (ii)</w:t>
      </w:r>
      <w:r>
        <w:rPr>
          <w:rFonts w:ascii="Times New Roman" w:hAnsi="Times New Roman"/>
          <w:sz w:val="20"/>
        </w:rPr>
        <w:t xml:space="preserve"> and </w:t>
      </w:r>
      <w:r>
        <w:rPr>
          <w:rFonts w:ascii="Times New Roman" w:hAnsi="Times New Roman"/>
          <w:sz w:val="20"/>
          <w:u w:val="single"/>
        </w:rPr>
        <w:t>clause (iii)</w:t>
      </w:r>
      <w:r>
        <w:rPr>
          <w:rFonts w:ascii="Times New Roman" w:hAnsi="Times New Roman"/>
          <w:sz w:val="20"/>
        </w:rPr>
        <w:t xml:space="preserve"> plus (z) the Seller’s Share of the Servicing Fee accrued and unpaid through such day and all reasonable and appropriate out-of-pocket costs and expenses of the Servicer for servicing, collecting and administering the Pool Receivables. </w:t>
      </w:r>
    </w:p>
    <w:p>
      <w:pPr>
        <w:pStyle w:val="TextBody"/>
        <w:bidi w:val="0"/>
        <w:spacing w:before="240" w:after="0"/>
        <w:jc w:val="left"/>
        <w:rPr>
          <w:rFonts w:ascii="Times New Roman" w:hAnsi="Times New Roman"/>
          <w:sz w:val="20"/>
        </w:rPr>
      </w:pPr>
      <w:r>
        <w:rPr>
          <w:rFonts w:ascii="Times New Roman" w:hAnsi="Times New Roman"/>
          <w:sz w:val="20"/>
        </w:rPr>
        <w:t xml:space="preserve">(c) The Servicer shall, in accordance with the priorities set forth in </w:t>
      </w:r>
      <w:r>
        <w:rPr>
          <w:rFonts w:ascii="Times New Roman" w:hAnsi="Times New Roman"/>
          <w:sz w:val="20"/>
          <w:u w:val="single"/>
        </w:rPr>
        <w:t>Section 1.4(d)</w:t>
      </w:r>
      <w:r>
        <w:rPr>
          <w:rFonts w:ascii="Times New Roman" w:hAnsi="Times New Roman"/>
          <w:sz w:val="20"/>
        </w:rPr>
        <w:t xml:space="preserve">, deposit on each Settlement Date into the account from time to time specified by the Administrator, Collections held for the benefit of the Purchasers pursuant to </w:t>
      </w:r>
      <w:r>
        <w:rPr>
          <w:rFonts w:ascii="Times New Roman" w:hAnsi="Times New Roman"/>
          <w:sz w:val="20"/>
          <w:u w:val="single"/>
        </w:rPr>
        <w:t>Sections 1.4(b)</w:t>
      </w:r>
      <w:r>
        <w:rPr>
          <w:rFonts w:ascii="Times New Roman" w:hAnsi="Times New Roman"/>
          <w:sz w:val="20"/>
        </w:rPr>
        <w:t xml:space="preserve"> and </w:t>
      </w:r>
      <w:r>
        <w:rPr>
          <w:rFonts w:ascii="Times New Roman" w:hAnsi="Times New Roman"/>
          <w:sz w:val="20"/>
          <w:u w:val="single"/>
        </w:rPr>
        <w:t>1.4(f)</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WESCO or an Affiliate thereof is the Servicer, such day is not a Termination Day and the Administrator has not notified WESCO (or such Affiliate) that such right is revoked in accordance with </w:t>
      </w:r>
      <w:r>
        <w:rPr>
          <w:rFonts w:ascii="Times New Roman" w:hAnsi="Times New Roman"/>
          <w:sz w:val="20"/>
          <w:u w:val="single"/>
        </w:rPr>
        <w:t>Section 4.1(a)</w:t>
      </w:r>
      <w:r>
        <w:rPr>
          <w:rFonts w:ascii="Times New Roman" w:hAnsi="Times New Roman"/>
          <w:sz w:val="20"/>
        </w:rPr>
        <w:t xml:space="preserve">, WESCO (or such Affiliate) may retain the portion of the Collections set aside pursuant to </w:t>
      </w:r>
      <w:r>
        <w:rPr>
          <w:rFonts w:ascii="Times New Roman" w:hAnsi="Times New Roman"/>
          <w:sz w:val="20"/>
          <w:u w:val="single"/>
        </w:rPr>
        <w:t>Section 1.4(b)(i)</w:t>
      </w:r>
      <w:r>
        <w:rPr>
          <w:rFonts w:ascii="Times New Roman" w:hAnsi="Times New Roman"/>
          <w:sz w:val="20"/>
        </w:rPr>
        <w:t xml:space="preserve"> that represents the aggregate of each Purchaser Group’s Ratable Share of the Servicing Fee. Within three Business Days of the last day of each Yield Period with respect to any Portion of Investment, the applicable Purchaser Agent will notify the Servicer and the Administrator by e-mail of the amount of the Discount accrued with respect to such Portion of Investment during the related Yield Period. </w:t>
      </w:r>
    </w:p>
    <w:p>
      <w:pPr>
        <w:pStyle w:val="TextBody"/>
        <w:bidi w:val="0"/>
        <w:spacing w:before="240" w:after="0"/>
        <w:jc w:val="left"/>
        <w:rPr>
          <w:rFonts w:ascii="Times New Roman" w:hAnsi="Times New Roman"/>
          <w:sz w:val="20"/>
        </w:rPr>
      </w:pPr>
      <w:r>
        <w:rPr>
          <w:rFonts w:ascii="Times New Roman" w:hAnsi="Times New Roman"/>
          <w:sz w:val="20"/>
        </w:rPr>
        <w:t xml:space="preserve">(d) The Servicer shall distribute the amounts described (and at the times set forth) in </w:t>
      </w:r>
      <w:r>
        <w:rPr>
          <w:rFonts w:ascii="Times New Roman" w:hAnsi="Times New Roman"/>
          <w:sz w:val="20"/>
          <w:u w:val="single"/>
        </w:rPr>
        <w:t>Section 1.4(c)</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such distribution occurs on a day that is not a Termination Day and the Purchased Interest does not exceed 100%, first to the Administrator for distribution to each Purchaser Agent ratably according to the Discount accrued during such Yield Period (for the benefit of the relevant Purchasers within such Purchaser Agent’s Purchaser Group) in payment in full of all accrued Discount and fees (other than Servicing Fees) with respect to each Portion of Investment maintained by such Purchasers;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each Purchaser Agent shall distribute such amounts to the Purchasers within its Purchaser Group ratably according to Discount and fees, and second, if the Servicer has set aside amounts in respect of the Servicing Fee pursuant to </w:t>
      </w:r>
      <w:r>
        <w:rPr>
          <w:rFonts w:ascii="Times New Roman" w:hAnsi="Times New Roman"/>
          <w:sz w:val="20"/>
          <w:u w:val="single"/>
        </w:rPr>
        <w:t>clause (b)(i)</w:t>
      </w:r>
      <w:r>
        <w:rPr>
          <w:rFonts w:ascii="Times New Roman" w:hAnsi="Times New Roman"/>
          <w:sz w:val="20"/>
        </w:rPr>
        <w:t xml:space="preserve"> and has not retained such amounts pursuant to </w:t>
      </w:r>
      <w:r>
        <w:rPr>
          <w:rFonts w:ascii="Times New Roman" w:hAnsi="Times New Roman"/>
          <w:sz w:val="20"/>
          <w:u w:val="single"/>
        </w:rPr>
        <w:t>clause (c)</w:t>
      </w:r>
      <w:r>
        <w:rPr>
          <w:rFonts w:ascii="Times New Roman" w:hAnsi="Times New Roman"/>
          <w:sz w:val="20"/>
        </w:rPr>
        <w:t xml:space="preserve">, to the Servicer’s own account (payable in arrears on each Settlement Date) in payment in full of the aggregate of each Purchaser Group’s Ratable Share of accrued Servicing Fees so set aside, and </w:t>
      </w:r>
    </w:p>
    <w:p>
      <w:pPr>
        <w:pStyle w:val="TextBody"/>
        <w:bidi w:val="0"/>
        <w:spacing w:before="120" w:after="0"/>
        <w:jc w:val="left"/>
        <w:rPr>
          <w:rFonts w:ascii="Times New Roman" w:hAnsi="Times New Roman"/>
          <w:sz w:val="20"/>
        </w:rPr>
      </w:pPr>
      <w:r>
        <w:rPr>
          <w:rFonts w:ascii="Times New Roman" w:hAnsi="Times New Roman"/>
          <w:sz w:val="20"/>
        </w:rPr>
        <w:t xml:space="preserve">(ii) if such distribution occurs on a Termination Day or on a day when the Purchased Interest exceeds 100%, </w:t>
      </w:r>
      <w:r>
        <w:rPr>
          <w:rFonts w:ascii="Times New Roman" w:hAnsi="Times New Roman"/>
          <w:sz w:val="20"/>
          <w:u w:val="single"/>
        </w:rPr>
        <w:t>first</w:t>
      </w:r>
      <w:r>
        <w:rPr>
          <w:rFonts w:ascii="Times New Roman" w:hAnsi="Times New Roman"/>
          <w:sz w:val="20"/>
        </w:rPr>
        <w:t xml:space="preserve">, if WESCO or an Affiliate thereof is not the Servicer, to the Servicer’s own account in payment in full of all accrued Servicing Fees, </w:t>
      </w:r>
      <w:r>
        <w:rPr>
          <w:rFonts w:ascii="Times New Roman" w:hAnsi="Times New Roman"/>
          <w:sz w:val="20"/>
          <w:u w:val="single"/>
        </w:rPr>
        <w:t>second</w:t>
      </w:r>
      <w:r>
        <w:rPr>
          <w:rFonts w:ascii="Times New Roman" w:hAnsi="Times New Roman"/>
          <w:sz w:val="20"/>
        </w:rPr>
        <w:t xml:space="preserve">, to the Administrator for distribution to each Purchaser Agent ratably according to Investment (for the benefit of the relevant Purchasers within such Purchaser Agent’s Purchaser Group) in payment in full of all such accrued Discount with respect to each Portion of Investment funded or maintained by the Purchasers within such Purchaser Agent’s Purchaser Group, </w:t>
      </w:r>
      <w:r>
        <w:rPr>
          <w:rFonts w:ascii="Times New Roman" w:hAnsi="Times New Roman"/>
          <w:sz w:val="20"/>
          <w:u w:val="single"/>
        </w:rPr>
        <w:t>third</w:t>
      </w:r>
      <w:r>
        <w:rPr>
          <w:rFonts w:ascii="Times New Roman" w:hAnsi="Times New Roman"/>
          <w:sz w:val="20"/>
        </w:rPr>
        <w:t xml:space="preserve">, to the Administrator for distribution to each Purchaser Agent (for the benefit of the relevant Purchasers within such Purchaser Agent’s Purchaser Group) ratably according to the fees accrued (other than Servicing Fees) in payment in full of all such accrued fees (other than Servicing Fees) with respect to each Portion of Investment maintained by such Purchasers, </w:t>
      </w:r>
      <w:r>
        <w:rPr>
          <w:rFonts w:ascii="Times New Roman" w:hAnsi="Times New Roman"/>
          <w:sz w:val="20"/>
          <w:u w:val="single"/>
        </w:rPr>
        <w:t>fourth</w:t>
      </w:r>
      <w:r>
        <w:rPr>
          <w:rFonts w:ascii="Times New Roman" w:hAnsi="Times New Roman"/>
          <w:sz w:val="20"/>
        </w:rPr>
        <w:t xml:space="preserve">, to the Administrator for distribution to each Purchaser Agent ratably according to the aggregate of the Investment of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Purchaser in each such Purchaser Agent’s Purchaser Group (for the benefit of the relevant Purchasers within such Purchaser Agent’s Purchaser Group) in payment in full of each Purchaser’s Investment (or, if such day is not a Termination Day, the amount necessary to reduce the Purchased Interest to 100%);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each Purchaser Agent shall distribute the amounts described in the second, third and fourth clauses of this </w:t>
      </w:r>
      <w:r>
        <w:rPr>
          <w:rFonts w:ascii="Times New Roman" w:hAnsi="Times New Roman"/>
          <w:sz w:val="20"/>
          <w:u w:val="single"/>
        </w:rPr>
        <w:t>Section 1.4(d)(ii)</w:t>
      </w:r>
      <w:r>
        <w:rPr>
          <w:rFonts w:ascii="Times New Roman" w:hAnsi="Times New Roman"/>
          <w:sz w:val="20"/>
        </w:rPr>
        <w:t xml:space="preserve"> to the Purchasers within its Purchaser Group ratably according to Investment or, in the case of the third clause of this </w:t>
      </w:r>
      <w:r>
        <w:rPr>
          <w:rFonts w:ascii="Times New Roman" w:hAnsi="Times New Roman"/>
          <w:sz w:val="20"/>
          <w:u w:val="single"/>
        </w:rPr>
        <w:t>Section 1.4(d)(ii)</w:t>
      </w:r>
      <w:r>
        <w:rPr>
          <w:rFonts w:ascii="Times New Roman" w:hAnsi="Times New Roman"/>
          <w:sz w:val="20"/>
        </w:rPr>
        <w:t xml:space="preserve">, fees (not including the Servicing Fee), </w:t>
      </w:r>
      <w:r>
        <w:rPr>
          <w:rFonts w:ascii="Times New Roman" w:hAnsi="Times New Roman"/>
          <w:sz w:val="20"/>
          <w:u w:val="single"/>
        </w:rPr>
        <w:t>fifth</w:t>
      </w:r>
      <w:r>
        <w:rPr>
          <w:rFonts w:ascii="Times New Roman" w:hAnsi="Times New Roman"/>
          <w:sz w:val="20"/>
        </w:rPr>
        <w:t xml:space="preserve">, if the Aggregate Investment and accrued Aggregate Discount with respect to each Portion of Investment for all Purchaser Groups have been reduced to zero, and all accrued Servicing Fees payable to the Servicer (if other than WESCO or an Affiliate thereof) have been paid in full, to the Administrator for distribution ratably to each Purchaser Agent (for the benefit of the Purchasers within such Purchaser Group), the Administrator, each Indemnified Party and each Affected Person, in payment in full of any other amounts owed thereto by the Seller or Servicer hereunder, and </w:t>
      </w:r>
      <w:r>
        <w:rPr>
          <w:rFonts w:ascii="Times New Roman" w:hAnsi="Times New Roman"/>
          <w:sz w:val="20"/>
          <w:u w:val="single"/>
        </w:rPr>
        <w:t>sixth</w:t>
      </w:r>
      <w:r>
        <w:rPr>
          <w:rFonts w:ascii="Times New Roman" w:hAnsi="Times New Roman"/>
          <w:sz w:val="20"/>
        </w:rPr>
        <w:t xml:space="preserve">, to the Servicer’s own account (if the Servicer is WESCO or an Affiliate thereof) in payment in full of the aggregate of each Purchaser Group’s Ratable Share of all accrued Servicing Fees. </w:t>
      </w:r>
    </w:p>
    <w:p>
      <w:pPr>
        <w:pStyle w:val="TextBody"/>
        <w:bidi w:val="0"/>
        <w:spacing w:before="240" w:after="0"/>
        <w:jc w:val="left"/>
        <w:rPr>
          <w:rFonts w:ascii="Times New Roman" w:hAnsi="Times New Roman"/>
          <w:sz w:val="20"/>
        </w:rPr>
      </w:pPr>
      <w:r>
        <w:rPr>
          <w:rFonts w:ascii="Times New Roman" w:hAnsi="Times New Roman"/>
          <w:sz w:val="20"/>
        </w:rPr>
        <w:t xml:space="preserve">After the Aggregate Investment, Aggregate Discount, fees payable pursuant to each Purchaser Group Fee Letter and Servicing Fees with respect to the Purchased Interest, and any other amounts payable by the Seller and the Servicer to each Purchaser Group, the Administrator or any other Indemnified Party or Affected Person hereunder, have been paid in full, all additional Collections with respect to the Purchased Interest shall be paid to the Seller for its own account. Each Purchaser Agent hereby covenants and agrees to timely provide the Administrator with all information necessary for the Administrator to make the allocations to the Purchaser Agents required to be made by the Administrator pursuant to </w:t>
      </w:r>
      <w:r>
        <w:rPr>
          <w:rFonts w:ascii="Times New Roman" w:hAnsi="Times New Roman"/>
          <w:sz w:val="20"/>
          <w:u w:val="single"/>
        </w:rPr>
        <w:t>Sections 1.4(d)</w:t>
      </w:r>
      <w:r>
        <w:rPr>
          <w:rFonts w:ascii="Times New Roman" w:hAnsi="Times New Roman"/>
          <w:sz w:val="20"/>
        </w:rPr>
        <w:t xml:space="preserve"> and </w:t>
      </w:r>
      <w:r>
        <w:rPr>
          <w:rFonts w:ascii="Times New Roman" w:hAnsi="Times New Roman"/>
          <w:sz w:val="20"/>
          <w:u w:val="single"/>
        </w:rPr>
        <w:t>1.4(f)</w:t>
      </w:r>
      <w:r>
        <w:rPr>
          <w:rFonts w:ascii="Times New Roman" w:hAnsi="Times New Roman"/>
          <w:sz w:val="20"/>
        </w:rPr>
        <w:t xml:space="preserve">, including the applicable account of each Purchaser Agent for which amounts should be distributed. </w:t>
      </w:r>
    </w:p>
    <w:p>
      <w:pPr>
        <w:pStyle w:val="TextBody"/>
        <w:bidi w:val="0"/>
        <w:spacing w:before="240" w:after="0"/>
        <w:jc w:val="left"/>
        <w:rPr>
          <w:rFonts w:ascii="Times New Roman" w:hAnsi="Times New Roman"/>
          <w:sz w:val="20"/>
        </w:rPr>
      </w:pPr>
      <w:r>
        <w:rPr>
          <w:rFonts w:ascii="Times New Roman" w:hAnsi="Times New Roman"/>
          <w:sz w:val="20"/>
        </w:rPr>
        <w:t xml:space="preserve">(e) For the purposes of this </w:t>
      </w:r>
      <w:r>
        <w:rPr>
          <w:rFonts w:ascii="Times New Roman" w:hAnsi="Times New Roman"/>
          <w:sz w:val="20"/>
          <w:u w:val="single"/>
        </w:rPr>
        <w:t>Section 1.4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on any day the Outstanding Balance of any Pool Receivable is reduced or adjusted as a result of any defective, rejected, returned, repossessed or foreclosed goods or services, or any revision, cancellation, allowance, discount or other adjustment made by the Seller or any Affiliate of the Seller, or the Servicer or any Affiliate of the Servicer, or any setoff or dispute between the Seller or any Affiliate of the Seller, or the Servicer or any Affiliate of the Servicer and an Obligor, the Seller shall be deemed to have received on such day a Collection of such Pool Receivable in the amount of such reduction or adjustment and, if such reduction or adjustment (x) causes the Purchased Interest to exceed 100%, (y) occurs after the occurrence of the Facility Termination Date or (z) occurs at any time when the Purchased Interest exceeds 100% or any Termination Event has occurred and is continuing, the Seller shall pay an amount equal to such reduction or adjustment to a Lock-Box Account (other than an Exception Account) (or as otherwise directed by the Administrator at such time) for the benefit of the Purchasers for application pursuant to </w:t>
      </w:r>
      <w:r>
        <w:rPr>
          <w:rFonts w:ascii="Times New Roman" w:hAnsi="Times New Roman"/>
          <w:sz w:val="20"/>
          <w:u w:val="single"/>
        </w:rPr>
        <w:t>Section 1.4(b)</w:t>
      </w:r>
      <w:r>
        <w:rPr>
          <w:rFonts w:ascii="Times New Roman" w:hAnsi="Times New Roman"/>
          <w:sz w:val="20"/>
        </w:rPr>
        <w:t xml:space="preserve"> within one Business Day of such reduction or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on any day any of the representations or warranties in </w:t>
      </w:r>
      <w:r>
        <w:rPr>
          <w:rFonts w:ascii="Times New Roman" w:hAnsi="Times New Roman"/>
          <w:sz w:val="20"/>
          <w:u w:val="single"/>
        </w:rPr>
        <w:t>Section 1(g)</w:t>
      </w:r>
      <w:r>
        <w:rPr>
          <w:rFonts w:ascii="Times New Roman" w:hAnsi="Times New Roman"/>
          <w:sz w:val="20"/>
        </w:rPr>
        <w:t xml:space="preserve"> or </w:t>
      </w:r>
      <w:r>
        <w:rPr>
          <w:rFonts w:ascii="Times New Roman" w:hAnsi="Times New Roman"/>
          <w:sz w:val="20"/>
          <w:u w:val="single"/>
        </w:rPr>
        <w:t>(m)</w:t>
      </w:r>
      <w:r>
        <w:rPr>
          <w:rFonts w:ascii="Times New Roman" w:hAnsi="Times New Roman"/>
          <w:sz w:val="20"/>
        </w:rPr>
        <w:t xml:space="preserve"> of </w:t>
      </w:r>
      <w:r>
        <w:rPr>
          <w:rFonts w:ascii="Times New Roman" w:hAnsi="Times New Roman"/>
          <w:sz w:val="20"/>
          <w:u w:val="single"/>
        </w:rPr>
        <w:t>Exhibit III</w:t>
      </w:r>
      <w:r>
        <w:rPr>
          <w:rFonts w:ascii="Times New Roman" w:hAnsi="Times New Roman"/>
          <w:sz w:val="20"/>
        </w:rPr>
        <w:t xml:space="preserve"> is not true with respect to any Pool Receivable, the Seller shall be deemed to have received on such date, a Collection of such Pool Receivable in full, and if such breach (x) causes the Purchased Interest to exceed 100%, (y) occurs after the occurrence of the Facility Termination Date or (z) occurs at any time when the Purchased Interest exceeds 100% or any Termination Event has occurred and is continuing, the Seller shall pay the amount of such deemed Collection to a Lock-Box Account (other than an Exception Account) (or as otherwise directed by the Administrator at such time) for the benefit of the Purchasers for application pursuant to </w:t>
      </w:r>
      <w:r>
        <w:rPr>
          <w:rFonts w:ascii="Times New Roman" w:hAnsi="Times New Roman"/>
          <w:sz w:val="20"/>
          <w:u w:val="single"/>
        </w:rPr>
        <w:t xml:space="preserve">Section 1.4(b) </w:t>
      </w:r>
      <w:r>
        <w:rPr>
          <w:rFonts w:ascii="Times New Roman" w:hAnsi="Times New Roman"/>
          <w:sz w:val="20"/>
        </w:rPr>
        <w:t xml:space="preserve">within one Business Day of such breach; provided that, upon payment in full by the Seller of any Pool Receivable in accordance with this </w:t>
      </w:r>
      <w:r>
        <w:rPr>
          <w:rFonts w:ascii="Times New Roman" w:hAnsi="Times New Roman"/>
          <w:sz w:val="20"/>
          <w:u w:val="single"/>
        </w:rPr>
        <w:t>Section 1.4(e)(ii)</w:t>
      </w:r>
      <w:r>
        <w:rPr>
          <w:rFonts w:ascii="Times New Roman" w:hAnsi="Times New Roman"/>
          <w:sz w:val="20"/>
        </w:rPr>
        <w:t xml:space="preserve">, the Administrator’s and each other Purchaser’s rights in such Receivable shall automatically be conveyed to the Seller, without representation or warranty, but free and clear of all liens, security interests, charges and encumbrances created by or through the Administrator or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(iii) except as provided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or as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 </w:t>
      </w:r>
    </w:p>
    <w:p>
      <w:pPr>
        <w:pStyle w:val="TextBody"/>
        <w:bidi w:val="0"/>
        <w:spacing w:before="120" w:after="0"/>
        <w:jc w:val="left"/>
        <w:rPr>
          <w:rFonts w:ascii="Times New Roman" w:hAnsi="Times New Roman"/>
          <w:sz w:val="20"/>
        </w:rPr>
      </w:pPr>
      <w:r>
        <w:rPr>
          <w:rFonts w:ascii="Times New Roman" w:hAnsi="Times New Roman"/>
          <w:sz w:val="20"/>
        </w:rPr>
        <w:t xml:space="preserve">(iv) if and to the extent the Administrator, any Purchaser Agent or any Purchaser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(f) If at any time the Seller shall wish to cause the reduction of Aggregate Investment (but not to commence the liquidation, or reduction to zero, of the entire Aggregate Investment), the Seller may do so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Seller shall give the Administrator, each Purchaser Agent and the Servicer at least two Business Days’ prior written notice thereof for any reduction of Aggregate Investment (such notice to include the amount of such proposed reduction and the proposed date on which such reduction will commence); </w:t>
      </w:r>
    </w:p>
    <w:p>
      <w:pPr>
        <w:pStyle w:val="TextBody"/>
        <w:bidi w:val="0"/>
        <w:spacing w:before="120" w:after="0"/>
        <w:jc w:val="left"/>
        <w:rPr>
          <w:rFonts w:ascii="Times New Roman" w:hAnsi="Times New Roman"/>
          <w:sz w:val="20"/>
        </w:rPr>
      </w:pPr>
      <w:r>
        <w:rPr>
          <w:rFonts w:ascii="Times New Roman" w:hAnsi="Times New Roman"/>
          <w:sz w:val="20"/>
        </w:rPr>
        <w:t xml:space="preserve">(ii) on the proposed date of commencement of such reduction and on each day thereafter, the Servicer shall cause Collections not to be reinvested until the amount thereof not so reinvested shall equal the desired amount of reduction; and </w:t>
      </w:r>
    </w:p>
    <w:p>
      <w:pPr>
        <w:pStyle w:val="TextBody"/>
        <w:bidi w:val="0"/>
        <w:spacing w:before="120" w:after="0"/>
        <w:jc w:val="left"/>
        <w:rPr>
          <w:rFonts w:ascii="Times New Roman" w:hAnsi="Times New Roman"/>
          <w:sz w:val="20"/>
        </w:rPr>
      </w:pPr>
      <w:r>
        <w:rPr>
          <w:rFonts w:ascii="Times New Roman" w:hAnsi="Times New Roman"/>
          <w:sz w:val="20"/>
        </w:rPr>
        <w:t xml:space="preserve">(iii) the Servicer shall hold such Collections in trust for the benefit of each Purchaser ratably according to its Investment, for payment to the Administrator (for the account of such Purchaser) on any Business Day designated by the Seller in the notice delivered pursuant to </w:t>
      </w:r>
      <w:r>
        <w:rPr>
          <w:rFonts w:ascii="Times New Roman" w:hAnsi="Times New Roman"/>
          <w:sz w:val="20"/>
          <w:u w:val="single"/>
        </w:rPr>
        <w:t>Section 1.4(f)(i)</w:t>
      </w:r>
      <w:r>
        <w:rPr>
          <w:rFonts w:ascii="Times New Roman" w:hAnsi="Times New Roman"/>
          <w:sz w:val="20"/>
        </w:rPr>
        <w:t xml:space="preserve">, and the Aggregate Investment (together with the Investment of any related Purchaser) shall be deemed reduced in the amount to be paid to the Administrator (for the account of such Purchaser) only when in fact finally so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the amount of any such reduction shall be not less than $500,000 in the aggregate for all Purchaser Groups (unless the Aggregate Investment at the time of such reduction is less than $500,000, in which case such reduction shall be in the amount required to reduce the Aggregate Investment to zero); and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any Portion of Investment, the Seller shall choose a reduction amount, and the date of commencement thereof, so that to the extent practicable such reduction shall commence and conclude in the same Yield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Fees</w:t>
      </w:r>
      <w:r>
        <w:rPr>
          <w:rFonts w:ascii="Times New Roman" w:hAnsi="Times New Roman"/>
          <w:sz w:val="20"/>
        </w:rPr>
        <w:t>. The Seller shall pay to the Administrator and the Structuring Agent for distribution to each Purchaser Agent for the benefit of the related Purchasers, certain fees in the amounts and on the dates set forth in those certain fee letters, each such letter (as amended or amended and restated through the date hereof and as amended, supplemented, or otherwise modified from time to time, a “</w:t>
      </w:r>
      <w:r>
        <w:rPr>
          <w:rFonts w:ascii="Times New Roman" w:hAnsi="Times New Roman"/>
          <w:sz w:val="20"/>
          <w:u w:val="single"/>
        </w:rPr>
        <w:t>Purchaser Group Fee Letter</w:t>
      </w:r>
      <w:r>
        <w:rPr>
          <w:rFonts w:ascii="Times New Roman" w:hAnsi="Times New Roman"/>
          <w:sz w:val="20"/>
        </w:rPr>
        <w:t xml:space="preserve">”), in each case among the Seller, the Servicer, the Structuring Agent, the related Purchaser Agent and the related Purchasers; provided, however, that any Defaulting Purchaser’s right to receive Commitment Fees (as such term is defined in a Purchaser Group Fee Letter) shall be subject to the terms of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Payments and Computations,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amounts to be paid or deposited by the Seller or the Servicer hereunder or under any other Transaction Document shall be made without reduction for offset or counterclaim and shall be paid or deposited no later than noon (New York City time) on the day when due in same day funds to the applicable account from time to time designated by the Administrator. All amounts received after noon (New York City time) will be deemed to have been received on the next Business Day. Except as expressly set forth herein (including, without limitation, as set forth in </w:t>
      </w:r>
      <w:r>
        <w:rPr>
          <w:rFonts w:ascii="Times New Roman" w:hAnsi="Times New Roman"/>
          <w:sz w:val="20"/>
          <w:u w:val="single"/>
        </w:rPr>
        <w:t>Sections 1.4(b)(ii)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with respect to Collections held in trust for Exiting Purchasers), the Administrator shall promptly (and, if reasonably practicable, on the day it receives such amounts) distribute to the applicable Purchaser Agent amounts received by it hereunder for the benefit of the Purchasers within such Purchaser Agent’s Purchaser Group, and such Purchaser Agent shall promptly thereafter distribute such amounts received by it to the Purchasers within its Purchaser Group ratably (x) in the case of such amounts paid in respect of Discount and Fees, according to the Discount and Fees payable to such Purchasers and (y) in the case of such amounts paid in respect of Investment (or in respect of any other obligations other than Discount and Fees), according to the outstanding Investment funded by such Purchasers. Unless the Administrator shall have received notice from Seller prior to the date on which any payment is due to the Administrator for the account of any Purchasers hereunder that the Seller (or the Servicer on its behalf) will not make such payment (including because Collections are not available therefor), the Administrator may assume that the Seller has made or will make such payment on such date in accordance herewith and may (but shall not be obligated to), in reliance upon such assumption, distribute to the Purchaser Agents the amount due. In such event, if the Seller (or the Servicer on its behalf) has not in fact made such payment, then each Purchaser Agent severally agrees to repay to the Administrator forthwith on demand the amount so distributed to such Purchaser Agent, with interest thereon, for each day from and including the date such amount is distributed to it to but excluding the date of payment to the Administrator, at the greater of the Overnight Bank Funding Rate and a rate determined by the Administrator in accordance with banking industry rules on interbank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Whenever any payment or deposit to be made hereunder shall be due on a day other than a Business Day, such payment or deposit shall be made on the next Business Day and such extension of time shall be included in the computation of such payment or deposit.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any Purchaser Agent, Purchaser, Liquidity Provider, the Administrator or any other Program Support Provider or any of their respective Affiliates (each an “</w:t>
      </w:r>
      <w:r>
        <w:rPr>
          <w:rFonts w:ascii="Times New Roman" w:hAnsi="Times New Roman"/>
          <w:sz w:val="20"/>
          <w:u w:val="single"/>
        </w:rPr>
        <w:t>Affected Person</w:t>
      </w:r>
      <w:r>
        <w:rPr>
          <w:rFonts w:ascii="Times New Roman" w:hAnsi="Times New Roman"/>
          <w:sz w:val="20"/>
        </w:rPr>
        <w:t xml:space="preserve">”) reasonably determines that the existence of or compliance with: (i) any law or regulation or any change therein or in the interpretation or application thereof, in each case adopted, issued or occurring after the Tenth Amendment Date, or (ii) any request, guideline or directive from any central bank or other Governmental Authority (whether or not having the force of law) issued or occurring after the Tenth Amendment Date, affects or would affect the amount of capital required or expected to be maintained by such Affected Person, and such Affected Person determines that the amount of such capital is increased by or based upon the existence of any commitment to make purchases of (or otherwise to maintain the investment in) Pool Receivables related to this Agreement or any related liquidity facility, credit enhancement facility or other commitments of the same type, then, upon demand by such Affected Person (with a copy to the Administrator), the Seller shall promptly pay to the Administrator, for the account of such Affected Person, from time to time as specified by such Affected Person, additional amounts sufficient to compensate such Affected Person in the light of such circumstances, to the extent that such Affected Person reasonably determines such increase in capital to be allocable to the existence of any of such commitments. A certificate as to such amounts submitted to the Seller and the Administrator by such Affected Person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If, due to either: (i) the introduction of or any change in or in the interpretation of any law or regulation or (ii) compliance with any guideline or request from any central bank or other Governmental Authority (whether or not having the force of law), there shall be any increase in the cost to any Affected Person of agreeing to purchase or purchasing, or maintaining the ownership of, the Purchased Interest or any portion thereof in respect of which Discount is computed by reference to the applicable Benchmark, then, upon demand by such Affected Person, the Seller shall promptly pay to such Affected Person, from time to time as specified by such Affected Person, additional amounts sufficient to compensate such Affected Person for such increased costs. A certificate as to such amounts submitted to the Seller and the Administrator by such Affected Person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If such increased costs affect the related Affected Person’s portfolio of financing transactions, such Affected Person shall use reasonable averaging and attribution methods to allocate such increased costs to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for purposes of this </w:t>
      </w:r>
      <w:r>
        <w:rPr>
          <w:rFonts w:ascii="Times New Roman" w:hAnsi="Times New Roman"/>
          <w:sz w:val="20"/>
          <w:u w:val="single"/>
        </w:rPr>
        <w:t>Section 1.7</w:t>
      </w:r>
      <w:r>
        <w:rPr>
          <w:rFonts w:ascii="Times New Roman" w:hAnsi="Times New Roman"/>
          <w:sz w:val="20"/>
        </w:rPr>
        <w:t xml:space="preserve">, (i) the Dodd-Frank Wall Street Reform and Consumer Protection Act, and all requests, rules, guidelines and directives promulgated thereunder and (ii) all requests, rules, guidelines or directives promulgated by the Bank for International Settlements, the Basel Committee on Banking Supervision (or any successor or similar authority) or any Governmental Authority, any central bank of any jurisdiction, comparable agency or other Person, in each case pursuant to, or implementing, the accord known as Basel II or Basel III, are, in the case of each of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clause (ii)</w:t>
      </w:r>
      <w:r>
        <w:rPr>
          <w:rFonts w:ascii="Times New Roman" w:hAnsi="Times New Roman"/>
          <w:sz w:val="20"/>
        </w:rPr>
        <w:t xml:space="preserve"> above, deemed to have been introduced or adopted after the date hereof, regardless of the date enacted, adopted, issued, promulgated or implemented. </w:t>
      </w:r>
    </w:p>
    <w:p>
      <w:pPr>
        <w:pStyle w:val="TextBody"/>
        <w:bidi w:val="0"/>
        <w:spacing w:before="240" w:after="0"/>
        <w:jc w:val="left"/>
        <w:rPr>
          <w:rFonts w:ascii="Times New Roman" w:hAnsi="Times New Roman"/>
          <w:sz w:val="20"/>
        </w:rPr>
      </w:pPr>
      <w:r>
        <w:rPr>
          <w:rFonts w:ascii="Times New Roman" w:hAnsi="Times New Roman"/>
          <w:sz w:val="20"/>
        </w:rPr>
        <w:t xml:space="preserve">(e) Failure or delay on the part of any Affected Person to demand compensation pursuant to this Section shall not constitute a waiver of such Affected Person’s right to demand such compensation; </w:t>
      </w:r>
      <w:r>
        <w:rPr>
          <w:rFonts w:ascii="Times New Roman" w:hAnsi="Times New Roman"/>
          <w:sz w:val="20"/>
          <w:u w:val="single"/>
        </w:rPr>
        <w:t>provided</w:t>
      </w:r>
      <w:r>
        <w:rPr>
          <w:rFonts w:ascii="Times New Roman" w:hAnsi="Times New Roman"/>
          <w:sz w:val="20"/>
        </w:rPr>
        <w:t xml:space="preserve"> that the Seller shall not be required to compensate an Affected Person pursuant to this Section for any increased costs or reductions incurred more than 180 days prior to the date that such Affected Person, as the case may be, notifies the Seller of the occurrence or event giving rise to such increased costs or reductions and of such Affected Person’s intention to claim compensation therefor; </w:t>
      </w:r>
      <w:r>
        <w:rPr>
          <w:rFonts w:ascii="Times New Roman" w:hAnsi="Times New Roman"/>
          <w:sz w:val="20"/>
          <w:u w:val="single"/>
        </w:rPr>
        <w:t>provided</w:t>
      </w:r>
      <w:r>
        <w:rPr>
          <w:rFonts w:ascii="Times New Roman" w:hAnsi="Times New Roman"/>
          <w:sz w:val="20"/>
        </w:rPr>
        <w:t xml:space="preserve"> further that, if the occurrence or event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Requirements of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Affected Person reasonably determines that the existence of or compliance with: (a) any law or regulation or any change therein or in the interpretation or application thereof, in each case adopted, issued or occurring after the Tenth Amendment Date, or (b) any request, guideline or directive from any central bank or other Governmental Authority (whether or not having the force of law) issued or occurring after the Tenth Amendment Date: </w:t>
      </w:r>
    </w:p>
    <w:p>
      <w:pPr>
        <w:pStyle w:val="TextBody"/>
        <w:bidi w:val="0"/>
        <w:spacing w:before="120" w:after="0"/>
        <w:jc w:val="left"/>
        <w:rPr>
          <w:rFonts w:ascii="Times New Roman" w:hAnsi="Times New Roman"/>
          <w:sz w:val="20"/>
        </w:rPr>
      </w:pPr>
      <w:r>
        <w:rPr>
          <w:rFonts w:ascii="Times New Roman" w:hAnsi="Times New Roman"/>
          <w:sz w:val="20"/>
        </w:rPr>
        <w:t xml:space="preserve">(i) does or shall subject such Affected Person to any tax of any kind whatsoever with respect to this Agreement, any increase in the Purchased Interest or any portion thereof or in the amount of such Person’s Investment relating thereto, or does or shall change the basis of taxation of payments to such Affected Person on account of Collections, Discount or any other amounts payable hereunder (excluding Excluded Taxes), </w:t>
      </w:r>
    </w:p>
    <w:p>
      <w:pPr>
        <w:pStyle w:val="TextBody"/>
        <w:bidi w:val="0"/>
        <w:spacing w:before="120" w:after="0"/>
        <w:jc w:val="left"/>
        <w:rPr>
          <w:rFonts w:ascii="Times New Roman" w:hAnsi="Times New Roman"/>
          <w:sz w:val="20"/>
        </w:rPr>
      </w:pPr>
      <w:r>
        <w:rPr>
          <w:rFonts w:ascii="Times New Roman" w:hAnsi="Times New Roman"/>
          <w:sz w:val="20"/>
        </w:rPr>
        <w:t xml:space="preserve">(ii) does or shall impose, modify or hold applicable any reserve, special deposit, compulsory loan or similar requirement against assets held by, or deposits or other liabilities in or for the account of, purchases, advances or loans by, or other credit extended by, or any other acquisition of funds by, any office of such Affected Person that are not otherwise included in the determination of the applicable Benchmark or the Base Rate hereunder, or </w:t>
      </w:r>
    </w:p>
    <w:p>
      <w:pPr>
        <w:pStyle w:val="TextBody"/>
        <w:bidi w:val="0"/>
        <w:spacing w:before="120" w:after="0"/>
        <w:jc w:val="left"/>
        <w:rPr>
          <w:rFonts w:ascii="Times New Roman" w:hAnsi="Times New Roman"/>
          <w:sz w:val="20"/>
        </w:rPr>
      </w:pPr>
      <w:r>
        <w:rPr>
          <w:rFonts w:ascii="Times New Roman" w:hAnsi="Times New Roman"/>
          <w:sz w:val="20"/>
        </w:rPr>
        <w:t xml:space="preserve">(iii) does or shall impose on such Affected Person any other condition,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is: (A) to increase the cost to such Affected Person of acting as Administrator or as a Purchaser Agent, or of agreeing to purchase or purchasing or maintaining the ownership of undivided percentage ownership interests with regard to the Purchased Interest (or interests therein) or any Portion of Investment, or (B) to reduce any amount receivable hereunder (whether directly or indirectly), then, in any such case, upon demand by such Affected Person, the Seller shall promptly pay to such Affected Person additional amounts necessary to compensate such Affected Person for such additional cost or reduced amount receivable. All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shall be payable as incurred. A certificate from such Affected Person to the Seller and the Administrator certifying, in reasonably specific detail, the basis for, calculation of, and amount of such additional costs or reduced amount receivable shall be conclusive and binding for all purposes, absent manifest error;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Affected Person shall be required to disclose any confidential or tax planning information in any such certificate;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for purposes of this </w:t>
      </w:r>
      <w:r>
        <w:rPr>
          <w:rFonts w:ascii="Times New Roman" w:hAnsi="Times New Roman"/>
          <w:sz w:val="20"/>
          <w:u w:val="single"/>
        </w:rPr>
        <w:t>Section 1.8</w:t>
      </w:r>
      <w:r>
        <w:rPr>
          <w:rFonts w:ascii="Times New Roman" w:hAnsi="Times New Roman"/>
          <w:sz w:val="20"/>
        </w:rPr>
        <w:t xml:space="preserve">, (i) the Dodd-Frank Wall Street Reform and Consumer Protection Act, and all requests, rules, guidelines and directives promulgated thereunder, and (ii) all requests, rules, guidelines or directives promulgated by the Bank for International Settlements, the Basel Committee on Banking Supervision (or any successor or similar authority) or any Governmental Authority, any central bank of any jurisdiction, comparable agency or other Person, in each case pursuant to, or implementing, the accord known as Basel II or Basel III, are, in the case of each of </w:t>
      </w:r>
      <w:r>
        <w:rPr>
          <w:rFonts w:ascii="Times New Roman" w:hAnsi="Times New Roman"/>
          <w:sz w:val="20"/>
          <w:u w:val="single"/>
        </w:rPr>
        <w:t>clause (i)</w:t>
      </w:r>
      <w:r>
        <w:rPr>
          <w:rFonts w:ascii="Times New Roman" w:hAnsi="Times New Roman"/>
          <w:sz w:val="20"/>
        </w:rPr>
        <w:t xml:space="preserve"> and </w:t>
      </w:r>
      <w:r>
        <w:rPr>
          <w:rFonts w:ascii="Times New Roman" w:hAnsi="Times New Roman"/>
          <w:sz w:val="20"/>
          <w:u w:val="single"/>
        </w:rPr>
        <w:t>clause (ii)</w:t>
      </w:r>
      <w:r>
        <w:rPr>
          <w:rFonts w:ascii="Times New Roman" w:hAnsi="Times New Roman"/>
          <w:sz w:val="20"/>
        </w:rPr>
        <w:t xml:space="preserve"> above, deemed to have been introduced or adopted after the date hereof, regardless of the date enacted, adopted, issued, promulgated or implemented. </w:t>
      </w:r>
    </w:p>
    <w:p>
      <w:pPr>
        <w:pStyle w:val="TextBody"/>
        <w:bidi w:val="0"/>
        <w:spacing w:before="240" w:after="0"/>
        <w:jc w:val="left"/>
        <w:rPr>
          <w:rFonts w:ascii="Times New Roman" w:hAnsi="Times New Roman"/>
          <w:sz w:val="20"/>
        </w:rPr>
      </w:pPr>
      <w:r>
        <w:rPr>
          <w:rFonts w:ascii="Times New Roman" w:hAnsi="Times New Roman"/>
          <w:sz w:val="20"/>
        </w:rPr>
        <w:t xml:space="preserve">Failure or delay on the part of any Affected Person to demand compensation pursuant to this Section shall not constitute a waiver of such Affected Person’s right to demand such compensation; </w:t>
      </w:r>
      <w:r>
        <w:rPr>
          <w:rFonts w:ascii="Times New Roman" w:hAnsi="Times New Roman"/>
          <w:sz w:val="20"/>
          <w:u w:val="single"/>
        </w:rPr>
        <w:t>provided</w:t>
      </w:r>
      <w:r>
        <w:rPr>
          <w:rFonts w:ascii="Times New Roman" w:hAnsi="Times New Roman"/>
          <w:sz w:val="20"/>
        </w:rPr>
        <w:t xml:space="preserve"> that the Seller shall not be required to compensate an Affected Person pursuant to this Section for any increased costs or reductions incurred more than 180 days prior to the date that such Affected Person, as the case may be, notifies the Seller of the occurrence or event giving rise to such increased costs or reductions and of such Affected Person’s intention to claim compensation therefor; </w:t>
      </w:r>
      <w:r>
        <w:rPr>
          <w:rFonts w:ascii="Times New Roman" w:hAnsi="Times New Roman"/>
          <w:sz w:val="20"/>
          <w:u w:val="single"/>
        </w:rPr>
        <w:t>provided</w:t>
      </w:r>
      <w:r>
        <w:rPr>
          <w:rFonts w:ascii="Times New Roman" w:hAnsi="Times New Roman"/>
          <w:sz w:val="20"/>
        </w:rPr>
        <w:t xml:space="preserve"> further that, if the occurrence or event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Defaulting Purchasers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Defaulting Purchaser Adjustments</w:t>
      </w:r>
      <w:r>
        <w:rPr>
          <w:rFonts w:ascii="Times New Roman" w:hAnsi="Times New Roman"/>
          <w:sz w:val="20"/>
        </w:rPr>
        <w:t xml:space="preserve">. Notwithstanding anything to the contrary contained in this Agreement, if any Purchaser becomes a Defaulting Purchaser, then, until such time as such Purchaser is no longer a Defaulting Purchaser,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xml:space="preserve">. Such Defaulting Purchaser’s right to approve or disapprove any amendment, waiver or consent with respect to this Agreement shall be restricted as specified in the definition of Majority Purchasers, Simple Majority and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Defaulting Purchaser Waterfall</w:t>
      </w:r>
      <w:r>
        <w:rPr>
          <w:rFonts w:ascii="Times New Roman" w:hAnsi="Times New Roman"/>
          <w:sz w:val="20"/>
        </w:rPr>
        <w:t xml:space="preserve">. Any payment of capital, principal, interest, yield, fees or other amounts received by the Administrator for the account of such Defaulting Purchaser (whether voluntary or mandatory, at maturity, pursuant to </w:t>
      </w:r>
      <w:r>
        <w:rPr>
          <w:rFonts w:ascii="Times New Roman" w:hAnsi="Times New Roman"/>
          <w:sz w:val="20"/>
          <w:u w:val="single"/>
        </w:rPr>
        <w:t>Section 1.4</w:t>
      </w:r>
      <w:r>
        <w:rPr>
          <w:rFonts w:ascii="Times New Roman" w:hAnsi="Times New Roman"/>
          <w:sz w:val="20"/>
        </w:rPr>
        <w:t xml:space="preserve"> or otherwise) or received by the Administrator from a Defaulting Purchaser pursuant to </w:t>
      </w:r>
      <w:r>
        <w:rPr>
          <w:rFonts w:ascii="Times New Roman" w:hAnsi="Times New Roman"/>
          <w:sz w:val="20"/>
          <w:u w:val="single"/>
        </w:rPr>
        <w:t>Section 6.11</w:t>
      </w:r>
      <w:r>
        <w:rPr>
          <w:rFonts w:ascii="Times New Roman" w:hAnsi="Times New Roman"/>
          <w:sz w:val="20"/>
        </w:rPr>
        <w:t xml:space="preserve"> shall be applied at such time or times as may be determined by the Administrator as follows: </w:t>
      </w:r>
      <w:r>
        <w:rPr>
          <w:rFonts w:ascii="Times New Roman" w:hAnsi="Times New Roman"/>
          <w:i/>
          <w:sz w:val="20"/>
        </w:rPr>
        <w:t>first</w:t>
      </w:r>
      <w:r>
        <w:rPr>
          <w:rFonts w:ascii="Times New Roman" w:hAnsi="Times New Roman"/>
          <w:sz w:val="20"/>
        </w:rPr>
        <w:t xml:space="preserve">, to the payment of any amounts owing by such Defaulting Purchaser to the Administrator hereunder; </w:t>
      </w:r>
      <w:r>
        <w:rPr>
          <w:rFonts w:ascii="Times New Roman" w:hAnsi="Times New Roman"/>
          <w:i/>
          <w:sz w:val="20"/>
        </w:rPr>
        <w:t>second</w:t>
      </w:r>
      <w:r>
        <w:rPr>
          <w:rFonts w:ascii="Times New Roman" w:hAnsi="Times New Roman"/>
          <w:sz w:val="20"/>
        </w:rPr>
        <w:t xml:space="preserve">, as the Seller may request (so long as no Termination Event exists), to the funding of any Investment in respect of which such Defaulting Purchaser has failed to fund its portion thereof as required by this Agreement, as determined by the Administrator; </w:t>
      </w:r>
      <w:r>
        <w:rPr>
          <w:rFonts w:ascii="Times New Roman" w:hAnsi="Times New Roman"/>
          <w:i/>
          <w:sz w:val="20"/>
        </w:rPr>
        <w:t>third</w:t>
      </w:r>
      <w:r>
        <w:rPr>
          <w:rFonts w:ascii="Times New Roman" w:hAnsi="Times New Roman"/>
          <w:sz w:val="20"/>
        </w:rPr>
        <w:t xml:space="preserve">, if so determined by the Administrator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Seller, to be held in a deposit account and released pro rata in order to satisfy such Defaulting Purchaser’s potential future funding obligations with respect to Investments under this Agreement; </w:t>
      </w:r>
      <w:r>
        <w:rPr>
          <w:rFonts w:ascii="Times New Roman" w:hAnsi="Times New Roman"/>
          <w:i/>
          <w:sz w:val="20"/>
        </w:rPr>
        <w:t>fourth</w:t>
      </w:r>
      <w:r>
        <w:rPr>
          <w:rFonts w:ascii="Times New Roman" w:hAnsi="Times New Roman"/>
          <w:sz w:val="20"/>
        </w:rPr>
        <w:t xml:space="preserve">, to the payment of any amounts owing to the Purchasers as a result of any judgment of a court of competent jurisdiction obtained by any Purchaser against such Defaulting Purchaser as a result of such Defaulting Purchaser’s breach of its obligations under this Agreement; </w:t>
      </w:r>
      <w:r>
        <w:rPr>
          <w:rFonts w:ascii="Times New Roman" w:hAnsi="Times New Roman"/>
          <w:i/>
          <w:sz w:val="20"/>
        </w:rPr>
        <w:t>fifth</w:t>
      </w:r>
      <w:r>
        <w:rPr>
          <w:rFonts w:ascii="Times New Roman" w:hAnsi="Times New Roman"/>
          <w:sz w:val="20"/>
        </w:rPr>
        <w:t xml:space="preserve">, so long as no Termination Event exists, to the payment of any amounts owing to the Seller as a result of any judgment of a court of competent jurisdiction obtained by the Seller against such Defaulting Purchaser as a result of such Defaulting Purchaser’s breach of its obligations under this Agreement; and </w:t>
      </w:r>
      <w:r>
        <w:rPr>
          <w:rFonts w:ascii="Times New Roman" w:hAnsi="Times New Roman"/>
          <w:i/>
          <w:sz w:val="20"/>
        </w:rPr>
        <w:t>sixth</w:t>
      </w:r>
      <w:r>
        <w:rPr>
          <w:rFonts w:ascii="Times New Roman" w:hAnsi="Times New Roman"/>
          <w:sz w:val="20"/>
        </w:rPr>
        <w:t xml:space="preserve">, to such Defaulting Purchaser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any Investments in respect of which such Defaulting Purchaser has not fully funded its appropriate share, and (y) such Investments were made at a time when the conditions specified in </w:t>
      </w:r>
      <w:r>
        <w:rPr>
          <w:rFonts w:ascii="Times New Roman" w:hAnsi="Times New Roman"/>
          <w:sz w:val="20"/>
          <w:u w:val="single"/>
        </w:rPr>
        <w:t>Exhibit II</w:t>
      </w:r>
      <w:r>
        <w:rPr>
          <w:rFonts w:ascii="Times New Roman" w:hAnsi="Times New Roman"/>
          <w:sz w:val="20"/>
        </w:rPr>
        <w:t xml:space="preserve"> were satisfied or waived, such payment shall be applied solely to pay the Investments of all Purchasers that are not Defaulting Purchasers on a pro rata basis prior to being applied to the payment of any Investments of such Defaulting Purchaser until such time as all Investments are held by the Committed Purchasers (together with their related Conduit Purchasers) pro rata in accordance with their Commitments. Any payments, prepayments or other amounts paid or payable to a Defaulting Purchaser that are applied (or held) to pay amounts owed by a Defaulting Purchaser pursuant to this </w:t>
      </w:r>
      <w:r>
        <w:rPr>
          <w:rFonts w:ascii="Times New Roman" w:hAnsi="Times New Roman"/>
          <w:sz w:val="20"/>
          <w:u w:val="single"/>
        </w:rPr>
        <w:t>Section 1.9(a)(ii)</w:t>
      </w:r>
      <w:r>
        <w:rPr>
          <w:rFonts w:ascii="Times New Roman" w:hAnsi="Times New Roman"/>
          <w:sz w:val="20"/>
        </w:rPr>
        <w:t xml:space="preserve"> shall be deemed paid to and redirected by such Defaulting Purchaser, and each Purchaser irrevocably consents hereto.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Certain Fees</w:t>
      </w:r>
      <w:r>
        <w:rPr>
          <w:rFonts w:ascii="Times New Roman" w:hAnsi="Times New Roman"/>
          <w:sz w:val="20"/>
        </w:rPr>
        <w:t xml:space="preserve">. Notwithstanding anything to the contrary in the applicable Purchaser Group Fee Letter, no Defaulting Purchaser shall be entitled to receive any Commitment Fee (as such term is defined in a Purchaser Group Fee Letter) (as accrued for any period during which that Purchaser is a Defaulting Purchaser and the Seller shall not be required to pay any such Commitment Fee that otherwise would have been required to have been paid to that Defaulting Purchaser).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Purchaser Cure</w:t>
      </w:r>
      <w:r>
        <w:rPr>
          <w:rFonts w:ascii="Times New Roman" w:hAnsi="Times New Roman"/>
          <w:sz w:val="20"/>
        </w:rPr>
        <w:t xml:space="preserve">. If the Seller and the Administrator agree in writing that a Purchaser is no longer a Defaulting Purchaser, the Administrator will so notify the parties hereto, whereupon as of the effective date specified in such notice and subject to any conditions specified therein, that Purchaser will, to the extent applicable, purchase at par that portion of outstanding Investment of the other Purchasers or take such other actions as the Administrator may determine to be necessary to cause the Aggregate Investment, to be held </w:t>
      </w:r>
      <w:r>
        <w:rPr>
          <w:rFonts w:ascii="Times New Roman" w:hAnsi="Times New Roman"/>
          <w:i/>
          <w:sz w:val="20"/>
        </w:rPr>
        <w:t>pro rata</w:t>
      </w:r>
      <w:r>
        <w:rPr>
          <w:rFonts w:ascii="Times New Roman" w:hAnsi="Times New Roman"/>
          <w:sz w:val="20"/>
        </w:rPr>
        <w:t xml:space="preserve"> by the Committed Purchasers (together with their related Conduit Purchasers) in accordance with their Commitments, whereupon such Purchaser will cease to be a Defaulting Purchaser;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Seller while that Purchaser was a Defaulting Purchaser;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Purchaser to Purchaser will constitute a waiver or release of any claim of any party hereunder arising from that Purchaser’s having been a Defaulting Purchaser.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of Defaulting Purchaser</w:t>
      </w:r>
      <w:r>
        <w:rPr>
          <w:rFonts w:ascii="Times New Roman" w:hAnsi="Times New Roman"/>
          <w:sz w:val="20"/>
        </w:rPr>
        <w:t xml:space="preserve">. The Seller may terminate the unused amount of the Commitment of any Defaulting Purchaser upon not less than three (3) Business Days’ prior notice to the Administrator (which shall promptly notify the Purchasers thereof), and in such event the provisions of </w:t>
      </w:r>
      <w:r>
        <w:rPr>
          <w:rFonts w:ascii="Times New Roman" w:hAnsi="Times New Roman"/>
          <w:sz w:val="20"/>
          <w:u w:val="single"/>
        </w:rPr>
        <w:t>Section 1.9(a)(ii)</w:t>
      </w:r>
      <w:r>
        <w:rPr>
          <w:rFonts w:ascii="Times New Roman" w:hAnsi="Times New Roman"/>
          <w:sz w:val="20"/>
        </w:rPr>
        <w:t xml:space="preserve"> will apply to all amounts thereafter paid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Seller for the account of such Defaulting Purchaser under this Agreement (whether on account of Investment, principal, interest, Discount, fees, indemnity or other amounts); </w:t>
      </w:r>
      <w:r>
        <w:rPr>
          <w:rFonts w:ascii="Times New Roman" w:hAnsi="Times New Roman"/>
          <w:sz w:val="20"/>
          <w:u w:val="single"/>
        </w:rPr>
        <w:t>provided</w:t>
      </w:r>
      <w:r>
        <w:rPr>
          <w:rFonts w:ascii="Times New Roman" w:hAnsi="Times New Roman"/>
          <w:sz w:val="20"/>
        </w:rPr>
        <w:t xml:space="preserve"> that (i) no Termination Event shall have occurred and be continuing, and (ii) such termination shall not be deemed to be a waiver or release of any claim the Seller, the Administrator or any Purchaser may have against such Defaulting Purchaser.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Extension of Termination Date</w:t>
      </w:r>
      <w:r>
        <w:rPr>
          <w:rFonts w:ascii="Times New Roman" w:hAnsi="Times New Roman"/>
          <w:sz w:val="20"/>
        </w:rPr>
        <w:t xml:space="preserve">. The Seller may advise the Administrator and each Committed Purchaser in writing of its desire to extend the Scheduled Commitment Termination Date with respect to such Purchaser; </w:t>
      </w:r>
      <w:r>
        <w:rPr>
          <w:rFonts w:ascii="Times New Roman" w:hAnsi="Times New Roman"/>
          <w:sz w:val="20"/>
          <w:u w:val="single"/>
        </w:rPr>
        <w:t>provided</w:t>
      </w:r>
      <w:r>
        <w:rPr>
          <w:rFonts w:ascii="Times New Roman" w:hAnsi="Times New Roman"/>
          <w:sz w:val="20"/>
        </w:rPr>
        <w:t xml:space="preserve"> that such request is made not more than one-hundred twenty (120) days prior to, and not less than sixty (60) days prior to, the then current Scheduled Commitment Termination Date with respect to such Purchaser. In the event that the applicable Purchaser is agreeable to such extension, the Administrator shall so notify the Seller in writing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the Purchasers may accept or decline such a request in their sole discretion and on such terms as they may elect) not less than 30 days prior to its then current Scheduled Commitment Termination Date and the Seller, the Administrator, the Purchaser Agents and the Purchasers shall enter into such documents as the Purchasers may deem necessary or appropriate to reflect such extension, and all reasonable costs and expenses incurred by the Purchasers, the Administrator and the Purchaser Agents in connection therewith (including reasonable Attorney Costs) shall be paid by the Seller. In the event a Purchaser declines the request for such extension, the Administrator shall so notify the Seller and each Purchaser Agent of such determination;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of the Administrator to notify the Seller of the determination to decline such extension shall not affect the understanding and agreement that the Purchaser shall be deemed to have refused to grant the requested extension in the event the Administrator fails to affirmatively notify the Seller, in writing, of their agreement to accept the requested extension.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Increase in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Requests for Increase</w:t>
      </w:r>
      <w:r>
        <w:rPr>
          <w:rFonts w:ascii="Times New Roman" w:hAnsi="Times New Roman"/>
          <w:sz w:val="20"/>
        </w:rPr>
        <w:t xml:space="preserve">. So long as no Termination Event or Unmatured Termination Event has occurred and is continuing, upon notice to the Administrator and each Purchaser Agent, the Servicer (on behalf of the Seller) may from time to time (i) request an increase in the Commitment with respect to any existing Committed Purchaser (with the consent of the Administrator) or (ii) request that additional Persons be added as Committed Purchasers subject to the provisions of </w:t>
      </w:r>
      <w:r>
        <w:rPr>
          <w:rFonts w:ascii="Times New Roman" w:hAnsi="Times New Roman"/>
          <w:sz w:val="20"/>
          <w:u w:val="single"/>
        </w:rPr>
        <w:t>Section 1.2(e)</w:t>
      </w:r>
      <w:r>
        <w:rPr>
          <w:rFonts w:ascii="Times New Roman" w:hAnsi="Times New Roman"/>
          <w:sz w:val="20"/>
        </w:rPr>
        <w:t xml:space="preserve">, in each case at any time following the Closing Date and prior to the Facility Termination Date (it being understood and agreed that, for the avoidance of doubt, at no time shall the aggregate of all Commitments exceed $2,050,000,000); </w:t>
      </w:r>
      <w:r>
        <w:rPr>
          <w:rFonts w:ascii="Times New Roman" w:hAnsi="Times New Roman"/>
          <w:sz w:val="20"/>
          <w:u w:val="single"/>
        </w:rPr>
        <w:t>provided</w:t>
      </w:r>
      <w:r>
        <w:rPr>
          <w:rFonts w:ascii="Times New Roman" w:hAnsi="Times New Roman"/>
          <w:sz w:val="20"/>
        </w:rPr>
        <w:t xml:space="preserve">, that each request for an increase or addition of a Person pursuant to </w:t>
      </w:r>
      <w:r>
        <w:rPr>
          <w:rFonts w:ascii="Times New Roman" w:hAnsi="Times New Roman"/>
          <w:sz w:val="20"/>
          <w:u w:val="single"/>
        </w:rPr>
        <w:t>Section 1.2(e)</w:t>
      </w:r>
      <w:r>
        <w:rPr>
          <w:rFonts w:ascii="Times New Roman" w:hAnsi="Times New Roman"/>
          <w:sz w:val="20"/>
        </w:rPr>
        <w:t xml:space="preserve"> shall be in a minimum amount of $10,000,000 and increments of $5,000,000 above such minimum amount. At the time of sending such notice with respect to any existing Committed Purchaser, the Servicer (in consultation with the Administrator and the Purchaser Agent related to such Committed Purchaser) shall specify the time period within which such Committed Purchaser and the Administrator are requested to respond to the Servicer’s request (which shall in no event be less than ten (10) Business Days from the date of delivery of such notice to the Administrator and such Committed Purchaser and its related Purchaser Agent). For the avoidance of doubt, any increase in the Commitment of any Committed Purchaser is at the sole discretion of such Committed Purchaser.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Elections to Increase</w:t>
      </w:r>
      <w:r>
        <w:rPr>
          <w:rFonts w:ascii="Times New Roman" w:hAnsi="Times New Roman"/>
          <w:sz w:val="20"/>
        </w:rPr>
        <w:t xml:space="preserve">. In respect of any existing Committed Purchaser, each of such Committed Purchaser being asked to increase its Commitment and the Administrator shall notify the Seller and the Servicer within the applicable time period whether or not such Person agrees, in its respective sole discretion, to the increase to such Committed Purchaser’s Commitment. Any such Person not responding within such time period shall be deemed to have declined to consent to an increase in such Committed Purchaser’s Commitment. For the avoidance of doubt, only the consent of the Committed Purchaser then being asked to increase its Commitment and the Administrator shall be required in order to approve any such request.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Effective Date</w:t>
      </w:r>
      <w:r>
        <w:rPr>
          <w:rFonts w:ascii="Times New Roman" w:hAnsi="Times New Roman"/>
          <w:sz w:val="20"/>
        </w:rPr>
        <w:t xml:space="preserve">. If the Commitment of any existing Committed Purchaser is increased in accordance with this </w:t>
      </w:r>
      <w:r>
        <w:rPr>
          <w:rFonts w:ascii="Times New Roman" w:hAnsi="Times New Roman"/>
          <w:sz w:val="20"/>
          <w:u w:val="single"/>
        </w:rPr>
        <w:t>Section 1.11</w:t>
      </w:r>
      <w:r>
        <w:rPr>
          <w:rFonts w:ascii="Times New Roman" w:hAnsi="Times New Roman"/>
          <w:sz w:val="20"/>
        </w:rPr>
        <w:t>, the Administrator and the Purchaser Agent for such Committed Purchaser shall determine the effective date with respect to such increase (such date, the “</w:t>
      </w:r>
      <w:r>
        <w:rPr>
          <w:rFonts w:ascii="Times New Roman" w:hAnsi="Times New Roman"/>
          <w:sz w:val="20"/>
          <w:u w:val="single"/>
        </w:rPr>
        <w:t>Commitment Increase 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Notification by the Administrator</w:t>
      </w:r>
      <w:r>
        <w:rPr>
          <w:rFonts w:ascii="Times New Roman" w:hAnsi="Times New Roman"/>
          <w:sz w:val="20"/>
        </w:rPr>
        <w:t xml:space="preserve">. The Administrator shall notify each Purchaser Agent, the Seller and the Servicer of the Administrator’s and such Committed Purchaser’s response to each request made hereunder, the amount of such increase (if any) and the related Commitment Increase Effective Date. The parties hereto shall enter into such amendments or other documents reasonably required by the Administrator to document any increase.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Conditions to Effectiveness of Increase</w:t>
      </w:r>
      <w:r>
        <w:rPr>
          <w:rFonts w:ascii="Times New Roman" w:hAnsi="Times New Roman"/>
          <w:sz w:val="20"/>
        </w:rPr>
        <w:t xml:space="preserve">. As a condition precedent to each such increase, the Servicer shall deliver to the Administrator and each Purchaser Agent, a certificate of the Secretary or Assistant Secretary of each of the Seller and the Servicer, dated as of the Commitment Increase Effective Date, (i) certifying and attaching (x) the resolutions of the Board of Directors of such Person adopted by such Board of Directors approving or consenting to such Commitment increase and authorizing the execution, delivery and performance by such Person of the amendment to this Agreement contemplated in </w:t>
      </w:r>
      <w:r>
        <w:rPr>
          <w:rFonts w:ascii="Times New Roman" w:hAnsi="Times New Roman"/>
          <w:sz w:val="20"/>
          <w:u w:val="single"/>
        </w:rPr>
        <w:t>Section 1.11(c)</w:t>
      </w:r>
      <w:r>
        <w:rPr>
          <w:rFonts w:ascii="Times New Roman" w:hAnsi="Times New Roman"/>
          <w:sz w:val="20"/>
        </w:rPr>
        <w:t xml:space="preserve">, as applicable (it being understood that such resolutions may be dated as of a date prior to the Commitment Increase Effective Date), and (y) all documents evidencing all other necessary corporate action and governmental approvals, if any, with respect to such Commitment increase and such amendment to this Agreement (it being understood that such documents may be dated as of a date prior to the Commitment Increase Effective Date) and (ii) certifying that, immediately before and after giving effect to such increase, (x) the representations and warranties of such Person contained in </w:t>
      </w:r>
      <w:r>
        <w:rPr>
          <w:rFonts w:ascii="Times New Roman" w:hAnsi="Times New Roman"/>
          <w:sz w:val="20"/>
          <w:u w:val="single"/>
        </w:rPr>
        <w:t>Exhibit III</w:t>
      </w:r>
      <w:r>
        <w:rPr>
          <w:rFonts w:ascii="Times New Roman" w:hAnsi="Times New Roman"/>
          <w:sz w:val="20"/>
        </w:rPr>
        <w:t xml:space="preserve"> are true and correct in all material respects as of the Commitment Increase Effective Date; provided that if such representation and warranty relates solely to an earlier date, such representation and warranty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 and (y) no Termination Event or Unmatured Termination Event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Conflicting Provisions</w:t>
      </w:r>
      <w:r>
        <w:rPr>
          <w:rFonts w:ascii="Times New Roman" w:hAnsi="Times New Roman"/>
          <w:sz w:val="20"/>
        </w:rPr>
        <w:t xml:space="preserve">. This </w:t>
      </w:r>
      <w:r>
        <w:rPr>
          <w:rFonts w:ascii="Times New Roman" w:hAnsi="Times New Roman"/>
          <w:sz w:val="20"/>
          <w:u w:val="single"/>
        </w:rPr>
        <w:t>Section 1.11</w:t>
      </w:r>
      <w:r>
        <w:rPr>
          <w:rFonts w:ascii="Times New Roman" w:hAnsi="Times New Roman"/>
          <w:sz w:val="20"/>
        </w:rPr>
        <w:t xml:space="preserve"> shall supersede any provisions in </w:t>
      </w:r>
      <w:r>
        <w:rPr>
          <w:rFonts w:ascii="Times New Roman" w:hAnsi="Times New Roman"/>
          <w:sz w:val="20"/>
          <w:u w:val="single"/>
        </w:rPr>
        <w:t>Section 6.1</w:t>
      </w:r>
      <w:r>
        <w:rPr>
          <w:rFonts w:ascii="Times New Roman" w:hAnsi="Times New Roman"/>
          <w:sz w:val="20"/>
        </w:rPr>
        <w:t xml:space="preserv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Discount Rates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Discount Rate Options</w:t>
      </w:r>
      <w:r>
        <w:rPr>
          <w:rFonts w:ascii="Times New Roman" w:hAnsi="Times New Roman"/>
          <w:sz w:val="20"/>
        </w:rPr>
        <w:t xml:space="preserve">. The Seller shall pay Discount in respect of the Aggregate Investment as selected by it from the applicable Discount Rate Options specified below applicable to the Investments (other than CP Rate Investments), respectively, it being understood that, subject to the provisions of this Agreement, the Seller may select different Discount Rate Options to apply simultaneously to the Investments comprising different Portions of Investment and may convert to or renew one or more Discount Rate Options with respect to all or any portion of the Investments comprising different Portions of Investment; </w:t>
      </w:r>
      <w:r>
        <w:rPr>
          <w:rFonts w:ascii="Times New Roman" w:hAnsi="Times New Roman"/>
          <w:sz w:val="20"/>
          <w:u w:val="single"/>
        </w:rPr>
        <w:t>provided</w:t>
      </w:r>
      <w:r>
        <w:rPr>
          <w:rFonts w:ascii="Times New Roman" w:hAnsi="Times New Roman"/>
          <w:sz w:val="20"/>
        </w:rPr>
        <w:t xml:space="preserve"> that (i) there shall not be at any one time outstanding more than seven (7) Portions of Investment and (ii) the Discount Rate for any CP Rate Investment shall at all times be determined pursuant to the definition of Discount Rate notwithstanding any otherwise applicable election by the Seller; </w:t>
      </w:r>
      <w:r>
        <w:rPr>
          <w:rFonts w:ascii="Times New Roman" w:hAnsi="Times New Roman"/>
          <w:sz w:val="20"/>
          <w:u w:val="single"/>
        </w:rPr>
        <w:t>provided further</w:t>
      </w:r>
      <w:r>
        <w:rPr>
          <w:rFonts w:ascii="Times New Roman" w:hAnsi="Times New Roman"/>
          <w:sz w:val="20"/>
        </w:rPr>
        <w:t xml:space="preserve"> that if a Termination Event has occurred and is continuing, the Majority Purchasers may demand that all existing Portions of Investment accruing Discount under a Term Rate Investment Option, Daily Resetting SOFR Option or Daily Simple SOFR shall be converted immediately to the Base Rate Option, subject to the obligation of the Seller to pay any Termination Fees in connection with such conversion. If at any time the designated rate applicable to any Investment made by any Purchaser exceeds such Purchaser’s highest lawful rate, the Discount Rate Option on such Purchaser’s Investments shall be limited to such Purchaser’s highest lawful rate. The applicable Base Rate, SOFR Rate, or Daily Resetting SOFR shall be determined by the Administrator, and such determination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Discount Rate Options</w:t>
      </w:r>
      <w:r>
        <w:rPr>
          <w:rFonts w:ascii="Times New Roman" w:hAnsi="Times New Roman"/>
          <w:sz w:val="20"/>
        </w:rPr>
        <w:t xml:space="preserve">. The Seller shall have the right to select from the following Discount Rate Options applicable to the Investments: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 Rate Investment 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SOFR Rate Option</w:t>
      </w:r>
      <w:r>
        <w:rPr>
          <w:rFonts w:ascii="Times New Roman" w:hAnsi="Times New Roman"/>
          <w:sz w:val="20"/>
        </w:rPr>
        <w:t xml:space="preserve">. In the case of SOFR Rate Investments denominated in Dollars, a rate per annum (computed on the basis of a year of 360 days and actual days elapsed) equal to the SOFR Rate as determined for each applicable Yield Period; </w:t>
      </w:r>
      <w:r>
        <w:rPr>
          <w:rFonts w:ascii="Times New Roman" w:hAnsi="Times New Roman"/>
          <w:sz w:val="20"/>
          <w:u w:val="single"/>
        </w:rPr>
        <w:t>provided</w:t>
      </w:r>
      <w:r>
        <w:rPr>
          <w:rFonts w:ascii="Times New Roman" w:hAnsi="Times New Roman"/>
          <w:sz w:val="20"/>
        </w:rPr>
        <w:t xml:space="preserve">, that if the SOFR Rate Option, determined as provided above, would be less than the Floor, then the SOFR Rate Option shall be deemed to be the Floor.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Daily Rate Investment Options: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[Reserved]</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Daily Resetting SOFR Option</w:t>
      </w:r>
      <w:r>
        <w:rPr>
          <w:rFonts w:ascii="Times New Roman" w:hAnsi="Times New Roman"/>
          <w:sz w:val="20"/>
        </w:rPr>
        <w:t xml:space="preserve">. In the case of Daily Resetting SOFR Investments denominated in Dollars, a fluctuating rate per annum (computed on the basis of a year of 360 days and actual days elapsed) equal to Daily Resetting SOFR, such discount rate to change automatically from time to time effective as of the effective date of each change in Daily Resetting SOFR; </w:t>
      </w:r>
      <w:r>
        <w:rPr>
          <w:rFonts w:ascii="Times New Roman" w:hAnsi="Times New Roman"/>
          <w:sz w:val="20"/>
          <w:u w:val="single"/>
        </w:rPr>
        <w:t>provided</w:t>
      </w:r>
      <w:r>
        <w:rPr>
          <w:rFonts w:ascii="Times New Roman" w:hAnsi="Times New Roman"/>
          <w:sz w:val="20"/>
        </w:rPr>
        <w:t xml:space="preserve">, that if the Daily Resetting SOFR Option, determined as provided above, would be less than the Floor, then the Daily Resetting SOFR Option shall be deemed to be the Floor; or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Base Rate Option</w:t>
      </w:r>
      <w:r>
        <w:rPr>
          <w:rFonts w:ascii="Times New Roman" w:hAnsi="Times New Roman"/>
          <w:sz w:val="20"/>
        </w:rPr>
        <w:t xml:space="preserve">. In the case of Base Rate Investments denominated in Dollars, a fluctuating rate per annum (computed on the basis of a year of 365 or 366 days, as the case may be, and actual days elapsed) equal to the Base Rate, such discount rate to change automatically from time to time effective as of the effective date of each change in the Base Rate;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Rate Quotations</w:t>
      </w:r>
      <w:r>
        <w:rPr>
          <w:rFonts w:ascii="Times New Roman" w:hAnsi="Times New Roman"/>
          <w:sz w:val="20"/>
        </w:rPr>
        <w:t xml:space="preserve">. The Seller may call the Administrator on or before the date on which a Purchase Notice is to be delivered to receive an indication of the rates then in effect, but it is acknowledged that such projection shall not be binding on the Administrator or the Purchasers nor affect the rate of discount which thereafter is actually in effect when the election is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Yield Periods</w:t>
      </w:r>
      <w:r>
        <w:rPr>
          <w:rFonts w:ascii="Times New Roman" w:hAnsi="Times New Roman"/>
          <w:sz w:val="20"/>
        </w:rPr>
        <w:t xml:space="preserve">. At any time when the Seller shall select, convert to or renew a Term Rate Investment Option, the Seller shall notify the Administrator thereof by delivering a request therefor prior to the effective date. Notwithstanding the preceding sentence, the following provisions shall apply to any selection of, renewal of, or conversion to a Term Rate Investment Option: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Amount of Portions of Investment</w:t>
      </w:r>
      <w:r>
        <w:rPr>
          <w:rFonts w:ascii="Times New Roman" w:hAnsi="Times New Roman"/>
          <w:sz w:val="20"/>
        </w:rPr>
        <w:t xml:space="preserve">. Each Portion of Investment under the Term Rate Investment Option shall be in integral multiples of, and not less than, the respective amounts specified in </w:t>
      </w:r>
      <w:r>
        <w:rPr>
          <w:rFonts w:ascii="Times New Roman" w:hAnsi="Times New Roman"/>
          <w:sz w:val="20"/>
          <w:u w:val="single"/>
        </w:rPr>
        <w:t>Section 1.2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Renewals</w:t>
      </w:r>
      <w:r>
        <w:rPr>
          <w:rFonts w:ascii="Times New Roman" w:hAnsi="Times New Roman"/>
          <w:sz w:val="20"/>
        </w:rPr>
        <w:t xml:space="preserve">. In the case of the renewal of a Term Rate Investment Option at the end of a Yield Period, the first day of the new Yield Period shall be the last day of the preceding Yield Period, without duplication in payment of discount for such day.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Discount After Default</w:t>
      </w:r>
      <w:r>
        <w:rPr>
          <w:rFonts w:ascii="Times New Roman" w:hAnsi="Times New Roman"/>
          <w:sz w:val="20"/>
        </w:rPr>
        <w:t xml:space="preserve">. To the extent permitted by Law, upon the occurrence and continuance of a Termination Event, at the discretion of the Administrator or upon written demand by the Majority Purchasers to the Administrator: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Discount Rate</w:t>
      </w:r>
      <w:r>
        <w:rPr>
          <w:rFonts w:ascii="Times New Roman" w:hAnsi="Times New Roman"/>
          <w:sz w:val="20"/>
        </w:rPr>
        <w:t xml:space="preserve">. The Discount for each Investment otherwise applicable pursuant to </w:t>
      </w:r>
      <w:r>
        <w:rPr>
          <w:rFonts w:ascii="Times New Roman" w:hAnsi="Times New Roman"/>
          <w:sz w:val="20"/>
          <w:u w:val="single"/>
        </w:rPr>
        <w:t>Section 1.12(a)</w:t>
      </w:r>
      <w:r>
        <w:rPr>
          <w:rFonts w:ascii="Times New Roman" w:hAnsi="Times New Roman"/>
          <w:sz w:val="20"/>
        </w:rPr>
        <w:t xml:space="preserve">, shall be increased by 2.00% per annum;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Other Obligations</w:t>
      </w:r>
      <w:r>
        <w:rPr>
          <w:rFonts w:ascii="Times New Roman" w:hAnsi="Times New Roman"/>
          <w:sz w:val="20"/>
        </w:rPr>
        <w:t xml:space="preserve">. Each other obligation hereunder if not paid when due shall bear interest at a rate per annum equal to the sum of the rate of interest applicable to Investments under the Base Rate Option plus an additional 2.00% per annum from the time such obligation becomes due and payable until the time such obligation is paid in full; and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Acknowledgment</w:t>
      </w:r>
      <w:r>
        <w:rPr>
          <w:rFonts w:ascii="Times New Roman" w:hAnsi="Times New Roman"/>
          <w:sz w:val="20"/>
        </w:rPr>
        <w:t xml:space="preserve">. The Seller acknowledges that the increase in rates referred to in this </w:t>
      </w:r>
      <w:r>
        <w:rPr>
          <w:rFonts w:ascii="Times New Roman" w:hAnsi="Times New Roman"/>
          <w:sz w:val="20"/>
          <w:u w:val="single"/>
        </w:rPr>
        <w:t>Section 1.12</w:t>
      </w:r>
      <w:r>
        <w:rPr>
          <w:rFonts w:ascii="Times New Roman" w:hAnsi="Times New Roman"/>
          <w:sz w:val="20"/>
        </w:rPr>
        <w:t xml:space="preserve"> reflects, among other things, the fact that such Investments or other amounts have become a substantially greater risk given their default status and that the Purchasers are entitled to additional compensation for such risk; and all such Discount shall be payable by Seller upon demand by Administrator.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Unascertainable; Increased Costs; Deposits Not Available</w:t>
      </w:r>
      <w:r>
        <w:rPr>
          <w:rFonts w:ascii="Times New Roman" w:hAnsi="Times New Roman"/>
          <w:sz w:val="20"/>
        </w:rPr>
        <w:t xml:space="preserve">. If at any time: </w:t>
      </w:r>
    </w:p>
    <w:p>
      <w:pPr>
        <w:pStyle w:val="TextBody"/>
        <w:bidi w:val="0"/>
        <w:spacing w:before="120" w:after="0"/>
        <w:jc w:val="left"/>
        <w:rPr>
          <w:rFonts w:ascii="Times New Roman" w:hAnsi="Times New Roman"/>
          <w:sz w:val="20"/>
        </w:rPr>
      </w:pPr>
      <w:r>
        <w:rPr>
          <w:rFonts w:ascii="Times New Roman" w:hAnsi="Times New Roman"/>
          <w:sz w:val="20"/>
        </w:rPr>
        <w:t xml:space="preserve">(i) on or prior to the first day of a Yield Period, the Administrator shall have determined (which determination shall be conclusive and binding absent manifest error) that (x) the SOFR Rate or Daily Resetting SOFR applicable to an Investment cannot be determined pursuant to the definition thereof, including, without limitation, because such rate is not available or published on a current basis or (y) a fundamental change has occurred with respect to such rate (including, without limitation, changes in national or international financial, political or economic conditions or currency exchange rates or exchange controls),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on or prior to the first day of a Yield Period, any Purchaser determines that for any reason in connection with any request for a Term Rate Investment or a conversion thereto or a continuation thereof that the Term Rate Investment Option for any requested Yield Period with respect to a proposed Term Rate Investment, as applicable, does not adequately and fairly reflect the cost to such Purchasers of funding, establishing or maintaining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Administrator shall have the rights specified in </w:t>
      </w:r>
      <w:r>
        <w:rPr>
          <w:rFonts w:ascii="Times New Roman" w:hAnsi="Times New Roman"/>
          <w:sz w:val="20"/>
          <w:u w:val="single"/>
        </w:rPr>
        <w:t>clause (f)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Illegality</w:t>
      </w:r>
      <w:r>
        <w:rPr>
          <w:rFonts w:ascii="Times New Roman" w:hAnsi="Times New Roman"/>
          <w:sz w:val="20"/>
        </w:rPr>
        <w:t xml:space="preserve">. If at any time any Purchaser shall have determined, or any Governmental Authority shall have asserted, that the making, maintenance or funding of any Investment to which any Discount Rate Option applies, or the determination or charging of discount rates based upon any Discount Rate Option has been made impracticable or unlawful, by compliance by such Purchaser in good faith with any Law or any interpretation or application thereof by any Governmental Authority or with any request or directive of any such Governmental Authority (whether or not having the force of Law), </w:t>
      </w:r>
    </w:p>
    <w:p>
      <w:pPr>
        <w:pStyle w:val="TextBody"/>
        <w:bidi w:val="0"/>
        <w:spacing w:before="240" w:after="0"/>
        <w:jc w:val="left"/>
        <w:rPr>
          <w:rFonts w:ascii="Times New Roman" w:hAnsi="Times New Roman"/>
          <w:sz w:val="20"/>
        </w:rPr>
      </w:pPr>
      <w:r>
        <w:rPr>
          <w:rFonts w:ascii="Times New Roman" w:hAnsi="Times New Roman"/>
          <w:sz w:val="20"/>
        </w:rPr>
        <w:t xml:space="preserve">then the Administrator shall have the rights specified in </w:t>
      </w:r>
      <w:r>
        <w:rPr>
          <w:rFonts w:ascii="Times New Roman" w:hAnsi="Times New Roman"/>
          <w:sz w:val="20"/>
          <w:u w:val="single"/>
        </w:rPr>
        <w:t>clause (f)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Administrator’s and Purchaser’s Rights</w:t>
      </w:r>
      <w:r>
        <w:rPr>
          <w:rFonts w:ascii="Times New Roman" w:hAnsi="Times New Roman"/>
          <w:sz w:val="20"/>
        </w:rPr>
        <w:t xml:space="preserve">. In the case of any event specified in </w:t>
      </w:r>
      <w:r>
        <w:rPr>
          <w:rFonts w:ascii="Times New Roman" w:hAnsi="Times New Roman"/>
          <w:sz w:val="20"/>
          <w:u w:val="single"/>
        </w:rPr>
        <w:t>Section 1.12(d)(i)</w:t>
      </w:r>
      <w:r>
        <w:rPr>
          <w:rFonts w:ascii="Times New Roman" w:hAnsi="Times New Roman"/>
          <w:sz w:val="20"/>
        </w:rPr>
        <w:t xml:space="preserve"> above, the Administrator shall promptly so notify the Purchasers and the Seller thereof, and in the case of an event specified in </w:t>
      </w:r>
      <w:r>
        <w:rPr>
          <w:rFonts w:ascii="Times New Roman" w:hAnsi="Times New Roman"/>
          <w:sz w:val="20"/>
          <w:u w:val="single"/>
        </w:rPr>
        <w:t>Section 1.12(d)(ii)</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above, such Purchaser shall promptly so notify the Administrator and endorse a certificate to such notice as to the specific circumstances of such notice, and the Administrator shall promptly send copies of such notice and certificate to the other Purchasers and the Seller. </w:t>
      </w:r>
    </w:p>
    <w:p>
      <w:pPr>
        <w:pStyle w:val="TextBody"/>
        <w:bidi w:val="0"/>
        <w:spacing w:before="120" w:after="0"/>
        <w:jc w:val="left"/>
        <w:rPr>
          <w:rFonts w:ascii="Times New Roman" w:hAnsi="Times New Roman"/>
          <w:sz w:val="20"/>
        </w:rPr>
      </w:pPr>
      <w:r>
        <w:rPr>
          <w:rFonts w:ascii="Times New Roman" w:hAnsi="Times New Roman"/>
          <w:sz w:val="20"/>
        </w:rPr>
        <w:t xml:space="preserve">(i) Upon such date as shall be specified in such notice (which shall not be earlier than the date such notice is given), the obligation of (x) the Purchasers, in the case of such notice given by the Administrator, or (y) such Purchaser, in the case of such notice given by such Purchaser, to allow the Seller to select, convert to or renew an Investment under the affected Discount Rate Option shall be suspended (to the extent of the affected Discount Rate Option or the applicable Yield Periods) until the Administrator shall have later notified the Seller, or such Purchaser shall have later notified the Administrator, of the Administrator’s or such Purchaser’s, as the case may be, determination that the circumstances giving rise to such previous determination no longer exist. </w:t>
      </w:r>
    </w:p>
    <w:p>
      <w:pPr>
        <w:pStyle w:val="TextBody"/>
        <w:bidi w:val="0"/>
        <w:spacing w:before="120" w:after="0"/>
        <w:jc w:val="left"/>
        <w:rPr>
          <w:rFonts w:ascii="Times New Roman" w:hAnsi="Times New Roman"/>
          <w:sz w:val="20"/>
        </w:rPr>
      </w:pPr>
      <w:r>
        <w:rPr>
          <w:rFonts w:ascii="Times New Roman" w:hAnsi="Times New Roman"/>
          <w:sz w:val="20"/>
        </w:rPr>
        <w:t xml:space="preserve">(ii) If at any time the Administrator makes a determination under </w:t>
      </w:r>
      <w:r>
        <w:rPr>
          <w:rFonts w:ascii="Times New Roman" w:hAnsi="Times New Roman"/>
          <w:sz w:val="20"/>
          <w:u w:val="single"/>
        </w:rPr>
        <w:t>clause (d)(i)</w:t>
      </w:r>
      <w:r>
        <w:rPr>
          <w:rFonts w:ascii="Times New Roman" w:hAnsi="Times New Roman"/>
          <w:sz w:val="20"/>
        </w:rPr>
        <w:t xml:space="preserve">, (x) if the Seller has previously notified the Administrator of its selection of, conversion to or renewal of an affected Discount Rate Option, and such Discount Rate Option has not yet gone into effect, absent due notice from the Seller of revocation, conversion or prepayment, such notification shall be deemed to provide for selection of, conversion to or renewal of the Base Rate Option otherwise available with respect to such Investments in the amount specified therein and (y) any outstanding affected Investments shall be deemed to have been converted into Base Rate Investments immediately or, in the case of Term Rate Investments, at the end of the applicable Yield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If any Purchaser notifies the Administrator of a determination under </w:t>
      </w:r>
      <w:r>
        <w:rPr>
          <w:rFonts w:ascii="Times New Roman" w:hAnsi="Times New Roman"/>
          <w:sz w:val="20"/>
          <w:u w:val="single"/>
        </w:rPr>
        <w:t>clause(d)(ii)</w:t>
      </w:r>
      <w:r>
        <w:rPr>
          <w:rFonts w:ascii="Times New Roman" w:hAnsi="Times New Roman"/>
          <w:sz w:val="20"/>
        </w:rPr>
        <w:t xml:space="preserve"> or </w:t>
      </w:r>
      <w:r>
        <w:rPr>
          <w:rFonts w:ascii="Times New Roman" w:hAnsi="Times New Roman"/>
          <w:sz w:val="20"/>
          <w:u w:val="single"/>
        </w:rPr>
        <w:t>(e)</w:t>
      </w:r>
      <w:r>
        <w:rPr>
          <w:rFonts w:ascii="Times New Roman" w:hAnsi="Times New Roman"/>
          <w:sz w:val="20"/>
        </w:rPr>
        <w:t xml:space="preserve">, the Seller shall, subject to the Seller’s obligation to pay any Termination Fees, as to any Investment of the Purchaser to which an affected Discount Rate Option applies, on the date specified in such notice either convert such Investment to the Base Rate Option otherwise available with respect to such Investment or prepay such Investment. Absent due notice from the Seller of conversion or prepayment, such Investment shall automatically be converted to the Base Rate Option otherwise available with respect to such Investment upon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Benchmark Replacement Setting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Benchmark Replacement</w:t>
      </w:r>
      <w:r>
        <w:rPr>
          <w:rFonts w:ascii="Times New Roman" w:hAnsi="Times New Roman"/>
          <w:sz w:val="20"/>
        </w:rPr>
        <w:t xml:space="preserve">. Notwithstanding anything to the contrary herein or in any other Transaction Document, if a Benchmark Transition Event has occurred prior to the Reference Time in respect of any setting of the then-current Benchmark, then (x) if a Benchmark Replacement is determined in accordance with </w:t>
      </w:r>
      <w:r>
        <w:rPr>
          <w:rFonts w:ascii="Times New Roman" w:hAnsi="Times New Roman"/>
          <w:sz w:val="20"/>
          <w:u w:val="single"/>
        </w:rPr>
        <w:t>clause (1)</w:t>
      </w:r>
      <w:r>
        <w:rPr>
          <w:rFonts w:ascii="Times New Roman" w:hAnsi="Times New Roman"/>
          <w:sz w:val="20"/>
        </w:rPr>
        <w:t xml:space="preserve">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w:t>
      </w:r>
      <w:r>
        <w:rPr>
          <w:rFonts w:ascii="Times New Roman" w:hAnsi="Times New Roman"/>
          <w:sz w:val="20"/>
          <w:u w:val="single"/>
        </w:rPr>
        <w:t>clause (2)</w:t>
      </w:r>
      <w:r>
        <w:rPr>
          <w:rFonts w:ascii="Times New Roman" w:hAnsi="Times New Roman"/>
          <w:sz w:val="20"/>
        </w:rPr>
        <w:t xml:space="preserve">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Purchasers and Seller without any amendment to, or further action or consent of any other party to, this Agreement or any other Transaction Document so long as the Administrator has not received, by such time, written notice of objection to such Benchmark Replacement from Purchasers comprising the Majority Purchasers.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Benchmark Replacement Conforming Changes</w:t>
      </w:r>
      <w:r>
        <w:rPr>
          <w:rFonts w:ascii="Times New Roman" w:hAnsi="Times New Roman"/>
          <w:sz w:val="20"/>
        </w:rPr>
        <w:t xml:space="preserve">. In connection with the implementation and administration of a Benchmark Replacement, the Administrator will have the right, in consultation with the Seller,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Standards for Decisions and Determinations</w:t>
      </w:r>
      <w:r>
        <w:rPr>
          <w:rFonts w:ascii="Times New Roman" w:hAnsi="Times New Roman"/>
          <w:sz w:val="20"/>
        </w:rPr>
        <w:t xml:space="preserve">. The Administrator will promptly notify the Seller and the Purchasers of (1) any occurrence of a Benchmark Transition Event and its related Benchmark Replacement Date, (2) the implementation of any Benchmark Replacement, (3) the effectiveness of any Conforming Changes, (4) the removal or reinstatement of any tenor of a Benchmark pursuant to </w:t>
      </w:r>
      <w:r>
        <w:rPr>
          <w:rFonts w:ascii="Times New Roman" w:hAnsi="Times New Roman"/>
          <w:sz w:val="20"/>
          <w:u w:val="single"/>
        </w:rPr>
        <w:t>paragraph (D)</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(5) the commencement or conclusion of any Benchmark Unavailability Period. Any determination, decision or election that may be made by the Administrator or, if applicable, any Purchaser (or Purchaser Group)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Section.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Unavailability of Tenor of Benchmark</w:t>
      </w:r>
      <w:r>
        <w:rPr>
          <w:rFonts w:ascii="Times New Roman" w:hAnsi="Times New Roman"/>
          <w:sz w:val="20"/>
        </w:rPr>
        <w:t xml:space="preserve">. Notwithstanding anything to the contrary herein or in any other Transaction Document, at any time (including in connection with the implementation of a Benchmark Replacement), (i) if the then-current Benchmark is a term rate and either (1) any tenor for such Benchmark is not displayed on a screen or other information service that publishes such rate from time to time as selected by the Administrator in its reasonable discretion or (2) the administrator of such Benchmark or the regulatory supervisor for the administrator of such Benchmark has provided a public statement or publication of information announcing that any tenor for such Benchmark is or will be no longer be representative or in compliance with or aligned with the International Organization of Securities Commissions (IOSCO) Principles for Financial Benchmarks, then the Administrator may modify the definition of “Yield Period” (or any similar or analogous definition) for any Benchmark settings at or after such time to remove such unavailable or non-representative, non-compliant or non-aligned tenor and (ii) if a tenor that was removed pursuant to </w:t>
      </w:r>
      <w:r>
        <w:rPr>
          <w:rFonts w:ascii="Times New Roman" w:hAnsi="Times New Roman"/>
          <w:sz w:val="20"/>
          <w:u w:val="single"/>
        </w:rPr>
        <w:t>clause (i)</w:t>
      </w:r>
      <w:r>
        <w:rPr>
          <w:rFonts w:ascii="Times New Roman" w:hAnsi="Times New Roman"/>
          <w:sz w:val="20"/>
        </w:rPr>
        <w:t xml:space="preserve"> above either (1) is subsequently displayed on a screen or information service for a Benchmark (including a Benchmark Replacement) or (2) is not, or is no longer, subject to an announcement that it is or will no longer be representative or in compliance with or aligned with the International Organization of Securities Commissions (IOSCO) Principles for Financial Benchmarks for a Benchmark (including a Benchmark Replacement), then the Administrator may modify the definition of “Yield Period” (or any similar or analogous definition) for all Benchmark settings at or after such time to reinstate such previously removed tenor.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Benchmark Unavailability Period</w:t>
      </w:r>
      <w:r>
        <w:rPr>
          <w:rFonts w:ascii="Times New Roman" w:hAnsi="Times New Roman"/>
          <w:sz w:val="20"/>
        </w:rPr>
        <w:t xml:space="preserve">. Upon the Seller’s receipt of notice of the commencement of a Benchmark Unavailability Period, the Seller may revoke any request for an Investment accruing Discount based on the SOFR Rate, conversion to or continuation of Investments accruing Discount based on the SOFR Rate Option to be made, converted or continued during any Benchmark Unavailability Period and, failing that, the Seller will be deemed to have converted any such request into a request for an Investment of or conversion to Investments accruing Discount under the Base Rate Option.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Definitions</w:t>
      </w:r>
      <w:r>
        <w:rPr>
          <w:rFonts w:ascii="Times New Roman" w:hAnsi="Times New Roman"/>
          <w:sz w:val="20"/>
        </w:rPr>
        <w:t xml:space="preserve">. As used in this Section: </w:t>
      </w:r>
    </w:p>
    <w:p>
      <w:pPr>
        <w:pStyle w:val="TextBody"/>
        <w:bidi w:val="0"/>
        <w:spacing w:before="12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(x) if the then-current Benchmark is a term rate, any tenor for such Benchmark that is or may be used for determining the length of a Yield Period or (y) otherwise, any payment period for discount calculated with reference to such Benchmark, as applicable, pursuant to this Agreement as of such date.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means, initially, the SOFR Rate and Daily Resetting SOFR; </w:t>
      </w:r>
      <w:r>
        <w:rPr>
          <w:rFonts w:ascii="Times New Roman" w:hAnsi="Times New Roman"/>
          <w:sz w:val="20"/>
          <w:u w:val="single"/>
        </w:rPr>
        <w:t>provided</w:t>
      </w:r>
      <w:r>
        <w:rPr>
          <w:rFonts w:ascii="Times New Roman" w:hAnsi="Times New Roman"/>
          <w:sz w:val="20"/>
        </w:rPr>
        <w:t xml:space="preserve"> that if a replacement of the Benchmark has occurred pursuant to this </w:t>
      </w:r>
      <w:r>
        <w:rPr>
          <w:rFonts w:ascii="Times New Roman" w:hAnsi="Times New Roman"/>
          <w:sz w:val="20"/>
          <w:u w:val="single"/>
        </w:rPr>
        <w:t>Section 1.12(g)</w:t>
      </w:r>
      <w:r>
        <w:rPr>
          <w:rFonts w:ascii="Times New Roman" w:hAnsi="Times New Roman"/>
          <w:sz w:val="20"/>
        </w:rPr>
        <w:t xml:space="preserve">, then “Benchmark” means the applicable Benchmark Replacement to the extent that such Benchmark Replacement has replaced such prior benchmark rate. Any reference to “Benchmark” shall include, as applicable, the published component used in the calculation thereof.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for any Available Tenor, the first alternative set forth in the order below that can be determined by the Administrator for the applicable Benchmark Replacement Date: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a Benchmark Transition Event relating to the Daily Resetting SOFR or SOFR Rate, Daily Simple SOFR; and </w:t>
      </w:r>
    </w:p>
    <w:p>
      <w:pPr>
        <w:pStyle w:val="TextBody"/>
        <w:bidi w:val="0"/>
        <w:spacing w:before="120" w:after="0"/>
        <w:jc w:val="left"/>
        <w:rPr>
          <w:rFonts w:ascii="Times New Roman" w:hAnsi="Times New Roman"/>
          <w:sz w:val="20"/>
        </w:rPr>
      </w:pPr>
      <w:r>
        <w:rPr>
          <w:rFonts w:ascii="Times New Roman" w:hAnsi="Times New Roman"/>
          <w:sz w:val="20"/>
        </w:rPr>
        <w:t xml:space="preserve">(2) the sum of (A) the alternate benchmark rate that has been selected by the Administrator and the Seller as the replacement for the then-current Benchmark for the applicable Available Tenor giving due consideration to any evolving or then-prevailing market convention, including any applicable recommendations made by the Relevant Governmental Body, for U.S. dollar-denominated syndicated credit facilities at such time and (B) the related Benchmark Replacement Adjustment; </w:t>
      </w:r>
    </w:p>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clause (1)</w:t>
      </w:r>
      <w:r>
        <w:rPr>
          <w:rFonts w:ascii="Times New Roman" w:hAnsi="Times New Roman"/>
          <w:sz w:val="20"/>
        </w:rPr>
        <w:t xml:space="preserve">, such Unadjusted Benchmark Replacement is displayed on a screen or other information service that publishes such rate from time to time as selected by the Administrator in its reasonable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Benchmark Replacement (as determined pursuant to </w:t>
      </w:r>
      <w:r>
        <w:rPr>
          <w:rFonts w:ascii="Times New Roman" w:hAnsi="Times New Roman"/>
          <w:sz w:val="20"/>
          <w:u w:val="single"/>
        </w:rPr>
        <w:t>clause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above and after giving effect to the related Benchmark Replacement Adjustment) would be less than the Floor, the Benchmark Replacement will be deemed to be the Floor for the purposes of this Agreement and the other Transaction Documents.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for any applicable Available Tenor for any setting of such Unadjusted Benchmark Replacement, the spread adjustment, or method for calculating or determining such spread adjustment, (which may be a positive or negative value or zero) that has been selected by the Administrator and the Seller for the applicable Corresponding Tenor giving due consideration to any evolving or then-prevailing market convention, including any applicable recommendations made by the Relevant Governmental Body, for U.S. dollar-denominated syndicated credit facilities at such time; </w:t>
      </w:r>
      <w:r>
        <w:rPr>
          <w:rFonts w:ascii="Times New Roman" w:hAnsi="Times New Roman"/>
          <w:sz w:val="20"/>
          <w:u w:val="single"/>
        </w:rPr>
        <w:t>provided that</w:t>
      </w:r>
      <w:r>
        <w:rPr>
          <w:rFonts w:ascii="Times New Roman" w:hAnsi="Times New Roman"/>
          <w:sz w:val="20"/>
        </w:rPr>
        <w:t xml:space="preserve">,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discount calculated with reference to such Unadjusted Benchmark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Replacement Date</w:t>
      </w:r>
      <w:r>
        <w:rPr>
          <w:rFonts w:ascii="Times New Roman" w:hAnsi="Times New Roman"/>
          <w:sz w:val="20"/>
        </w:rPr>
        <w:t xml:space="preserve">” means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(1) in the case of </w:t>
      </w:r>
      <w:r>
        <w:rPr>
          <w:rFonts w:ascii="Times New Roman" w:hAnsi="Times New Roman"/>
          <w:sz w:val="20"/>
          <w:u w:val="single"/>
        </w:rPr>
        <w:t>clause (1)</w:t>
      </w:r>
      <w:r>
        <w:rPr>
          <w:rFonts w:ascii="Times New Roman" w:hAnsi="Times New Roman"/>
          <w:sz w:val="20"/>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(2) in the case of </w:t>
      </w:r>
      <w:r>
        <w:rPr>
          <w:rFonts w:ascii="Times New Roman" w:hAnsi="Times New Roman"/>
          <w:sz w:val="20"/>
          <w:u w:val="single"/>
        </w:rPr>
        <w:t>clause (2)</w:t>
      </w:r>
      <w:r>
        <w:rPr>
          <w:rFonts w:ascii="Times New Roman" w:hAnsi="Times New Roman"/>
          <w:sz w:val="20"/>
        </w:rPr>
        <w:t xml:space="preserve"> of the definition of “Benchmark Transition Event,” the date determined and announced by or on behalf of the administrator of such Benchmark (or such component thereof) or by the Administrator, which date shall promptly follow the date of the public statement or publication of information referenced therein; or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hAnsi="Times New Roman"/>
          <w:sz w:val="20"/>
          <w:u w:val="single"/>
        </w:rPr>
        <w:t>clause (1)</w:t>
      </w:r>
      <w:r>
        <w:rPr>
          <w:rFonts w:ascii="Times New Roman" w:hAnsi="Times New Roman"/>
          <w:sz w:val="20"/>
        </w:rPr>
        <w:t xml:space="preserve"> or (2)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a public statement or publication of information by or on behalf of the administrator of the then-current Benchmark, the regulatory supervisor for the administrator of such Benchmark, the Federal Reserve Board,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w:t>
      </w:r>
    </w:p>
    <w:p>
      <w:pPr>
        <w:pStyle w:val="TextBody"/>
        <w:bidi w:val="0"/>
        <w:spacing w:before="120" w:after="0"/>
        <w:jc w:val="left"/>
        <w:rPr>
          <w:rFonts w:ascii="Times New Roman" w:hAnsi="Times New Roman"/>
          <w:sz w:val="20"/>
        </w:rPr>
      </w:pPr>
      <w:r>
        <w:rPr>
          <w:rFonts w:ascii="Times New Roman" w:hAnsi="Times New Roman"/>
          <w:sz w:val="20"/>
        </w:rPr>
        <w:t xml:space="preserve">(1) such administrator has ceased or will cease on a specified date to provide all Available Tenors of such Benchmark,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w:t>
      </w:r>
    </w:p>
    <w:p>
      <w:pPr>
        <w:pStyle w:val="TextBody"/>
        <w:bidi w:val="0"/>
        <w:spacing w:before="120" w:after="0"/>
        <w:jc w:val="left"/>
        <w:rPr>
          <w:rFonts w:ascii="Times New Roman" w:hAnsi="Times New Roman"/>
          <w:sz w:val="20"/>
        </w:rPr>
      </w:pPr>
      <w:r>
        <w:rPr>
          <w:rFonts w:ascii="Times New Roman" w:hAnsi="Times New Roman"/>
          <w:sz w:val="20"/>
        </w:rPr>
        <w:t xml:space="preserve">(2) all Available Tenors of such Benchmark are or will no longer be representative of the underlying market and economic reality that such Benchmark is intended to measure and that representativeness will not be restored.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the period (if any) (x) beginning at the time that a Benchmark Replacement Date pursuant to </w:t>
      </w:r>
      <w:r>
        <w:rPr>
          <w:rFonts w:ascii="Times New Roman" w:hAnsi="Times New Roman"/>
          <w:sz w:val="20"/>
          <w:u w:val="single"/>
        </w:rPr>
        <w:t>clauses (1)</w:t>
      </w:r>
      <w:r>
        <w:rPr>
          <w:rFonts w:ascii="Times New Roman" w:hAnsi="Times New Roman"/>
          <w:sz w:val="20"/>
        </w:rPr>
        <w:t xml:space="preserve"> or </w:t>
      </w:r>
      <w:r>
        <w:rPr>
          <w:rFonts w:ascii="Times New Roman" w:hAnsi="Times New Roman"/>
          <w:sz w:val="20"/>
          <w:u w:val="single"/>
        </w:rPr>
        <w:t>(2)</w:t>
      </w:r>
      <w:r>
        <w:rPr>
          <w:rFonts w:ascii="Times New Roman" w:hAnsi="Times New Roman"/>
          <w:sz w:val="20"/>
        </w:rPr>
        <w:t xml:space="preserve"> of that definition has occurred if, at such time, no Benchmark Replacement has replaced the then-current Benchmark for all purposes hereunder and under any Transaction Document in accordance with this </w:t>
      </w:r>
      <w:r>
        <w:rPr>
          <w:rFonts w:ascii="Times New Roman" w:hAnsi="Times New Roman"/>
          <w:sz w:val="20"/>
          <w:u w:val="single"/>
        </w:rPr>
        <w:t>Section 1.12(g)</w:t>
      </w:r>
      <w:r>
        <w:rPr>
          <w:rFonts w:ascii="Times New Roman" w:hAnsi="Times New Roman"/>
          <w:sz w:val="20"/>
        </w:rPr>
        <w:t xml:space="preserve"> and (y) ending at the time that a Benchmark Replacement has replaced the then-current Benchmark for all purposes hereunder and under any Transaction Document in accordance with this </w:t>
      </w:r>
      <w:r>
        <w:rPr>
          <w:rFonts w:ascii="Times New Roman" w:hAnsi="Times New Roman"/>
          <w:sz w:val="20"/>
          <w:u w:val="single"/>
        </w:rPr>
        <w:t>Section 1.12(g)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Corresponding Tenor</w:t>
      </w:r>
      <w:r>
        <w:rPr>
          <w:rFonts w:ascii="Times New Roman" w:hAnsi="Times New Roman"/>
          <w:sz w:val="20"/>
        </w:rPr>
        <w:t xml:space="preserve">” with respect to any Available Tenor means, as applicable, either a tenor (including overnight) or discount payment period having approximately the same length (disregarding business day adjustment) as such Available Tenor. </w:t>
      </w:r>
    </w:p>
    <w:p>
      <w:pPr>
        <w:pStyle w:val="TextBody"/>
        <w:bidi w:val="0"/>
        <w:spacing w:before="240" w:after="0"/>
        <w:jc w:val="left"/>
        <w:rPr/>
      </w:pPr>
      <w:r>
        <w:rPr/>
        <w:t>“</w:t>
      </w:r>
      <w:r>
        <w:rPr>
          <w:rFonts w:ascii="Times New Roman" w:hAnsi="Times New Roman"/>
          <w:sz w:val="20"/>
          <w:u w:val="single"/>
        </w:rPr>
        <w:t>Reference Time</w:t>
      </w:r>
      <w:r>
        <w:rPr>
          <w:rFonts w:ascii="Times New Roman" w:hAnsi="Times New Roman"/>
          <w:sz w:val="20"/>
        </w:rPr>
        <w:t xml:space="preserve">” means, with respect to any setting of the then-current Benchmark, the time determined by the Administrator in its reasonable discretion.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the Federal Reserve Board or the Federal Reserve Bank of New York, or a committee officially endorsed or convened by the Federal Reserve Board or the Federal Reserve Bank of New York, or any successor thereto.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Selection of Discount Rate Options</w:t>
      </w:r>
      <w:r>
        <w:rPr>
          <w:rFonts w:ascii="Times New Roman" w:hAnsi="Times New Roman"/>
          <w:sz w:val="20"/>
        </w:rPr>
        <w:t xml:space="preserve">. If the Seller fails to select a new Discount Rate Option to apply to any Portion of Investment under any Term Rate Investment Option at the expiration of an existing Yield Period applicable to such Portion of Investment in accordance with the provisions of </w:t>
      </w:r>
      <w:r>
        <w:rPr>
          <w:rFonts w:ascii="Times New Roman" w:hAnsi="Times New Roman"/>
          <w:sz w:val="20"/>
          <w:u w:val="single"/>
        </w:rPr>
        <w:t>Section 1.12</w:t>
      </w:r>
      <w:r>
        <w:rPr>
          <w:rFonts w:ascii="Times New Roman" w:hAnsi="Times New Roman"/>
          <w:sz w:val="20"/>
        </w:rPr>
        <w:t xml:space="preserve">, the Seller shall be deemed to have continued such Portion of Investment as the Term Rate Investment Option then in effect commencing upon the last day of the existing Yield Period. Each Yield Period for SOFR Rate Investments shall be a period of one (1) month. Any Purchase Notice that fails to select a Discount Rate Option shall be deemed to be a request for the SOFR Rate Option.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Discount Payment Dates</w:t>
      </w:r>
      <w:r>
        <w:rPr>
          <w:rFonts w:ascii="Times New Roman" w:hAnsi="Times New Roman"/>
          <w:sz w:val="20"/>
        </w:rPr>
        <w:t xml:space="preserve">. Each Investment shall accrue Discount on each day when such Investment remains outstanding at the then applicable discount rate for the Portion of Investment relating to such Investment. The Seller shall pay all Discount on each Settlement Date in accordance with the terms and priorities for payment set forth in </w:t>
      </w:r>
      <w:r>
        <w:rPr>
          <w:rFonts w:ascii="Times New Roman" w:hAnsi="Times New Roman"/>
          <w:sz w:val="20"/>
          <w:u w:val="single"/>
        </w:rPr>
        <w:t>Section 1.4</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COVENANTS; TERMINATION EVENTS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Representations and Warranties; Covenants</w:t>
      </w:r>
      <w:r>
        <w:rPr>
          <w:rFonts w:ascii="Times New Roman" w:hAnsi="Times New Roman"/>
          <w:sz w:val="20"/>
        </w:rPr>
        <w:t xml:space="preserve">. Each of the Seller, WESCO and the Servicer hereby makes the representations and warranties, and hereby agrees to perform and observe the covenants, applicable to it set forth in </w:t>
      </w:r>
      <w:r>
        <w:rPr>
          <w:rFonts w:ascii="Times New Roman" w:hAnsi="Times New Roman"/>
          <w:sz w:val="20"/>
          <w:u w:val="single"/>
        </w:rPr>
        <w:t>Exhibits III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respectively.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Termination Events</w:t>
      </w:r>
      <w:r>
        <w:rPr>
          <w:rFonts w:ascii="Times New Roman" w:hAnsi="Times New Roman"/>
          <w:sz w:val="20"/>
        </w:rPr>
        <w:t xml:space="preserve">. If any of the Termination Events set forth in </w:t>
      </w:r>
      <w:r>
        <w:rPr>
          <w:rFonts w:ascii="Times New Roman" w:hAnsi="Times New Roman"/>
          <w:sz w:val="20"/>
          <w:u w:val="single"/>
        </w:rPr>
        <w:t>Exhibit V</w:t>
      </w:r>
      <w:r>
        <w:rPr>
          <w:rFonts w:ascii="Times New Roman" w:hAnsi="Times New Roman"/>
          <w:sz w:val="20"/>
        </w:rPr>
        <w:t xml:space="preserve"> shall occur and be continuing, the Administrator may (with the consent of a Simple Majority of the Purchasers) or shall (at the direction of a Simple Majority of the Purchasers), by notice to the Seller, declare the Facility Termination Date to have occurred (in which case the Facility Termination Date shall be deemed to have occurred); </w:t>
      </w:r>
      <w:r>
        <w:rPr>
          <w:rFonts w:ascii="Times New Roman" w:hAnsi="Times New Roman"/>
          <w:sz w:val="20"/>
          <w:u w:val="single"/>
        </w:rPr>
        <w:t>provided</w:t>
      </w:r>
      <w:r>
        <w:rPr>
          <w:rFonts w:ascii="Times New Roman" w:hAnsi="Times New Roman"/>
          <w:sz w:val="20"/>
        </w:rPr>
        <w:t xml:space="preserve">, that automatically upon the occurrence of any event (without any requirement for the passage of time or the giving of notice) described in </w:t>
      </w:r>
      <w:r>
        <w:rPr>
          <w:rFonts w:ascii="Times New Roman" w:hAnsi="Times New Roman"/>
          <w:sz w:val="20"/>
          <w:u w:val="single"/>
        </w:rPr>
        <w:t>paragraph (f)</w:t>
      </w:r>
      <w:r>
        <w:rPr>
          <w:rFonts w:ascii="Times New Roman" w:hAnsi="Times New Roman"/>
          <w:sz w:val="20"/>
        </w:rPr>
        <w:t xml:space="preserve"> of </w:t>
      </w:r>
      <w:r>
        <w:rPr>
          <w:rFonts w:ascii="Times New Roman" w:hAnsi="Times New Roman"/>
          <w:sz w:val="20"/>
          <w:u w:val="single"/>
        </w:rPr>
        <w:t>Exhibit V</w:t>
      </w:r>
      <w:r>
        <w:rPr>
          <w:rFonts w:ascii="Times New Roman" w:hAnsi="Times New Roman"/>
          <w:sz w:val="20"/>
        </w:rPr>
        <w:t xml:space="preserve">, the Facility Termination Date shall occur. Upon any such declaration, occurrence or deemed occurrence of the Facility Termination Date, the Administrator, each Purchaser Agent and each Purchaser shall have, in addition to the rights and remedies that they may have under this Agreement, all other rights and remedies provided after default under the New York UCC and under other Applicable Law, which rights and remedies shall be cumulative.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Indemnities by the Seller</w:t>
      </w:r>
      <w:r>
        <w:rPr>
          <w:rFonts w:ascii="Times New Roman" w:hAnsi="Times New Roman"/>
          <w:sz w:val="20"/>
        </w:rPr>
        <w:t>. Without limiting any other rights that any Purchaser Agent, Purchaser, Liquidity Provider, the Administrator or any Program Support Provider or any of their respective Affiliates, employees, officers, directors, agents, counsel, successors, transferees or assigns (each, an “</w:t>
      </w:r>
      <w:r>
        <w:rPr>
          <w:rFonts w:ascii="Times New Roman" w:hAnsi="Times New Roman"/>
          <w:sz w:val="20"/>
          <w:u w:val="single"/>
        </w:rPr>
        <w:t>Indemnified Party</w:t>
      </w:r>
      <w:r>
        <w:rPr>
          <w:rFonts w:ascii="Times New Roman" w:hAnsi="Times New Roman"/>
          <w:sz w:val="20"/>
        </w:rPr>
        <w:t>”) may have hereunder or under Applicable Law, the Seller hereby agrees to indemnify each Indemnified Party from and against any and all claims, damages, expenses, costs, taxes (including any incremental taxes suffered by an Indemnified Party, paid on an after-tax basis, that arise because an Investment is not treated consistently with the Intended Tax Treatment), losses and liabilities (including Attorney Costs) (all of the foregoing being collectively referred to as “</w:t>
      </w:r>
      <w:r>
        <w:rPr>
          <w:rFonts w:ascii="Times New Roman" w:hAnsi="Times New Roman"/>
          <w:sz w:val="20"/>
          <w:u w:val="single"/>
        </w:rPr>
        <w:t>Indemnified Amounts</w:t>
      </w:r>
      <w:r>
        <w:rPr>
          <w:rFonts w:ascii="Times New Roman" w:hAnsi="Times New Roman"/>
          <w:sz w:val="20"/>
        </w:rPr>
        <w:t xml:space="preserve">”) arising out of or resulting from this Agreement (whether directly or indirectly), the use of proceeds of purchases or reinvestments, the ownership of the Purchased Interest, or any interest therein, or in respect of any Receivable, Related Security or Contract, excluding, however: (a) Indemnified Amounts to the extent resulting from gross negligence or willful misconduct on the part of such Indemnified Party or its officers, directors, agents or counsel, (b) Indemnified Amounts in respect of any Receivable to the extent that such Receivable is uncollectible on account of the insolvency, bankruptcy or lack of creditworthiness of the related Obligor, or (c) any Excluded Taxes. Without limiting or being limited by the foregoing, and subject to the exclusions set forth in the preceding sentence, the Seller shall pay on demand (which demand shall be accompanied by documentation of the Indemnified Amounts, in reasonable detail) to each Indemnified Party any and all amounts necessary to indemnify such Indemnified Party from and against any and all Indemnified Amounts relating to or resulting from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failure of any Receivable included in the calculation of the Net Receivables Pool Balance as an Eligible Receivable to be an Eligible Receivable, the failure of any information contained in an Information Package or Daily Report to be true and correct, or the failure of any other information provided to such Indemnified Party by the Seller or Servicer with respect to Receivables or this Agreement to be true and correct; </w:t>
      </w:r>
    </w:p>
    <w:p>
      <w:pPr>
        <w:pStyle w:val="TextBody"/>
        <w:bidi w:val="0"/>
        <w:spacing w:before="120" w:after="0"/>
        <w:jc w:val="left"/>
        <w:rPr>
          <w:rFonts w:ascii="Times New Roman" w:hAnsi="Times New Roman"/>
          <w:sz w:val="20"/>
        </w:rPr>
      </w:pPr>
      <w:r>
        <w:rPr>
          <w:rFonts w:ascii="Times New Roman" w:hAnsi="Times New Roman"/>
          <w:sz w:val="20"/>
        </w:rPr>
        <w:t xml:space="preserve">(ii) the failure of any representation, warranty or statement made or deemed made by the Seller (or any of its officers) under or in connection with this Agreement to have been true and correct as of the date made or deemed made in all respects when made; </w:t>
      </w:r>
    </w:p>
    <w:p>
      <w:pPr>
        <w:pStyle w:val="TextBody"/>
        <w:bidi w:val="0"/>
        <w:spacing w:before="120" w:after="0"/>
        <w:jc w:val="left"/>
        <w:rPr>
          <w:rFonts w:ascii="Times New Roman" w:hAnsi="Times New Roman"/>
          <w:sz w:val="20"/>
        </w:rPr>
      </w:pPr>
      <w:r>
        <w:rPr>
          <w:rFonts w:ascii="Times New Roman" w:hAnsi="Times New Roman"/>
          <w:sz w:val="20"/>
        </w:rPr>
        <w:t xml:space="preserve">(iii) the failure by the Seller to comply with any Applicable Law with respect to any Pool Receivable or the related Contract, or the failure of any Pool Receivable or the related Contract to conform to any such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(iv) the failure to vest in the Administrator (for the benefit of the Purchasers) a valid and enforceable: (A) perfected undivided percentage ownership interest, to the extent of the Purchased Interest, in the Receivables in, or purporting to be in, the Receivables Pool and the other Pool Assets, or, if not, a (B) first priority perfected security interest in the Pool Assets, in each case, free and clear of any Adverse Claim; </w:t>
      </w:r>
    </w:p>
    <w:p>
      <w:pPr>
        <w:pStyle w:val="TextBody"/>
        <w:bidi w:val="0"/>
        <w:spacing w:before="120" w:after="0"/>
        <w:jc w:val="left"/>
        <w:rPr>
          <w:rFonts w:ascii="Times New Roman" w:hAnsi="Times New Roman"/>
          <w:sz w:val="20"/>
        </w:rPr>
      </w:pPr>
      <w:r>
        <w:rPr>
          <w:rFonts w:ascii="Times New Roman" w:hAnsi="Times New Roman"/>
          <w:sz w:val="20"/>
        </w:rPr>
        <w:t xml:space="preserve">(v) the failure to have filed, or any delay in filing, financing statements or other similar instruments or documents under the UCC of any applicable jurisdiction or other Applicable Laws with respect to any Receivables in, or purporting to be in, the Receivables Pool and the other Pool Assets, whether at the time of any Purchase or reinvestment or at any subsequent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any dispute, claim, offset or defense (other than discharge in bankruptcy of the Obligor) of the Obligor to the payment of any Receivable in, or purporting to be in, the Receivables Pool (including a defense based on such Receivable or the related Contract not being a legal, valid and binding obligation of such Obligor enforceable against it in accordance with its terms), or any other claim resulting from the sale of the goods or services related to such Receivable or the furnishing or failure to furnish such goods or services or relating to collection activities with respect to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(vii) any failure of the Seller, any Affiliate of the Seller or the Servicer to perform its duties or obligations in accordance with the provisions hereof or under the Contracts; </w:t>
      </w:r>
    </w:p>
    <w:p>
      <w:pPr>
        <w:pStyle w:val="TextBody"/>
        <w:bidi w:val="0"/>
        <w:spacing w:before="120" w:after="0"/>
        <w:jc w:val="left"/>
        <w:rPr>
          <w:rFonts w:ascii="Times New Roman" w:hAnsi="Times New Roman"/>
          <w:sz w:val="20"/>
        </w:rPr>
      </w:pPr>
      <w:r>
        <w:rPr>
          <w:rFonts w:ascii="Times New Roman" w:hAnsi="Times New Roman"/>
          <w:sz w:val="20"/>
        </w:rPr>
        <w:t xml:space="preserve">(viii) any products liability or other claim, investigation, litigation or proceeding arising out of or in connection with merchandise, insurance or services that are the subject of any Contract; </w:t>
      </w:r>
    </w:p>
    <w:p>
      <w:pPr>
        <w:pStyle w:val="TextBody"/>
        <w:bidi w:val="0"/>
        <w:spacing w:before="120" w:after="0"/>
        <w:jc w:val="left"/>
        <w:rPr>
          <w:rFonts w:ascii="Times New Roman" w:hAnsi="Times New Roman"/>
          <w:sz w:val="20"/>
        </w:rPr>
      </w:pPr>
      <w:r>
        <w:rPr>
          <w:rFonts w:ascii="Times New Roman" w:hAnsi="Times New Roman"/>
          <w:sz w:val="20"/>
        </w:rPr>
        <w:t xml:space="preserve">(ix) the commingling of Collections at any time with other funds; </w:t>
      </w:r>
    </w:p>
    <w:p>
      <w:pPr>
        <w:pStyle w:val="TextBody"/>
        <w:bidi w:val="0"/>
        <w:spacing w:before="120" w:after="0"/>
        <w:jc w:val="left"/>
        <w:rPr>
          <w:rFonts w:ascii="Times New Roman" w:hAnsi="Times New Roman"/>
          <w:sz w:val="20"/>
        </w:rPr>
      </w:pPr>
      <w:r>
        <w:rPr>
          <w:rFonts w:ascii="Times New Roman" w:hAnsi="Times New Roman"/>
          <w:sz w:val="20"/>
        </w:rPr>
        <w:t xml:space="preserve">(x) the use of proceeds of purchases or reinvestments; or </w:t>
      </w:r>
    </w:p>
    <w:p>
      <w:pPr>
        <w:pStyle w:val="TextBody"/>
        <w:bidi w:val="0"/>
        <w:spacing w:before="120" w:after="0"/>
        <w:jc w:val="left"/>
        <w:rPr>
          <w:rFonts w:ascii="Times New Roman" w:hAnsi="Times New Roman"/>
          <w:sz w:val="20"/>
        </w:rPr>
      </w:pPr>
      <w:r>
        <w:rPr>
          <w:rFonts w:ascii="Times New Roman" w:hAnsi="Times New Roman"/>
          <w:sz w:val="20"/>
        </w:rPr>
        <w:t xml:space="preserve">(xi) any reduction in the Aggregate Investment as a result of the distribution of Collections pursuant to </w:t>
      </w:r>
      <w:r>
        <w:rPr>
          <w:rFonts w:ascii="Times New Roman" w:hAnsi="Times New Roman"/>
          <w:sz w:val="20"/>
          <w:u w:val="single"/>
        </w:rPr>
        <w:t>Section 1.4(d)</w:t>
      </w:r>
      <w:r>
        <w:rPr>
          <w:rFonts w:ascii="Times New Roman" w:hAnsi="Times New Roman"/>
          <w:sz w:val="20"/>
        </w:rPr>
        <w:t xml:space="preserve">, if all or a portion of such distributions shall thereafter be rescinded or otherwise must be returned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Indemnities by the Servicer</w:t>
      </w:r>
      <w:r>
        <w:rPr>
          <w:rFonts w:ascii="Times New Roman" w:hAnsi="Times New Roman"/>
          <w:sz w:val="20"/>
        </w:rPr>
        <w:t xml:space="preserve">. Without limiting any other rights that any Indemnified Party may have hereunder or under Applicable Law, the Servicer hereby agrees to indemnify each Indemnified Party from and against any and all Indemnified Amounts arising out of or resulting from (whether directly or indirectly): (a) the failure of any information contained in an Information Package or Daily Report to be true and correct, or the failure of any other information provided to such Indemnified Party by, or on behalf of, the Servicer to be true and correct, (b) the failure of any representation, warranty or statement made or deemed made by the Servicer (or any of its officers) under or in connection with this Agreement or any other Transaction Document to which it is a party to have been true and correct as of the date made or deemed made in all respects when made, (c) the failure by the Servicer to comply with any Applicable Law with respect to any Pool Receivable or the related Contract, (d) any dispute, claim, offset or defense of the Obligor to the payment of any Receivable in, or purporting to be in, the Receivables Pool resulting from or related to the collection activities of the Servicer, its Affiliates and designees, including any sub-servicers, with respect to such Receivable, or (e) any failure of the Servicer to perform its duties or obligations in accordance with the provisions hereof or any other Transaction Document to which it is a party, excluding, however: (x) Indemnified Amounts to the extent resulting from gross negligence or willful misconduct on the part of such Indemnified Party or its officers, directors, agents or counsel and (y) Indemnified Amounts in respect of any Receivable to the extent that such Receivable is uncollectible on account of the insolvency, bankruptcy or lack of creditworthiness of the related Obligor.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AND COLLECTIONS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Appointment of the Servicer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servicing, administering and collection of the Pool Receivables shall be conducted by the Person so designated from time to time as the Servicer in accordance with this Section. Until the Administrator gives notice to WESCO (in accordance with this </w:t>
      </w:r>
      <w:r>
        <w:rPr>
          <w:rFonts w:ascii="Times New Roman" w:hAnsi="Times New Roman"/>
          <w:sz w:val="20"/>
          <w:u w:val="single"/>
        </w:rPr>
        <w:t>Section 4.1</w:t>
      </w:r>
      <w:r>
        <w:rPr>
          <w:rFonts w:ascii="Times New Roman" w:hAnsi="Times New Roman"/>
          <w:sz w:val="20"/>
        </w:rPr>
        <w:t xml:space="preserve">) of the designation of a new Servicer, WESCO is hereby designated as, and hereby agrees to perform the duties and obligations of, the Servicer pursuant to the terms hereof. Upon the occurrence and continuance of a Termination Event, the Administrator may (with the consent of the Majority Purchasers) or shall (at the direction of the Majority Purchasers) designate as Servicer any Person (including itself) to succeed WESCO or any successor Servicer, on the condition in each case that any such Person so designated shall agree to perform the duties and obligations of the Servicer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(b) Upon the designation of a successor Servicer as set forth in </w:t>
      </w:r>
      <w:r>
        <w:rPr>
          <w:rFonts w:ascii="Times New Roman" w:hAnsi="Times New Roman"/>
          <w:sz w:val="20"/>
          <w:u w:val="single"/>
        </w:rPr>
        <w:t>clause (a)</w:t>
      </w:r>
      <w:r>
        <w:rPr>
          <w:rFonts w:ascii="Times New Roman" w:hAnsi="Times New Roman"/>
          <w:sz w:val="20"/>
        </w:rPr>
        <w:t xml:space="preserve">, WESCO agrees that it will terminate its activities as Servicer hereunder in a manner that the Administrator determines will facilitate the transition of the performance of such activities to the new Servicer, and WESCO shall cooperate with and assist such new Servicer. Such cooperation shall include access to and transfer of related records (including all Contracts) and use by the new Servicer of all licenses, hardware or software necessary or desirable to collect the Pool Receivables and the Related Security. </w:t>
      </w:r>
    </w:p>
    <w:p>
      <w:pPr>
        <w:pStyle w:val="TextBody"/>
        <w:bidi w:val="0"/>
        <w:spacing w:before="240" w:after="0"/>
        <w:jc w:val="left"/>
        <w:rPr>
          <w:rFonts w:ascii="Times New Roman" w:hAnsi="Times New Roman"/>
          <w:sz w:val="20"/>
        </w:rPr>
      </w:pPr>
      <w:r>
        <w:rPr>
          <w:rFonts w:ascii="Times New Roman" w:hAnsi="Times New Roman"/>
          <w:sz w:val="20"/>
        </w:rPr>
        <w:t xml:space="preserve">(c) WESCO acknowledges that, in making their decision to execute and deliver this Agreement, the Administrator and each Purchaser Group have relied on WESCO’s agreement to act as Servicer hereunder. Accordingly, WESCO agrees that it will not voluntarily resign as Servicer. </w:t>
      </w:r>
    </w:p>
    <w:p>
      <w:pPr>
        <w:pStyle w:val="TextBody"/>
        <w:bidi w:val="0"/>
        <w:spacing w:before="240" w:after="0"/>
        <w:jc w:val="left"/>
        <w:rPr>
          <w:rFonts w:ascii="Times New Roman" w:hAnsi="Times New Roman"/>
          <w:sz w:val="20"/>
        </w:rPr>
      </w:pPr>
      <w:r>
        <w:rPr>
          <w:rFonts w:ascii="Times New Roman" w:hAnsi="Times New Roman"/>
          <w:sz w:val="20"/>
        </w:rPr>
        <w:t>(d) The Servicer may delegate its duties and obligations hereunder to any subservicer (each a “</w:t>
      </w:r>
      <w:r>
        <w:rPr>
          <w:rFonts w:ascii="Times New Roman" w:hAnsi="Times New Roman"/>
          <w:sz w:val="20"/>
          <w:u w:val="single"/>
        </w:rPr>
        <w:t>Sub-Servicer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each such delegation: (i) such Sub-Servicer shall agree in writing to perform the duties and obligations of the Servicer pursuant to the terms hereof, (ii) the Servicer shall remain primarily liable for the performance of the duties and obligations so delegated, (iii) the Seller, the Administrator and each Purchaser Group shall have the right to look solely to the Servicer for performance, and (iv) the terms of any agreement with any Sub-Servicer shall provide that the Administrator may terminate such agreement upon the termination of the Servicer hereunder by giving notice of its desire to terminate such agreement to the Servicer (and the Servicer shall provide appropriate notice to each such Sub-Servicer);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such delegation is to any Person other than an Originator or an Affiliate thereof, the Administrator and the Majority Purchasers shall have consented in writing in advance to such delegation, except that no consent shall be required with respect to the delegation of any duties to outside collection agencies with respect to Defaulted Receivables.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Duties of the Servicer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Servicer shall take or cause to be taken all such action as may be necessary or advisable to administer and collect each Pool Receivable from time to time, all in accordance with this Agreement and all Applicable Laws, with reasonable care and diligence, and in accordance with the Credit and Collection Policies. The Servicer shall set aside, for the account of each Purchaser Group, the amount of the Collections to which each such Purchaser Group is entitled in accordance with </w:t>
      </w:r>
      <w:r>
        <w:rPr>
          <w:rFonts w:ascii="Times New Roman" w:hAnsi="Times New Roman"/>
          <w:sz w:val="20"/>
          <w:u w:val="single"/>
        </w:rPr>
        <w:t>Article I</w:t>
      </w:r>
      <w:r>
        <w:rPr>
          <w:rFonts w:ascii="Times New Roman" w:hAnsi="Times New Roman"/>
          <w:sz w:val="20"/>
        </w:rPr>
        <w:t xml:space="preserve">. The Servicer may, in accordance with the applicable Credit and Collection Policy, extend the maturity of any Pool Receivable and extend the maturity or adjust the Outstanding Balance of any Defaulted Receivable as the Servicer may determine to be appropriate to maximize Collections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such extension or adjustment shall not alter the status of such Pool Receivable as a Delinquent Receivable or a Defaulted Receivable (or cause any ineligible Receivable to become an Eligible Receivable) or limit the rights of the Administrator or any Purchaser Group under this Agreement, (ii) the original invoice date shall continue to be used for purposes of determining whether such Receivable is an Eligible Receivable, a Delinquent Receivable or a Defaulted Receivable and (iii) if a Termination Event has occurred and is continuing and WESCO or an Affiliate thereof is serving as the Servicer, WESCO or such Affiliate may make such extension or adjustment only upon the prior approval of the Administrator (with the consent of the Majority Purchasers). The Seller shall deliver to the Servicer and the Servicer shall hold for the benefit of the Seller and the Administrator (individually and for the benefit of each Purchaser Group), in accordance with their respective interests, all records and documents (including computer tapes or disks) with respect to each Pool Receivable. Notwithstanding anything to the contrary contained herein, the Administrator may direct the Servicer (whether the Servicer is WESCO or any other Person) to commence or settle any legal action to enforce collection of any Pool Receivable or to foreclose upon or repossess any Related Security;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direction may be given unless either: (A) a Termination Event has occurred and is continuing or (B) the Administrator believes in good faith that failure to commence, settle or effect such legal action, foreclosure or repossession could adversely affect Receivables constituting a material portion of the Pool Receivables. </w:t>
      </w:r>
    </w:p>
    <w:p>
      <w:pPr>
        <w:pStyle w:val="TextBody"/>
        <w:bidi w:val="0"/>
        <w:spacing w:before="240" w:after="0"/>
        <w:jc w:val="left"/>
        <w:rPr>
          <w:rFonts w:ascii="Times New Roman" w:hAnsi="Times New Roman"/>
          <w:sz w:val="20"/>
        </w:rPr>
      </w:pPr>
      <w:r>
        <w:rPr>
          <w:rFonts w:ascii="Times New Roman" w:hAnsi="Times New Roman"/>
          <w:sz w:val="20"/>
        </w:rPr>
        <w:t xml:space="preserve">(b) The Servicer shall, as soon as practicable following actual receipt of collected funds, turn over to the Seller the collections of any indebtedness that is not a Pool Receivable, less, if WESCO or an Affiliate thereof is not the Servicer, all reasonable and appropriate out-of-pocket costs and expenses of such Servicer of servicing, collecting and administering such collections. The Servicer, if other than WESCO or an Affiliate thereof, shall, as soon as practicable upon demand, deliver to the Seller all records in its possession that evidence or relate to any indebtedness that is not a Pool Receivable, and copies of records in its possession that evidence or relate to any indebtedness that is a Pool Receivable. </w:t>
      </w:r>
    </w:p>
    <w:p>
      <w:pPr>
        <w:pStyle w:val="TextBody"/>
        <w:bidi w:val="0"/>
        <w:spacing w:before="240" w:after="0"/>
        <w:jc w:val="left"/>
        <w:rPr>
          <w:rFonts w:ascii="Times New Roman" w:hAnsi="Times New Roman"/>
          <w:sz w:val="20"/>
        </w:rPr>
      </w:pPr>
      <w:r>
        <w:rPr>
          <w:rFonts w:ascii="Times New Roman" w:hAnsi="Times New Roman"/>
          <w:sz w:val="20"/>
        </w:rPr>
        <w:t xml:space="preserve">(c) The Servicer’s obligations hereunder shall terminate on the later of: (i) the Facility Termination Date and (ii) the date on which all amounts required to be paid to the Purchaser Agents, each Purchaser, the Administrator and any other Indemnified Party or Affected Person hereunder shall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After such termination, if WESCO or an Affiliate thereof was not the Servicer on the date of such termination, the Servicer shall promptly deliver to the Seller all books, records and related materials that the Seller previously provided to the Servicer, or that have been obtained by the Servicer, in connection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Lock-Box Account Arrangements</w:t>
      </w:r>
      <w:r>
        <w:rPr>
          <w:rFonts w:ascii="Times New Roman" w:hAnsi="Times New Roman"/>
          <w:sz w:val="20"/>
        </w:rPr>
        <w:t>. Prior to the date hereof, the Seller has entered into Lock-Box Agreements with all of the Lock-Box Banks maintaining any Lock-Box Account and delivered original counterparts of each such Lock-Box Agreement to the Administrator and each Purchaser Agent. Upon (i) the occurrence of a Termination Event, (ii) WESCO or Holdings ceasing to have a rating of at least “B-” by Standard &amp; Poor’s on its corporate credit rating or (iii) Holdings’ Available Liquidity fails to exceed $100,000,000 (any of the foregoing, a “</w:t>
      </w:r>
      <w:r>
        <w:rPr>
          <w:rFonts w:ascii="Times New Roman" w:hAnsi="Times New Roman"/>
          <w:sz w:val="20"/>
          <w:u w:val="single"/>
        </w:rPr>
        <w:t>Dominion Trigger Event</w:t>
      </w:r>
      <w:r>
        <w:rPr>
          <w:rFonts w:ascii="Times New Roman" w:hAnsi="Times New Roman"/>
          <w:sz w:val="20"/>
        </w:rPr>
        <w:t xml:space="preserve">”), the Administrator may (or, upon the direction of the Simple Majority, shall) at any time thereafter so long as any event described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above exists at such time, give notice to each Lock-Box Bank that the Administrator is exercising its rights under the Lock-Box Agreements to do any or all of the following: (a) to have the exclusive ownership and control of the Lock-Box Accounts transferred to the Administrator (for the benefit of the Purchasers) and to exercise exclusive dominion and control over the funds deposited therein, (b) to have the proceeds that are sent to the respective Lock-Box Accounts redirected pursuant to the Administrator’s instructions rather than deposited in the applicable Lock-Box Account, and (c) to take any or all other actions permitted under the applicable Lock-Box Agreement (collectively, the “</w:t>
      </w:r>
      <w:r>
        <w:rPr>
          <w:rFonts w:ascii="Times New Roman" w:hAnsi="Times New Roman"/>
          <w:sz w:val="20"/>
          <w:u w:val="single"/>
        </w:rPr>
        <w:t>Lock-Box Rights</w:t>
      </w:r>
      <w:r>
        <w:rPr>
          <w:rFonts w:ascii="Times New Roman" w:hAnsi="Times New Roman"/>
          <w:sz w:val="20"/>
        </w:rPr>
        <w:t xml:space="preserve">”). The Seller hereby agrees that if the Administrator at any time takes any action set forth in the preceding sentence, the Administrator shall have exclusive control (for the benefit of the Purchasers) of the proceeds (including Collections) of all Pool Receivables and the Seller hereby further agrees to take any other action that the Administrator or any Purchaser Agent may reasonably request to transfer such control. Any proceeds of Pool Receivables received by the Seller or the Servicer thereafter shall be sent immediately to the Administrator. The parties hereto hereby acknowledge that if at any time the Administrator takes control of any Lock-Box Account, the Administrator shall not have any rights to the funds therein in excess of the unpaid amounts due to the Administrator, the Purchaser Groups, any Indemnified Party or any other Person hereunder, and the Administrator shall distribute or cause to be distributed such funds in accordance with </w:t>
      </w:r>
      <w:r>
        <w:rPr>
          <w:rFonts w:ascii="Times New Roman" w:hAnsi="Times New Roman"/>
          <w:sz w:val="20"/>
          <w:u w:val="single"/>
        </w:rPr>
        <w:t>Section 4.2(b)</w:t>
      </w:r>
      <w:r>
        <w:rPr>
          <w:rFonts w:ascii="Times New Roman" w:hAnsi="Times New Roman"/>
          <w:sz w:val="20"/>
        </w:rPr>
        <w:t xml:space="preserve"> and </w:t>
      </w:r>
      <w:r>
        <w:rPr>
          <w:rFonts w:ascii="Times New Roman" w:hAnsi="Times New Roman"/>
          <w:sz w:val="20"/>
          <w:u w:val="single"/>
        </w:rPr>
        <w:t>Article I</w:t>
      </w:r>
      <w:r>
        <w:rPr>
          <w:rFonts w:ascii="Times New Roman" w:hAnsi="Times New Roman"/>
          <w:sz w:val="20"/>
        </w:rPr>
        <w:t xml:space="preserve"> (in each case as if such funds were held by the Servicer thereunder). The Administrator hereby agrees that, if, at any time following its exercise of its Lock-Box Rights, to the extent such Lock-Box Rights are being exercised by the Administrator due solely to the occurrence of the event in </w:t>
      </w:r>
      <w:r>
        <w:rPr>
          <w:rFonts w:ascii="Times New Roman" w:hAnsi="Times New Roman"/>
          <w:sz w:val="20"/>
          <w:u w:val="single"/>
        </w:rPr>
        <w:t>clause (iii)</w:t>
      </w:r>
      <w:r>
        <w:rPr>
          <w:rFonts w:ascii="Times New Roman" w:hAnsi="Times New Roman"/>
          <w:sz w:val="20"/>
        </w:rPr>
        <w:t xml:space="preserve"> above and such event has been cured for a period of not less than 60 consecutive days, unless consented to in writing by the Administrator and each Purchaser Agent, upon notice of such cure to the Administrator and each Purchaser Agent, the Administrator shall reasonably cooperate with the Seller and the Servicer to cease exercising such Lock-Box Rights within a reasonable period of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the Administrator ceases to exercise its Lock-Box Rights in accordance with this sentence, such cessation shall not preclude the Administrator from exercising any or all of its Lock-Box Rights at any time following such date.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Enforcement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following the occurrence and continuance of a Termination Event: </w:t>
      </w:r>
    </w:p>
    <w:p>
      <w:pPr>
        <w:pStyle w:val="TextBody"/>
        <w:bidi w:val="0"/>
        <w:spacing w:before="120" w:after="0"/>
        <w:jc w:val="left"/>
        <w:rPr>
          <w:rFonts w:ascii="Times New Roman" w:hAnsi="Times New Roman"/>
          <w:sz w:val="20"/>
        </w:rPr>
      </w:pPr>
      <w:r>
        <w:rPr>
          <w:rFonts w:ascii="Times New Roman" w:hAnsi="Times New Roman"/>
          <w:sz w:val="20"/>
        </w:rPr>
        <w:t xml:space="preserve">(i) the Administrator may (with the consent or at the direction of a Simple Majority of the Purchasers) direct the Obligors that payment of all amounts payable under any Pool Receivable is to be made directly to the Administrator or its designee;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Administrator may (with the consent or at the direction of a Simple Majority of the Purchasers) instruct the Seller or the Servicer to give notice of the Purchaser Groups’ interest in Pool Receivables to each Obligor, which notice shall direct that payments be made directly to the Administrator or its designee (on behalf of such Purchaser Groups), and the Seller or the Servicer, as the case may be, shall give such notice at the expense of the Seller or the Servicer, as the case may be; </w:t>
      </w:r>
      <w:r>
        <w:rPr>
          <w:rFonts w:ascii="Times New Roman" w:hAnsi="Times New Roman"/>
          <w:sz w:val="20"/>
          <w:u w:val="single"/>
        </w:rPr>
        <w:t>provided</w:t>
      </w:r>
      <w:r>
        <w:rPr>
          <w:rFonts w:ascii="Times New Roman" w:hAnsi="Times New Roman"/>
          <w:sz w:val="20"/>
        </w:rPr>
        <w:t xml:space="preserve">, that if the Seller or the Servicer, as the case may be, fails to so notify each Obligor, the Administrator (at the Seller’s or the Servicer’s, as the case may be, expense) may so notify the Obligors; and </w:t>
      </w:r>
    </w:p>
    <w:p>
      <w:pPr>
        <w:pStyle w:val="TextBody"/>
        <w:bidi w:val="0"/>
        <w:spacing w:before="120" w:after="0"/>
        <w:jc w:val="left"/>
        <w:rPr>
          <w:rFonts w:ascii="Times New Roman" w:hAnsi="Times New Roman"/>
          <w:sz w:val="20"/>
        </w:rPr>
      </w:pPr>
      <w:r>
        <w:rPr>
          <w:rFonts w:ascii="Times New Roman" w:hAnsi="Times New Roman"/>
          <w:sz w:val="20"/>
        </w:rPr>
        <w:t xml:space="preserve">(iii) the Administrator may (with the consent or at the direction of a Simple Majority of the Purchasers)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Administrator or its designee (for the benefit of the Purchasers) at a place selected by the Administrator, and (B) segregate all cash, checks and other instruments received by it from time to time constituting Collections in a manner acceptable to the Administrator and, promptly upon receipt, remit all such cash, checks and instruments, duly endorsed or with duly executed instruments of transfer, to the Administrator or its designee. </w:t>
      </w:r>
    </w:p>
    <w:p>
      <w:pPr>
        <w:pStyle w:val="TextBody"/>
        <w:bidi w:val="0"/>
        <w:spacing w:before="240" w:after="0"/>
        <w:jc w:val="left"/>
        <w:rPr>
          <w:rFonts w:ascii="Times New Roman" w:hAnsi="Times New Roman"/>
          <w:sz w:val="20"/>
        </w:rPr>
      </w:pPr>
      <w:r>
        <w:rPr>
          <w:rFonts w:ascii="Times New Roman" w:hAnsi="Times New Roman"/>
          <w:sz w:val="20"/>
        </w:rPr>
        <w:t xml:space="preserve">(b) The Seller hereby authorizes the Administrator (on behalf of each Purchaser Group), and irrevocably appoints the Administrator as its attorney-in-fact with full power of substitution and with full authority in the place and stead of the Seller, which appointment is coupled with an interest, to take any and all steps in the name of the Seller and on behalf of the Seller necessary or desirable, in the determination of the Administrator, after the occurrence and continuance of a Termination Event, to collect any and all amounts or portions thereof due under any and all Pool Assets, including endorsing the name of the Seller on checks and other instruments representing Collections and enforcing such Pool Assets.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Responsibilities of the Seller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Anything herein to the contrary notwithstanding, the Seller shall: (i) perform all of its obligations, if any, under the Contracts related to the Pool Receivables to the same extent as if interests in such Pool Receivables had not been transferred hereunder, and the exercise by the Administrator, the Purchaser Agents or the Purchasers of their respective rights hereunder shall not relieve the Seller from such obligations, and (ii) pay when due any taxes, including any sales taxes payable in connection with the Pool Receivables and their creation and satisfaction. The Administrator, the Purchaser Agents or any of the Purchasers shall not have any obligation or liability with respect to any Pool Asset, nor shall any of them be obligated to perform any of the obligations of the Seller, Servicer, WESCO or the Originators thereunder. </w:t>
      </w:r>
    </w:p>
    <w:p>
      <w:pPr>
        <w:pStyle w:val="TextBody"/>
        <w:bidi w:val="0"/>
        <w:spacing w:before="240" w:after="0"/>
        <w:jc w:val="left"/>
        <w:rPr>
          <w:rFonts w:ascii="Times New Roman" w:hAnsi="Times New Roman"/>
          <w:sz w:val="20"/>
        </w:rPr>
      </w:pPr>
      <w:r>
        <w:rPr>
          <w:rFonts w:ascii="Times New Roman" w:hAnsi="Times New Roman"/>
          <w:sz w:val="20"/>
        </w:rPr>
        <w:t xml:space="preserve">(b) WESCO hereby irrevocably agrees that if at any time it shall cease to be the Servicer hereunder, it shall act (if the then-current Servicer so requests) as the data-processing agent of the Servicer and, in such capacity, WESCO shall conduct the data-processing functions of the administration of the Receivables and the Collections thereon in substantially the same way that WESCO conducted such data-processing functions while it acted as the Servicer.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Servicing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clause (b)</w:t>
      </w:r>
      <w:r>
        <w:rPr>
          <w:rFonts w:ascii="Times New Roman" w:hAnsi="Times New Roman"/>
          <w:sz w:val="20"/>
        </w:rPr>
        <w:t>, the Seller shall pay to the Servicer a fee (the “</w:t>
      </w:r>
      <w:r>
        <w:rPr>
          <w:rFonts w:ascii="Times New Roman" w:hAnsi="Times New Roman"/>
          <w:sz w:val="20"/>
          <w:u w:val="single"/>
        </w:rPr>
        <w:t>Servicing Fee</w:t>
      </w:r>
      <w:r>
        <w:rPr>
          <w:rFonts w:ascii="Times New Roman" w:hAnsi="Times New Roman"/>
          <w:sz w:val="20"/>
        </w:rPr>
        <w:t xml:space="preserve">”) for the provision of all services relating to the collection and administration of the Pool Receivables and related cash management activities, which services shall be performed by employees of the Servicer. The Servicing Fee shall be equal to 1.0% </w:t>
      </w:r>
      <w:r>
        <w:rPr>
          <w:rFonts w:ascii="Times New Roman" w:hAnsi="Times New Roman"/>
          <w:sz w:val="20"/>
          <w:u w:val="single"/>
        </w:rPr>
        <w:t>per</w:t>
      </w:r>
      <w:r>
        <w:rPr>
          <w:rFonts w:ascii="Times New Roman" w:hAnsi="Times New Roman"/>
          <w:sz w:val="20"/>
        </w:rPr>
        <w:t xml:space="preserve"> </w:t>
      </w:r>
      <w:r>
        <w:rPr>
          <w:rFonts w:ascii="Times New Roman" w:hAnsi="Times New Roman"/>
          <w:sz w:val="20"/>
          <w:u w:val="single"/>
        </w:rPr>
        <w:t>annum</w:t>
      </w:r>
      <w:r>
        <w:rPr>
          <w:rFonts w:ascii="Times New Roman" w:hAnsi="Times New Roman"/>
          <w:sz w:val="20"/>
        </w:rPr>
        <w:t xml:space="preserve"> of the aggregate Outstanding Balance of the Pool Receivables as of the last day of the prior month. Such fee shall be paid through (x) the Servicer’s retention of amounts representing the Seller’s Share and the Purchaser Group’s Ratable Share of the Servicing Fee, and (y) otherwise, the distributions contemplated by </w:t>
      </w:r>
      <w:r>
        <w:rPr>
          <w:rFonts w:ascii="Times New Roman" w:hAnsi="Times New Roman"/>
          <w:sz w:val="20"/>
          <w:u w:val="single"/>
        </w:rPr>
        <w:t>Section 1.4(d)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 Servicer ceases to be WESCO or an Affiliate thereof, the servicing fee shall be the greater of: (i) the amount calculated pursuant to </w:t>
      </w:r>
      <w:r>
        <w:rPr>
          <w:rFonts w:ascii="Times New Roman" w:hAnsi="Times New Roman"/>
          <w:sz w:val="20"/>
          <w:u w:val="single"/>
        </w:rPr>
        <w:t>clause (a)</w:t>
      </w:r>
      <w:r>
        <w:rPr>
          <w:rFonts w:ascii="Times New Roman" w:hAnsi="Times New Roman"/>
          <w:sz w:val="20"/>
        </w:rPr>
        <w:t xml:space="preserve">, and (ii) an alternative amount specified by the successor Servicer not to exceed 110% of the aggregate reasonable costs and expenses incurred by such successor Servicer in connection with the performance of its obligations as Servicer.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Erroneous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Purchaser hereby agrees that (i) if the Administrator notifies such Purchaser that the Administrator has determined in its sole discretion that any funds received by such Purchaser from the Administrator or any of its Affiliates were erroneously transmitted to, or otherwise erroneously or mistakenly received by, such Purchaser (whether or not known to such Purchaser (whether as a payment, prepayment or repayment of principal, interest, fees or otherwise); individually and collectively, an “</w:t>
      </w:r>
      <w:r>
        <w:rPr>
          <w:rFonts w:ascii="Times New Roman" w:hAnsi="Times New Roman"/>
          <w:sz w:val="20"/>
          <w:u w:val="single"/>
        </w:rPr>
        <w:t>Erroneous Payment</w:t>
      </w:r>
      <w:r>
        <w:rPr>
          <w:rFonts w:ascii="Times New Roman" w:hAnsi="Times New Roman"/>
          <w:sz w:val="20"/>
        </w:rPr>
        <w:t xml:space="preserve">”) and demands the return of such Erroneous Payment (or a portion thereof), such Purchaser shall promptly, but in no event later than one Business Day thereafter, return to the Administrator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Purchaser to the date such amount is repaid to the Administrator in same day funds at the greater of the Overnight Bank Funding Rate and a rate determined by the Administrator in accordance with banking industry rules on interbank compensation from time to time in effect and (ii) such Purchaser shall not assert any right or claim to the Erroneous Payment, and hereby waives any claim, counterclaim, defense or right of set-off or recoupment with respect to any demand, claim or counterclaim by the Administrator for the return of any Erroneous Payments received, including without limitation waiver of any defense based on “discharge for value” or any similar doctrine. A notice of the Administrator to any Purchaser under this clause (a)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xml:space="preserve">, each Purchaser hereby further agrees that if it receives an Erroneous Payment from the Administrator (or any of its Affiliates) (i) that is in an amount different than (other than a </w:t>
      </w:r>
      <w:r>
        <w:rPr>
          <w:rFonts w:ascii="Times New Roman" w:hAnsi="Times New Roman"/>
          <w:i/>
          <w:sz w:val="20"/>
        </w:rPr>
        <w:t>de minimis</w:t>
      </w:r>
      <w:r>
        <w:rPr>
          <w:rFonts w:ascii="Times New Roman" w:hAnsi="Times New Roman"/>
          <w:sz w:val="20"/>
        </w:rPr>
        <w:t xml:space="preserve"> difference), or on a different date from, that specified in a notice of payment sent by the Administrator (or any of its Affiliates) with respect to such Erroneous Payment (an “</w:t>
      </w:r>
      <w:r>
        <w:rPr>
          <w:rFonts w:ascii="Times New Roman" w:hAnsi="Times New Roman"/>
          <w:sz w:val="20"/>
          <w:u w:val="single"/>
        </w:rPr>
        <w:t>Erroneous Payment Notice</w:t>
      </w:r>
      <w:r>
        <w:rPr>
          <w:rFonts w:ascii="Times New Roman" w:hAnsi="Times New Roman"/>
          <w:sz w:val="20"/>
        </w:rPr>
        <w:t xml:space="preserve">”), or (ii) that was not preceded or accompanied by an Erroneous Payment Notice, it shall be on notice that, in each such case, an error has been made with respect to such Erroneous Payment. Each Purchaser further agrees that, in each such case, or if it otherwise becomes aware an Erroneous Payment (or portion thereof) may have been sent in error, such Purchaser shall promptly notify the Administrator of such occurrence and, upon demand from the Administrator, it shall promptly, but in no event later than one (1) Business Day thereafter, return to the Administrator the amount of any such Erroneous Payment (or portion thereof) that was received by such Purchaser to the date such amount is repaid to the Administrator in same day funds at the greater of the Overnight Bank Funding Rate and a rate determined by the Administrator in accordance with banking industry rules on interbank compensation from time to time in effect. </w:t>
      </w:r>
    </w:p>
    <w:p>
      <w:pPr>
        <w:pStyle w:val="TextBody"/>
        <w:bidi w:val="0"/>
        <w:spacing w:before="240" w:after="0"/>
        <w:jc w:val="left"/>
        <w:rPr>
          <w:rFonts w:ascii="Times New Roman" w:hAnsi="Times New Roman"/>
          <w:sz w:val="20"/>
        </w:rPr>
      </w:pPr>
      <w:r>
        <w:rPr>
          <w:rFonts w:ascii="Times New Roman" w:hAnsi="Times New Roman"/>
          <w:sz w:val="20"/>
        </w:rPr>
        <w:t xml:space="preserve">(c) The Seller and each other Purchaser hereby agree that (i) in the event an Erroneous Payment (or portion thereof) is not recovered from any Purchaser that has received such Erroneous Payment (or portion thereof) for any reason, the Administrator shall be subrogated to all the rights of such Purchaser with respect to such amount and (ii) an Erroneous Payment shall not pay, prepay, repay, discharge or otherwise satisfy any obligations owed by the Seller, any Originator or the Servicer, except that in each case, to the extent such Erroneous Payment is, and solely with respect to the amount of such Erroneous Payment that is, comprised of funds received by the Administrator from the Seller, any Originator or the Servicer for the purpose of making such Erroneous Payment. </w:t>
      </w:r>
    </w:p>
    <w:p>
      <w:pPr>
        <w:pStyle w:val="TextBody"/>
        <w:bidi w:val="0"/>
        <w:spacing w:before="240" w:after="0"/>
        <w:jc w:val="left"/>
        <w:rPr>
          <w:rFonts w:ascii="Times New Roman" w:hAnsi="Times New Roman"/>
          <w:sz w:val="20"/>
        </w:rPr>
      </w:pPr>
      <w:r>
        <w:rPr>
          <w:rFonts w:ascii="Times New Roman" w:hAnsi="Times New Roman"/>
          <w:sz w:val="20"/>
        </w:rPr>
        <w:t xml:space="preserve">(d) Each party’s obligations under this </w:t>
      </w:r>
      <w:r>
        <w:rPr>
          <w:rFonts w:ascii="Times New Roman" w:hAnsi="Times New Roman"/>
          <w:sz w:val="20"/>
          <w:u w:val="single"/>
        </w:rPr>
        <w:t>Section 4.8</w:t>
      </w:r>
      <w:r>
        <w:rPr>
          <w:rFonts w:ascii="Times New Roman" w:hAnsi="Times New Roman"/>
          <w:sz w:val="20"/>
        </w:rPr>
        <w:t xml:space="preserve"> shall survive the resignation or replacement of the Administrator or any transfer of rights or obligations by, or the replacement of, a Purchaser, the termination of the Commitments or the repayment, satisfaction or discharge of all Seller’s obligations (or any portion thereof) under any Transaction Document.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Appointment and Authorization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Purchaser and Purchaser Agent hereby irrevocably designates and appoints PNC Bank, National Association as the “</w:t>
      </w:r>
      <w:r>
        <w:rPr>
          <w:rFonts w:ascii="Times New Roman" w:hAnsi="Times New Roman"/>
          <w:sz w:val="20"/>
          <w:u w:val="single"/>
        </w:rPr>
        <w:t>Administrator</w:t>
      </w:r>
      <w:r>
        <w:rPr>
          <w:rFonts w:ascii="Times New Roman" w:hAnsi="Times New Roman"/>
          <w:sz w:val="20"/>
        </w:rPr>
        <w:t xml:space="preserve">” hereunder and authorizes the Administrator to take such actions and to exercise such powers as are delegated to the Administrator hereby and to exercise such other powers as are reasonably incidental thereto. The Administrator shall hold, in its name, for the benefit of each Purchaser, ratably, the Purchased Interest. The Administrator shall not have any duties other than those expressly set forth herein or any fiduciary relationship with any Purchaser or Purchaser Agent, and no implied obligations or liabilities shall be read into this Agreement, or otherwise exist, against the Administrator. The Administrator does not assume, nor shall it be deemed to have assumed, any obligation to, or relationship of trust or agency with, the Seller or Servicer. Notwithstanding any provision of this Agreement or any other Transaction Document to the contrary, in no event shall the Administrator ever be required to take any action which exposes the Administrator to personal liability or which is contrary to the provision of any Transaction Document or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Purchaser hereby irrevocably designates and appoints the respective institution identified as the Purchaser Agent for such Purchaser’s Purchaser Group on the signature pages hereto or in the Assumption Agreement or Transfer Supplement pursuant to which such Purchaser becomes a party hereto, and each authorizes such Purchaser Agent to take such action on its behalf under the provisions of this Agreement and to exercise such powers and perform such duties as are expressly delegated to such Purchaser Agent by the terms of this Agreement, if any, together with such other powers as are reasonably incidental thereto. Notwithstanding any provision to the contrary elsewhere in this Agreement, no Purchaser Agent shall have any duties or responsibilities, except those expressly set forth herein, or any fiduciary relationship with any Purchaser or other Purchaser Agent or the Administrator, and no implied covenants, functions, responsibilities, duties, obligations or liabilities on the part of such Purchaser Agent shall be read into this Agreement or otherwise exist against such Purchaser Agent. The Structuring Agent shall not have any right, power, obligation, liability, responsibility or duty under this Agreement in its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specifically provided in this Agreement, the provisions of this Article V are solely for the benefit of the Purchaser Agents, the Administrator and the Purchasers, and none of the Seller or Servicer shall have any rights as a third-party beneficiary or otherwise under any of the provisions of this Article V, except that this Article V shall not affect any obligations which any Purchaser Agent, the Administrator or any Purchaser may have to the Seller or the Servicer under the other provisions of this Agreement. Furthermore, no Purchaser shall have any rights as a third-party beneficiary or otherwise under any of the provisions hereof in respect of a Purchaser Agent which is not the Purchaser Agent for such Purchaser. </w:t>
      </w:r>
    </w:p>
    <w:p>
      <w:pPr>
        <w:pStyle w:val="TextBody"/>
        <w:bidi w:val="0"/>
        <w:spacing w:before="240" w:after="0"/>
        <w:jc w:val="left"/>
        <w:rPr>
          <w:rFonts w:ascii="Times New Roman" w:hAnsi="Times New Roman"/>
          <w:sz w:val="20"/>
        </w:rPr>
      </w:pPr>
      <w:r>
        <w:rPr>
          <w:rFonts w:ascii="Times New Roman" w:hAnsi="Times New Roman"/>
          <w:sz w:val="20"/>
        </w:rPr>
        <w:t xml:space="preserve">(d) In performing its functions and duties hereunder, the Administrator shall act solely as the agent of the Purchasers and the Purchaser Agents and does not assume nor shall be deemed to have assumed any obligation or relationship of trust or agency with or for the Seller or Servicer or any of their successors and assigns. In performing its functions and duties hereunder, each Purchaser Agent shall act solely as the agent of its respective Purchaser and does not assume nor shall be deemed to have assumed any obligation or relationship of trust or agency with or for the Seller, the Servicer, any other Purchaser, any other Purchaser Agent or the Administrator, or any of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Delegation of Duties</w:t>
      </w:r>
      <w:r>
        <w:rPr>
          <w:rFonts w:ascii="Times New Roman" w:hAnsi="Times New Roman"/>
          <w:sz w:val="20"/>
        </w:rPr>
        <w:t xml:space="preserve">. The Administrator may execute any of its duties through agents or attorneys-in-fact and shall be entitled to advice of counsel concerning all matters pertaining to such duties. The Administrator shall not be responsible for the negligence or misconduct of any agents or attorneys-in-fact selected by it with reasonable care.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Exculpatory Provisions</w:t>
      </w:r>
      <w:r>
        <w:rPr>
          <w:rFonts w:ascii="Times New Roman" w:hAnsi="Times New Roman"/>
          <w:sz w:val="20"/>
        </w:rPr>
        <w:t xml:space="preserve">. None of the Purchaser Agents, the Administrator or any of their directors, officers, agents or employees shall be liable for any action taken or omitted (i) with the consent or at the direction of the requisite Purchasers specified herein (or in the case of any Purchaser Agent, the Purchasers within its Purchaser Group that have a majority of the aggregate Commitment of such Purchaser Group) or (ii) in the absence of such Person’s gross negligence or willful misconduct. The Administrator shall not be responsible to any Purchaser, Purchaser Agent or other Person for (i) any recitals, representations, warranties or other statements made by the Seller, Servicer, or any of their Affiliates, (ii) the value, validity, effectiveness, genuineness, enforceability or sufficiency of any Transaction Document, (iii)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failure of the Seller, any Originator or any of their Affiliates to perform any obligation or (iv) the satisfaction of any condition specified in </w:t>
      </w:r>
      <w:r>
        <w:rPr>
          <w:rFonts w:ascii="Times New Roman" w:hAnsi="Times New Roman"/>
          <w:sz w:val="20"/>
          <w:u w:val="single"/>
        </w:rPr>
        <w:t>Exhibit II</w:t>
      </w:r>
      <w:r>
        <w:rPr>
          <w:rFonts w:ascii="Times New Roman" w:hAnsi="Times New Roman"/>
          <w:sz w:val="20"/>
        </w:rPr>
        <w:t xml:space="preserve">. The Administrator shall not have any obligation to any Purchaser or Purchaser Agent to ascertain or inquire about the observance or performance of any agreement contained in any Transaction Document or to inspect the properties, books or records of the Seller, Servicer, Originator or any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Reliance by Agents</w:t>
      </w:r>
      <w:r>
        <w:rPr>
          <w:rFonts w:ascii="Times New Roman" w:hAnsi="Times New Roman"/>
          <w:sz w:val="20"/>
        </w:rPr>
        <w:t xml:space="preserve">. Each Purchaser Agent and the Administrator shall in all cases be entitled to rely, and shall be fully protected in relying, upon any document or other writing or conversation believed by it to be genuine and correct and to have been signed, sent or made by the proper Person and upon advice and statements of legal counsel (including counsel to the Seller), independent accountants and other experts selected by the Administrator. Each Purchaser Agent and the Administrator shall in all cases be fully justified in failing or refusing to take any action under any Transaction Document unless it shall first receive such advice or concurrence of the Majority Purchasers (or in the case of any Purchaser Agent, the Purchasers within its Purchaser Group that have a majority of the aggregate Commitment of such Purchaser Group), and assurance of its indemnification, as it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Administrator shall in all cases be fully protected in acting, or in refraining from acting, under this Agreement in accordance with a request of the Majority Purchasers or the Purchaser Agents, and such request and any action taken or failure to act pursuant thereto shall be binding upon all Purchasers, the Administrator and Purchaser Agents. </w:t>
      </w:r>
    </w:p>
    <w:p>
      <w:pPr>
        <w:pStyle w:val="TextBody"/>
        <w:bidi w:val="0"/>
        <w:spacing w:before="240" w:after="0"/>
        <w:jc w:val="left"/>
        <w:rPr>
          <w:rFonts w:ascii="Times New Roman" w:hAnsi="Times New Roman"/>
          <w:sz w:val="20"/>
        </w:rPr>
      </w:pPr>
      <w:r>
        <w:rPr>
          <w:rFonts w:ascii="Times New Roman" w:hAnsi="Times New Roman"/>
          <w:sz w:val="20"/>
        </w:rPr>
        <w:t xml:space="preserve">(b) The Purchasers within each Purchaser Group with a majority of the Commitment of such Purchaser Group shall be entitled to request or direct the related Purchaser Agent to take action, or refrain from taking action, under this Agreement on behalf of such Purchasers. Such Purchaser Agent shall in all cases be fully protected in acting, or in refraining from acting, under this Agreement in accordance with a request of such Purchasers with such majority, and such request and any action taken or failure to act pursuant thereto shall be binding upon all of such Purchaser Agent’s Purchasers.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advised in writing by a Purchaser Agent or by any Purchaser on whose behalf such Purchaser Agent is purportedly acting, each party to this Agreement may assume that (i) such Purchaser Agent is acting for the benefit of each of the Purchasers in respect of which such Purchaser Agent is identified as being the “Purchaser Agent” in the definition of “Purchaser Agent” hereto, as well as for the benefit of each assignee or other transferee from any such Person, and (ii) each action taken by such Purchaser Agent has been duly authorized and approved by all necessary action on the part of the Purchasers on whose behalf it is purportedly acting. Each Purchaser Agent and its Purchaser(s) shall agree amongst themselves as to the circumstances and procedures for removal, resignation and replacement of such Purchaser Agent. </w:t>
      </w:r>
    </w:p>
    <w:p>
      <w:pPr>
        <w:pStyle w:val="TextBody"/>
        <w:bidi w:val="0"/>
        <w:spacing w:before="240" w:after="0"/>
        <w:jc w:val="left"/>
        <w:rPr>
          <w:rFonts w:ascii="Times New Roman" w:hAnsi="Times New Roman"/>
          <w:sz w:val="20"/>
        </w:rPr>
      </w:pPr>
      <w:r>
        <w:rPr>
          <w:rFonts w:ascii="Times New Roman" w:hAnsi="Times New Roman"/>
          <w:sz w:val="20"/>
        </w:rPr>
        <w:t>Section 5.5. [</w:t>
      </w:r>
      <w:r>
        <w:rPr>
          <w:rFonts w:ascii="Times New Roman" w:hAnsi="Times New Roman"/>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Notice of Termination Events</w:t>
      </w:r>
      <w:r>
        <w:rPr>
          <w:rFonts w:ascii="Times New Roman" w:hAnsi="Times New Roman"/>
          <w:sz w:val="20"/>
        </w:rPr>
        <w:t xml:space="preserve">. Neither any Purchaser Agent nor the Administrator shall be deemed to have knowledge or notice of the occurrence of any Termination Event or Unmatured Termination Event unless, in the case of the Administrator, the Administrator has received notice from any Purchaser, Purchaser Agent, the Servicer or the Seller and, in the case of any Purchaser Agent, such Purchaser Agent has received notice from the Administrator, any other Purchaser Agent, any Purchaser, the Servicer or the Seller, in each case, stating that a Termination Event or Unmatured Termination Event has occurred hereunder and describing such Termination Event or Unmatured Termination Event. In the event that the Administrator receives such a notice, it shall promptly give notice thereof to each Purchaser Agent whereupon each such Purchaser Agent shall promptly give notice thereof to its Purchasers. In the event that a Purchaser Agent receives such a notice (other than from the Administrator), it shall promptly give notice thereof to the Administrator. The Administrator shall take such action concerning a Termination Event or Unmatured Termination Event as may be directed by the Majority Purchasers (unless such action otherwise requires the consent of all Purchasers), but until the Administrator receives such directions, the Administrator may (but shall not be obligated to) take such action, or refrain from taking such action, as the Administrator deems advisable and in the best interests of the Purchasers and Purchaser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Non-Reliance on Administrator, Purchaser Agents and Other Purchasers</w:t>
      </w:r>
      <w:r>
        <w:rPr>
          <w:rFonts w:ascii="Times New Roman" w:hAnsi="Times New Roman"/>
          <w:sz w:val="20"/>
        </w:rPr>
        <w:t xml:space="preserve">. Each Purchaser expressly acknowledges that none of the Administrator, the Purchaser Agents nor any of their respective officers, directors, employees, agents, attorneys-in-fact or Affiliates has made any representations or warranties to it and that no act by the Administrator, or any Purchaser Agent hereafter taken, including any review of the affairs of the Seller, WESCO, Servicer or any Originator, shall be deemed to constitute any representation or warranty by the Administrator or such Purchaser Agent, as applicable. Each Purchaser represents and warrants to the Administrator and the Purchaser Agents that, independently and without reliance upon the Administrator, Purchaser Agents or any other Purchaser and based on such documents and information as it has deemed appropriate, it has made and will continue to make its own appraisal of and investigation into the business, operations, property, prospects, financial and other conditions and creditworthiness of the Seller, WESCO, Servicer or the Originators, and the Receivables and its own decision to enter into this Agreement and to take, or omit, action under any Transaction Document. Except for items specifically required to be delivered hereunder, the Administrator shall not have any duty or responsibility to provide any Purchaser Agent or Purchaser with any information concerning the Seller, WESCO, Servicer or the Originators or any of their Affiliates that comes into the possession of the Administrator or any of its officers, directors, employees, agents, attorneys-in-fact or Affiliates.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Administrators and Affiliates</w:t>
      </w:r>
      <w:r>
        <w:rPr>
          <w:rFonts w:ascii="Times New Roman" w:hAnsi="Times New Roman"/>
          <w:sz w:val="20"/>
        </w:rPr>
        <w:t xml:space="preserve">. Each of the Purchasers and the Administrator and their Affiliates may extend credit to, accept deposits from and generally engage in any kind of banking, trust, debt, entity or other business with the Seller, WESCO, Servicer or any Originator or any of their Affiliates and PNC Bank, National Association may exercise or refrain from exercising its rights and powers as if it were not the Administrator. With respect to the acquisition of the Eligible Receivables pursuant to this Agreement, each of the Purchaser Agents and the Administrator shall have the same rights and powers under this Agreement as any Purchaser and may exercise the same as though it were not such an agent, and the terms “Purchaser” and “Purchasers” shall include each of the Purchaser Agents and the Administrator in their individual capacities.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Indemnification</w:t>
      </w:r>
      <w:r>
        <w:rPr>
          <w:rFonts w:ascii="Times New Roman" w:hAnsi="Times New Roman"/>
          <w:sz w:val="20"/>
        </w:rPr>
        <w:t xml:space="preserve">. Each Purchaser Group shall indemnify and hold harmless the Administrator (but solely in its capacity as Administrator) and its officers, directors, employees, representatives and agents (to the extent not reimbursed by the Seller, WESCO or Servicer and without limiting the obligation of the Seller, WESCO or Servicer to do so), ratably in accordance with its Ratable Share from and against any and all liabilities, obligations, losses, damages, penalties, judgments, settlements, costs, expenses and disbursements of any kind whatsoever (including in connection with any investigative or threatened proceeding, whether or not the Administrator or such Person shall be designated a party thereto) that may at any time be imposed on, incurred by or asserted against the Administrator or such Person as a result of, or related to, any of the transactions contemplated by the Transaction Documents or the execution, delivery or performance of the Transaction Documents or any other document furnished in connection therewith (but excluding any such liabilities, obligations, losses, damages, penalties, judgments, settlements, costs, expenses or disbursements resulting solely from the gross negligence or willful misconduct of the Administrator or such Person as finally determined by a court of competent jurisdiction); </w:t>
      </w:r>
      <w:r>
        <w:rPr>
          <w:rFonts w:ascii="Times New Roman" w:hAnsi="Times New Roman"/>
          <w:sz w:val="20"/>
          <w:u w:val="single"/>
        </w:rPr>
        <w:t>provided</w:t>
      </w:r>
      <w:r>
        <w:rPr>
          <w:rFonts w:ascii="Times New Roman" w:hAnsi="Times New Roman"/>
          <w:sz w:val="20"/>
        </w:rPr>
        <w:t xml:space="preserve">, that in the case of each Purchaser that is a Conduit Purchaser, such indemnity shall be provided solely by the Committed Purchaser in such Conduit Purchaser’s Purchaser Group.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Successor Administrator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Administrator may, upon at least five (5) days’ notice to the Seller and each Purchaser and Purchaser Agent, resign as Administrator. Except as provided below, such resignation shall not become effective until a successor agent is appointed by the Majority Purchasers (with the consent of the Seller so long as no Termination Event has occurred and is continuing) and has accepted such appointment. If no successor Administrator shall have been so appointed by the Majority Purchasers (with the consent of the Seller so long as no Termination Event has occurred and is continuing), within thirty (30) days after the departing Administrator’s giving of notice of resignation, the departing Administrator may appoint a successor Administrator as successor Administrator subject to the prior written approval of the Seller (which approval shall not be unreasonably withheld, conditioned or delayed and shall not be required if a Termination Event exists). If no successor Administrator shall have been so appointed by the Majority Purchasers or the Administrator within sixty (60) days after the departing Administrator’s giving of notice of resignation, the departing Administrator may petition a court of competent jurisdiction to appoint a successor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Upon such acceptance of its appointment as Administrator hereunder by a successor Administrator, such successor Administrator shall succeed to and become vested with all the rights and duties of the retiring Administrator, and the retiring Administrator shall be discharged from its duties and obligations under the Transaction Documents. After any retiring Administrator’s resignation hereunder, the provisions of </w:t>
      </w:r>
      <w:r>
        <w:rPr>
          <w:rFonts w:ascii="Times New Roman" w:hAnsi="Times New Roman"/>
          <w:sz w:val="20"/>
          <w:u w:val="single"/>
        </w:rPr>
        <w:t>Sections 3.1</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and this Article V shall inure to its benefit as to any actions taken or omitted to be taken by it while it was the Administrator.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Amendments, Etc</w:t>
      </w:r>
      <w:r>
        <w:rPr>
          <w:rFonts w:ascii="Times New Roman" w:hAnsi="Times New Roman"/>
          <w:sz w:val="20"/>
        </w:rPr>
        <w:t xml:space="preserve">. No amendment or waiver of any provision of this Agreement or any other Transaction Document, or consent to any departure by the Seller or the Servicer therefrom, shall be effective unless in a writing signed by the Administrator and each of the Majority Purchasers, and, in the case of any amendment, by the other parties thereto; and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amendment,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or waiver shall, without the consent of each affected Purchaser, (A) extend the date of any payment or deposit of Collections by the Seller or the Servicer, (B) reduce the rate or extend the time of payment of Discount, (C) reduce any fees payable to the Administrator, any Purchaser Agent or any Purchaser pursuant to the applicable Purchaser Group Fee Letter, (D) change the amount of Investment of any Purchaser, any Purchaser’s pro rata share of the Purchased Interest or any Committed Purchaser’s Commitment, (E) amend, modify or waive any provision of the definition of “Majority Purchasers”, “Simple Majority” or this </w:t>
      </w:r>
      <w:r>
        <w:rPr>
          <w:rFonts w:ascii="Times New Roman" w:hAnsi="Times New Roman"/>
          <w:sz w:val="20"/>
          <w:u w:val="single"/>
        </w:rPr>
        <w:t>Section 6.1</w:t>
      </w:r>
      <w:r>
        <w:rPr>
          <w:rFonts w:ascii="Times New Roman" w:hAnsi="Times New Roman"/>
          <w:sz w:val="20"/>
        </w:rPr>
        <w:t xml:space="preserve">, (F) consent to or permit the assignment or transfer by the Seller of any of its rights and obligations under this Agreement, (G) change the definition of “Default Ratio”, “Eligible Receivable”, “Loss Reserve”, “Loss Reserve Percentage”, “Dilution Reserve”, “Dilution Reserve Percentage”, “Dilution Volatility Component”, “Minimum Dilution Reserve”, “Minimum Dilution Reserve Percentage”, “Termination Event”, “Yield Reserve”, “Yield Reserve Percentage”, “Total Reserves”, “Adjusted Net Receivables Pool Balance” or “Net Receivables Pool Balance”, (H) amend or modify any defined term (or any defined term used directly or indirectly in such defined term) used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above in a manner that would circumvent the intention of the restrictions set forth in such clauses, or (I) otherwise materially and adversely affect the rights of any such Purchaser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 no amendment or waiver of any provision of any Lock-Box Agreement or the Lock-Box Schedule Letter Agreement shall require the consent of any Purchaser (other than the Administrator), (ii) no amendment to the Sale Agreement joining any Subject Originator to the Sale Agreement as an Originator shall require the consent of any Purchaser (other than the Administrator) so long as either (x) the Joinder Conditions are satisfied or (y) the agreement joining such Subject Originator states that the Receivables of such Originator shall be deemed to be Ineligible Subject Originator Receivables and (iii) no Defaulting Purchaser shall have any right to approve or disapprove any amendment, waiver or consent hereunder (and any amendment, waiver or consent which by its terms requires the consent of all Purchasers or each affected Purchaser may be effected with the consent of the applicable Purchasers other than Defaulting Purchasers), except that (x) the Commitment of any Defaulting Purchaser may not be increased or extended without the consent of such Defaulting Purchaser and (y) any waiver, amendment or modification requiring the consent of all Purchasers or each affected Purchaser that by its terms affects any Defaulting Purchaser disproportionately adversely relative to other affected Purchasers shall require the consent of such Defaulting Purchaser. Notwithstanding the foregoing, the Administrator and the Seller shall be permitted to amend any provision of any Transaction Document (and such amendment shall become effective without any further action or consent of any party to any Transaction Document) if the Administrator and Seller shall have jointly identified an obvious error or any error or omission of a technical or immaterial nature in any such provision. No failure on the part of the Purchasers or the Administrator to exercise, and no delay in exercising any right hereunder shall operate as a waiver thereof, nor shall any single or partial exercise of any right hereunder preclude any other or further exercise thereof or the exercise of any other right.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Notices, Etc</w:t>
      </w:r>
      <w:r>
        <w:rPr>
          <w:rFonts w:ascii="Times New Roman" w:hAnsi="Times New Roman"/>
          <w:sz w:val="20"/>
        </w:rPr>
        <w:t xml:space="preserve">. All notices and other communications provided for hereunder shall, unless otherwise stated herein, be in writing (including facsimile or electronic mail communication) and shall be delivered or sent by facsimile, electronic mail or by overnight mail, to the intended party at the mailing or electronic mail address or facsimile number of such party set forth under its name on </w:t>
      </w:r>
      <w:r>
        <w:rPr>
          <w:rFonts w:ascii="Times New Roman" w:hAnsi="Times New Roman"/>
          <w:sz w:val="20"/>
          <w:u w:val="single"/>
        </w:rPr>
        <w:t>Schedule IV</w:t>
      </w:r>
      <w:r>
        <w:rPr>
          <w:rFonts w:ascii="Times New Roman" w:hAnsi="Times New Roman"/>
          <w:sz w:val="20"/>
        </w:rPr>
        <w:t xml:space="preserve"> hereof (or in any Assignment Agreement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 or agreement pursuant to which it is or became a party hereto), or at such other address or facsimile number as shall be designated by such party in a written notice to the other parties hereto. All such notices and communications shall be effective (i) if delivered by overnight mail, when received, and (ii) if transmitted by facsimile or electronic mail, when sent, receipt confirmed by telephone or electronic means.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Successors and Assigns; Participations; Assignments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hereto and their respective successors and assigns. Except as otherwise provided herein, the Seller may not assign or transfer any of its rights or delegate any of its duties hereunder or under any Transaction Document without the prior consent of the Administrator, the Purchaser Agents and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Participations</w:t>
      </w:r>
      <w:r>
        <w:rPr>
          <w:rFonts w:ascii="Times New Roman" w:hAnsi="Times New Roman"/>
          <w:sz w:val="20"/>
        </w:rPr>
        <w:t>. Any Purchaser may sell to one or more Persons (each a “</w:t>
      </w:r>
      <w:r>
        <w:rPr>
          <w:rFonts w:ascii="Times New Roman" w:hAnsi="Times New Roman"/>
          <w:sz w:val="20"/>
          <w:u w:val="single"/>
        </w:rPr>
        <w:t>Participant</w:t>
      </w:r>
      <w:r>
        <w:rPr>
          <w:rFonts w:ascii="Times New Roman" w:hAnsi="Times New Roman"/>
          <w:sz w:val="20"/>
        </w:rPr>
        <w:t xml:space="preserve">”) participating interests in the interests of such Purchaser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no Purchaser shall grant any participation under which the Participant shall have rights to approve any amendment to or waiver of this Agreement or any other Transaction Document. Such Purchaser shall remain solely responsible for performing its obligations hereunder, and the Seller, each Purchaser Agent and the Administrator shall continue to deal solely and directly with such Purchaser in connection with such Purchaser’s rights and obligations hereunder. A Purchaser shall not agree with a Participant to restrict such Purchaser’s right to agree to any amendment hereto, except amendments that require the consent of all Purchasers. </w:t>
      </w:r>
    </w:p>
    <w:p>
      <w:pPr>
        <w:pStyle w:val="TextBody"/>
        <w:bidi w:val="0"/>
        <w:spacing w:before="240" w:after="0"/>
        <w:jc w:val="left"/>
        <w:rPr>
          <w:rFonts w:ascii="Times New Roman" w:hAnsi="Times New Roman"/>
          <w:sz w:val="20"/>
        </w:rPr>
      </w:pPr>
      <w:r>
        <w:rPr>
          <w:rFonts w:ascii="Times New Roman" w:hAnsi="Times New Roman"/>
          <w:sz w:val="20"/>
        </w:rPr>
        <w:t>Each Purchaser that sells a participation shall, acting solely for this purpose as an agent of the Seller, maintain a register on which it enters the name and address of each Participant and the principal amounts (and stated interest) of each Participant’s interest in the Commitments and Investments or other obligations under this Agreement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b/>
          <w:i/>
          <w:sz w:val="20"/>
        </w:rPr>
        <w:t>provided</w:t>
      </w:r>
      <w:r>
        <w:rPr>
          <w:rFonts w:ascii="Times New Roman" w:hAnsi="Times New Roman"/>
          <w:sz w:val="20"/>
        </w:rPr>
        <w:t xml:space="preserve"> that no Purchaser shall have any obligation to disclose all or any portion of the Participant Register (including the identity of any Participant or any information relating to a Participant’s interest in any Commitments, Investment or its other obligations under this Agreement) to any Person except to the extent that such disclosure is necessary to establish that such Commitment, Investment or other obligation is in registered form under Section 5f.103-1(c) of the United States Treasury Regulations. The entries in the Participant Register shall be conclusive absent manifest error, and such Purchaser shall treat each Person whose name is recorded in the Participant Register as the owner of such participation for all purposes of this Agreement notwithstanding any notice to the contrary. For the avoidance of doubt, the Administrator (in its capacity as Administrator)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Assignments by Certain Committed Purchasers</w:t>
      </w:r>
      <w:r>
        <w:rPr>
          <w:rFonts w:ascii="Times New Roman" w:hAnsi="Times New Roman"/>
          <w:sz w:val="20"/>
        </w:rPr>
        <w:t>. Any Committed Purchaser may assign to one or more Persons (each a “</w:t>
      </w:r>
      <w:r>
        <w:rPr>
          <w:rFonts w:ascii="Times New Roman" w:hAnsi="Times New Roman"/>
          <w:sz w:val="20"/>
          <w:u w:val="single"/>
        </w:rPr>
        <w:t>Purchasing Committed Purchaser</w:t>
      </w:r>
      <w:r>
        <w:rPr>
          <w:rFonts w:ascii="Times New Roman" w:hAnsi="Times New Roman"/>
          <w:sz w:val="20"/>
        </w:rPr>
        <w:t xml:space="preserve">”), reasonably acceptable to the related Purchaser Agent and the Administrator, in each such Person’s sole discretion, any portion of its Commitment pursuant to a supplement hereto, substantially in the form of </w:t>
      </w:r>
      <w:r>
        <w:rPr>
          <w:rFonts w:ascii="Times New Roman" w:hAnsi="Times New Roman"/>
          <w:sz w:val="20"/>
          <w:u w:val="single"/>
        </w:rPr>
        <w:t>Annex E</w:t>
      </w:r>
      <w:r>
        <w:rPr>
          <w:rFonts w:ascii="Times New Roman" w:hAnsi="Times New Roman"/>
          <w:sz w:val="20"/>
        </w:rPr>
        <w:t xml:space="preserve"> with any changes as have been approved by the parties thereto (a “</w:t>
      </w:r>
      <w:r>
        <w:rPr>
          <w:rFonts w:ascii="Times New Roman" w:hAnsi="Times New Roman"/>
          <w:sz w:val="20"/>
          <w:u w:val="single"/>
        </w:rPr>
        <w:t>Transfer Supplement</w:t>
      </w:r>
      <w:r>
        <w:rPr>
          <w:rFonts w:ascii="Times New Roman" w:hAnsi="Times New Roman"/>
          <w:sz w:val="20"/>
        </w:rPr>
        <w:t xml:space="preserve">”), executed by each such Purchasing Committed Purchaser, such selling Committed Purchaser, such related Purchaser Agent and with the consent of the Seller (provided, that the consent of the Seller shall not be unreasonably withheld, conditioned or delayed and that no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consent shall be required if (i) a Termination Event has occurred and is continuing or (ii) such assignment is made by any Committed Purchaser to any other Purchaser, an Affiliate of any Purchaser, or any Person that is administered by the Administrator, any Purchaser or any Affiliate of any Purchaser). Any such assignment by a Committed Purchaser cannot be for an amount less than the lesser of $30,000,000 and the amount of such Committed Purchaser’s Commitment. Upon (i) the execution of the Transfer Supplement, (ii) delivery of an executed copy thereof to the Seller, such related Purchaser Agent and the Administrator and (iii) payment by the Purchasing Committed Purchaser to the selling Committed Purchaser of the agreed purchase price, such selling Committed Purchaser shall be released from its obligations hereunder to the extent of such assignment and such Purchasing Committed Purchaser shall for all purposes be a Committed Purchaser party hereto and shall have all the rights and obligations of a Committed Purchaser hereunder to the same extent as if it were an original party hereto. The amount of the Commitment of the selling Committed Purchaser allocable to such Purchasing Committed Purchaser shall be equal to the amount of the Commitment of the selling Committed Purchaser transferred regardless of the purchase price paid therefor. The Transfer Supplement shall be an amendment hereof only to the extent necessary to reflect the addition of such Purchasing Committed Purchaser as a “Committed Purchaser” and any resulting adjustment of the selling Committed Purchaser’s Commitment.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Assignment by Conduit Purchasers</w:t>
      </w:r>
      <w:r>
        <w:rPr>
          <w:rFonts w:ascii="Times New Roman" w:hAnsi="Times New Roman"/>
          <w:sz w:val="20"/>
        </w:rPr>
        <w:t xml:space="preserve">. Each party hereto agrees and consents (i) to any Conduit Purchaser’s assignment, participation, grant of security interests in or other transfers of any portion of, or any of its beneficial interest in, the Purchased Interest (or portion thereof), including without limitation to any collateral agent in connection with its commercial paper program and (ii) to the complete assignment by any Conduit Purchaser of all of its rights and obligations hereunder to any other Person, and upon such assignment such Conduit Purchaser shall be released from all obligations and duties, if any, hereunder. Any assigning Conduit Purchaser shall deliver to any assignee a Transfer Supplement, duly executed by such Conduit Purchaser, assigning any portion of its interest in the Purchased Interest to its assignee. Such Conduit Purchaser shall promptly (i) notify each of the other parties hereto of such assignment and (ii) take all further action that the assignee reasonably requests in order to evidence the assignee’s right, title and interest in such interest in the Purchased Interest and to enable the assignee to exercise or enforce any rights of such Conduit Purchaser hereunder. Upon the assignment of any portion of its interest in the Purchased Interest, the assignee shall have all of the rights hereunder with respect to such interest. Notwithstanding the foregoing, any Committed Purchaser and Conduit Purchaser may assign any Investments to other willing Committed Purchasers or Conduit Purchasers in their respective Purchaser Groups without any requirements for delivery of a Transfer Supplement; provided the Purchaser Agent for such Purchaser Group shall promptly notify the Seller and the Administrator of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Register</w:t>
      </w:r>
      <w:r>
        <w:rPr>
          <w:rFonts w:ascii="Times New Roman" w:hAnsi="Times New Roman"/>
          <w:sz w:val="20"/>
        </w:rPr>
        <w:t xml:space="preserve">. The Administrator shall, acting solely for this purpose as an agent of the Seller, maintain at its address referred to on </w:t>
      </w:r>
      <w:r>
        <w:rPr>
          <w:rFonts w:ascii="Times New Roman" w:hAnsi="Times New Roman"/>
          <w:sz w:val="20"/>
          <w:u w:val="single"/>
        </w:rPr>
        <w:t>Schedule IV</w:t>
      </w:r>
      <w:r>
        <w:rPr>
          <w:rFonts w:ascii="Times New Roman" w:hAnsi="Times New Roman"/>
          <w:sz w:val="20"/>
        </w:rPr>
        <w:t xml:space="preserve"> of this Agreement (or such other address of the Administrator notified by the Administrator to the other parties hereto) a copy of each Transfer Supplement delivered to and accepted by it and a register for the recordation of the names and addresses of the Purchasers, the Commitment of each Committed Purchaser and the aggregate Investment of each Purchaser from time to time (the “</w:t>
      </w:r>
      <w:r>
        <w:rPr>
          <w:rFonts w:ascii="Times New Roman" w:hAnsi="Times New Roman"/>
          <w:sz w:val="20"/>
          <w:u w:val="single"/>
        </w:rPr>
        <w:t>Register</w:t>
      </w:r>
      <w:r>
        <w:rPr>
          <w:rFonts w:ascii="Times New Roman" w:hAnsi="Times New Roman"/>
          <w:sz w:val="20"/>
        </w:rPr>
        <w:t xml:space="preserve">”). The entries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Register shall be conclusive and binding for all purposes, absent manifest error, and the Seller, the Servicer, the Administrator, the Purchaser Agents and the Purchasers may treat each Person whose name is recorded in the Register as a Purchaser under this Agreement for all purposes of this Agreement. The Register shall be available for inspection by the Seller, the Servicer, any Purchaser Agent or any Purchaser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Procedure</w:t>
      </w:r>
      <w:r>
        <w:rPr>
          <w:rFonts w:ascii="Times New Roman" w:hAnsi="Times New Roman"/>
          <w:sz w:val="20"/>
        </w:rPr>
        <w:t xml:space="preserve">. Upon its receipt of a Transfer Supplement executed and delivered by an assigning Purchaser, the Administrator shall, if such Transfer Supplement has been duly completed, (i) accept such Transfer Supplement and (ii) record the information contained therein in the Register.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Costs, Expenses and Taxes</w:t>
      </w:r>
      <w:r>
        <w:rPr>
          <w:rFonts w:ascii="Times New Roman" w:hAnsi="Times New Roman"/>
          <w:sz w:val="20"/>
        </w:rPr>
        <w:t xml:space="preserve">. In addition to the rights of indemnification granted under </w:t>
      </w:r>
      <w:r>
        <w:rPr>
          <w:rFonts w:ascii="Times New Roman" w:hAnsi="Times New Roman"/>
          <w:sz w:val="20"/>
          <w:u w:val="single"/>
        </w:rPr>
        <w:t>Section 3.1</w:t>
      </w:r>
      <w:r>
        <w:rPr>
          <w:rFonts w:ascii="Times New Roman" w:hAnsi="Times New Roman"/>
          <w:sz w:val="20"/>
        </w:rPr>
        <w:t xml:space="preserve">, the Seller agrees to pay on demand (which demand shall be accompanied by documentation thereof in reasonable detail) all reasonable costs and expenses in connection with the preparation, execution, delivery and administration (including periodic internal audits by the Administrator of Pool Receivables) of this Agreement, the other Transaction Documents and the other documents and agreements to be delivered hereunder (and all reasonable costs and expenses in connection with any amendment, waiver or modification of any thereof), including: (i) Attorney Costs for the Administrator, each Purchaser Group and their respective Affiliates and agents with respect thereto and with respect to advising the Administrator, each Purchaser Group and their respective Affiliates and agents as to their rights and remedies under this Agreement and the other Transaction Documents, and (ii) all reasonable costs and expenses (including Attorney Costs), if any, of the Administrator, each Purchaser Group and their respective Affiliates and agents in connection with the enforcement of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The Seller, the Servicer, the Purchasers, the Purchaser Agents and the other parties hereto have structured this Agreement with the intention that the Investments will be treated under United States federal, and applicable state, local and foreign tax law as debt (the “</w:t>
      </w:r>
      <w:r>
        <w:rPr>
          <w:rFonts w:ascii="Times New Roman" w:hAnsi="Times New Roman"/>
          <w:sz w:val="20"/>
          <w:u w:val="single"/>
        </w:rPr>
        <w:t>Intended Tax Treatment</w:t>
      </w:r>
      <w:r>
        <w:rPr>
          <w:rFonts w:ascii="Times New Roman" w:hAnsi="Times New Roman"/>
          <w:sz w:val="20"/>
        </w:rPr>
        <w:t xml:space="preserve">”). The Seller, the Servicer, the Purchasers, the Purchaser Agents and the other parties from time to time party hereto agree not to file any tax return, or take any action, inconsistent with the Intended Tax Treatment unless required by a final determination within the meaning of Section 1313 of the Internal Revenue Code (or similar or analogous state, local or foreign tax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Seller shall pay on demand any and all stamp and other similar taxes and fees payable in connection with the execution, delivery, filing and recording of this Agreement or the other documents or agreements to be delivered hereunder, and agrees to save each Indemnified Party harmless from and against any liabilities with respect to or resulting from any delay in paying or omission to pay such taxes and fees.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No Proceedings; Limitation on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Seller, WESCO, the Servicer, the Administrator, the Purchaser Agents, the Purchasers, each assignee of the Purchased Interest or any interest therein, and each Person that enters into a commitment to purchase the Purchased Interest or interests therein, hereby covenants and agrees that it will not institute against, or join any other Person in instituting against, any Conduit Purchaser any Insolvency Proceeding, for one year and one day after the latest maturing Note issued by such Conduit Purchaser is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WESCO, the Servicer, the Purchaser Agents, the Purchasers, each assignee of the Purchased Interest or any interest therein, and each Person that enters into a commitment to purchase the Purchased Interest or interests therein, hereby covenants and agrees that it will not institute against, or join any other Person in instituting against, the Seller any Insolvency Proceeding until one year and one day after the Final Payout Date; </w:t>
      </w:r>
      <w:r>
        <w:rPr>
          <w:rFonts w:ascii="Times New Roman" w:hAnsi="Times New Roman"/>
          <w:sz w:val="20"/>
          <w:u w:val="single"/>
        </w:rPr>
        <w:t>provided</w:t>
      </w:r>
      <w:r>
        <w:rPr>
          <w:rFonts w:ascii="Times New Roman" w:hAnsi="Times New Roman"/>
          <w:sz w:val="20"/>
        </w:rPr>
        <w:t xml:space="preserve">, that the Administrator may take any such action in its sole discretion following the occurrence of a Termination Event.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provisions contained in this Agreement to the contrary, a Conduit Purchaser shall not, and shall be under no obligation to, pay any amount, if any, payable by it pursuant to this Agreement or any other Transaction Document unless (i) such Conduit Purchaser has received funds which may be used to make such payment and which funds are not required to repay such Conduit Purchaser’s Notes when due and (ii) after giving effect to such payment, either (x) such Conduit Purchaser could issue Notes to refinance all of its outstanding Notes (assuming such outstanding Notes matured at such time) in accordance with the program documents governing such Conduit Purchaser’s securitization program or (y) all of such Conduit Purchaser’s Notes are paid in full. Any amount which any Conduit Purchaser does not pay pursuant to the operation of the preceding sentence shall not constitute a claim (as defined in Section 101 of the Bankruptcy Code) against or company obligation of such Conduit Purchaser for any such insufficiency unless and until such Conduit Purchaser satisfies the provisions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above. The provision of this </w:t>
      </w:r>
      <w:r>
        <w:rPr>
          <w:rFonts w:ascii="Times New Roman" w:hAnsi="Times New Roman"/>
          <w:sz w:val="20"/>
          <w:u w:val="single"/>
        </w:rPr>
        <w:t>Section 6.5</w:t>
      </w:r>
      <w:r>
        <w:rPr>
          <w:rFonts w:ascii="Times New Roman" w:hAnsi="Times New Roman"/>
          <w:sz w:val="20"/>
        </w:rPr>
        <w:t xml:space="preserve">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GOVERNING LAW AND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DEEMED TO BE A CONTRACT MADE UNDER AND GOVERNED BY THE LAWS OF THE STATE OF NEW YORK (INCLUDING FOR SUCH PURPOSE SECTIONS 5-1401 AND 5-1402 OF THE GENERAL OBLIGATIONS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(b) ANY LEGAL ACTION OR PROCEEDING WITH RESPECT TO THIS AGREEMENT MAY BE BROUGHT IN THE COURTS OF THE STATE OF NEW YORK OR OF THE UNITED STATES FOR THE SOUTHERN DISTRICT OF NEW YORK; AND, BY EXECUTION AND DELIVERY OF THIS AGREEMENT, EACH OF THE PARTIES HERETO CONSENTS, FOR ITSELF AND IN RESPECT OF ITS PROPERTY, TO THE NON-EXCLUSIVE JURISDICTION OF THOSE COURTS. EACH OF THE PARTIES HERETO IRREVOCABLY WAIVES, TO THE MAXIMUM EXTENT PERMITTED BY LAW, ANY OBJECTION, INCLUDING ANY OBJECTION TO THE LAYING OF VENUE OR BASED ON THE GROUNDS OF FORUM NON CONVENIENS, THAT IT MAY NOW OR HEREAFTER HAVE TO THE BRINGING OF ANY ACTION OR PROCEEDING IN SUCH JURISDICTION IN RESPECT OF THIS AGREEMENT OR ANY DOCUMENT RELATED HERETO. EACH OF THE PARTIES HERETO WAIVES PERSONAL SERVICE OF ANY SUMMONS, COMPLAINT OR OTHER PROCESS, WHICH SERVICE MAY BE MADE BY ANY OTHER MEANS PERMITTED BY NEW YORK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Execution in Counterparts</w:t>
      </w:r>
      <w:r>
        <w:rPr>
          <w:rFonts w:ascii="Times New Roman" w:hAnsi="Times New Roman"/>
          <w:sz w:val="20"/>
        </w:rPr>
        <w:t xml:space="preserve">. This Agreement may be executed in any number of counterparts, each of which, when so executed, shall be deemed to be an original, and all of which, when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Survival of Termination</w:t>
      </w:r>
      <w:r>
        <w:rPr>
          <w:rFonts w:ascii="Times New Roman" w:hAnsi="Times New Roman"/>
          <w:sz w:val="20"/>
        </w:rPr>
        <w:t xml:space="preserve">. The provisions of </w:t>
      </w:r>
      <w:r>
        <w:rPr>
          <w:rFonts w:ascii="Times New Roman" w:hAnsi="Times New Roman"/>
          <w:sz w:val="20"/>
          <w:u w:val="single"/>
        </w:rPr>
        <w:t>Sections 1.7</w:t>
      </w:r>
      <w:r>
        <w:rPr>
          <w:rFonts w:ascii="Times New Roman" w:hAnsi="Times New Roman"/>
          <w:sz w:val="20"/>
        </w:rPr>
        <w:t xml:space="preserve">, </w:t>
      </w:r>
      <w:r>
        <w:rPr>
          <w:rFonts w:ascii="Times New Roman" w:hAnsi="Times New Roman"/>
          <w:sz w:val="20"/>
          <w:u w:val="single"/>
        </w:rPr>
        <w:t>1.8</w:t>
      </w:r>
      <w:r>
        <w:rPr>
          <w:rFonts w:ascii="Times New Roman" w:hAnsi="Times New Roman"/>
          <w:sz w:val="20"/>
        </w:rPr>
        <w:t xml:space="preserve">, </w:t>
      </w:r>
      <w:r>
        <w:rPr>
          <w:rFonts w:ascii="Times New Roman" w:hAnsi="Times New Roman"/>
          <w:sz w:val="20"/>
          <w:u w:val="single"/>
        </w:rPr>
        <w:t>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6.4</w:t>
      </w:r>
      <w:r>
        <w:rPr>
          <w:rFonts w:ascii="Times New Roman" w:hAnsi="Times New Roman"/>
          <w:sz w:val="20"/>
        </w:rPr>
        <w:t xml:space="preserve">, </w:t>
      </w:r>
      <w:r>
        <w:rPr>
          <w:rFonts w:ascii="Times New Roman" w:hAnsi="Times New Roman"/>
          <w:sz w:val="20"/>
          <w:u w:val="single"/>
        </w:rPr>
        <w:t>6.5</w:t>
      </w:r>
      <w:r>
        <w:rPr>
          <w:rFonts w:ascii="Times New Roman" w:hAnsi="Times New Roman"/>
          <w:sz w:val="20"/>
        </w:rPr>
        <w:t xml:space="preserve">, </w:t>
      </w:r>
      <w:r>
        <w:rPr>
          <w:rFonts w:ascii="Times New Roman" w:hAnsi="Times New Roman"/>
          <w:sz w:val="20"/>
          <w:u w:val="single"/>
        </w:rPr>
        <w:t>6.6</w:t>
      </w:r>
      <w:r>
        <w:rPr>
          <w:rFonts w:ascii="Times New Roman" w:hAnsi="Times New Roman"/>
          <w:sz w:val="20"/>
        </w:rPr>
        <w:t xml:space="preserve">, </w:t>
      </w:r>
      <w:r>
        <w:rPr>
          <w:rFonts w:ascii="Times New Roman" w:hAnsi="Times New Roman"/>
          <w:sz w:val="20"/>
          <w:u w:val="single"/>
        </w:rPr>
        <w:t>6.9</w:t>
      </w:r>
      <w:r>
        <w:rPr>
          <w:rFonts w:ascii="Times New Roman" w:hAnsi="Times New Roman"/>
          <w:sz w:val="20"/>
        </w:rPr>
        <w:t xml:space="preserve">, </w:t>
      </w:r>
      <w:r>
        <w:rPr>
          <w:rFonts w:ascii="Times New Roman" w:hAnsi="Times New Roman"/>
          <w:sz w:val="20"/>
          <w:u w:val="single"/>
        </w:rPr>
        <w:t>6.10</w:t>
      </w:r>
      <w:r>
        <w:rPr>
          <w:rFonts w:ascii="Times New Roman" w:hAnsi="Times New Roman"/>
          <w:sz w:val="20"/>
        </w:rPr>
        <w:t xml:space="preserve"> and </w:t>
      </w:r>
      <w:r>
        <w:rPr>
          <w:rFonts w:ascii="Times New Roman" w:hAnsi="Times New Roman"/>
          <w:sz w:val="20"/>
          <w:u w:val="single"/>
        </w:rPr>
        <w:t>6.14</w:t>
      </w:r>
      <w:r>
        <w:rPr>
          <w:rFonts w:ascii="Times New Roman" w:hAnsi="Times New Roman"/>
          <w:sz w:val="20"/>
        </w:rPr>
        <w:t xml:space="preserve">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WAIVER OF JURY TRIAL</w:t>
      </w:r>
      <w:r>
        <w:rPr>
          <w:rFonts w:ascii="Times New Roman" w:hAnsi="Times New Roman"/>
          <w:sz w:val="20"/>
        </w:rPr>
        <w:t xml:space="preserve">. EACH OF THE PARTIES HERETO WAIVES THEIR RESPECTIVE RIGHTS TO A TRIAL BY JURY OF ANY CLAIM OR CAUSE OF ACTION BASED UPON OR ARISING OUT OF OR RELATED TO THIS AGREEMENT OR THE TRANSACTIONS CONTEMPLATED HEREBY IN ANY ACTION, PROCEEDING OR OTHER LITIGATION OF ANY TYPE BROUGHT BY ANY OF THE PARTIES AGAINST ANY OTHER PARTY OR PARTIES, WHETHER WITH RESPECT TO CONTRACT CLAIMS, TORT CLAIMS OR OTHERWISE. EACH OF THE PARTIES HERETO AGREES THAT ANY SUCH CLAIM OR CAUSE OF ACTION SHALL BE TRIED BY A COURT TRIAL WITHOUT A JURY. WITHOUT LIMITING THE FOREGOING, EACH OF THE PARTIES HERETO FURTHER AGREES THAT ITS RESPECTIVE RIGHT TO A TRIAL BY JURY IS WAIVED BY OPERATION OF THIS SECTION AS TO ANY ACTION, COUNTERCLAIM OR OTHER PROCEEDING THAT SEEKS, IN WHOLE OR IN PART, TO CHALLENGE THE VALIDITY OR ENFORCEABILITY OF THIS AGREEMENT OR ANY PROVISION HEREOF. THIS WAIVER SHALL APPLY TO ANY SUBSEQUENT AMENDMENTS, RENEWALS, SUPPLEMENTS OR MODIFICATIONS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Sharing of Recoveries</w:t>
      </w:r>
      <w:r>
        <w:rPr>
          <w:rFonts w:ascii="Times New Roman" w:hAnsi="Times New Roman"/>
          <w:sz w:val="20"/>
        </w:rPr>
        <w:t xml:space="preserve">. Each Purchaser agrees that if it receives any recovery, through set-off, judicial action or otherwise, on any amount payable or recoverable hereunder in a greater proportion than should have been received hereunder or otherwise inconsistent with the provisions hereof, then the recipient of such recovery shall purchase for cash an interest in amounts owing to the other Purchasers (as return of Investment or otherwise), without representation or warranty except for the representation and warranty that such interest is being sold by each such other Purchaser free and clear of any Adverse Claim created or granted by such other Purchaser, in the amount necessary to create proportional participation by the Purchaser in such recovery. If all or any portion of such amount is thereafter recovered from the recipient, such purchase shall be rescinded and the purchase price restored to the extent of such recovery, but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Right of Setoff</w:t>
      </w:r>
      <w:r>
        <w:rPr>
          <w:rFonts w:ascii="Times New Roman" w:hAnsi="Times New Roman"/>
          <w:sz w:val="20"/>
        </w:rPr>
        <w:t xml:space="preserve">. If a Termination Event described in paragraphs </w:t>
      </w:r>
      <w:r>
        <w:rPr>
          <w:rFonts w:ascii="Times New Roman" w:hAnsi="Times New Roman"/>
          <w:sz w:val="20"/>
          <w:u w:val="single"/>
        </w:rPr>
        <w:t>(a)(i)</w:t>
      </w:r>
      <w:r>
        <w:rPr>
          <w:rFonts w:ascii="Times New Roman" w:hAnsi="Times New Roman"/>
          <w:sz w:val="20"/>
        </w:rPr>
        <w:t xml:space="preserve"> (with respect to the covenants in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1(e),</w:t>
      </w:r>
      <w:r>
        <w:rPr>
          <w:rFonts w:ascii="Times New Roman" w:hAnsi="Times New Roman"/>
          <w:sz w:val="20"/>
        </w:rPr>
        <w:t xml:space="preserve"> </w:t>
      </w:r>
      <w:r>
        <w:rPr>
          <w:rFonts w:ascii="Times New Roman" w:hAnsi="Times New Roman"/>
          <w:sz w:val="20"/>
          <w:u w:val="single"/>
        </w:rPr>
        <w:t>1(f)</w:t>
      </w:r>
      <w:r>
        <w:rPr>
          <w:rFonts w:ascii="Times New Roman" w:hAnsi="Times New Roman"/>
          <w:sz w:val="20"/>
        </w:rPr>
        <w:t xml:space="preserve">, </w:t>
      </w:r>
      <w:r>
        <w:rPr>
          <w:rFonts w:ascii="Times New Roman" w:hAnsi="Times New Roman"/>
          <w:sz w:val="20"/>
          <w:u w:val="single"/>
        </w:rPr>
        <w:t>1(g)</w:t>
      </w:r>
      <w:r>
        <w:rPr>
          <w:rFonts w:ascii="Times New Roman" w:hAnsi="Times New Roman"/>
          <w:sz w:val="20"/>
        </w:rPr>
        <w:t xml:space="preserve">, </w:t>
      </w:r>
      <w:r>
        <w:rPr>
          <w:rFonts w:ascii="Times New Roman" w:hAnsi="Times New Roman"/>
          <w:sz w:val="20"/>
          <w:u w:val="single"/>
        </w:rPr>
        <w:t>1(j)(i)</w:t>
      </w:r>
      <w:r>
        <w:rPr>
          <w:rFonts w:ascii="Times New Roman" w:hAnsi="Times New Roman"/>
          <w:sz w:val="20"/>
        </w:rPr>
        <w:t xml:space="preserve">, </w:t>
      </w:r>
      <w:r>
        <w:rPr>
          <w:rFonts w:ascii="Times New Roman" w:hAnsi="Times New Roman"/>
          <w:sz w:val="20"/>
          <w:u w:val="single"/>
        </w:rPr>
        <w:t>1(j)(ii)</w:t>
      </w:r>
      <w:r>
        <w:rPr>
          <w:rFonts w:ascii="Times New Roman" w:hAnsi="Times New Roman"/>
          <w:sz w:val="20"/>
        </w:rPr>
        <w:t xml:space="preserve">, </w:t>
      </w:r>
      <w:r>
        <w:rPr>
          <w:rFonts w:ascii="Times New Roman" w:hAnsi="Times New Roman"/>
          <w:sz w:val="20"/>
          <w:u w:val="single"/>
        </w:rPr>
        <w:t>1(k)</w:t>
      </w:r>
      <w:r>
        <w:rPr>
          <w:rFonts w:ascii="Times New Roman" w:hAnsi="Times New Roman"/>
          <w:sz w:val="20"/>
        </w:rPr>
        <w:t xml:space="preserve">, </w:t>
      </w:r>
      <w:r>
        <w:rPr>
          <w:rFonts w:ascii="Times New Roman" w:hAnsi="Times New Roman"/>
          <w:sz w:val="20"/>
          <w:u w:val="single"/>
        </w:rPr>
        <w:t>1(l)</w:t>
      </w:r>
      <w:r>
        <w:rPr>
          <w:rFonts w:ascii="Times New Roman" w:hAnsi="Times New Roman"/>
          <w:sz w:val="20"/>
        </w:rPr>
        <w:t xml:space="preserve">, </w:t>
      </w:r>
      <w:r>
        <w:rPr>
          <w:rFonts w:ascii="Times New Roman" w:hAnsi="Times New Roman"/>
          <w:sz w:val="20"/>
          <w:u w:val="single"/>
        </w:rPr>
        <w:t>1(m)</w:t>
      </w:r>
      <w:r>
        <w:rPr>
          <w:rFonts w:ascii="Times New Roman" w:hAnsi="Times New Roman"/>
          <w:sz w:val="20"/>
        </w:rPr>
        <w:t xml:space="preserve">, </w:t>
      </w:r>
      <w:r>
        <w:rPr>
          <w:rFonts w:ascii="Times New Roman" w:hAnsi="Times New Roman"/>
          <w:sz w:val="20"/>
          <w:u w:val="single"/>
        </w:rPr>
        <w:t>1(o)</w:t>
      </w:r>
      <w:r>
        <w:rPr>
          <w:rFonts w:ascii="Times New Roman" w:hAnsi="Times New Roman"/>
          <w:sz w:val="20"/>
        </w:rPr>
        <w:t xml:space="preserve">, </w:t>
      </w:r>
      <w:r>
        <w:rPr>
          <w:rFonts w:ascii="Times New Roman" w:hAnsi="Times New Roman"/>
          <w:sz w:val="20"/>
          <w:u w:val="single"/>
        </w:rPr>
        <w:t>1(r)(ii)(B)</w:t>
      </w:r>
      <w:r>
        <w:rPr>
          <w:rFonts w:ascii="Times New Roman" w:hAnsi="Times New Roman"/>
          <w:sz w:val="20"/>
        </w:rPr>
        <w:t xml:space="preserve"> </w:t>
      </w:r>
      <w:r>
        <w:rPr>
          <w:rFonts w:ascii="Times New Roman" w:hAnsi="Times New Roman"/>
          <w:sz w:val="20"/>
          <w:u w:val="single"/>
        </w:rPr>
        <w:t>(solely to the extent resulting from the Seller or its Subsidiaries using the proceeds of the Investments to fund any operations in, finance any investments or activities in, or, make any payments to, a Sanctioned Person or Sanctioned Jurisdiction)</w:t>
      </w:r>
      <w:r>
        <w:rPr>
          <w:rFonts w:ascii="Times New Roman" w:hAnsi="Times New Roman"/>
          <w:sz w:val="20"/>
        </w:rPr>
        <w:t xml:space="preserve">, </w:t>
      </w:r>
      <w:r>
        <w:rPr>
          <w:rFonts w:ascii="Times New Roman" w:hAnsi="Times New Roman"/>
          <w:sz w:val="20"/>
          <w:u w:val="single"/>
        </w:rPr>
        <w:t>1(r)(iii)</w:t>
      </w:r>
      <w:r>
        <w:rPr>
          <w:rFonts w:ascii="Times New Roman" w:hAnsi="Times New Roman"/>
          <w:sz w:val="20"/>
        </w:rPr>
        <w:t xml:space="preserve">, </w:t>
      </w:r>
      <w:r>
        <w:rPr>
          <w:rFonts w:ascii="Times New Roman" w:hAnsi="Times New Roman"/>
          <w:sz w:val="20"/>
          <w:u w:val="single"/>
        </w:rPr>
        <w:t>1(s)</w:t>
      </w:r>
      <w:r>
        <w:rPr>
          <w:rFonts w:ascii="Times New Roman" w:hAnsi="Times New Roman"/>
          <w:sz w:val="20"/>
        </w:rPr>
        <w:t xml:space="preserve"> or </w:t>
      </w:r>
      <w:r>
        <w:rPr>
          <w:rFonts w:ascii="Times New Roman" w:hAnsi="Times New Roman"/>
          <w:sz w:val="20"/>
          <w:u w:val="single"/>
        </w:rPr>
        <w:t>1(v)</w:t>
      </w:r>
      <w:r>
        <w:rPr>
          <w:rFonts w:ascii="Times New Roman" w:hAnsi="Times New Roman"/>
          <w:sz w:val="20"/>
        </w:rPr>
        <w:t xml:space="preserve">,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2(e)</w:t>
      </w:r>
      <w:r>
        <w:rPr>
          <w:rFonts w:ascii="Times New Roman" w:hAnsi="Times New Roman"/>
          <w:sz w:val="20"/>
        </w:rPr>
        <w:t xml:space="preserve">, </w:t>
      </w:r>
      <w:r>
        <w:rPr>
          <w:rFonts w:ascii="Times New Roman" w:hAnsi="Times New Roman"/>
          <w:sz w:val="20"/>
          <w:u w:val="single"/>
        </w:rPr>
        <w:t>2(g)</w:t>
      </w:r>
      <w:r>
        <w:rPr>
          <w:rFonts w:ascii="Times New Roman" w:hAnsi="Times New Roman"/>
          <w:sz w:val="20"/>
        </w:rPr>
        <w:t xml:space="preserve">, </w:t>
      </w:r>
      <w:r>
        <w:rPr>
          <w:rFonts w:ascii="Times New Roman" w:hAnsi="Times New Roman"/>
          <w:sz w:val="20"/>
          <w:u w:val="single"/>
        </w:rPr>
        <w:t>2(i)(i)</w:t>
      </w:r>
      <w:r>
        <w:rPr>
          <w:rFonts w:ascii="Times New Roman" w:hAnsi="Times New Roman"/>
          <w:sz w:val="20"/>
        </w:rPr>
        <w:t xml:space="preserve">, </w:t>
      </w:r>
      <w:r>
        <w:rPr>
          <w:rFonts w:ascii="Times New Roman" w:hAnsi="Times New Roman"/>
          <w:sz w:val="20"/>
          <w:u w:val="single"/>
        </w:rPr>
        <w:t>2(i)(ii)</w:t>
      </w:r>
      <w:r>
        <w:rPr>
          <w:rFonts w:ascii="Times New Roman" w:hAnsi="Times New Roman"/>
          <w:sz w:val="20"/>
        </w:rPr>
        <w:t xml:space="preserve">, </w:t>
      </w:r>
      <w:r>
        <w:rPr>
          <w:rFonts w:ascii="Times New Roman" w:hAnsi="Times New Roman"/>
          <w:sz w:val="20"/>
          <w:u w:val="single"/>
        </w:rPr>
        <w:t>2(i)(iv)</w:t>
      </w:r>
      <w:r>
        <w:rPr>
          <w:rFonts w:ascii="Times New Roman" w:hAnsi="Times New Roman"/>
          <w:sz w:val="20"/>
        </w:rPr>
        <w:t xml:space="preserve">, </w:t>
      </w:r>
      <w:r>
        <w:rPr>
          <w:rFonts w:ascii="Times New Roman" w:hAnsi="Times New Roman"/>
          <w:sz w:val="20"/>
          <w:u w:val="single"/>
        </w:rPr>
        <w:t>2(j)(ii)(B) (solely to the extent resulting from the Servicer or its Subsidiaries using the proceeds of the Investments to fund any operations in, finance any investments or activities in, or, make any payments to, a Sanctioned Person or Sanctioned Jurisdiction)</w:t>
      </w:r>
      <w:r>
        <w:rPr>
          <w:rFonts w:ascii="Times New Roman" w:hAnsi="Times New Roman"/>
          <w:sz w:val="20"/>
        </w:rPr>
        <w:t xml:space="preserve">, </w:t>
      </w:r>
      <w:r>
        <w:rPr>
          <w:rFonts w:ascii="Times New Roman" w:hAnsi="Times New Roman"/>
          <w:sz w:val="20"/>
          <w:u w:val="single"/>
        </w:rPr>
        <w:t>2(j)(iii)</w:t>
      </w:r>
      <w:r>
        <w:rPr>
          <w:rFonts w:ascii="Times New Roman" w:hAnsi="Times New Roman"/>
          <w:sz w:val="20"/>
        </w:rPr>
        <w:t xml:space="preserve"> or </w:t>
      </w:r>
      <w:r>
        <w:rPr>
          <w:rFonts w:ascii="Times New Roman" w:hAnsi="Times New Roman"/>
          <w:sz w:val="20"/>
          <w:u w:val="single"/>
        </w:rPr>
        <w:t>2(l)</w:t>
      </w:r>
      <w:r>
        <w:rPr>
          <w:rFonts w:ascii="Times New Roman" w:hAnsi="Times New Roman"/>
          <w:sz w:val="20"/>
        </w:rPr>
        <w:t xml:space="preserve"> or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3(b)</w:t>
      </w:r>
      <w:r>
        <w:rPr>
          <w:rFonts w:ascii="Times New Roman" w:hAnsi="Times New Roman"/>
          <w:sz w:val="20"/>
        </w:rPr>
        <w:t xml:space="preserve">, </w:t>
      </w:r>
      <w:r>
        <w:rPr>
          <w:rFonts w:ascii="Times New Roman" w:hAnsi="Times New Roman"/>
          <w:sz w:val="20"/>
          <w:u w:val="single"/>
        </w:rPr>
        <w:t>3(c)</w:t>
      </w:r>
      <w:r>
        <w:rPr>
          <w:rFonts w:ascii="Times New Roman" w:hAnsi="Times New Roman"/>
          <w:sz w:val="20"/>
        </w:rPr>
        <w:t xml:space="preserve">, </w:t>
      </w:r>
      <w:r>
        <w:rPr>
          <w:rFonts w:ascii="Times New Roman" w:hAnsi="Times New Roman"/>
          <w:sz w:val="20"/>
          <w:u w:val="single"/>
        </w:rPr>
        <w:t>3(d)</w:t>
      </w:r>
      <w:r>
        <w:rPr>
          <w:rFonts w:ascii="Times New Roman" w:hAnsi="Times New Roman"/>
          <w:sz w:val="20"/>
        </w:rPr>
        <w:t xml:space="preserve">, </w:t>
      </w:r>
      <w:r>
        <w:rPr>
          <w:rFonts w:ascii="Times New Roman" w:hAnsi="Times New Roman"/>
          <w:sz w:val="20"/>
          <w:u w:val="single"/>
        </w:rPr>
        <w:t>3(g)</w:t>
      </w:r>
      <w:r>
        <w:rPr>
          <w:rFonts w:ascii="Times New Roman" w:hAnsi="Times New Roman"/>
          <w:sz w:val="20"/>
        </w:rPr>
        <w:t xml:space="preserve"> or </w:t>
      </w:r>
      <w:r>
        <w:rPr>
          <w:rFonts w:ascii="Times New Roman" w:hAnsi="Times New Roman"/>
          <w:sz w:val="20"/>
          <w:u w:val="single"/>
        </w:rPr>
        <w:t>3(n)</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w:t>
      </w:r>
      <w:r>
        <w:rPr>
          <w:rFonts w:ascii="Times New Roman" w:hAnsi="Times New Roman"/>
          <w:sz w:val="20"/>
          <w:u w:val="single"/>
        </w:rPr>
        <w:t>(a)(ii)</w:t>
      </w:r>
      <w:r>
        <w:rPr>
          <w:rFonts w:ascii="Times New Roman" w:hAnsi="Times New Roman"/>
          <w:sz w:val="20"/>
        </w:rPr>
        <w:t xml:space="preserve"> or </w:t>
      </w:r>
      <w:r>
        <w:rPr>
          <w:rFonts w:ascii="Times New Roman" w:hAnsi="Times New Roman"/>
          <w:sz w:val="20"/>
          <w:u w:val="single"/>
        </w:rPr>
        <w:t>(f)</w:t>
      </w:r>
      <w:r>
        <w:rPr>
          <w:rFonts w:ascii="Times New Roman" w:hAnsi="Times New Roman"/>
          <w:sz w:val="20"/>
        </w:rPr>
        <w:t xml:space="preserve"> of </w:t>
      </w:r>
      <w:r>
        <w:rPr>
          <w:rFonts w:ascii="Times New Roman" w:hAnsi="Times New Roman"/>
          <w:sz w:val="20"/>
          <w:u w:val="single"/>
        </w:rPr>
        <w:t>Exhibit V</w:t>
      </w:r>
      <w:r>
        <w:rPr>
          <w:rFonts w:ascii="Times New Roman" w:hAnsi="Times New Roman"/>
          <w:sz w:val="20"/>
        </w:rPr>
        <w:t xml:space="preserve"> has occurred and is continuing or if the Facility Termination Date has otherwise occurred pursuant to </w:t>
      </w:r>
      <w:r>
        <w:rPr>
          <w:rFonts w:ascii="Times New Roman" w:hAnsi="Times New Roman"/>
          <w:sz w:val="20"/>
          <w:u w:val="single"/>
        </w:rPr>
        <w:t>Section 2.2</w:t>
      </w:r>
      <w:r>
        <w:rPr>
          <w:rFonts w:ascii="Times New Roman" w:hAnsi="Times New Roman"/>
          <w:sz w:val="20"/>
        </w:rPr>
        <w:t xml:space="preserve">, each Purchaser after obtaining the prior written consent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Administrator, is hereby authorized (in addition to any other rights it may have) to setoff, appropriate and apply (without presentment, demand, protest or other notice which are hereby expressly waived) any deposits and any other indebtedness held or owing by such Purchaser (including by any branches or agencies of such Purchaser) to, or for the account of, the Seller against amounts owing by the Seller hereunder (even if contingent or unmatured); provided that in the event that any Defaulting Purchaser shall exercise any such right of setoff, (x) all amounts so set off shall be paid over immediately to the Administrator for further application in accordance with the provisions of </w:t>
      </w:r>
      <w:r>
        <w:rPr>
          <w:rFonts w:ascii="Times New Roman" w:hAnsi="Times New Roman"/>
          <w:sz w:val="20"/>
          <w:u w:val="single"/>
        </w:rPr>
        <w:t>Section 1.9</w:t>
      </w:r>
      <w:r>
        <w:rPr>
          <w:rFonts w:ascii="Times New Roman" w:hAnsi="Times New Roman"/>
          <w:sz w:val="20"/>
        </w:rPr>
        <w:t xml:space="preserve"> and, pending such payment, shall be segregated by such Defaulting Purchaser from its other funds and deemed held in trust for the benefit of the Administrator and the Purchasers, and (y) the Defaulting Purchaser shall provide promptly to the Administrator a statement describing in reasonable detail the obligations owing to such Defaulting Purchaser as to which it exercised such right of setoff. Each Purchaser agrees to notify the Seller and the Administrator promptly after any such setoff and application; provided that the failure to give such notice shall not affect the validity of such setoff and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Entire Agreement</w:t>
      </w:r>
      <w:r>
        <w:rPr>
          <w:rFonts w:ascii="Times New Roman" w:hAnsi="Times New Roman"/>
          <w:sz w:val="20"/>
        </w:rPr>
        <w:t xml:space="preserve">. This Agreement and the other Transaction Documents embody the entire agreement and understanding between the parties hereto, and supersede all prior or contemporaneous agreements and understandings of such Persons, verbal or written, relating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Headings</w:t>
      </w:r>
      <w:r>
        <w:rPr>
          <w:rFonts w:ascii="Times New Roman" w:hAnsi="Times New Roman"/>
          <w:sz w:val="20"/>
        </w:rPr>
        <w:t xml:space="preserve">. The captions and headings of this Agreement and any Exhibit, Schedule or Annex hereto are for convenience of reference only and shall not affect the interpretation hereof or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Limitation of Liability</w:t>
      </w:r>
      <w:r>
        <w:rPr>
          <w:rFonts w:ascii="Times New Roman" w:hAnsi="Times New Roman"/>
          <w:sz w:val="20"/>
        </w:rPr>
        <w:t xml:space="preserve">. The obligations of each Purchaser Agent and each Purchaser under the Transaction Documents are solely the corporate obligations of such Person. Except with respect to any claim arising out of the willful misconduct or gross negligence of the Administrator, any Purchaser Agent or any Purchaser, no claim may be made by the Seller or the Servicer or any other Person against the Administrator, any Purchaser Agent or any Purchaser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therewith; and each of Seller and Servicer hereby waives, releases, and agrees not to sue upon any claim for any such damages, whether or not accrued and whether or not known or suspected to exist in its favor. Without limiting the obligations of the Seller and the Servicer under </w:t>
      </w:r>
      <w:r>
        <w:rPr>
          <w:rFonts w:ascii="Times New Roman" w:hAnsi="Times New Roman"/>
          <w:sz w:val="20"/>
          <w:u w:val="single"/>
        </w:rPr>
        <w:t>Sections 3.1</w:t>
      </w:r>
      <w:r>
        <w:rPr>
          <w:rFonts w:ascii="Times New Roman" w:hAnsi="Times New Roman"/>
          <w:sz w:val="20"/>
        </w:rPr>
        <w:t xml:space="preserve"> and </w:t>
      </w:r>
      <w:r>
        <w:rPr>
          <w:rFonts w:ascii="Times New Roman" w:hAnsi="Times New Roman"/>
          <w:sz w:val="20"/>
          <w:u w:val="single"/>
        </w:rPr>
        <w:t>3.2</w:t>
      </w:r>
      <w:r>
        <w:rPr>
          <w:rFonts w:ascii="Times New Roman" w:hAnsi="Times New Roman"/>
          <w:sz w:val="20"/>
        </w:rPr>
        <w:t xml:space="preserve">, neither the Seller nor the Servicer shall have any liability for any punitive, special, indirect or consequential damages resulting from this Agreement or any other Transaction Document or arising out of its activities in connection herewith or therewith, provided further that, nothing in this </w:t>
      </w:r>
      <w:r>
        <w:rPr>
          <w:rFonts w:ascii="Times New Roman" w:hAnsi="Times New Roman"/>
          <w:sz w:val="20"/>
          <w:u w:val="single"/>
        </w:rPr>
        <w:t>Section 6.14</w:t>
      </w:r>
      <w:r>
        <w:rPr>
          <w:rFonts w:ascii="Times New Roman" w:hAnsi="Times New Roman"/>
          <w:sz w:val="20"/>
        </w:rPr>
        <w:t xml:space="preserve"> shall relieve either the Seller or the Servicer of any obligation it may have to indemnify an Indemnified Party against special, indirect, consequential or punitive damages asserted against such Indemnified Party by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Pledge to a Federal Reserve Bank</w:t>
      </w:r>
      <w:r>
        <w:rPr>
          <w:rFonts w:ascii="Times New Roman" w:hAnsi="Times New Roman"/>
          <w:sz w:val="20"/>
        </w:rPr>
        <w:t xml:space="preserve">. Notwithstanding anything to the contrary set forth herein, (i) each Committed Purchaser may at any time pledge or grant a security interest in all or any portion of its interest in, to and under its undivided percentage ownership interest with regard to the Purchased Interest or under this Agreement to secure its obligations to a Federal Reserve Bank, or (ii) in the event that any Conduit Purchaser assigns any interest in, to and under its undivided percentage ownership interest with regard to the Purchased Interest to any Program Support Provider pursuant to a Program Support Agreement, such Program Support Provider may at any time pledge or grant a security interest in all or any portion of its interest in, to and under such undivided percentage ownership interest with regard to the Purchased Interest or under this Agreement to secure the obligations of such Program Support Provider to a Federal Reserve Bank, in each case without notice to or the consent of the Seller.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Seller and the Servicer covenants and agrees to hold in confidence, and not disclose to any Person, the terms of any Purchaser Group Fee Letter, except as the Administrator and each Purchaser Agent may have consented to in writing prior to any proposed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it may disclose such information (i) to its Advisors and Representatives, (ii) to the extent such information has become available to the public other than as a result of a disclosure by or through the Seller, the Servicer or their Advisors and Representatives or (iii) to the extent it should be (A) required by Applicable Law, or in connection with any legal or regulatory proceeding or (B) requested by any Governmental Authority to disclose such information; </w:t>
      </w: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clause (iii)</w:t>
      </w:r>
      <w:r>
        <w:rPr>
          <w:rFonts w:ascii="Times New Roman" w:hAnsi="Times New Roman"/>
          <w:sz w:val="20"/>
        </w:rPr>
        <w:t xml:space="preserve"> above, the Seller and the Servicer will use reasonable efforts to maintain confidentiality and will (unless otherwise prohibited by Applicable Law) notify the Administrator and the affected Purchaser or Purchaser Agent of its intention to make any such disclosure prior to making such disclosure. Each of the Seller and the Servicer agrees to be responsible for any breach of this Section by its Representatives and Advisors and agrees that its Representatives and Advisors will be advised by it of the confidential nature of such information and shall agree to comply with this Section.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Administrator, the Purchasers and the Purchaser Agents agrees to maintain the confidentiality of the Information (as defined below), except as the Seller or Servicer may have consented to in writing prior to any proposed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it may disclose such Information (a) to its Advisors and Representatives, (b) to the extent such information has become available to the public other than as a result of a disclosure by or through such Person or their Advisors and Representatives or (c) to the extent it should be (A) required by Applicable Law, or in connection with any legal or regulatory proceeding or (B) requested by any Governmental Authority to disclose such information; </w:t>
      </w: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clause (c)</w:t>
      </w:r>
      <w:r>
        <w:rPr>
          <w:rFonts w:ascii="Times New Roman" w:hAnsi="Times New Roman"/>
          <w:sz w:val="20"/>
        </w:rPr>
        <w:t> above, the affected Person will use reasonable efforts to maintain confidentiality and will (unless otherwise not practicable or prohibited by Applicable Law) notify the Seller and Servicer of its intention to make any such disclosure prior to making such disclosure, (d) in connection with the exercise of any remedies hereunder or any suit, action or proceeding relating to this Agreement or any other Transaction Document or the enforcement of rights hereunder or thereunder or (e) subject to an agreement containing provisions substantially the same as those of this Section, to any assignee of or Participant in, or any prospective assignee of or Participant in, any of its rights or obligations under this Agreement. For the purposes of this Section, “</w:t>
      </w:r>
      <w:r>
        <w:rPr>
          <w:rFonts w:ascii="Times New Roman" w:hAnsi="Times New Roman"/>
          <w:sz w:val="20"/>
          <w:u w:val="single"/>
        </w:rPr>
        <w:t>Information</w:t>
      </w:r>
      <w:r>
        <w:rPr>
          <w:rFonts w:ascii="Times New Roman" w:hAnsi="Times New Roman"/>
          <w:sz w:val="20"/>
        </w:rPr>
        <w:t xml:space="preserve">” means all information from or on behalf of the Seller, Servicer or any Originator relating to their business, other than any such information that is available to the Administrator, such Purchaser or such Purchaser Agent on a non-confidential basis prior to disclosure by the Seller, Servicer or any Originator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As used in this Section, (i) “</w:t>
      </w:r>
      <w:r>
        <w:rPr>
          <w:rFonts w:ascii="Times New Roman" w:hAnsi="Times New Roman"/>
          <w:sz w:val="20"/>
          <w:u w:val="single"/>
        </w:rPr>
        <w:t>Advisors</w:t>
      </w:r>
      <w:r>
        <w:rPr>
          <w:rFonts w:ascii="Times New Roman" w:hAnsi="Times New Roman"/>
          <w:sz w:val="20"/>
        </w:rPr>
        <w:t>” means, with respect to any Person, such Person’s accountants, attorneys and other confidential advisors and (ii) “</w:t>
      </w:r>
      <w:r>
        <w:rPr>
          <w:rFonts w:ascii="Times New Roman" w:hAnsi="Times New Roman"/>
          <w:sz w:val="20"/>
          <w:u w:val="single"/>
        </w:rPr>
        <w:t>Representatives</w:t>
      </w:r>
      <w:r>
        <w:rPr>
          <w:rFonts w:ascii="Times New Roman" w:hAnsi="Times New Roman"/>
          <w:sz w:val="20"/>
        </w:rPr>
        <w:t xml:space="preserve">” means, with respect to any Person, such Person’s Affiliates, Subsidiaries, directors, managers, officers, employees, members, investors, financing sources, insurers, professional advisors, representatives and agents; </w:t>
      </w:r>
      <w:r>
        <w:rPr>
          <w:rFonts w:ascii="Times New Roman" w:hAnsi="Times New Roman"/>
          <w:i/>
          <w:sz w:val="20"/>
        </w:rPr>
        <w:t>provided</w:t>
      </w:r>
      <w:r>
        <w:rPr>
          <w:rFonts w:ascii="Times New Roman" w:hAnsi="Times New Roman"/>
          <w:sz w:val="20"/>
        </w:rPr>
        <w:t xml:space="preserve"> that such Person shall not be deemed to be a Representative of a Person unless (and solely to the extent that) confidential information is furnished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nothing in this Section shall prohibit any Person from voluntarily communicating, disclosing or providing information within the scope of the confidentiality provisions of this section regarding suspected violations of laws, rules, or regulations to a governmental, regulatory or self-regulatory organization without any notification to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Mutual Negotiations</w:t>
      </w:r>
      <w:r>
        <w:rPr>
          <w:rFonts w:ascii="Times New Roman" w:hAnsi="Times New Roman"/>
          <w:sz w:val="20"/>
        </w:rPr>
        <w:t xml:space="preserve">.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Replacement of Purchasers, Affected Entities and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(i) any Affected Person requests compensation under </w:t>
      </w:r>
      <w:r>
        <w:rPr>
          <w:rFonts w:ascii="Times New Roman" w:hAnsi="Times New Roman"/>
          <w:sz w:val="20"/>
          <w:u w:val="single"/>
        </w:rPr>
        <w:t>Sections 1.7</w:t>
      </w:r>
      <w:r>
        <w:rPr>
          <w:rFonts w:ascii="Times New Roman" w:hAnsi="Times New Roman"/>
          <w:sz w:val="20"/>
        </w:rPr>
        <w:t xml:space="preserve"> or </w:t>
      </w:r>
      <w:r>
        <w:rPr>
          <w:rFonts w:ascii="Times New Roman" w:hAnsi="Times New Roman"/>
          <w:sz w:val="20"/>
          <w:u w:val="single"/>
        </w:rPr>
        <w:t>1.8</w:t>
      </w:r>
      <w:r>
        <w:rPr>
          <w:rFonts w:ascii="Times New Roman" w:hAnsi="Times New Roman"/>
          <w:sz w:val="20"/>
        </w:rPr>
        <w:t xml:space="preserve">, (ii) any Purchaser is a Defaulting Purchaser or (iii) any Purchaser fails to consent to any proposed amendment, modification, termination, waiver or consent with respect to any provision hereof or of any other Transaction Document that requires the approval of such Purchaser in accordance with the terms of </w:t>
      </w:r>
      <w:r>
        <w:rPr>
          <w:rFonts w:ascii="Times New Roman" w:hAnsi="Times New Roman"/>
          <w:sz w:val="20"/>
          <w:u w:val="single"/>
        </w:rPr>
        <w:t>Section 6.1</w:t>
      </w:r>
      <w:r>
        <w:rPr>
          <w:rFonts w:ascii="Times New Roman" w:hAnsi="Times New Roman"/>
          <w:sz w:val="20"/>
        </w:rPr>
        <w:t xml:space="preserve">, but the consent of the Majority Purchasers has been obtained with respect to such amendment, modification, termination, waiver or consent; the Seller may arrange, at its sole expense, for an assignment of, and such Purchaser or Affected Person, as applicable, hereby agrees to fully cooperate with the Seller in effectuating any such assignment, to one or more financial institutions acceptable to the Seller and the Administrator, all the rights and obligations hereunder of each such Purchaser or Affected Person, as applicable, in accordance with </w:t>
      </w:r>
      <w:r>
        <w:rPr>
          <w:rFonts w:ascii="Times New Roman" w:hAnsi="Times New Roman"/>
          <w:sz w:val="20"/>
          <w:u w:val="single"/>
        </w:rPr>
        <w:t>Section 6.3</w:t>
      </w:r>
      <w:r>
        <w:rPr>
          <w:rFonts w:ascii="Times New Roman" w:hAnsi="Times New Roman"/>
          <w:sz w:val="20"/>
        </w:rPr>
        <w:t xml:space="preserve"> and in exchange for receipt by such Person of an amount, in immediately available funds, equal to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amounts owed such Person hereunder or under any other Transaction Document at such time. Except to the extent otherwise expressly agreed by the affected parties, no assignment by a Defaulting Purchaser will constitute a waiver or release of any claim of any party hereunder arising from that Purchaser’s having been a Defaulting Purchaser. </w:t>
      </w:r>
    </w:p>
    <w:p>
      <w:pPr>
        <w:pStyle w:val="TextBody"/>
        <w:bidi w:val="0"/>
        <w:spacing w:before="240" w:after="0"/>
        <w:jc w:val="left"/>
        <w:rPr>
          <w:rFonts w:ascii="Times New Roman" w:hAnsi="Times New Roman"/>
          <w:sz w:val="20"/>
        </w:rPr>
      </w:pPr>
      <w:r>
        <w:rPr>
          <w:rFonts w:ascii="Times New Roman" w:hAnsi="Times New Roman"/>
          <w:sz w:val="20"/>
        </w:rPr>
        <w:t xml:space="preserve">Section 6.19. </w:t>
      </w:r>
      <w:r>
        <w:rPr>
          <w:rFonts w:ascii="Times New Roman" w:hAnsi="Times New Roman"/>
          <w:sz w:val="20"/>
          <w:u w:val="single"/>
        </w:rPr>
        <w:t>USA Patriot Act</w:t>
      </w:r>
      <w:r>
        <w:rPr>
          <w:rFonts w:ascii="Times New Roman" w:hAnsi="Times New Roman"/>
          <w:sz w:val="20"/>
        </w:rPr>
        <w:t>. Each of the Administrator and each of the other Affected Persons hereby notifies the Seller and the Servicer that pursuant to the requirements of the USA PATRIOT Act, Title III of Pub. L. 107-56 (signed into law October 26, 2001) (the “</w:t>
      </w:r>
      <w:r>
        <w:rPr>
          <w:rFonts w:ascii="Times New Roman" w:hAnsi="Times New Roman"/>
          <w:sz w:val="20"/>
          <w:u w:val="single"/>
        </w:rPr>
        <w:t>PATRIOT Act</w:t>
      </w:r>
      <w:r>
        <w:rPr>
          <w:rFonts w:ascii="Times New Roman" w:hAnsi="Times New Roman"/>
          <w:sz w:val="20"/>
        </w:rPr>
        <w:t xml:space="preserve">”), the Administrator and the other Affected Persons may be required to obtain, verify and record information that identifies the Seller, the Originators and the Servicer, which information includes the name, address, tax identification number and other information regarding the Seller, the Originators and the Servicer that will allow the Administrator and the other Affected Persons to identify the Seller, the Originators and the Servicer in accordance with the PATRIOT Act. This notice is given in accordance with the requirements of the PATRIOT Act. Each of the Seller and the Servicer agrees to provide the Administrator and each other Affected Persons, from time to time, with all documentation and other information required by bank regulatory authorities under “know your customer” and anti-money laundering rules and regulations, including, without limitation, the PATRIOT Act and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 xml:space="preserve">Section 6.20.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Transaction Documents or in any other agreement, arrangement or understanding among any such parties, each party hereto acknowledges that any liability of any Affected Financial Institution arising under any Transaction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24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6.21. </w:t>
      </w:r>
      <w:r>
        <w:rPr>
          <w:rFonts w:ascii="Times New Roman" w:hAnsi="Times New Roman"/>
          <w:sz w:val="20"/>
          <w:u w:val="single"/>
        </w:rPr>
        <w:t>Acknowledgement Regarding Any Supported QFCs</w:t>
      </w:r>
      <w:r>
        <w:rPr>
          <w:rFonts w:ascii="Times New Roman" w:hAnsi="Times New Roman"/>
          <w:sz w:val="20"/>
        </w:rPr>
        <w:t>. To the extent that the Transaction Documents provide support, through a guarantee or otherwise, for any swap contract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Purchaser or Purchaser Agent shall in no event affect the rights of any Covered Party with respect to a Supported QFC or any QFC Credit Support. </w:t>
      </w:r>
    </w:p>
    <w:p>
      <w:pPr>
        <w:pStyle w:val="TextBody"/>
        <w:bidi w:val="0"/>
        <w:spacing w:before="240" w:after="0"/>
        <w:jc w:val="left"/>
        <w:rPr>
          <w:rFonts w:ascii="Times New Roman" w:hAnsi="Times New Roman"/>
          <w:sz w:val="20"/>
        </w:rPr>
      </w:pPr>
      <w:r>
        <w:rPr>
          <w:rFonts w:ascii="Times New Roman" w:hAnsi="Times New Roman"/>
          <w:sz w:val="20"/>
        </w:rPr>
        <w:t xml:space="preserve">(b) As used in this </w:t>
      </w:r>
      <w:r>
        <w:rPr>
          <w:rFonts w:ascii="Times New Roman" w:hAnsi="Times New Roman"/>
          <w:sz w:val="20"/>
          <w:u w:val="single"/>
        </w:rPr>
        <w:t>Section 6.21</w:t>
      </w:r>
      <w:r>
        <w:rPr>
          <w:rFonts w:ascii="Times New Roman" w:hAnsi="Times New Roman"/>
          <w:sz w:val="20"/>
        </w:rPr>
        <w:t xml:space="preserve">, the following terms have the following meanings: </w:t>
      </w:r>
    </w:p>
    <w:p>
      <w:pPr>
        <w:pStyle w:val="TextBody"/>
        <w:bidi w:val="0"/>
        <w:spacing w:before="12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by their respective officers thereunto duly authorized,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49"/>
        <w:gridCol w:w="133"/>
        <w:gridCol w:w="2700"/>
      </w:tblGrid>
      <w:tr>
        <w:trPr/>
        <w:tc>
          <w:tcPr>
            <w:tcW w:w="124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WESCO RECEIVABLES CORP., as Seller</w:t>
            </w:r>
          </w:p>
        </w:tc>
      </w:tr>
      <w:tr>
        <w:trPr>
          <w:trHeight w:val="240" w:hRule="atLeast"/>
        </w:trPr>
        <w:tc>
          <w:tcPr>
            <w:tcW w:w="1249" w:type="dxa"/>
            <w:tcBorders/>
            <w:vAlign w:val="center"/>
          </w:tcPr>
          <w:p>
            <w:pPr>
              <w:pStyle w:val="TableContents"/>
              <w:bidi w:val="0"/>
              <w:spacing w:before="0" w:after="283"/>
              <w:jc w:val="left"/>
              <w:rPr>
                <w:sz w:val="4"/>
                <w:szCs w:val="4"/>
              </w:rPr>
            </w:pPr>
            <w:r>
              <w:rPr>
                <w:sz w:val="4"/>
                <w:szCs w:val="4"/>
              </w:rPr>
            </w:r>
          </w:p>
        </w:tc>
        <w:tc>
          <w:tcPr>
            <w:tcW w:w="2833" w:type="dxa"/>
            <w:gridSpan w:val="2"/>
            <w:tcBorders/>
            <w:vAlign w:val="center"/>
          </w:tcPr>
          <w:p>
            <w:pPr>
              <w:pStyle w:val="TableContents"/>
              <w:bidi w:val="0"/>
              <w:spacing w:before="0" w:after="283"/>
              <w:jc w:val="left"/>
              <w:rPr>
                <w:sz w:val="4"/>
                <w:szCs w:val="4"/>
              </w:rPr>
            </w:pPr>
            <w:r>
              <w:rPr>
                <w:sz w:val="4"/>
                <w:szCs w:val="4"/>
              </w:rPr>
            </w:r>
          </w:p>
        </w:tc>
      </w:tr>
      <w:tr>
        <w:trPr/>
        <w:tc>
          <w:tcPr>
            <w:tcW w:w="1249" w:type="dxa"/>
            <w:tcBorders/>
          </w:tcPr>
          <w:p>
            <w:pPr>
              <w:pStyle w:val="TableContents"/>
              <w:bidi w:val="0"/>
              <w:spacing w:before="0" w:after="283"/>
              <w:jc w:val="left"/>
              <w:rPr/>
            </w:pPr>
            <w:r>
              <w:rPr/>
              <w:t>By:</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700" w:type="dxa"/>
            <w:tcBorders>
              <w:bottom w:val="single" w:sz="2" w:space="0" w:color="000000"/>
            </w:tcBorders>
            <w:tcMar>
              <w:bottom w:w="28" w:type="dxa"/>
            </w:tcMar>
          </w:tcPr>
          <w:p>
            <w:pPr>
              <w:pStyle w:val="TableContents"/>
              <w:bidi w:val="0"/>
              <w:spacing w:before="0" w:after="283"/>
              <w:jc w:val="left"/>
              <w:rPr/>
            </w:pPr>
            <w:r>
              <w:rPr/>
              <w:t> </w:t>
            </w:r>
          </w:p>
        </w:tc>
      </w:tr>
      <w:tr>
        <w:trPr/>
        <w:tc>
          <w:tcPr>
            <w:tcW w:w="124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700" w:type="dxa"/>
            <w:tcBorders>
              <w:bottom w:val="single" w:sz="2" w:space="0" w:color="000000"/>
            </w:tcBorders>
            <w:tcMar>
              <w:bottom w:w="28" w:type="dxa"/>
            </w:tcMar>
          </w:tcPr>
          <w:p>
            <w:pPr>
              <w:pStyle w:val="TableContents"/>
              <w:bidi w:val="0"/>
              <w:spacing w:before="0" w:after="283"/>
              <w:jc w:val="left"/>
              <w:rPr/>
            </w:pPr>
            <w:r>
              <w:rPr/>
              <w:t> </w:t>
            </w:r>
          </w:p>
        </w:tc>
      </w:tr>
      <w:tr>
        <w:trPr/>
        <w:tc>
          <w:tcPr>
            <w:tcW w:w="124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700"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WESCO DISTRIBUTION, INC., as Servicer</w:t>
            </w:r>
          </w:p>
        </w:tc>
      </w:tr>
      <w:tr>
        <w:trPr>
          <w:trHeight w:val="240" w:hRule="atLeast"/>
        </w:trPr>
        <w:tc>
          <w:tcPr>
            <w:tcW w:w="1249" w:type="dxa"/>
            <w:tcBorders/>
            <w:vAlign w:val="center"/>
          </w:tcPr>
          <w:p>
            <w:pPr>
              <w:pStyle w:val="TableContents"/>
              <w:bidi w:val="0"/>
              <w:spacing w:before="0" w:after="283"/>
              <w:jc w:val="left"/>
              <w:rPr>
                <w:sz w:val="4"/>
                <w:szCs w:val="4"/>
              </w:rPr>
            </w:pPr>
            <w:r>
              <w:rPr>
                <w:sz w:val="4"/>
                <w:szCs w:val="4"/>
              </w:rPr>
            </w:r>
          </w:p>
        </w:tc>
        <w:tc>
          <w:tcPr>
            <w:tcW w:w="2833" w:type="dxa"/>
            <w:gridSpan w:val="2"/>
            <w:tcBorders/>
            <w:vAlign w:val="center"/>
          </w:tcPr>
          <w:p>
            <w:pPr>
              <w:pStyle w:val="TableContents"/>
              <w:bidi w:val="0"/>
              <w:spacing w:before="0" w:after="283"/>
              <w:jc w:val="left"/>
              <w:rPr>
                <w:sz w:val="4"/>
                <w:szCs w:val="4"/>
              </w:rPr>
            </w:pPr>
            <w:r>
              <w:rPr>
                <w:sz w:val="4"/>
                <w:szCs w:val="4"/>
              </w:rPr>
            </w:r>
          </w:p>
        </w:tc>
      </w:tr>
      <w:tr>
        <w:trPr/>
        <w:tc>
          <w:tcPr>
            <w:tcW w:w="124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700" w:type="dxa"/>
            <w:tcBorders>
              <w:bottom w:val="single" w:sz="2" w:space="0" w:color="000000"/>
            </w:tcBorders>
            <w:tcMar>
              <w:bottom w:w="28" w:type="dxa"/>
            </w:tcMar>
          </w:tcPr>
          <w:p>
            <w:pPr>
              <w:pStyle w:val="TableContents"/>
              <w:bidi w:val="0"/>
              <w:spacing w:before="0" w:after="283"/>
              <w:jc w:val="left"/>
              <w:rPr/>
            </w:pPr>
            <w:r>
              <w:rPr/>
              <w:t> </w:t>
            </w:r>
          </w:p>
        </w:tc>
      </w:tr>
      <w:tr>
        <w:trPr/>
        <w:tc>
          <w:tcPr>
            <w:tcW w:w="124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700" w:type="dxa"/>
            <w:tcBorders>
              <w:bottom w:val="single" w:sz="2" w:space="0" w:color="000000"/>
            </w:tcBorders>
            <w:tcMar>
              <w:bottom w:w="28" w:type="dxa"/>
            </w:tcMar>
          </w:tcPr>
          <w:p>
            <w:pPr>
              <w:pStyle w:val="TableContents"/>
              <w:bidi w:val="0"/>
              <w:spacing w:before="0" w:after="283"/>
              <w:jc w:val="left"/>
              <w:rPr/>
            </w:pPr>
            <w:r>
              <w:rPr/>
              <w:t> </w:t>
            </w:r>
          </w:p>
        </w:tc>
      </w:tr>
      <w:tr>
        <w:trPr/>
        <w:tc>
          <w:tcPr>
            <w:tcW w:w="124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700"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477"/>
        <w:gridCol w:w="170"/>
        <w:gridCol w:w="2435"/>
      </w:tblGrid>
      <w:tr>
        <w:trPr/>
        <w:tc>
          <w:tcPr>
            <w:tcW w:w="1477"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BANK, NATIONAL ASSOCIATION, as a Committed Purchaser</w:t>
            </w:r>
          </w:p>
        </w:tc>
      </w:tr>
      <w:tr>
        <w:trPr>
          <w:trHeight w:val="240" w:hRule="atLeast"/>
        </w:trPr>
        <w:tc>
          <w:tcPr>
            <w:tcW w:w="1477" w:type="dxa"/>
            <w:tcBorders/>
            <w:vAlign w:val="center"/>
          </w:tcPr>
          <w:p>
            <w:pPr>
              <w:pStyle w:val="TableContents"/>
              <w:bidi w:val="0"/>
              <w:spacing w:before="0" w:after="283"/>
              <w:jc w:val="left"/>
              <w:rPr>
                <w:sz w:val="4"/>
                <w:szCs w:val="4"/>
              </w:rPr>
            </w:pPr>
            <w:r>
              <w:rPr>
                <w:sz w:val="4"/>
                <w:szCs w:val="4"/>
              </w:rPr>
            </w:r>
          </w:p>
        </w:tc>
        <w:tc>
          <w:tcPr>
            <w:tcW w:w="2605" w:type="dxa"/>
            <w:gridSpan w:val="2"/>
            <w:tcBorders/>
            <w:vAlign w:val="center"/>
          </w:tcPr>
          <w:p>
            <w:pPr>
              <w:pStyle w:val="TableContents"/>
              <w:bidi w:val="0"/>
              <w:spacing w:before="0" w:after="283"/>
              <w:jc w:val="left"/>
              <w:rPr>
                <w:sz w:val="4"/>
                <w:szCs w:val="4"/>
              </w:rPr>
            </w:pPr>
            <w:r>
              <w:rPr>
                <w:sz w:val="4"/>
                <w:szCs w:val="4"/>
              </w:rPr>
            </w:r>
          </w:p>
        </w:tc>
      </w:tr>
      <w:tr>
        <w:trPr/>
        <w:tc>
          <w:tcPr>
            <w:tcW w:w="1477" w:type="dxa"/>
            <w:tcBorders/>
          </w:tcPr>
          <w:p>
            <w:pPr>
              <w:pStyle w:val="TableContents"/>
              <w:bidi w:val="0"/>
              <w:spacing w:before="0" w:after="283"/>
              <w:jc w:val="left"/>
              <w:rPr/>
            </w:pPr>
            <w:r>
              <w:rPr/>
              <w:t>By:</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BANK, NATIONAL ASSOCIATION, as Purchaser Agent for PNC Bank, National Association</w:t>
            </w:r>
          </w:p>
        </w:tc>
      </w:tr>
      <w:tr>
        <w:trPr>
          <w:trHeight w:val="240" w:hRule="atLeast"/>
        </w:trPr>
        <w:tc>
          <w:tcPr>
            <w:tcW w:w="1477" w:type="dxa"/>
            <w:tcBorders/>
            <w:vAlign w:val="center"/>
          </w:tcPr>
          <w:p>
            <w:pPr>
              <w:pStyle w:val="TableContents"/>
              <w:bidi w:val="0"/>
              <w:spacing w:before="0" w:after="283"/>
              <w:jc w:val="left"/>
              <w:rPr>
                <w:sz w:val="4"/>
                <w:szCs w:val="4"/>
              </w:rPr>
            </w:pPr>
            <w:r>
              <w:rPr>
                <w:sz w:val="4"/>
                <w:szCs w:val="4"/>
              </w:rPr>
            </w:r>
          </w:p>
        </w:tc>
        <w:tc>
          <w:tcPr>
            <w:tcW w:w="2605" w:type="dxa"/>
            <w:gridSpan w:val="2"/>
            <w:tcBorders/>
            <w:vAlign w:val="center"/>
          </w:tcPr>
          <w:p>
            <w:pPr>
              <w:pStyle w:val="TableContents"/>
              <w:bidi w:val="0"/>
              <w:spacing w:before="0" w:after="283"/>
              <w:jc w:val="left"/>
              <w:rPr>
                <w:sz w:val="4"/>
                <w:szCs w:val="4"/>
              </w:rPr>
            </w:pPr>
            <w:r>
              <w:rPr>
                <w:sz w:val="4"/>
                <w:szCs w:val="4"/>
              </w:rPr>
            </w:r>
          </w:p>
        </w:tc>
      </w:tr>
      <w:tr>
        <w:trPr/>
        <w:tc>
          <w:tcPr>
            <w:tcW w:w="1477" w:type="dxa"/>
            <w:tcBorders/>
          </w:tcPr>
          <w:p>
            <w:pPr>
              <w:pStyle w:val="TableContents"/>
              <w:bidi w:val="0"/>
              <w:spacing w:before="0" w:after="283"/>
              <w:jc w:val="left"/>
              <w:rPr/>
            </w:pPr>
            <w:r>
              <w:rPr/>
              <w:t>By:</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BANK, NATIONAL ASSOCIATION, as Administrator</w:t>
            </w:r>
          </w:p>
        </w:tc>
      </w:tr>
      <w:tr>
        <w:trPr>
          <w:trHeight w:val="240" w:hRule="atLeast"/>
        </w:trPr>
        <w:tc>
          <w:tcPr>
            <w:tcW w:w="1477" w:type="dxa"/>
            <w:tcBorders/>
            <w:vAlign w:val="center"/>
          </w:tcPr>
          <w:p>
            <w:pPr>
              <w:pStyle w:val="TableContents"/>
              <w:bidi w:val="0"/>
              <w:spacing w:before="0" w:after="283"/>
              <w:jc w:val="left"/>
              <w:rPr>
                <w:sz w:val="4"/>
                <w:szCs w:val="4"/>
              </w:rPr>
            </w:pPr>
            <w:r>
              <w:rPr>
                <w:sz w:val="4"/>
                <w:szCs w:val="4"/>
              </w:rPr>
            </w:r>
          </w:p>
        </w:tc>
        <w:tc>
          <w:tcPr>
            <w:tcW w:w="2605" w:type="dxa"/>
            <w:gridSpan w:val="2"/>
            <w:tcBorders/>
            <w:vAlign w:val="center"/>
          </w:tcPr>
          <w:p>
            <w:pPr>
              <w:pStyle w:val="TableContents"/>
              <w:bidi w:val="0"/>
              <w:spacing w:before="0" w:after="283"/>
              <w:jc w:val="left"/>
              <w:rPr>
                <w:sz w:val="4"/>
                <w:szCs w:val="4"/>
              </w:rPr>
            </w:pPr>
            <w:r>
              <w:rPr>
                <w:sz w:val="4"/>
                <w:szCs w:val="4"/>
              </w:rPr>
            </w:r>
          </w:p>
        </w:tc>
      </w:tr>
      <w:tr>
        <w:trPr/>
        <w:tc>
          <w:tcPr>
            <w:tcW w:w="1477" w:type="dxa"/>
            <w:tcBorders/>
          </w:tcPr>
          <w:p>
            <w:pPr>
              <w:pStyle w:val="TableContents"/>
              <w:bidi w:val="0"/>
              <w:spacing w:before="0" w:after="283"/>
              <w:jc w:val="left"/>
              <w:rPr/>
            </w:pPr>
            <w:r>
              <w:rPr/>
              <w:t>By:</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CAPITAL MARKETS LLC, as Structuring Agent</w:t>
            </w:r>
          </w:p>
        </w:tc>
      </w:tr>
      <w:tr>
        <w:trPr>
          <w:trHeight w:val="240" w:hRule="atLeast"/>
        </w:trPr>
        <w:tc>
          <w:tcPr>
            <w:tcW w:w="1477" w:type="dxa"/>
            <w:tcBorders/>
            <w:vAlign w:val="center"/>
          </w:tcPr>
          <w:p>
            <w:pPr>
              <w:pStyle w:val="TableContents"/>
              <w:bidi w:val="0"/>
              <w:spacing w:before="0" w:after="283"/>
              <w:jc w:val="left"/>
              <w:rPr>
                <w:sz w:val="4"/>
                <w:szCs w:val="4"/>
              </w:rPr>
            </w:pPr>
            <w:r>
              <w:rPr>
                <w:sz w:val="4"/>
                <w:szCs w:val="4"/>
              </w:rPr>
            </w:r>
          </w:p>
        </w:tc>
        <w:tc>
          <w:tcPr>
            <w:tcW w:w="2605" w:type="dxa"/>
            <w:gridSpan w:val="2"/>
            <w:tcBorders/>
            <w:vAlign w:val="center"/>
          </w:tcPr>
          <w:p>
            <w:pPr>
              <w:pStyle w:val="TableContents"/>
              <w:bidi w:val="0"/>
              <w:spacing w:before="0" w:after="283"/>
              <w:jc w:val="left"/>
              <w:rPr>
                <w:sz w:val="4"/>
                <w:szCs w:val="4"/>
              </w:rPr>
            </w:pPr>
            <w:r>
              <w:rPr>
                <w:sz w:val="4"/>
                <w:szCs w:val="4"/>
              </w:rPr>
            </w:r>
          </w:p>
        </w:tc>
      </w:tr>
      <w:tr>
        <w:trPr/>
        <w:tc>
          <w:tcPr>
            <w:tcW w:w="1477" w:type="dxa"/>
            <w:tcBorders/>
          </w:tcPr>
          <w:p>
            <w:pPr>
              <w:pStyle w:val="TableContents"/>
              <w:bidi w:val="0"/>
              <w:spacing w:before="0" w:after="283"/>
              <w:jc w:val="left"/>
              <w:rPr/>
            </w:pPr>
            <w:r>
              <w:rPr/>
              <w:t>By:</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499"/>
        <w:gridCol w:w="145"/>
        <w:gridCol w:w="2438"/>
      </w:tblGrid>
      <w:tr>
        <w:trPr/>
        <w:tc>
          <w:tcPr>
            <w:tcW w:w="149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a Committed Purchaser</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2583" w:type="dxa"/>
            <w:gridSpan w:val="2"/>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By:</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Name: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Title: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 FARGO BANK, NATIONAL ASSOCIATION, as Purchaser Agent for Wells Fargo Bank, National Association</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2583" w:type="dxa"/>
            <w:gridSpan w:val="2"/>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By:</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Name: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Title: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499"/>
        <w:gridCol w:w="145"/>
        <w:gridCol w:w="2438"/>
      </w:tblGrid>
      <w:tr>
        <w:trPr/>
        <w:tc>
          <w:tcPr>
            <w:tcW w:w="149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FIFTH THIRD BANK, NATIONAL ASSOCIATION, as a Committed Purchaser</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2583" w:type="dxa"/>
            <w:gridSpan w:val="2"/>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By:</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Name: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Title: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FIFTH THIRD BANK, NATIONAL ASSOCIATION, as Purchaser Agent for Fifth Third Bank, National Association</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2583" w:type="dxa"/>
            <w:gridSpan w:val="2"/>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By:</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Name: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Title: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032"/>
        <w:gridCol w:w="97"/>
        <w:gridCol w:w="2953"/>
      </w:tblGrid>
      <w:tr>
        <w:trPr/>
        <w:tc>
          <w:tcPr>
            <w:tcW w:w="1032"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LIBERTY STREET FUNDING LLC, as a Conduit Purchaser</w:t>
            </w:r>
          </w:p>
        </w:tc>
      </w:tr>
      <w:tr>
        <w:trPr>
          <w:trHeight w:val="240" w:hRule="atLeast"/>
        </w:trPr>
        <w:tc>
          <w:tcPr>
            <w:tcW w:w="1032"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r>
      <w:tr>
        <w:trPr/>
        <w:tc>
          <w:tcPr>
            <w:tcW w:w="1032"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2953" w:type="dxa"/>
            <w:tcBorders>
              <w:bottom w:val="single" w:sz="2" w:space="0" w:color="000000"/>
            </w:tcBorders>
            <w:tcMar>
              <w:bottom w:w="28" w:type="dxa"/>
            </w:tcMar>
          </w:tcPr>
          <w:p>
            <w:pPr>
              <w:pStyle w:val="TableContents"/>
              <w:bidi w:val="0"/>
              <w:spacing w:before="0" w:after="283"/>
              <w:jc w:val="left"/>
              <w:rPr/>
            </w:pPr>
            <w:r>
              <w:rPr/>
              <w:t> </w:t>
            </w:r>
          </w:p>
        </w:tc>
      </w:tr>
      <w:tr>
        <w:trPr/>
        <w:tc>
          <w:tcPr>
            <w:tcW w:w="1032" w:type="dxa"/>
            <w:tcBorders/>
          </w:tcPr>
          <w:p>
            <w:pPr>
              <w:pStyle w:val="TableContents"/>
              <w:bidi w:val="0"/>
              <w:spacing w:before="0" w:after="283"/>
              <w:jc w:val="left"/>
              <w:rPr/>
            </w:pPr>
            <w:r>
              <w:rPr/>
              <w:t>Name:</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2953" w:type="dxa"/>
            <w:tcBorders>
              <w:bottom w:val="single" w:sz="2" w:space="0" w:color="000000"/>
            </w:tcBorders>
            <w:tcMar>
              <w:bottom w:w="28" w:type="dxa"/>
            </w:tcMar>
          </w:tcPr>
          <w:p>
            <w:pPr>
              <w:pStyle w:val="TableContents"/>
              <w:bidi w:val="0"/>
              <w:spacing w:before="0" w:after="283"/>
              <w:jc w:val="left"/>
              <w:rPr/>
            </w:pPr>
            <w:r>
              <w:rPr/>
              <w:t> </w:t>
            </w:r>
          </w:p>
        </w:tc>
      </w:tr>
      <w:tr>
        <w:trPr/>
        <w:tc>
          <w:tcPr>
            <w:tcW w:w="1032" w:type="dxa"/>
            <w:tcBorders/>
          </w:tcPr>
          <w:p>
            <w:pPr>
              <w:pStyle w:val="TableContents"/>
              <w:bidi w:val="0"/>
              <w:spacing w:before="0" w:after="283"/>
              <w:jc w:val="left"/>
              <w:rPr/>
            </w:pPr>
            <w:r>
              <w:rPr/>
              <w:t>Title:</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2953"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NOVA SCOTIA, as Purchaser Agent for Liberty Street Funding LLC and as a Committed Purchaser</w:t>
            </w:r>
          </w:p>
        </w:tc>
      </w:tr>
      <w:tr>
        <w:trPr>
          <w:trHeight w:val="240" w:hRule="atLeast"/>
        </w:trPr>
        <w:tc>
          <w:tcPr>
            <w:tcW w:w="1032" w:type="dxa"/>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r>
      <w:tr>
        <w:trPr/>
        <w:tc>
          <w:tcPr>
            <w:tcW w:w="1032" w:type="dxa"/>
            <w:tcBorders/>
          </w:tcPr>
          <w:p>
            <w:pPr>
              <w:pStyle w:val="TableContents"/>
              <w:bidi w:val="0"/>
              <w:spacing w:before="0" w:after="283"/>
              <w:jc w:val="left"/>
              <w:rPr/>
            </w:pPr>
            <w:r>
              <w:rPr/>
              <w:t>By:</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2953" w:type="dxa"/>
            <w:tcBorders>
              <w:bottom w:val="single" w:sz="2" w:space="0" w:color="000000"/>
            </w:tcBorders>
            <w:tcMar>
              <w:bottom w:w="28" w:type="dxa"/>
            </w:tcMar>
          </w:tcPr>
          <w:p>
            <w:pPr>
              <w:pStyle w:val="TableContents"/>
              <w:bidi w:val="0"/>
              <w:spacing w:before="0" w:after="283"/>
              <w:jc w:val="left"/>
              <w:rPr/>
            </w:pPr>
            <w:r>
              <w:rPr/>
              <w:t> </w:t>
            </w:r>
          </w:p>
        </w:tc>
      </w:tr>
      <w:tr>
        <w:trPr/>
        <w:tc>
          <w:tcPr>
            <w:tcW w:w="1032" w:type="dxa"/>
            <w:tcBorders/>
          </w:tcPr>
          <w:p>
            <w:pPr>
              <w:pStyle w:val="TableContents"/>
              <w:bidi w:val="0"/>
              <w:spacing w:before="0" w:after="283"/>
              <w:jc w:val="left"/>
              <w:rPr/>
            </w:pPr>
            <w:r>
              <w:rPr/>
              <w:t>Name:</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2953" w:type="dxa"/>
            <w:tcBorders>
              <w:bottom w:val="single" w:sz="2" w:space="0" w:color="000000"/>
            </w:tcBorders>
            <w:tcMar>
              <w:bottom w:w="28" w:type="dxa"/>
            </w:tcMar>
          </w:tcPr>
          <w:p>
            <w:pPr>
              <w:pStyle w:val="TableContents"/>
              <w:bidi w:val="0"/>
              <w:spacing w:before="0" w:after="283"/>
              <w:jc w:val="left"/>
              <w:rPr/>
            </w:pPr>
            <w:r>
              <w:rPr/>
              <w:t> </w:t>
            </w:r>
          </w:p>
        </w:tc>
      </w:tr>
      <w:tr>
        <w:trPr/>
        <w:tc>
          <w:tcPr>
            <w:tcW w:w="1032" w:type="dxa"/>
            <w:tcBorders/>
          </w:tcPr>
          <w:p>
            <w:pPr>
              <w:pStyle w:val="TableContents"/>
              <w:bidi w:val="0"/>
              <w:spacing w:before="0" w:after="283"/>
              <w:jc w:val="left"/>
              <w:rPr/>
            </w:pPr>
            <w:r>
              <w:rPr/>
              <w:t>Title:</w:t>
            </w:r>
          </w:p>
        </w:tc>
        <w:tc>
          <w:tcPr>
            <w:tcW w:w="97" w:type="dxa"/>
            <w:tcBorders>
              <w:bottom w:val="single" w:sz="2" w:space="0" w:color="000000"/>
            </w:tcBorders>
            <w:tcMar>
              <w:bottom w:w="28" w:type="dxa"/>
            </w:tcMar>
            <w:vAlign w:val="bottom"/>
          </w:tcPr>
          <w:p>
            <w:pPr>
              <w:pStyle w:val="TableContents"/>
              <w:bidi w:val="0"/>
              <w:spacing w:before="0" w:after="283"/>
              <w:jc w:val="left"/>
              <w:rPr/>
            </w:pPr>
            <w:r>
              <w:rPr/>
              <w:t> </w:t>
            </w:r>
          </w:p>
        </w:tc>
        <w:tc>
          <w:tcPr>
            <w:tcW w:w="2953"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2158"/>
        <w:gridCol w:w="215"/>
        <w:gridCol w:w="1709"/>
      </w:tblGrid>
      <w:tr>
        <w:trPr/>
        <w:tc>
          <w:tcPr>
            <w:tcW w:w="2158"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COMPUTERSHARE TRUST COMPANY OF CANADA, in its capacity as trustee of RELIANT TRUST, by its U.S. Financial Services Agent, THE TORONTO-DOMINION BANK, as a Conduit Purchaser</w:t>
            </w:r>
          </w:p>
        </w:tc>
      </w:tr>
      <w:tr>
        <w:trPr>
          <w:trHeight w:val="240" w:hRule="atLeast"/>
        </w:trPr>
        <w:tc>
          <w:tcPr>
            <w:tcW w:w="2158" w:type="dxa"/>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2158" w:type="dxa"/>
            <w:tcBorders/>
          </w:tcPr>
          <w:p>
            <w:pPr>
              <w:pStyle w:val="TableContents"/>
              <w:bidi w:val="0"/>
              <w:spacing w:before="0" w:after="283"/>
              <w:jc w:val="left"/>
              <w:rPr/>
            </w:pPr>
            <w:r>
              <w:rPr/>
              <w:t>By:</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709" w:type="dxa"/>
            <w:tcBorders>
              <w:bottom w:val="single" w:sz="2" w:space="0" w:color="000000"/>
            </w:tcBorders>
            <w:tcMar>
              <w:bottom w:w="28" w:type="dxa"/>
            </w:tcMar>
          </w:tcPr>
          <w:p>
            <w:pPr>
              <w:pStyle w:val="TableContents"/>
              <w:bidi w:val="0"/>
              <w:spacing w:before="0" w:after="283"/>
              <w:jc w:val="left"/>
              <w:rPr/>
            </w:pPr>
            <w:r>
              <w:rPr/>
              <w:t> </w:t>
            </w:r>
          </w:p>
        </w:tc>
      </w:tr>
      <w:tr>
        <w:trPr/>
        <w:tc>
          <w:tcPr>
            <w:tcW w:w="2158" w:type="dxa"/>
            <w:tcBorders/>
          </w:tcPr>
          <w:p>
            <w:pPr>
              <w:pStyle w:val="TableContents"/>
              <w:bidi w:val="0"/>
              <w:spacing w:before="0" w:after="283"/>
              <w:jc w:val="left"/>
              <w:rPr/>
            </w:pPr>
            <w:r>
              <w:rPr/>
              <w:t>Name:</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709" w:type="dxa"/>
            <w:tcBorders>
              <w:bottom w:val="single" w:sz="2" w:space="0" w:color="000000"/>
            </w:tcBorders>
            <w:tcMar>
              <w:bottom w:w="28" w:type="dxa"/>
            </w:tcMar>
          </w:tcPr>
          <w:p>
            <w:pPr>
              <w:pStyle w:val="TableContents"/>
              <w:bidi w:val="0"/>
              <w:spacing w:before="0" w:after="283"/>
              <w:jc w:val="left"/>
              <w:rPr/>
            </w:pPr>
            <w:r>
              <w:rPr/>
              <w:t> </w:t>
            </w:r>
          </w:p>
        </w:tc>
      </w:tr>
      <w:tr>
        <w:trPr/>
        <w:tc>
          <w:tcPr>
            <w:tcW w:w="2158" w:type="dxa"/>
            <w:tcBorders/>
          </w:tcPr>
          <w:p>
            <w:pPr>
              <w:pStyle w:val="TableContents"/>
              <w:bidi w:val="0"/>
              <w:spacing w:before="0" w:after="283"/>
              <w:jc w:val="left"/>
              <w:rPr/>
            </w:pPr>
            <w:r>
              <w:rPr/>
              <w:t>Title:</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709"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GTA FUNDING LLC, as a Conduit Purchaser</w:t>
            </w:r>
          </w:p>
        </w:tc>
      </w:tr>
      <w:tr>
        <w:trPr>
          <w:trHeight w:val="240" w:hRule="atLeast"/>
        </w:trPr>
        <w:tc>
          <w:tcPr>
            <w:tcW w:w="2158" w:type="dxa"/>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2158" w:type="dxa"/>
            <w:tcBorders/>
          </w:tcPr>
          <w:p>
            <w:pPr>
              <w:pStyle w:val="TableContents"/>
              <w:bidi w:val="0"/>
              <w:spacing w:before="0" w:after="283"/>
              <w:jc w:val="left"/>
              <w:rPr/>
            </w:pPr>
            <w:r>
              <w:rPr/>
              <w:t>By:</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709" w:type="dxa"/>
            <w:tcBorders>
              <w:bottom w:val="single" w:sz="2" w:space="0" w:color="000000"/>
            </w:tcBorders>
            <w:tcMar>
              <w:bottom w:w="28" w:type="dxa"/>
            </w:tcMar>
          </w:tcPr>
          <w:p>
            <w:pPr>
              <w:pStyle w:val="TableContents"/>
              <w:bidi w:val="0"/>
              <w:spacing w:before="0" w:after="283"/>
              <w:jc w:val="left"/>
              <w:rPr/>
            </w:pPr>
            <w:r>
              <w:rPr/>
              <w:t> </w:t>
            </w:r>
          </w:p>
        </w:tc>
      </w:tr>
      <w:tr>
        <w:trPr/>
        <w:tc>
          <w:tcPr>
            <w:tcW w:w="2158" w:type="dxa"/>
            <w:tcBorders/>
          </w:tcPr>
          <w:p>
            <w:pPr>
              <w:pStyle w:val="TableContents"/>
              <w:bidi w:val="0"/>
              <w:spacing w:before="0" w:after="283"/>
              <w:jc w:val="left"/>
              <w:rPr/>
            </w:pPr>
            <w:r>
              <w:rPr/>
              <w:t>Name:</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709" w:type="dxa"/>
            <w:tcBorders>
              <w:bottom w:val="single" w:sz="2" w:space="0" w:color="000000"/>
            </w:tcBorders>
            <w:tcMar>
              <w:bottom w:w="28" w:type="dxa"/>
            </w:tcMar>
          </w:tcPr>
          <w:p>
            <w:pPr>
              <w:pStyle w:val="TableContents"/>
              <w:bidi w:val="0"/>
              <w:spacing w:before="0" w:after="283"/>
              <w:jc w:val="left"/>
              <w:rPr/>
            </w:pPr>
            <w:r>
              <w:rPr/>
              <w:t> </w:t>
            </w:r>
          </w:p>
        </w:tc>
      </w:tr>
      <w:tr>
        <w:trPr/>
        <w:tc>
          <w:tcPr>
            <w:tcW w:w="2158" w:type="dxa"/>
            <w:tcBorders/>
          </w:tcPr>
          <w:p>
            <w:pPr>
              <w:pStyle w:val="TableContents"/>
              <w:bidi w:val="0"/>
              <w:spacing w:before="0" w:after="283"/>
              <w:jc w:val="left"/>
              <w:rPr/>
            </w:pPr>
            <w:r>
              <w:rPr/>
              <w:t>Title:</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709"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TORONTO-DOMINION BANK, as Purchaser Agent for Reliant Trust and GTA Funding LLC and a Committed Purchaser</w:t>
            </w:r>
          </w:p>
        </w:tc>
      </w:tr>
      <w:tr>
        <w:trPr>
          <w:trHeight w:val="240" w:hRule="atLeast"/>
        </w:trPr>
        <w:tc>
          <w:tcPr>
            <w:tcW w:w="2158" w:type="dxa"/>
            <w:tcBorders/>
            <w:vAlign w:val="center"/>
          </w:tcPr>
          <w:p>
            <w:pPr>
              <w:pStyle w:val="TableContents"/>
              <w:bidi w:val="0"/>
              <w:spacing w:before="0" w:after="283"/>
              <w:jc w:val="left"/>
              <w:rPr>
                <w:sz w:val="4"/>
                <w:szCs w:val="4"/>
              </w:rPr>
            </w:pPr>
            <w:r>
              <w:rPr>
                <w:sz w:val="4"/>
                <w:szCs w:val="4"/>
              </w:rPr>
            </w:r>
          </w:p>
        </w:tc>
        <w:tc>
          <w:tcPr>
            <w:tcW w:w="1924" w:type="dxa"/>
            <w:gridSpan w:val="2"/>
            <w:tcBorders/>
            <w:vAlign w:val="center"/>
          </w:tcPr>
          <w:p>
            <w:pPr>
              <w:pStyle w:val="TableContents"/>
              <w:bidi w:val="0"/>
              <w:spacing w:before="0" w:after="283"/>
              <w:jc w:val="left"/>
              <w:rPr>
                <w:sz w:val="4"/>
                <w:szCs w:val="4"/>
              </w:rPr>
            </w:pPr>
            <w:r>
              <w:rPr>
                <w:sz w:val="4"/>
                <w:szCs w:val="4"/>
              </w:rPr>
            </w:r>
          </w:p>
        </w:tc>
      </w:tr>
      <w:tr>
        <w:trPr/>
        <w:tc>
          <w:tcPr>
            <w:tcW w:w="2158" w:type="dxa"/>
            <w:tcBorders/>
          </w:tcPr>
          <w:p>
            <w:pPr>
              <w:pStyle w:val="TableContents"/>
              <w:bidi w:val="0"/>
              <w:spacing w:before="0" w:after="283"/>
              <w:jc w:val="left"/>
              <w:rPr/>
            </w:pPr>
            <w:r>
              <w:rPr/>
              <w:t>By:</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709" w:type="dxa"/>
            <w:tcBorders>
              <w:bottom w:val="single" w:sz="2" w:space="0" w:color="000000"/>
            </w:tcBorders>
            <w:tcMar>
              <w:bottom w:w="28" w:type="dxa"/>
            </w:tcMar>
          </w:tcPr>
          <w:p>
            <w:pPr>
              <w:pStyle w:val="TableContents"/>
              <w:bidi w:val="0"/>
              <w:spacing w:before="0" w:after="283"/>
              <w:jc w:val="left"/>
              <w:rPr/>
            </w:pPr>
            <w:r>
              <w:rPr/>
              <w:t> </w:t>
            </w:r>
          </w:p>
        </w:tc>
      </w:tr>
      <w:tr>
        <w:trPr/>
        <w:tc>
          <w:tcPr>
            <w:tcW w:w="2158" w:type="dxa"/>
            <w:tcBorders/>
          </w:tcPr>
          <w:p>
            <w:pPr>
              <w:pStyle w:val="TableContents"/>
              <w:bidi w:val="0"/>
              <w:spacing w:before="0" w:after="283"/>
              <w:jc w:val="left"/>
              <w:rPr/>
            </w:pPr>
            <w:r>
              <w:rPr/>
              <w:t>Name:</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709" w:type="dxa"/>
            <w:tcBorders>
              <w:bottom w:val="single" w:sz="2" w:space="0" w:color="000000"/>
            </w:tcBorders>
            <w:tcMar>
              <w:bottom w:w="28" w:type="dxa"/>
            </w:tcMar>
          </w:tcPr>
          <w:p>
            <w:pPr>
              <w:pStyle w:val="TableContents"/>
              <w:bidi w:val="0"/>
              <w:spacing w:before="0" w:after="283"/>
              <w:jc w:val="left"/>
              <w:rPr/>
            </w:pPr>
            <w:r>
              <w:rPr/>
              <w:t> </w:t>
            </w:r>
          </w:p>
        </w:tc>
      </w:tr>
      <w:tr>
        <w:trPr/>
        <w:tc>
          <w:tcPr>
            <w:tcW w:w="2158" w:type="dxa"/>
            <w:tcBorders/>
          </w:tcPr>
          <w:p>
            <w:pPr>
              <w:pStyle w:val="TableContents"/>
              <w:bidi w:val="0"/>
              <w:spacing w:before="0" w:after="283"/>
              <w:jc w:val="left"/>
              <w:rPr/>
            </w:pPr>
            <w:r>
              <w:rPr/>
              <w:t>Title:</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709"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439"/>
        <w:gridCol w:w="140"/>
        <w:gridCol w:w="2503"/>
      </w:tblGrid>
      <w:tr>
        <w:trPr/>
        <w:tc>
          <w:tcPr>
            <w:tcW w:w="143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NATIONAL ASSOCATION, as a Committed Purchaser</w:t>
            </w:r>
          </w:p>
        </w:tc>
      </w:tr>
      <w:tr>
        <w:trPr>
          <w:trHeight w:val="240" w:hRule="atLeast"/>
        </w:trPr>
        <w:tc>
          <w:tcPr>
            <w:tcW w:w="1439" w:type="dxa"/>
            <w:tcBorders/>
            <w:vAlign w:val="center"/>
          </w:tcPr>
          <w:p>
            <w:pPr>
              <w:pStyle w:val="TableContents"/>
              <w:bidi w:val="0"/>
              <w:spacing w:before="0" w:after="283"/>
              <w:jc w:val="left"/>
              <w:rPr>
                <w:sz w:val="4"/>
                <w:szCs w:val="4"/>
              </w:rPr>
            </w:pPr>
            <w:r>
              <w:rPr>
                <w:sz w:val="4"/>
                <w:szCs w:val="4"/>
              </w:rPr>
            </w:r>
          </w:p>
        </w:tc>
        <w:tc>
          <w:tcPr>
            <w:tcW w:w="2643" w:type="dxa"/>
            <w:gridSpan w:val="2"/>
            <w:tcBorders/>
            <w:vAlign w:val="center"/>
          </w:tcPr>
          <w:p>
            <w:pPr>
              <w:pStyle w:val="TableContents"/>
              <w:bidi w:val="0"/>
              <w:spacing w:before="0" w:after="283"/>
              <w:jc w:val="left"/>
              <w:rPr>
                <w:sz w:val="4"/>
                <w:szCs w:val="4"/>
              </w:rPr>
            </w:pPr>
            <w:r>
              <w:rPr>
                <w:sz w:val="4"/>
                <w:szCs w:val="4"/>
              </w:rPr>
            </w:r>
          </w:p>
        </w:tc>
      </w:tr>
      <w:tr>
        <w:trPr/>
        <w:tc>
          <w:tcPr>
            <w:tcW w:w="1439" w:type="dxa"/>
            <w:tcBorders/>
          </w:tcPr>
          <w:p>
            <w:pPr>
              <w:pStyle w:val="TableContents"/>
              <w:bidi w:val="0"/>
              <w:spacing w:before="0" w:after="283"/>
              <w:jc w:val="left"/>
              <w:rPr/>
            </w:pPr>
            <w:r>
              <w:rPr/>
              <w:t>By:</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503" w:type="dxa"/>
            <w:tcBorders>
              <w:bottom w:val="single" w:sz="2" w:space="0" w:color="000000"/>
            </w:tcBorders>
            <w:tcMar>
              <w:bottom w:w="28" w:type="dxa"/>
            </w:tcMar>
          </w:tcPr>
          <w:p>
            <w:pPr>
              <w:pStyle w:val="TableContents"/>
              <w:bidi w:val="0"/>
              <w:spacing w:before="0" w:after="283"/>
              <w:jc w:val="left"/>
              <w:rPr/>
            </w:pPr>
            <w:r>
              <w:rPr/>
              <w:t> </w:t>
            </w:r>
          </w:p>
        </w:tc>
      </w:tr>
      <w:tr>
        <w:trPr/>
        <w:tc>
          <w:tcPr>
            <w:tcW w:w="1439" w:type="dxa"/>
            <w:tcBorders/>
          </w:tcPr>
          <w:p>
            <w:pPr>
              <w:pStyle w:val="TableContents"/>
              <w:bidi w:val="0"/>
              <w:spacing w:before="0" w:after="283"/>
              <w:jc w:val="left"/>
              <w:rPr/>
            </w:pPr>
            <w:r>
              <w:rPr/>
              <w:t>Name:</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503" w:type="dxa"/>
            <w:tcBorders>
              <w:bottom w:val="single" w:sz="2" w:space="0" w:color="000000"/>
            </w:tcBorders>
            <w:tcMar>
              <w:bottom w:w="28" w:type="dxa"/>
            </w:tcMar>
          </w:tcPr>
          <w:p>
            <w:pPr>
              <w:pStyle w:val="TableContents"/>
              <w:bidi w:val="0"/>
              <w:spacing w:before="0" w:after="283"/>
              <w:jc w:val="left"/>
              <w:rPr/>
            </w:pPr>
            <w:r>
              <w:rPr/>
              <w:t> </w:t>
            </w:r>
          </w:p>
        </w:tc>
      </w:tr>
      <w:tr>
        <w:trPr/>
        <w:tc>
          <w:tcPr>
            <w:tcW w:w="1439" w:type="dxa"/>
            <w:tcBorders/>
          </w:tcPr>
          <w:p>
            <w:pPr>
              <w:pStyle w:val="TableContents"/>
              <w:bidi w:val="0"/>
              <w:spacing w:before="0" w:after="283"/>
              <w:jc w:val="left"/>
              <w:rPr/>
            </w:pPr>
            <w:r>
              <w:rPr/>
              <w:t>Title:</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503"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NATIONAL ASSOCATION, as a Purchaser Agent for Bank of America, National Association</w:t>
            </w:r>
          </w:p>
        </w:tc>
      </w:tr>
      <w:tr>
        <w:trPr>
          <w:trHeight w:val="240" w:hRule="atLeast"/>
        </w:trPr>
        <w:tc>
          <w:tcPr>
            <w:tcW w:w="1439" w:type="dxa"/>
            <w:tcBorders/>
            <w:vAlign w:val="center"/>
          </w:tcPr>
          <w:p>
            <w:pPr>
              <w:pStyle w:val="TableContents"/>
              <w:bidi w:val="0"/>
              <w:spacing w:before="0" w:after="283"/>
              <w:jc w:val="left"/>
              <w:rPr>
                <w:sz w:val="4"/>
                <w:szCs w:val="4"/>
              </w:rPr>
            </w:pPr>
            <w:r>
              <w:rPr>
                <w:sz w:val="4"/>
                <w:szCs w:val="4"/>
              </w:rPr>
            </w:r>
          </w:p>
        </w:tc>
        <w:tc>
          <w:tcPr>
            <w:tcW w:w="2643" w:type="dxa"/>
            <w:gridSpan w:val="2"/>
            <w:tcBorders/>
            <w:vAlign w:val="center"/>
          </w:tcPr>
          <w:p>
            <w:pPr>
              <w:pStyle w:val="TableContents"/>
              <w:bidi w:val="0"/>
              <w:spacing w:before="0" w:after="283"/>
              <w:jc w:val="left"/>
              <w:rPr>
                <w:sz w:val="4"/>
                <w:szCs w:val="4"/>
              </w:rPr>
            </w:pPr>
            <w:r>
              <w:rPr>
                <w:sz w:val="4"/>
                <w:szCs w:val="4"/>
              </w:rPr>
            </w:r>
          </w:p>
        </w:tc>
      </w:tr>
      <w:tr>
        <w:trPr/>
        <w:tc>
          <w:tcPr>
            <w:tcW w:w="1439" w:type="dxa"/>
            <w:tcBorders/>
          </w:tcPr>
          <w:p>
            <w:pPr>
              <w:pStyle w:val="TableContents"/>
              <w:bidi w:val="0"/>
              <w:spacing w:before="0" w:after="283"/>
              <w:jc w:val="left"/>
              <w:rPr/>
            </w:pPr>
            <w:r>
              <w:rPr/>
              <w:t>By:</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503" w:type="dxa"/>
            <w:tcBorders>
              <w:bottom w:val="single" w:sz="2" w:space="0" w:color="000000"/>
            </w:tcBorders>
            <w:tcMar>
              <w:bottom w:w="28" w:type="dxa"/>
            </w:tcMar>
          </w:tcPr>
          <w:p>
            <w:pPr>
              <w:pStyle w:val="TableContents"/>
              <w:bidi w:val="0"/>
              <w:spacing w:before="0" w:after="283"/>
              <w:jc w:val="left"/>
              <w:rPr/>
            </w:pPr>
            <w:r>
              <w:rPr/>
              <w:t> </w:t>
            </w:r>
          </w:p>
        </w:tc>
      </w:tr>
      <w:tr>
        <w:trPr/>
        <w:tc>
          <w:tcPr>
            <w:tcW w:w="1439" w:type="dxa"/>
            <w:tcBorders/>
          </w:tcPr>
          <w:p>
            <w:pPr>
              <w:pStyle w:val="TableContents"/>
              <w:bidi w:val="0"/>
              <w:spacing w:before="0" w:after="283"/>
              <w:jc w:val="left"/>
              <w:rPr/>
            </w:pPr>
            <w:r>
              <w:rPr/>
              <w:t>Name:</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503" w:type="dxa"/>
            <w:tcBorders>
              <w:bottom w:val="single" w:sz="2" w:space="0" w:color="000000"/>
            </w:tcBorders>
            <w:tcMar>
              <w:bottom w:w="28" w:type="dxa"/>
            </w:tcMar>
          </w:tcPr>
          <w:p>
            <w:pPr>
              <w:pStyle w:val="TableContents"/>
              <w:bidi w:val="0"/>
              <w:spacing w:before="0" w:after="283"/>
              <w:jc w:val="left"/>
              <w:rPr/>
            </w:pPr>
            <w:r>
              <w:rPr/>
              <w:t> </w:t>
            </w:r>
          </w:p>
        </w:tc>
      </w:tr>
      <w:tr>
        <w:trPr/>
        <w:tc>
          <w:tcPr>
            <w:tcW w:w="1439" w:type="dxa"/>
            <w:tcBorders/>
          </w:tcPr>
          <w:p>
            <w:pPr>
              <w:pStyle w:val="TableContents"/>
              <w:bidi w:val="0"/>
              <w:spacing w:before="0" w:after="283"/>
              <w:jc w:val="left"/>
              <w:rPr/>
            </w:pPr>
            <w:r>
              <w:rPr/>
              <w:t>Title:</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503"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924"/>
        <w:gridCol w:w="129"/>
        <w:gridCol w:w="2029"/>
      </w:tblGrid>
      <w:tr>
        <w:trPr/>
        <w:tc>
          <w:tcPr>
            <w:tcW w:w="192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CANADIAN IMPERIAL BANK OF COMMERCE, as a Purchaser Agent for Macro Trust, Bay Square Funding LLC and Bay Cube Funding LLC and as a Committed Purchaser</w:t>
            </w:r>
          </w:p>
        </w:tc>
      </w:tr>
      <w:tr>
        <w:trPr>
          <w:trHeight w:val="240" w:hRule="atLeast"/>
        </w:trPr>
        <w:tc>
          <w:tcPr>
            <w:tcW w:w="1924" w:type="dxa"/>
            <w:tcBorders/>
            <w:vAlign w:val="center"/>
          </w:tcPr>
          <w:p>
            <w:pPr>
              <w:pStyle w:val="TableContents"/>
              <w:bidi w:val="0"/>
              <w:spacing w:before="0" w:after="283"/>
              <w:jc w:val="left"/>
              <w:rPr>
                <w:sz w:val="4"/>
                <w:szCs w:val="4"/>
              </w:rPr>
            </w:pPr>
            <w:r>
              <w:rPr>
                <w:sz w:val="4"/>
                <w:szCs w:val="4"/>
              </w:rPr>
            </w:r>
          </w:p>
        </w:tc>
        <w:tc>
          <w:tcPr>
            <w:tcW w:w="2158" w:type="dxa"/>
            <w:gridSpan w:val="2"/>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pPr>
            <w:r>
              <w:rPr/>
              <w:t>By:</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Name: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Title: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924" w:type="dxa"/>
            <w:tcBorders/>
            <w:vAlign w:val="center"/>
          </w:tcPr>
          <w:p>
            <w:pPr>
              <w:pStyle w:val="TableContents"/>
              <w:bidi w:val="0"/>
              <w:spacing w:before="0" w:after="283"/>
              <w:jc w:val="left"/>
              <w:rPr>
                <w:sz w:val="4"/>
                <w:szCs w:val="4"/>
              </w:rPr>
            </w:pPr>
            <w:r>
              <w:rPr>
                <w:sz w:val="4"/>
                <w:szCs w:val="4"/>
              </w:rPr>
            </w:r>
          </w:p>
        </w:tc>
        <w:tc>
          <w:tcPr>
            <w:tcW w:w="2158" w:type="dxa"/>
            <w:gridSpan w:val="2"/>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pPr>
            <w:r>
              <w:rPr/>
              <w:t>By:</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Name: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Title: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BAY SQUARE FUNDING LLC, as a Conduit Purchaser</w:t>
            </w:r>
          </w:p>
        </w:tc>
      </w:tr>
      <w:tr>
        <w:trPr>
          <w:trHeight w:val="240" w:hRule="atLeast"/>
        </w:trPr>
        <w:tc>
          <w:tcPr>
            <w:tcW w:w="1924" w:type="dxa"/>
            <w:tcBorders/>
            <w:vAlign w:val="center"/>
          </w:tcPr>
          <w:p>
            <w:pPr>
              <w:pStyle w:val="TableContents"/>
              <w:bidi w:val="0"/>
              <w:spacing w:before="0" w:after="283"/>
              <w:jc w:val="left"/>
              <w:rPr>
                <w:sz w:val="4"/>
                <w:szCs w:val="4"/>
              </w:rPr>
            </w:pPr>
            <w:r>
              <w:rPr>
                <w:sz w:val="4"/>
                <w:szCs w:val="4"/>
              </w:rPr>
            </w:r>
          </w:p>
        </w:tc>
        <w:tc>
          <w:tcPr>
            <w:tcW w:w="2158" w:type="dxa"/>
            <w:gridSpan w:val="2"/>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pPr>
            <w:r>
              <w:rPr/>
              <w:t>By:</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Name: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Title: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COMPUTERSHARE TRUST COMPANY OF CANADA, in its capacity as trustee of MACRO TRUST, by its Financial Services Agent, CANADIAN IMPERIAL BANK OF COMMERCE, as a Conduit Purchaser</w:t>
            </w:r>
          </w:p>
        </w:tc>
      </w:tr>
      <w:tr>
        <w:trPr>
          <w:trHeight w:val="240" w:hRule="atLeast"/>
        </w:trPr>
        <w:tc>
          <w:tcPr>
            <w:tcW w:w="1924" w:type="dxa"/>
            <w:tcBorders/>
            <w:vAlign w:val="center"/>
          </w:tcPr>
          <w:p>
            <w:pPr>
              <w:pStyle w:val="TableContents"/>
              <w:bidi w:val="0"/>
              <w:spacing w:before="0" w:after="283"/>
              <w:jc w:val="left"/>
              <w:rPr>
                <w:sz w:val="4"/>
                <w:szCs w:val="4"/>
              </w:rPr>
            </w:pPr>
            <w:r>
              <w:rPr>
                <w:sz w:val="4"/>
                <w:szCs w:val="4"/>
              </w:rPr>
            </w:r>
          </w:p>
        </w:tc>
        <w:tc>
          <w:tcPr>
            <w:tcW w:w="2158" w:type="dxa"/>
            <w:gridSpan w:val="2"/>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pPr>
            <w:r>
              <w:rPr/>
              <w:t>By:</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Name: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Title: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924" w:type="dxa"/>
            <w:tcBorders/>
            <w:vAlign w:val="center"/>
          </w:tcPr>
          <w:p>
            <w:pPr>
              <w:pStyle w:val="TableContents"/>
              <w:bidi w:val="0"/>
              <w:spacing w:before="0" w:after="283"/>
              <w:jc w:val="left"/>
              <w:rPr>
                <w:sz w:val="4"/>
                <w:szCs w:val="4"/>
              </w:rPr>
            </w:pPr>
            <w:r>
              <w:rPr>
                <w:sz w:val="4"/>
                <w:szCs w:val="4"/>
              </w:rPr>
            </w:r>
          </w:p>
        </w:tc>
        <w:tc>
          <w:tcPr>
            <w:tcW w:w="2158" w:type="dxa"/>
            <w:gridSpan w:val="2"/>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pPr>
            <w:r>
              <w:rPr/>
              <w:t>By:</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Name: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Title: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BAY CUBE FUNDING LLC, as a Conduit Purchaser</w:t>
            </w:r>
          </w:p>
        </w:tc>
      </w:tr>
      <w:tr>
        <w:trPr>
          <w:trHeight w:val="240" w:hRule="atLeast"/>
        </w:trPr>
        <w:tc>
          <w:tcPr>
            <w:tcW w:w="1924" w:type="dxa"/>
            <w:tcBorders/>
            <w:vAlign w:val="center"/>
          </w:tcPr>
          <w:p>
            <w:pPr>
              <w:pStyle w:val="TableContents"/>
              <w:bidi w:val="0"/>
              <w:spacing w:before="0" w:after="283"/>
              <w:jc w:val="left"/>
              <w:rPr>
                <w:sz w:val="4"/>
                <w:szCs w:val="4"/>
              </w:rPr>
            </w:pPr>
            <w:r>
              <w:rPr>
                <w:sz w:val="4"/>
                <w:szCs w:val="4"/>
              </w:rPr>
            </w:r>
          </w:p>
        </w:tc>
        <w:tc>
          <w:tcPr>
            <w:tcW w:w="2158" w:type="dxa"/>
            <w:gridSpan w:val="2"/>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283"/>
              <w:jc w:val="left"/>
              <w:rPr/>
            </w:pPr>
            <w:r>
              <w:rPr/>
              <w:t>By:</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Name: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r>
        <w:trPr/>
        <w:tc>
          <w:tcPr>
            <w:tcW w:w="1924" w:type="dxa"/>
            <w:tcBorders/>
          </w:tcPr>
          <w:p>
            <w:pPr>
              <w:pStyle w:val="TableContents"/>
              <w:bidi w:val="0"/>
              <w:spacing w:before="0" w:after="283"/>
              <w:jc w:val="left"/>
              <w:rPr/>
            </w:pPr>
            <w:r>
              <w:rPr/>
              <w:t>Title:</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2029"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499"/>
        <w:gridCol w:w="145"/>
        <w:gridCol w:w="2438"/>
      </w:tblGrid>
      <w:tr>
        <w:trPr/>
        <w:tc>
          <w:tcPr>
            <w:tcW w:w="149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HSBC BANK USA, NATIONAL ASSOCIATION, as a Committed Purchaser</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2583" w:type="dxa"/>
            <w:gridSpan w:val="2"/>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By:</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Name: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Title: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HSBC SECURITIES USA INC., as Purchaser Agent for HSBC Bank USA, National Association</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2583" w:type="dxa"/>
            <w:gridSpan w:val="2"/>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By:</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Name: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r>
        <w:trPr/>
        <w:tc>
          <w:tcPr>
            <w:tcW w:w="1499" w:type="dxa"/>
            <w:tcBorders/>
          </w:tcPr>
          <w:p>
            <w:pPr>
              <w:pStyle w:val="TableContents"/>
              <w:bidi w:val="0"/>
              <w:spacing w:before="0" w:after="283"/>
              <w:jc w:val="left"/>
              <w:rPr/>
            </w:pPr>
            <w:r>
              <w:rPr/>
              <w:t>Title:</w:t>
            </w:r>
          </w:p>
        </w:tc>
        <w:tc>
          <w:tcPr>
            <w:tcW w:w="145" w:type="dxa"/>
            <w:tcBorders>
              <w:bottom w:val="single" w:sz="2" w:space="0" w:color="000000"/>
            </w:tcBorders>
            <w:tcMar>
              <w:bottom w:w="28" w:type="dxa"/>
            </w:tcMar>
            <w:vAlign w:val="bottom"/>
          </w:tcPr>
          <w:p>
            <w:pPr>
              <w:pStyle w:val="TableContents"/>
              <w:bidi w:val="0"/>
              <w:spacing w:before="0" w:after="283"/>
              <w:jc w:val="left"/>
              <w:rPr/>
            </w:pPr>
            <w:r>
              <w:rPr/>
              <w:t> </w:t>
            </w:r>
          </w:p>
        </w:tc>
        <w:tc>
          <w:tcPr>
            <w:tcW w:w="2438"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Agreement (including its Exhibits, Schedules and Annexes), the following terms shall have the following meanings (such meanings to be equally applicable to both the singular and plural forms of the terms defined). Unless otherwise indicated, all Section, Annex, Exhibit and Schedule references in this Exhibit are to Sections of and Annexes, Exhibits and Schedules to this Agreement. </w:t>
      </w:r>
    </w:p>
    <w:p>
      <w:pPr>
        <w:pStyle w:val="TextBody"/>
        <w:bidi w:val="0"/>
        <w:spacing w:before="240" w:after="0"/>
        <w:jc w:val="left"/>
        <w:rPr/>
      </w:pPr>
      <w:r>
        <w:rPr/>
        <w:t>“</w:t>
      </w:r>
      <w:r>
        <w:rPr>
          <w:rFonts w:ascii="Times New Roman" w:hAnsi="Times New Roman"/>
          <w:sz w:val="20"/>
          <w:u w:val="single"/>
        </w:rPr>
        <w:t>Adjusted Dilution Ratio</w:t>
      </w:r>
      <w:r>
        <w:rPr>
          <w:rFonts w:ascii="Times New Roman" w:hAnsi="Times New Roman"/>
          <w:sz w:val="20"/>
        </w:rPr>
        <w:t xml:space="preserve">” means, at any time, the twelve-month rolling average of the Dilution Ratio. </w:t>
      </w:r>
    </w:p>
    <w:p>
      <w:pPr>
        <w:pStyle w:val="TextBody"/>
        <w:bidi w:val="0"/>
        <w:spacing w:before="240" w:after="0"/>
        <w:jc w:val="left"/>
        <w:rPr/>
      </w:pPr>
      <w:r>
        <w:rPr/>
        <w:t>“</w:t>
      </w:r>
      <w:r>
        <w:rPr>
          <w:rFonts w:ascii="Times New Roman" w:hAnsi="Times New Roman"/>
          <w:sz w:val="20"/>
          <w:u w:val="single"/>
        </w:rPr>
        <w:t>Adjusted Net Receivables Pool Balance</w:t>
      </w:r>
      <w:r>
        <w:rPr>
          <w:rFonts w:ascii="Times New Roman" w:hAnsi="Times New Roman"/>
          <w:sz w:val="20"/>
        </w:rPr>
        <w:t xml:space="preserve">” means, at any time: (a) the Net Receivables Pool Balance, </w:t>
      </w:r>
      <w:r>
        <w:rPr>
          <w:rFonts w:ascii="Times New Roman" w:hAnsi="Times New Roman"/>
          <w:sz w:val="20"/>
          <w:u w:val="single"/>
        </w:rPr>
        <w:t>plus</w:t>
      </w:r>
      <w:r>
        <w:rPr>
          <w:rFonts w:ascii="Times New Roman" w:hAnsi="Times New Roman"/>
          <w:sz w:val="20"/>
        </w:rPr>
        <w:t xml:space="preserve"> (b) the sum of (i) the aggregate Outstanding Balance of all Affiliate Receivables then in the Receivables Pool, (ii) the Specifically Reserved Amount and (iii) the aggregate amount for each Obligor of the lesser of (x) the Contra Amount, if any, with respect to such Obligor at such time and (y) the aggregate Outstanding Balance of all Pool Receivables, the Obligor of which is such Obligor. </w:t>
      </w:r>
    </w:p>
    <w:p>
      <w:pPr>
        <w:pStyle w:val="TextBody"/>
        <w:bidi w:val="0"/>
        <w:spacing w:before="240" w:after="0"/>
        <w:jc w:val="left"/>
        <w:rPr/>
      </w:pPr>
      <w:r>
        <w:rPr/>
        <w:t>“</w:t>
      </w:r>
      <w:r>
        <w:rPr>
          <w:rFonts w:ascii="Times New Roman" w:hAnsi="Times New Roman"/>
          <w:sz w:val="20"/>
          <w:u w:val="single"/>
        </w:rPr>
        <w:t>Administrator</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Adverse Claim</w:t>
      </w:r>
      <w:r>
        <w:rPr>
          <w:rFonts w:ascii="Times New Roman" w:hAnsi="Times New Roman"/>
          <w:sz w:val="20"/>
        </w:rPr>
        <w:t xml:space="preserve">” means a lien, security interest or other charge or encumbrance, or any other type of preferential arrangement;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(i) any thereof in favor of the Administrator (for the benefit of the Purchasers ) shall not constitute an Adverse Claim and (ii) any grant of security interest in the capital stock of the Seller pursuant to the Credit Agreement shall not constitute an Adverse Claim.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Affected Person</w:t>
      </w:r>
      <w:r>
        <w:rPr>
          <w:rFonts w:ascii="Times New Roman" w:hAnsi="Times New Roman"/>
          <w:sz w:val="20"/>
        </w:rPr>
        <w:t xml:space="preserve">” has the meaning set forth in </w:t>
      </w:r>
      <w:r>
        <w:rPr>
          <w:rFonts w:ascii="Times New Roman" w:hAnsi="Times New Roman"/>
          <w:sz w:val="20"/>
          <w:u w:val="single"/>
        </w:rPr>
        <w:t>Section 1.7</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Person that, directly or indirectly, is in control of, is controlled by or is under common control with such Person, except that, in the case of each Conduit Purchaser, Affiliate shall mean the holder of its capital stock. For purposes of this definition, control of a Person shall mean the power, direct or indirect: (x) to vote 25% or more of the securities having ordinary voting power for the election of directors of such Person, or (y) to direct or cause the direction of the management and policies of such Person, in either case whether by ownership of securities, contract, proxy or otherwise. </w:t>
      </w:r>
    </w:p>
    <w:p>
      <w:pPr>
        <w:pStyle w:val="TextBody"/>
        <w:bidi w:val="0"/>
        <w:spacing w:before="240" w:after="0"/>
        <w:jc w:val="left"/>
        <w:rPr/>
      </w:pPr>
      <w:r>
        <w:rPr/>
        <w:t>“</w:t>
      </w:r>
      <w:r>
        <w:rPr>
          <w:rFonts w:ascii="Times New Roman" w:hAnsi="Times New Roman"/>
          <w:sz w:val="20"/>
          <w:u w:val="single"/>
        </w:rPr>
        <w:t>Affiliate Receivable</w:t>
      </w:r>
      <w:r>
        <w:rPr>
          <w:rFonts w:ascii="Times New Roman" w:hAnsi="Times New Roman"/>
          <w:sz w:val="20"/>
        </w:rPr>
        <w:t xml:space="preserve">” means any Receivable, the Obligor of which is an Affiliate of WESCO or any Originator. </w:t>
      </w:r>
    </w:p>
    <w:p>
      <w:pPr>
        <w:pStyle w:val="TextBody"/>
        <w:bidi w:val="0"/>
        <w:spacing w:before="240" w:after="0"/>
        <w:jc w:val="left"/>
        <w:rPr/>
      </w:pPr>
      <w:r>
        <w:rPr/>
        <w:t>“</w:t>
      </w:r>
      <w:r>
        <w:rPr>
          <w:rFonts w:ascii="Times New Roman" w:hAnsi="Times New Roman"/>
          <w:sz w:val="20"/>
          <w:u w:val="single"/>
        </w:rPr>
        <w:t>Aggregate Discount</w:t>
      </w:r>
      <w:r>
        <w:rPr>
          <w:rFonts w:ascii="Times New Roman" w:hAnsi="Times New Roman"/>
          <w:sz w:val="20"/>
        </w:rPr>
        <w:t xml:space="preserve">” at any time, means the sum of the aggregate for each Purchaser of the accrued and unpaid Discount with respect to each such Purchaser’s Investment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Aggregate Investment</w:t>
      </w:r>
      <w:r>
        <w:rPr>
          <w:rFonts w:ascii="Times New Roman" w:hAnsi="Times New Roman"/>
          <w:sz w:val="20"/>
        </w:rPr>
        <w:t xml:space="preserve">” means, at any time, the aggregate of the Investments of each Purchaser at such time.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Amendment Date</w:t>
      </w:r>
      <w:r>
        <w:rPr>
          <w:rFonts w:ascii="Times New Roman" w:hAnsi="Times New Roman"/>
          <w:sz w:val="20"/>
        </w:rPr>
        <w:t xml:space="preserve">” means March 8, 2024.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 the U.S. Foreign Corrupt Practices Act of 1977, as amended; (b) the U.K. Bribery Act 2010, as amended; and (c) any other applicable Law relating to anti—bribery or anti-corruption in any jurisdiction to which WESCO or any of the Covered Entities is subject. </w:t>
      </w:r>
    </w:p>
    <w:p>
      <w:pPr>
        <w:pStyle w:val="TextBody"/>
        <w:bidi w:val="0"/>
        <w:spacing w:before="240" w:after="0"/>
        <w:jc w:val="left"/>
        <w:rPr/>
      </w:pPr>
      <w:r>
        <w:rPr/>
        <w:t>“</w:t>
      </w:r>
      <w:r>
        <w:rPr>
          <w:rFonts w:ascii="Times New Roman" w:hAnsi="Times New Roman"/>
          <w:sz w:val="20"/>
          <w:u w:val="single"/>
        </w:rPr>
        <w:t>Anti-Terrorism Law</w:t>
      </w:r>
      <w:r>
        <w:rPr>
          <w:rFonts w:ascii="Times New Roman" w:hAnsi="Times New Roman"/>
          <w:sz w:val="20"/>
        </w:rPr>
        <w:t xml:space="preserve">” means any Law in force or hereinafter enacted related to terrorism, money laundering, or economic sanctions, including the Bank Secrecy Act, 31 U.S.C. § 5311 </w:t>
      </w:r>
      <w:r>
        <w:rPr>
          <w:rFonts w:ascii="Times New Roman" w:hAnsi="Times New Roman"/>
          <w:i/>
          <w:sz w:val="20"/>
        </w:rPr>
        <w:t>et seq.</w:t>
      </w:r>
      <w:r>
        <w:rPr>
          <w:rFonts w:ascii="Times New Roman" w:hAnsi="Times New Roman"/>
          <w:sz w:val="20"/>
        </w:rPr>
        <w:t xml:space="preserve">, the USA PATRIOT Act, the International Emergency Economic Powers Act, 50 U.S.C. 1701, </w:t>
      </w:r>
      <w:r>
        <w:rPr>
          <w:rFonts w:ascii="Times New Roman" w:hAnsi="Times New Roman"/>
          <w:i/>
          <w:sz w:val="20"/>
        </w:rPr>
        <w:t>et seq.,</w:t>
      </w:r>
      <w:r>
        <w:rPr>
          <w:rFonts w:ascii="Times New Roman" w:hAnsi="Times New Roman"/>
          <w:sz w:val="20"/>
        </w:rPr>
        <w:t xml:space="preserve"> the Trading with the Enemy Act, 50 U.S.C. App. 1, </w:t>
      </w:r>
      <w:r>
        <w:rPr>
          <w:rFonts w:ascii="Times New Roman" w:hAnsi="Times New Roman"/>
          <w:i/>
          <w:sz w:val="20"/>
        </w:rPr>
        <w:t>et seq.</w:t>
      </w:r>
      <w:r>
        <w:rPr>
          <w:rFonts w:ascii="Times New Roman" w:hAnsi="Times New Roman"/>
          <w:sz w:val="20"/>
        </w:rPr>
        <w:t xml:space="preserve">, 18 U.S.C. § 2332d, and 18 U.S.C. § 2339B. </w:t>
      </w:r>
    </w:p>
    <w:p>
      <w:pPr>
        <w:pStyle w:val="TextBody"/>
        <w:bidi w:val="0"/>
        <w:spacing w:before="240" w:after="0"/>
        <w:jc w:val="left"/>
        <w:rPr/>
      </w:pPr>
      <w:r>
        <w:rPr/>
        <w:t>“</w:t>
      </w:r>
      <w:r>
        <w:rPr>
          <w:rFonts w:ascii="Times New Roman" w:hAnsi="Times New Roman"/>
          <w:sz w:val="20"/>
          <w:u w:val="single"/>
        </w:rPr>
        <w:t>Applicable Law</w:t>
      </w:r>
      <w:r>
        <w:rPr>
          <w:rFonts w:ascii="Times New Roman" w:hAnsi="Times New Roman"/>
          <w:sz w:val="20"/>
        </w:rPr>
        <w:t xml:space="preserve">” means, with respect to any Person, all provisions of Law applicable to such Person or any of its property. </w:t>
      </w:r>
    </w:p>
    <w:p>
      <w:pPr>
        <w:pStyle w:val="TextBody"/>
        <w:bidi w:val="0"/>
        <w:spacing w:before="240" w:after="0"/>
        <w:jc w:val="left"/>
        <w:rPr/>
      </w:pPr>
      <w:r>
        <w:rPr/>
        <w:t>“</w:t>
      </w:r>
      <w:r>
        <w:rPr>
          <w:rFonts w:ascii="Times New Roman" w:hAnsi="Times New Roman"/>
          <w:sz w:val="20"/>
          <w:u w:val="single"/>
        </w:rPr>
        <w:t>Assumption Agreement</w:t>
      </w:r>
      <w:r>
        <w:rPr>
          <w:rFonts w:ascii="Times New Roman" w:hAnsi="Times New Roman"/>
          <w:sz w:val="20"/>
        </w:rPr>
        <w:t xml:space="preserve">” means an agreement substantially in the form set forth in Annex D to this Agreement. </w:t>
      </w:r>
    </w:p>
    <w:p>
      <w:pPr>
        <w:pStyle w:val="TextBody"/>
        <w:bidi w:val="0"/>
        <w:spacing w:before="240" w:after="0"/>
        <w:jc w:val="left"/>
        <w:rPr/>
      </w:pPr>
      <w:r>
        <w:rPr/>
        <w:t>“</w:t>
      </w:r>
      <w:r>
        <w:rPr>
          <w:rFonts w:ascii="Times New Roman" w:hAnsi="Times New Roman"/>
          <w:sz w:val="20"/>
          <w:u w:val="single"/>
        </w:rPr>
        <w:t>Attorney Costs</w:t>
      </w:r>
      <w:r>
        <w:rPr>
          <w:rFonts w:ascii="Times New Roman" w:hAnsi="Times New Roman"/>
          <w:sz w:val="20"/>
        </w:rPr>
        <w:t xml:space="preserve">” means and includes all reasonable and documented fees and out-of-pocket costs and expenses of one counsel to the Purchaser Parties, taken as a whole, and if reasonably deemed necessary or desirable by the Administrator, one firm of local counsel in each applicable jurisdiction; provided that, in connection with the enforcement or protection of the Purchaser Parties’ rights following the occurrence and during the continuance of a Termination Event if there shall exist an actual or perceived conflict of interest among such Persons, one or more additional law firms in each relevant jurisdiction shall be permitted to the extent necessary to eliminate such conflict. </w:t>
      </w:r>
    </w:p>
    <w:p>
      <w:pPr>
        <w:pStyle w:val="TextBody"/>
        <w:bidi w:val="0"/>
        <w:spacing w:before="240" w:after="0"/>
        <w:jc w:val="left"/>
        <w:rPr/>
      </w:pPr>
      <w:r>
        <w:rPr/>
        <w:t>“</w:t>
      </w:r>
      <w:r>
        <w:rPr>
          <w:rFonts w:ascii="Times New Roman" w:hAnsi="Times New Roman"/>
          <w:sz w:val="20"/>
          <w:u w:val="single"/>
        </w:rPr>
        <w:t>Available Liquidity</w:t>
      </w:r>
      <w:r>
        <w:rPr>
          <w:rFonts w:ascii="Times New Roman" w:hAnsi="Times New Roman"/>
          <w:sz w:val="20"/>
        </w:rPr>
        <w:t xml:space="preserve">” means, on any date of determination, the sum of (i) the Maximum Incremental Purchase, (ii) the amount of borrowing availability under the Credit Agreement and (iii) cash balances and liquid investments held by WESCO and its Affiliates.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Bankruptcy Code</w:t>
      </w:r>
      <w:r>
        <w:rPr>
          <w:rFonts w:ascii="Times New Roman" w:hAnsi="Times New Roman"/>
          <w:sz w:val="20"/>
        </w:rPr>
        <w:t xml:space="preserve">” means the United States Bankruptcy Reform Act of 1978 (11 U.S.C. § 101, et seq.), as amended from time to time. </w:t>
      </w:r>
    </w:p>
    <w:p>
      <w:pPr>
        <w:pStyle w:val="TextBody"/>
        <w:bidi w:val="0"/>
        <w:spacing w:before="240" w:after="0"/>
        <w:jc w:val="left"/>
        <w:rPr/>
      </w:pPr>
      <w:r>
        <w:rPr/>
        <w:t>“</w:t>
      </w:r>
      <w:r>
        <w:rPr>
          <w:rFonts w:ascii="Times New Roman" w:hAnsi="Times New Roman"/>
          <w:sz w:val="20"/>
          <w:u w:val="single"/>
        </w:rPr>
        <w:t>Base Rate</w:t>
      </w:r>
      <w:r>
        <w:rPr>
          <w:rFonts w:ascii="Times New Roman" w:hAnsi="Times New Roman"/>
          <w:sz w:val="20"/>
        </w:rPr>
        <w:t xml:space="preserve">” means, for any Purchaser, for any day (a) a fluctuating interest rate per annum as shall be in effect from time to time, which rate shall be at all times equal to the higher of: </w:t>
      </w:r>
    </w:p>
    <w:p>
      <w:pPr>
        <w:pStyle w:val="TextBody"/>
        <w:bidi w:val="0"/>
        <w:spacing w:before="120" w:after="0"/>
        <w:jc w:val="left"/>
        <w:rPr>
          <w:rFonts w:ascii="Times New Roman" w:hAnsi="Times New Roman"/>
          <w:sz w:val="20"/>
        </w:rPr>
      </w:pPr>
      <w:r>
        <w:rPr>
          <w:rFonts w:ascii="Times New Roman" w:hAnsi="Times New Roman"/>
          <w:sz w:val="20"/>
        </w:rPr>
        <w:t xml:space="preserve">(i) the rate of interest in effect for such day as publicly announced from time to time by such Purchaser’s Purchaser Agent as its “prime rate”, “base rate” or similarly designated rate and which is used as a general reference point for pricing some loans, which may be priced at, above or below such announced rate, </w:t>
      </w:r>
    </w:p>
    <w:p>
      <w:pPr>
        <w:pStyle w:val="TextBody"/>
        <w:bidi w:val="0"/>
        <w:spacing w:before="120" w:after="0"/>
        <w:jc w:val="left"/>
        <w:rPr>
          <w:rFonts w:ascii="Times New Roman" w:hAnsi="Times New Roman"/>
          <w:sz w:val="20"/>
        </w:rPr>
      </w:pPr>
      <w:r>
        <w:rPr>
          <w:rFonts w:ascii="Times New Roman" w:hAnsi="Times New Roman"/>
          <w:sz w:val="20"/>
        </w:rPr>
        <w:t xml:space="preserve">(ii) 0.50% per annum above the latest Overnight Bank Funding Rate, and </w:t>
      </w:r>
    </w:p>
    <w:p>
      <w:pPr>
        <w:pStyle w:val="TextBody"/>
        <w:bidi w:val="0"/>
        <w:spacing w:before="120" w:after="0"/>
        <w:jc w:val="left"/>
        <w:rPr>
          <w:rFonts w:ascii="Times New Roman" w:hAnsi="Times New Roman"/>
          <w:sz w:val="20"/>
        </w:rPr>
      </w:pPr>
      <w:r>
        <w:rPr>
          <w:rFonts w:ascii="Times New Roman" w:hAnsi="Times New Roman"/>
          <w:sz w:val="20"/>
        </w:rPr>
        <w:t xml:space="preserve">(iii) Daily Simple SOFR, </w:t>
      </w:r>
      <w:r>
        <w:rPr>
          <w:rFonts w:ascii="Times New Roman" w:hAnsi="Times New Roman"/>
          <w:sz w:val="20"/>
          <w:u w:val="single"/>
        </w:rPr>
        <w:t>plus</w:t>
      </w:r>
      <w:r>
        <w:rPr>
          <w:rFonts w:ascii="Times New Roman" w:hAnsi="Times New Roman"/>
          <w:sz w:val="20"/>
        </w:rPr>
        <w:t xml:space="preserve"> 1.00%, so long as Daily Simple SOFR is offered, ascertainable and not unlawful; or </w:t>
      </w:r>
    </w:p>
    <w:p>
      <w:pPr>
        <w:pStyle w:val="TextBody"/>
        <w:bidi w:val="0"/>
        <w:spacing w:before="240" w:after="0"/>
        <w:jc w:val="left"/>
        <w:rPr>
          <w:rFonts w:ascii="Times New Roman" w:hAnsi="Times New Roman"/>
          <w:sz w:val="20"/>
        </w:rPr>
      </w:pPr>
      <w:r>
        <w:rPr>
          <w:rFonts w:ascii="Times New Roman" w:hAnsi="Times New Roman"/>
          <w:sz w:val="20"/>
        </w:rPr>
        <w:t xml:space="preserve">(b) such other rate set forth as the “Base Rate” for such Purchaser in its Purchaser Group Fee Letter, or any other document pursuant to which it became a party hereto. </w:t>
      </w:r>
    </w:p>
    <w:p>
      <w:pPr>
        <w:pStyle w:val="TextBody"/>
        <w:bidi w:val="0"/>
        <w:spacing w:before="240" w:after="0"/>
        <w:jc w:val="left"/>
        <w:rPr/>
      </w:pPr>
      <w:r>
        <w:rPr/>
        <w:t>“</w:t>
      </w:r>
      <w:r>
        <w:rPr>
          <w:rFonts w:ascii="Times New Roman" w:hAnsi="Times New Roman"/>
          <w:sz w:val="20"/>
          <w:u w:val="single"/>
        </w:rPr>
        <w:t>Base Rate Option</w:t>
      </w:r>
      <w:r>
        <w:rPr>
          <w:rFonts w:ascii="Times New Roman" w:hAnsi="Times New Roman"/>
          <w:sz w:val="20"/>
        </w:rPr>
        <w:t xml:space="preserve">” means the option of the Seller to have Investments accrue Discount at the rate and under the terms specified in </w:t>
      </w:r>
      <w:r>
        <w:rPr>
          <w:rFonts w:ascii="Times New Roman" w:hAnsi="Times New Roman"/>
          <w:sz w:val="20"/>
          <w:u w:val="single"/>
        </w:rPr>
        <w:t>Section 1.12(a)(i)(B)(3)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Beneficial Owner</w:t>
      </w:r>
      <w:r>
        <w:rPr>
          <w:rFonts w:ascii="Times New Roman" w:hAnsi="Times New Roman"/>
          <w:sz w:val="20"/>
        </w:rPr>
        <w:t xml:space="preserve">” means, for the Seller, each of the following: (a) each individual, if any, who, directly or indirectly, owns 25% or more of the Seller’s capital stock; and (b) a single individual with significant responsibility to control, manage, or direct the Seller. </w:t>
      </w:r>
    </w:p>
    <w:p>
      <w:pPr>
        <w:pStyle w:val="TextBody"/>
        <w:bidi w:val="0"/>
        <w:spacing w:before="240" w:after="0"/>
        <w:jc w:val="left"/>
        <w:rPr/>
      </w:pPr>
      <w:r>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means any employee benefit pension plan as defined in Section 3(2) of ERISA in respect of which the Seller, any Originator, WESCO or any ERISA Affiliate is, or at any time during the immediately preceding six years was, an “employer” as defined in Section 3(5) of ERISA. </w:t>
      </w:r>
    </w:p>
    <w:p>
      <w:pPr>
        <w:pStyle w:val="TextBody"/>
        <w:bidi w:val="0"/>
        <w:spacing w:before="240" w:after="0"/>
        <w:jc w:val="left"/>
        <w:rPr/>
      </w:pPr>
      <w:r>
        <w:rPr/>
        <w:t>“</w:t>
      </w:r>
      <w:r>
        <w:rPr>
          <w:rFonts w:ascii="Times New Roman" w:hAnsi="Times New Roman"/>
          <w:sz w:val="20"/>
          <w:u w:val="single"/>
        </w:rPr>
        <w:t>Blocked Property</w:t>
      </w:r>
      <w:r>
        <w:rPr>
          <w:rFonts w:ascii="Times New Roman" w:hAnsi="Times New Roman"/>
          <w:sz w:val="20"/>
        </w:rPr>
        <w:t xml:space="preserve">” means any property: (a) owned, directly or indirectly, by a Sanctioned Person; (b) due to or from a Sanctioned Person; (c) in which a Sanctioned Person otherwise holds any interest; (d) located in a Sanctioned Jurisdiction; or (e) that otherwise would cause any actual violation by any Purchaser Party of any applicable International Trade Law if the Purchaser Parties were to obtain an encumbrance on, lien on, pledge of, or security interest in such property, or provide services in consideration of such property.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or Sunday) on which banks are not authorized or required to close in New York City, New York or Pittsburgh, Pennsylvania; </w:t>
      </w:r>
      <w:r>
        <w:rPr>
          <w:rFonts w:ascii="Times New Roman" w:hAnsi="Times New Roman"/>
          <w:sz w:val="20"/>
          <w:u w:val="single"/>
        </w:rPr>
        <w:t>provided</w:t>
      </w:r>
      <w:r>
        <w:rPr>
          <w:rFonts w:ascii="Times New Roman" w:hAnsi="Times New Roman"/>
          <w:sz w:val="20"/>
        </w:rPr>
        <w:t xml:space="preserve"> that for purposes of any direct or indirect calculation or determination of, or when used in connection with SOFR Rate Investment or Daily Resetting SOFR Investment, the term “Business Day” means any such day Term SOFR or SOFR is published by the Federal Reserve Bank of New York (or a successor administrator of the secured overnight financing rate) on the website of the Federal Reserve Bank of New York, or any successor website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Certification of Beneficial Owner(s)</w:t>
      </w:r>
      <w:r>
        <w:rPr>
          <w:rFonts w:ascii="Times New Roman" w:hAnsi="Times New Roman"/>
          <w:sz w:val="20"/>
        </w:rPr>
        <w:t xml:space="preserve">” means, for the Seller,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 </w:t>
      </w:r>
    </w:p>
    <w:p>
      <w:pPr>
        <w:pStyle w:val="TextBody"/>
        <w:bidi w:val="0"/>
        <w:spacing w:before="240" w:after="0"/>
        <w:jc w:val="left"/>
        <w:rPr/>
      </w:pPr>
      <w:r>
        <w:rPr/>
        <w:t>“</w:t>
      </w:r>
      <w:r>
        <w:rPr>
          <w:rFonts w:ascii="Times New Roman" w:hAnsi="Times New Roman"/>
          <w:sz w:val="20"/>
          <w:u w:val="single"/>
        </w:rPr>
        <w:t>Change in Control</w:t>
      </w:r>
      <w:r>
        <w:rPr>
          <w:rFonts w:ascii="Times New Roman" w:hAnsi="Times New Roman"/>
          <w:sz w:val="20"/>
        </w:rPr>
        <w:t xml:space="preserve">” means (i) Holdings ceases to own, directly or indirectly, 100% of the capital stock of WESCO or (ii) WESCO ceases to own, directly or indirectly (including through one or more of its Subsidiaries), (a) 100% of the capital stock of the Seller free and clear of all Adverse Claims or (b) a majority of the capital stock of any Originator. </w:t>
      </w:r>
    </w:p>
    <w:p>
      <w:pPr>
        <w:pStyle w:val="TextBody"/>
        <w:bidi w:val="0"/>
        <w:spacing w:before="240" w:after="0"/>
        <w:jc w:val="left"/>
        <w:rPr/>
      </w:pPr>
      <w:r>
        <w:rPr/>
        <w:t>“</w:t>
      </w:r>
      <w:r>
        <w:rPr>
          <w:rFonts w:ascii="Times New Roman" w:hAnsi="Times New Roman"/>
          <w:sz w:val="20"/>
          <w:u w:val="single"/>
        </w:rPr>
        <w:t>CIBC</w:t>
      </w:r>
      <w:r>
        <w:rPr>
          <w:rFonts w:ascii="Times New Roman" w:hAnsi="Times New Roman"/>
          <w:sz w:val="20"/>
        </w:rPr>
        <w:t xml:space="preserve">” means Canadian Imperial Bank of Commerce.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June 22, 2020. </w:t>
      </w:r>
    </w:p>
    <w:p>
      <w:pPr>
        <w:pStyle w:val="TextBody"/>
        <w:bidi w:val="0"/>
        <w:spacing w:before="240" w:after="0"/>
        <w:jc w:val="left"/>
        <w:rPr/>
      </w:pPr>
      <w:r>
        <w:rPr/>
        <w:t>“</w:t>
      </w:r>
      <w:r>
        <w:rPr>
          <w:rFonts w:ascii="Times New Roman" w:hAnsi="Times New Roman"/>
          <w:sz w:val="20"/>
          <w:u w:val="single"/>
        </w:rPr>
        <w:t>Collections</w:t>
      </w:r>
      <w:r>
        <w:rPr>
          <w:rFonts w:ascii="Times New Roman" w:hAnsi="Times New Roman"/>
          <w:sz w:val="20"/>
        </w:rPr>
        <w:t xml:space="preserve">” means, with respect to any Pool Receivable: (a) all funds that are received by any Originator, WESCO, the Seller or the Servicer in payment of any amounts owed in respect of such Receivable (including purchase price, finance charges, interest and all other charges), or applied to amounts owed in respect of such Receivable (including insurance payments and net proceeds of the sale or other disposition of repossessed goods or other collateral or property of the related Obligor or any other Person directly or indirectly liable for the payment of such Pool Receivable and available to be applied thereon), (b) all amounts deemed to have been received pursuant to </w:t>
      </w:r>
      <w:r>
        <w:rPr>
          <w:rFonts w:ascii="Times New Roman" w:hAnsi="Times New Roman"/>
          <w:sz w:val="20"/>
          <w:u w:val="single"/>
        </w:rPr>
        <w:t>Section 1.4(e)</w:t>
      </w:r>
      <w:r>
        <w:rPr>
          <w:rFonts w:ascii="Times New Roman" w:hAnsi="Times New Roman"/>
          <w:sz w:val="20"/>
        </w:rPr>
        <w:t xml:space="preserve"> of this Agreement and (c) all other proceeds of such Pool Receivable.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with respect to each Committed Purchaser, the maximum amount which such Purchaser is obligated to pay hereunder on account of any Purchase, as set forth below its name on </w:t>
      </w:r>
      <w:r>
        <w:rPr>
          <w:rFonts w:ascii="Times New Roman" w:hAnsi="Times New Roman"/>
          <w:sz w:val="20"/>
          <w:u w:val="single"/>
        </w:rPr>
        <w:t>Schedule VI</w:t>
      </w:r>
      <w:r>
        <w:rPr>
          <w:rFonts w:ascii="Times New Roman" w:hAnsi="Times New Roman"/>
          <w:sz w:val="20"/>
        </w:rPr>
        <w:t xml:space="preserve"> hereto to this Agreement or in the Assumption Agreement or any similar document pursuant to which it became a Purchaser, as such amount may be modified in connection with any subsequent assignment pursuant to </w:t>
      </w:r>
      <w:r>
        <w:rPr>
          <w:rFonts w:ascii="Times New Roman" w:hAnsi="Times New Roman"/>
          <w:sz w:val="20"/>
          <w:u w:val="single"/>
        </w:rPr>
        <w:t>Section 6.3(c)</w:t>
      </w:r>
      <w:r>
        <w:rPr>
          <w:rFonts w:ascii="Times New Roman" w:hAnsi="Times New Roman"/>
          <w:sz w:val="20"/>
        </w:rPr>
        <w:t xml:space="preserve"> or in connection with a change in the Purchase Limit pursuant to </w:t>
      </w:r>
      <w:r>
        <w:rPr>
          <w:rFonts w:ascii="Times New Roman" w:hAnsi="Times New Roman"/>
          <w:sz w:val="20"/>
          <w:u w:val="single"/>
        </w:rPr>
        <w:t>Section 1.1(b)</w:t>
      </w:r>
      <w:r>
        <w:rPr>
          <w:rFonts w:ascii="Times New Roman" w:hAnsi="Times New Roman"/>
          <w:sz w:val="20"/>
        </w:rPr>
        <w:t xml:space="preserve"> or </w:t>
      </w:r>
      <w:r>
        <w:rPr>
          <w:rFonts w:ascii="Times New Roman" w:hAnsi="Times New Roman"/>
          <w:sz w:val="20"/>
          <w:u w:val="single"/>
        </w:rPr>
        <w:t>Section 1.11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Commitment Increase Effective Date</w:t>
      </w:r>
      <w:r>
        <w:rPr>
          <w:rFonts w:ascii="Times New Roman" w:hAnsi="Times New Roman"/>
          <w:sz w:val="20"/>
        </w:rPr>
        <w:t xml:space="preserve">” has the meaning set forth in </w:t>
      </w:r>
      <w:r>
        <w:rPr>
          <w:rFonts w:ascii="Times New Roman" w:hAnsi="Times New Roman"/>
          <w:sz w:val="20"/>
          <w:u w:val="single"/>
        </w:rPr>
        <w:t>Section 1.11(c)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Commitment Letter</w:t>
      </w:r>
      <w:r>
        <w:rPr>
          <w:rFonts w:ascii="Times New Roman" w:hAnsi="Times New Roman"/>
          <w:sz w:val="20"/>
        </w:rPr>
        <w:t xml:space="preserve">” means that certain Securitization Facility Amendment Commitment Letter, dated as of May 18, 2020, among WESCO, PNC, Wells, Fifth Third, Scotia, TD and CIBC, as amended or supplemented from time to time. </w:t>
      </w:r>
    </w:p>
    <w:p>
      <w:pPr>
        <w:pStyle w:val="TextBody"/>
        <w:bidi w:val="0"/>
        <w:spacing w:before="240" w:after="0"/>
        <w:jc w:val="left"/>
        <w:rPr/>
      </w:pPr>
      <w:r>
        <w:rPr/>
        <w:t>“</w:t>
      </w:r>
      <w:r>
        <w:rPr>
          <w:rFonts w:ascii="Times New Roman" w:hAnsi="Times New Roman"/>
          <w:sz w:val="20"/>
          <w:u w:val="single"/>
        </w:rPr>
        <w:t>Commitment Percentage</w:t>
      </w:r>
      <w:r>
        <w:rPr>
          <w:rFonts w:ascii="Times New Roman" w:hAnsi="Times New Roman"/>
          <w:sz w:val="20"/>
        </w:rPr>
        <w:t xml:space="preserve">” means, at any time, for each Committed Purchaser in a Purchaser Group, such Committed Purchaser’s Commitment divided by the total of all Commitments of all Committed Purchasers in such Purchaser Group. </w:t>
      </w:r>
    </w:p>
    <w:p>
      <w:pPr>
        <w:pStyle w:val="TextBody"/>
        <w:bidi w:val="0"/>
        <w:spacing w:before="240" w:after="0"/>
        <w:jc w:val="left"/>
        <w:rPr/>
      </w:pPr>
      <w:r>
        <w:rPr/>
        <w:t>“</w:t>
      </w:r>
      <w:r>
        <w:rPr>
          <w:rFonts w:ascii="Times New Roman" w:hAnsi="Times New Roman"/>
          <w:sz w:val="20"/>
          <w:u w:val="single"/>
        </w:rPr>
        <w:t>Committed Purchaser</w:t>
      </w:r>
      <w:r>
        <w:rPr>
          <w:rFonts w:ascii="Times New Roman" w:hAnsi="Times New Roman"/>
          <w:sz w:val="20"/>
        </w:rPr>
        <w:t xml:space="preserve">” means each Person listed as such on the signature pages of this Agreement or in any Assumption Agreement or Transfer Supplement. </w:t>
      </w:r>
    </w:p>
    <w:p>
      <w:pPr>
        <w:pStyle w:val="TextBody"/>
        <w:bidi w:val="0"/>
        <w:spacing w:before="240" w:after="0"/>
        <w:jc w:val="left"/>
        <w:rPr/>
      </w:pPr>
      <w:r>
        <w:rPr/>
        <w:t>“</w:t>
      </w:r>
      <w:r>
        <w:rPr>
          <w:rFonts w:ascii="Times New Roman" w:hAnsi="Times New Roman"/>
          <w:sz w:val="20"/>
          <w:u w:val="single"/>
        </w:rPr>
        <w:t>Company Note</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of the Sale Agreement. </w:t>
      </w:r>
    </w:p>
    <w:p>
      <w:pPr>
        <w:pStyle w:val="TextBody"/>
        <w:bidi w:val="0"/>
        <w:spacing w:before="240" w:after="0"/>
        <w:jc w:val="left"/>
        <w:rPr/>
      </w:pPr>
      <w:r>
        <w:rPr/>
        <w:t>“</w:t>
      </w:r>
      <w:r>
        <w:rPr>
          <w:rFonts w:ascii="Times New Roman" w:hAnsi="Times New Roman"/>
          <w:sz w:val="20"/>
          <w:u w:val="single"/>
        </w:rPr>
        <w:t>Concentration Percentage</w:t>
      </w:r>
      <w:r>
        <w:rPr>
          <w:rFonts w:ascii="Times New Roman" w:hAnsi="Times New Roman"/>
          <w:sz w:val="20"/>
        </w:rPr>
        <w:t xml:space="preserve">” means Normal Concentration Percentage;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Administrator may, if each of the Purchasers has so consented, approve higher Concentration Percentages for selected Obligors (which approved percentage shall become the “Concentration Percentage” applicable to such Obligor).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Concentration Reserve</w:t>
      </w:r>
      <w:r>
        <w:rPr>
          <w:rFonts w:ascii="Times New Roman" w:hAnsi="Times New Roman"/>
          <w:sz w:val="20"/>
        </w:rPr>
        <w:t xml:space="preserve">” means, at any time of determination, an amount equal to: (a) the Aggregate Investment on such date,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(b)(i) the Concentration Reserve Percentage at such time, </w:t>
      </w:r>
      <w:r>
        <w:rPr>
          <w:rFonts w:ascii="Times New Roman" w:hAnsi="Times New Roman"/>
          <w:sz w:val="20"/>
          <w:u w:val="single"/>
        </w:rPr>
        <w:t>divided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100% </w:t>
      </w:r>
      <w:r>
        <w:rPr>
          <w:rFonts w:ascii="Times New Roman" w:hAnsi="Times New Roman"/>
          <w:sz w:val="20"/>
          <w:u w:val="single"/>
        </w:rPr>
        <w:t>minus</w:t>
      </w:r>
      <w:r>
        <w:rPr>
          <w:rFonts w:ascii="Times New Roman" w:hAnsi="Times New Roman"/>
          <w:sz w:val="20"/>
        </w:rPr>
        <w:t xml:space="preserve"> the Concentration Reserve Percentage at such time. </w:t>
      </w:r>
    </w:p>
    <w:p>
      <w:pPr>
        <w:pStyle w:val="TextBody"/>
        <w:bidi w:val="0"/>
        <w:spacing w:before="240" w:after="0"/>
        <w:jc w:val="left"/>
        <w:rPr/>
      </w:pPr>
      <w:r>
        <w:rPr/>
        <w:t>“</w:t>
      </w:r>
      <w:r>
        <w:rPr>
          <w:rFonts w:ascii="Times New Roman" w:hAnsi="Times New Roman"/>
          <w:sz w:val="20"/>
          <w:u w:val="single"/>
        </w:rPr>
        <w:t>Concentration Reserve Percentage</w:t>
      </w:r>
      <w:r>
        <w:rPr>
          <w:rFonts w:ascii="Times New Roman" w:hAnsi="Times New Roman"/>
          <w:sz w:val="20"/>
        </w:rPr>
        <w:t xml:space="preserve">” means, at any time of determination, the largest of: (a) the sum of the four (4) largest Obligor Percentages of the Group D Obligors, (b) the sum of the two (2) largest Obligor Percentages of the Group C Obligors, (c) the largest Obligor Percentage of the Group B Obligors and (d) the largest Obligor Percentage of the Group A Obligors. </w:t>
      </w:r>
    </w:p>
    <w:p>
      <w:pPr>
        <w:pStyle w:val="TextBody"/>
        <w:bidi w:val="0"/>
        <w:spacing w:before="240" w:after="0"/>
        <w:jc w:val="left"/>
        <w:rPr/>
      </w:pPr>
      <w:r>
        <w:rPr/>
        <w:t>“</w:t>
      </w:r>
      <w:r>
        <w:rPr>
          <w:rFonts w:ascii="Times New Roman" w:hAnsi="Times New Roman"/>
          <w:sz w:val="20"/>
          <w:u w:val="single"/>
        </w:rPr>
        <w:t>Conduit Purchasers</w:t>
      </w:r>
      <w:r>
        <w:rPr>
          <w:rFonts w:ascii="Times New Roman" w:hAnsi="Times New Roman"/>
          <w:sz w:val="20"/>
        </w:rPr>
        <w:t xml:space="preserve">” means each commercial paper conduit or other entity that is a party to this Agreement, as a purchaser, or that becomes a party to this Agreement, as a purchaser pursuant to an Assumption Agreement. Any reference to the “related” Conduit Purchaser of any Committed Purchaser (or words to similar effect) shall be deemed to be a reference to the Conduit Purchaser (if any) in such Committed Purchaser’s Purchaser Group.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any SOFR Rate, Daily Resetting SOFR or Daily Simple SOFR or any Benchmark Replacement in relation thereto, any technical, administrative or operational changes (including changes to the definition of “Base Rate,” the definition of “Business Day,” the definition of “Yield Period,” timing and frequency of determining rates and making payments of discount, timing of investment requests or prepayment, conversion or continuation notices, the applicability and length of lookback periods, the applicability of termination fees, and other technical, administrative or operational matters) that the Administrator decides may be appropriate to reflect the adoption and implementation of any SOFR Rate, Daily Resetting SOFR or Daily Simple SOFR or such Benchmark Replacement and to permit the administration thereof by the Administrator in a manner substantially consistent with market practice (or, if the Administrator decides that adoption of any portion of such market practice is not administratively feasible or if the Administrator determines that no market practice for the administration of any SOFR Rate, Daily Resetting SOFR or Daily Simple SOFR or the Benchmark Replacement exists, in such other manner of administration as the Administrator decides is reasonably necessary in connection with the administration of this Agreement and the other Transaction Documents).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 </w:t>
      </w:r>
    </w:p>
    <w:p>
      <w:pPr>
        <w:pStyle w:val="TextBody"/>
        <w:bidi w:val="0"/>
        <w:spacing w:before="240" w:after="0"/>
        <w:jc w:val="left"/>
        <w:rPr/>
      </w:pPr>
      <w:r>
        <w:rPr/>
        <w:t>“</w:t>
      </w:r>
      <w:r>
        <w:rPr>
          <w:rFonts w:ascii="Times New Roman" w:hAnsi="Times New Roman"/>
          <w:sz w:val="20"/>
          <w:u w:val="single"/>
        </w:rPr>
        <w:t>Contra Amount</w:t>
      </w:r>
      <w:r>
        <w:rPr>
          <w:rFonts w:ascii="Times New Roman" w:hAnsi="Times New Roman"/>
          <w:sz w:val="20"/>
        </w:rPr>
        <w:t xml:space="preserve">” means, at any time of determination and with respect to any Obligor, the Contra Proxy Amount; </w:t>
      </w:r>
      <w:r>
        <w:rPr>
          <w:rFonts w:ascii="Times New Roman" w:hAnsi="Times New Roman"/>
          <w:sz w:val="20"/>
          <w:u w:val="single"/>
        </w:rPr>
        <w:t>provided</w:t>
      </w:r>
      <w:r>
        <w:rPr>
          <w:rFonts w:ascii="Times New Roman" w:hAnsi="Times New Roman"/>
          <w:sz w:val="20"/>
        </w:rPr>
        <w:t xml:space="preserve">, that on fifteen (15) Business Days’ notice to the Servicer, the “Contra Amount” with respect to any Obligor shall be the actual aggregate amounts of indebtedness and other obligations owed to such Obligor and its Affiliates by any Originator or any of its Affiliates, including, without limitation, any such indebtedness or obligations arising in connection with the sale of goods or rendering of services by such Obligor or its Affiliates to any Originator or any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Contra Proxy Amount</w:t>
      </w:r>
      <w:r>
        <w:rPr>
          <w:rFonts w:ascii="Times New Roman" w:hAnsi="Times New Roman"/>
          <w:sz w:val="20"/>
        </w:rPr>
        <w:t xml:space="preserve">” means, at any time of determination and with respect to any Obligor, an amount equal to 0.9% of the Outstanding Balance of such Obligor’s Receivables.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 each of WESCO, the Seller and the Originators and their respective Subsidiaries, and (b) each Person that, directly or indirectly, controls a Person described in </w:t>
      </w:r>
      <w:r>
        <w:rPr>
          <w:rFonts w:ascii="Times New Roman" w:hAnsi="Times New Roman"/>
          <w:sz w:val="20"/>
          <w:u w:val="single"/>
        </w:rPr>
        <w:t>clause (a)</w:t>
      </w:r>
      <w:r>
        <w:rPr>
          <w:rFonts w:ascii="Times New Roman" w:hAnsi="Times New Roman"/>
          <w:sz w:val="20"/>
        </w:rPr>
        <w:t xml:space="preserve"> above. For purposes of this definition, control of a Person means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 </w:t>
      </w:r>
    </w:p>
    <w:p>
      <w:pPr>
        <w:pStyle w:val="TextBody"/>
        <w:bidi w:val="0"/>
        <w:spacing w:before="240" w:after="0"/>
        <w:jc w:val="left"/>
        <w:rPr/>
      </w:pPr>
      <w:r>
        <w:rPr/>
        <w:t>“</w:t>
      </w:r>
      <w:r>
        <w:rPr>
          <w:rFonts w:ascii="Times New Roman" w:hAnsi="Times New Roman"/>
          <w:sz w:val="20"/>
          <w:u w:val="single"/>
        </w:rPr>
        <w:t>CP Rate</w:t>
      </w:r>
      <w:r>
        <w:rPr>
          <w:rFonts w:ascii="Times New Roman" w:hAnsi="Times New Roman"/>
          <w:sz w:val="20"/>
        </w:rPr>
        <w:t xml:space="preserve">” means, subject to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below, for any Conduit Purchaser and for any Yield Period for any Portion of Investment (a) the </w:t>
      </w:r>
      <w:r>
        <w:rPr>
          <w:rFonts w:ascii="Times New Roman" w:hAnsi="Times New Roman"/>
          <w:sz w:val="20"/>
          <w:u w:val="single"/>
        </w:rPr>
        <w:t>per</w:t>
      </w:r>
      <w:r>
        <w:rPr>
          <w:rFonts w:ascii="Times New Roman" w:hAnsi="Times New Roman"/>
          <w:sz w:val="20"/>
        </w:rPr>
        <w:t xml:space="preserve"> </w:t>
      </w:r>
      <w:r>
        <w:rPr>
          <w:rFonts w:ascii="Times New Roman" w:hAnsi="Times New Roman"/>
          <w:sz w:val="20"/>
          <w:u w:val="single"/>
        </w:rPr>
        <w:t>annum</w:t>
      </w:r>
      <w:r>
        <w:rPr>
          <w:rFonts w:ascii="Times New Roman" w:hAnsi="Times New Roman"/>
          <w:sz w:val="20"/>
        </w:rPr>
        <w:t xml:space="preserve"> rate equivalent to the weighted average cost (as determined by the applicable Purchaser Agent and which shall include commissions of placement agents and dealers, incremental carrying costs incurred with respect to Notes of such Person maturing on dates other than those on which corresponding funds are received by such Conduit Purchaser, other borrowings by such Conduit Purchaser (other than under any Program Support Agreement) and any other costs associated with the issuance of Notes) of or related to the issuance of Notes that are allocated, in whole or in part, by the applicable Purchaser Agent to fund or maintain such Portion of Investment (and which may be also allocated in part to the funding of other assets of such Conduit Purchaser);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if any component of such rate is a discount rate, in calculating the “</w:t>
      </w:r>
      <w:r>
        <w:rPr>
          <w:rFonts w:ascii="Times New Roman" w:hAnsi="Times New Roman"/>
          <w:sz w:val="20"/>
          <w:u w:val="single"/>
        </w:rPr>
        <w:t>CP Rate</w:t>
      </w:r>
      <w:r>
        <w:rPr>
          <w:rFonts w:ascii="Times New Roman" w:hAnsi="Times New Roman"/>
          <w:sz w:val="20"/>
        </w:rPr>
        <w:t xml:space="preserve">” for such Portion of Investment for such Yield Period, the applicable Purchaser Agent shall for such component use the rate resulting from converting such discount rate to an interest bearing equivalent rate </w:t>
      </w:r>
      <w:r>
        <w:rPr>
          <w:rFonts w:ascii="Times New Roman" w:hAnsi="Times New Roman"/>
          <w:sz w:val="20"/>
          <w:u w:val="single"/>
        </w:rPr>
        <w:t>per</w:t>
      </w:r>
      <w:r>
        <w:rPr>
          <w:rFonts w:ascii="Times New Roman" w:hAnsi="Times New Roman"/>
          <w:sz w:val="20"/>
        </w:rPr>
        <w:t xml:space="preserve"> </w:t>
      </w:r>
      <w:r>
        <w:rPr>
          <w:rFonts w:ascii="Times New Roman" w:hAnsi="Times New Roman"/>
          <w:sz w:val="20"/>
          <w:u w:val="single"/>
        </w:rPr>
        <w:t>annum</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in this Agreement or the other Transaction Documents to the contrary, the Seller agrees that any amounts payable to the Purchasers in respect of Discount for any Yield Period with respect to any Portion of Investment funded by such Purchaser at the CP Rate shall include an amount equal to the portion of the face amount of the outstanding Notes issued to fund or maintain such Portion of Investment that corresponds to the portion of the proceeds of such Notes that was used to pay the interest component of maturing Notes issued to fund or maintain such Portion of Investment, to the extent that such Purchaser had not received payments of interest in respect of such interest component prior to the maturity date of such maturing Notes (for purposes of the foregoing, the “interest component” of Notes equals the excess of the face amount thereof over the net proceeds received by such Purchaser from the issuance of Notes, except that if such Notes are issued on an interest-bearing basis its “interest component” will equal the amount of interest accruing on such Notes through maturity), (b) if such Conduit Purchaser is Reliant Trust or Macro Trust, the Daily Resetting SOFR for each day during such Yield Period or (c) any other rate designated as the “CP Rate” for such Conduit Purchaser in a Purchaser Group Fee Letter, an Assumption Agreement or Transfer Supplement pursuant to which such Person becomes a party as a Conduit Purchaser to this Agreement, or any other writing or agreement provided by such Conduit Purchaser to the Seller, the Servicer and the applicable Purchaser Agent from time to time. The “CP Rate” for any day while a Termination Event or an Unmatured Termination Event exists shall be an interest rate equal to the greater of (x) 2.0% per annum above the Base Rate as in effect on such day and (y) the CP Rate as determined above pursuant to this definition. Notwithstanding the foregoing, if the CP Rate as determined herein would be less than zero percent (0.00%), such rate shall be deemed to be zero percent (0.00%)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CP Rate Investment</w:t>
      </w:r>
      <w:r>
        <w:rPr>
          <w:rFonts w:ascii="Times New Roman" w:hAnsi="Times New Roman"/>
          <w:sz w:val="20"/>
        </w:rPr>
        <w:t xml:space="preserve">” means, at any time, any Investment (or portion thereof) of any Conduit Purchaser, which Investment (or portion thereof) is then being funded by such Conduit Purchaser through the issuance of Notes. For the avoidance of doubt, to the extent any Conduit Purchaser funds any Investment through its Liquidity Agreement or any other Program Support Agreement, rather than through the issuance of Notes, such Investment shall not constitute CP Rate Investment.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means that certain Fourth Amended and Restated Credit Agreement, dated as of the date hereof, among WESCO, certain Subsidiaries and Affiliates of WESCO, Barclays Bank PLC, as administrative agent, and the other Persons parties thereto, without giving effect to any termination thereof, as amended, restated, amended and restated, supplemented, renewed, refinanced, replaced or otherwise modified from time to time. </w:t>
      </w:r>
    </w:p>
    <w:p>
      <w:pPr>
        <w:pStyle w:val="TextBody"/>
        <w:bidi w:val="0"/>
        <w:spacing w:before="240" w:after="0"/>
        <w:jc w:val="left"/>
        <w:rPr/>
      </w:pPr>
      <w:r>
        <w:rPr/>
        <w:t>“</w:t>
      </w:r>
      <w:r>
        <w:rPr>
          <w:rFonts w:ascii="Times New Roman" w:hAnsi="Times New Roman"/>
          <w:sz w:val="20"/>
          <w:u w:val="single"/>
        </w:rPr>
        <w:t>Credit and Collection Policy</w:t>
      </w:r>
      <w:r>
        <w:rPr>
          <w:rFonts w:ascii="Times New Roman" w:hAnsi="Times New Roman"/>
          <w:sz w:val="20"/>
        </w:rPr>
        <w:t xml:space="preserve">” means, as the context may require, those receivables credit and collection policies and practices of each Originator and of WESCO in effect on the date of this Agreement and described in </w:t>
      </w:r>
      <w:r>
        <w:rPr>
          <w:rFonts w:ascii="Times New Roman" w:hAnsi="Times New Roman"/>
          <w:sz w:val="20"/>
          <w:u w:val="single"/>
        </w:rPr>
        <w:t>Schedule I</w:t>
      </w:r>
      <w:r>
        <w:rPr>
          <w:rFonts w:ascii="Times New Roman" w:hAnsi="Times New Roman"/>
          <w:sz w:val="20"/>
        </w:rPr>
        <w:t xml:space="preserve"> to this Agreement, as modified in compliance with this Agreement. </w:t>
      </w:r>
    </w:p>
    <w:p>
      <w:pPr>
        <w:pStyle w:val="TextBody"/>
        <w:bidi w:val="0"/>
        <w:spacing w:before="240" w:after="0"/>
        <w:jc w:val="left"/>
        <w:rPr/>
      </w:pPr>
      <w:r>
        <w:rPr/>
        <w:t>“</w:t>
      </w:r>
      <w:r>
        <w:rPr>
          <w:rFonts w:ascii="Times New Roman" w:hAnsi="Times New Roman"/>
          <w:sz w:val="20"/>
          <w:u w:val="single"/>
        </w:rPr>
        <w:t>Cut-off Date</w:t>
      </w:r>
      <w:r>
        <w:rPr>
          <w:rFonts w:ascii="Times New Roman" w:hAnsi="Times New Roman"/>
          <w:sz w:val="20"/>
        </w:rPr>
        <w:t xml:space="preserve">” has the meaning set forth in the Sale Agreement. </w:t>
      </w:r>
    </w:p>
    <w:p>
      <w:pPr>
        <w:pStyle w:val="TextBody"/>
        <w:bidi w:val="0"/>
        <w:spacing w:before="240" w:after="0"/>
        <w:jc w:val="left"/>
        <w:rPr/>
      </w:pPr>
      <w:r>
        <w:rPr/>
        <w:t>“</w:t>
      </w:r>
      <w:r>
        <w:rPr>
          <w:rFonts w:ascii="Times New Roman" w:hAnsi="Times New Roman"/>
          <w:sz w:val="20"/>
          <w:u w:val="single"/>
        </w:rPr>
        <w:t>Daily Rate Investment</w:t>
      </w:r>
      <w:r>
        <w:rPr>
          <w:rFonts w:ascii="Times New Roman" w:hAnsi="Times New Roman"/>
          <w:sz w:val="20"/>
        </w:rPr>
        <w:t xml:space="preserve">” means an Investment that accrues discount at a rate based on the (i) Base Rate, (ii) [reserved] or (iii) Daily Resetting SOFR. </w:t>
      </w:r>
    </w:p>
    <w:p>
      <w:pPr>
        <w:pStyle w:val="TextBody"/>
        <w:bidi w:val="0"/>
        <w:spacing w:before="240" w:after="0"/>
        <w:jc w:val="left"/>
        <w:rPr/>
      </w:pPr>
      <w:r>
        <w:rPr/>
        <w:t>“</w:t>
      </w:r>
      <w:r>
        <w:rPr>
          <w:rFonts w:ascii="Times New Roman" w:hAnsi="Times New Roman"/>
          <w:sz w:val="20"/>
          <w:u w:val="single"/>
        </w:rPr>
        <w:t>Daily Rate Investment Option</w:t>
      </w:r>
      <w:r>
        <w:rPr>
          <w:rFonts w:ascii="Times New Roman" w:hAnsi="Times New Roman"/>
          <w:sz w:val="20"/>
        </w:rPr>
        <w:t xml:space="preserve">” means the option of the Seller to have Investments accrue discount at the rate and under the terms specified in </w:t>
      </w:r>
      <w:r>
        <w:rPr>
          <w:rFonts w:ascii="Times New Roman" w:hAnsi="Times New Roman"/>
          <w:sz w:val="20"/>
          <w:u w:val="single"/>
        </w:rPr>
        <w:t>Section 1.12(a)(i)(B)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Daily Report</w:t>
      </w:r>
      <w:r>
        <w:rPr>
          <w:rFonts w:ascii="Times New Roman" w:hAnsi="Times New Roman"/>
          <w:sz w:val="20"/>
        </w:rPr>
        <w:t xml:space="preserve">” means a report, in substantially the form of </w:t>
      </w:r>
      <w:r>
        <w:rPr>
          <w:rFonts w:ascii="Times New Roman" w:hAnsi="Times New Roman"/>
          <w:sz w:val="20"/>
          <w:u w:val="single"/>
        </w:rPr>
        <w:t>Annex C</w:t>
      </w:r>
      <w:r>
        <w:rPr>
          <w:rFonts w:ascii="Times New Roman" w:hAnsi="Times New Roman"/>
          <w:sz w:val="20"/>
        </w:rPr>
        <w:t xml:space="preserve"> to this Agreement, furnished to the Administrator pursuant to this Agreement. </w:t>
      </w:r>
    </w:p>
    <w:p>
      <w:pPr>
        <w:pStyle w:val="TextBody"/>
        <w:bidi w:val="0"/>
        <w:spacing w:before="240" w:after="0"/>
        <w:jc w:val="left"/>
        <w:rPr/>
      </w:pPr>
      <w:r>
        <w:rPr/>
        <w:t>“</w:t>
      </w:r>
      <w:r>
        <w:rPr>
          <w:rFonts w:ascii="Times New Roman" w:hAnsi="Times New Roman"/>
          <w:sz w:val="20"/>
          <w:u w:val="single"/>
        </w:rPr>
        <w:t>Days’ Sales Outstanding</w:t>
      </w:r>
      <w:r>
        <w:rPr>
          <w:rFonts w:ascii="Times New Roman" w:hAnsi="Times New Roman"/>
          <w:sz w:val="20"/>
        </w:rPr>
        <w:t xml:space="preserve">” means, for any calendar month, an amount computed as of the last day of such calendar month equal to: (a) the average of the Outstanding Balance of all Pool Receivables as of the last day of each of the three most recent calendar months ended on the last day of such calendar month divided by (b)(i) the aggregate credit sales made by the Originators during the three (3) calendar months ended on the last day of such calendar month divided by (ii) 90. </w:t>
      </w:r>
    </w:p>
    <w:p>
      <w:pPr>
        <w:pStyle w:val="TextBody"/>
        <w:bidi w:val="0"/>
        <w:spacing w:before="240" w:after="0"/>
        <w:jc w:val="left"/>
        <w:rPr/>
      </w:pPr>
      <w:r>
        <w:rPr/>
        <w:t>“</w:t>
      </w:r>
      <w:r>
        <w:rPr>
          <w:rFonts w:ascii="Times New Roman" w:hAnsi="Times New Roman"/>
          <w:sz w:val="20"/>
          <w:u w:val="single"/>
        </w:rPr>
        <w:t>Daily Simple SOFR</w:t>
      </w:r>
      <w:r>
        <w:rPr>
          <w:rFonts w:ascii="Times New Roman" w:hAnsi="Times New Roman"/>
          <w:sz w:val="20"/>
        </w:rPr>
        <w:t xml:space="preserve">” means, for any day, SOFR, with the conventions for this rate (which will include a lookback) being established by the Administrator in accordance with the conventions for this rate recommended by the Relevant Governmental Body for determining “Daily Simple SOFR” for syndicated business loans; provided, that if the Administrator decides that any such convention is not administratively feasible for the Administrator, then the Administrator may establish another convention in its reasonable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Daily Resetting SOFR</w:t>
      </w:r>
      <w:r>
        <w:rPr>
          <w:rFonts w:ascii="Times New Roman" w:hAnsi="Times New Roman"/>
          <w:sz w:val="20"/>
        </w:rPr>
        <w:t>” means, for any day, the rate per annum determined by the Administrator by dividing (the resulting quotient rounded upwards, at the Administrator’s discretion, to the nearest 1/100th of 1%) (a) the SOFR Rate for a tenor of one-month on such day, or if such day is not a Business Day, the immediately preceding Business Day (such day, the “</w:t>
      </w:r>
      <w:r>
        <w:rPr>
          <w:rFonts w:ascii="Times New Roman" w:hAnsi="Times New Roman"/>
          <w:sz w:val="20"/>
          <w:u w:val="single"/>
        </w:rPr>
        <w:t>Daily Resetting SOFR Determination Day</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the SOFR Rate for a tenor of one-month is not published on such Daily Resetting SOFR Determination Day, then the rate per annum for purposes of this </w:t>
      </w:r>
      <w:r>
        <w:rPr>
          <w:rFonts w:ascii="Times New Roman" w:hAnsi="Times New Roman"/>
          <w:sz w:val="20"/>
          <w:u w:val="single"/>
        </w:rPr>
        <w:t>clause (a)</w:t>
      </w:r>
      <w:r>
        <w:rPr>
          <w:rFonts w:ascii="Times New Roman" w:hAnsi="Times New Roman"/>
          <w:sz w:val="20"/>
        </w:rPr>
        <w:t xml:space="preserve"> shall be SOFR on the first Business Day immediately prior thereto, so long as such first preceding Business Day is not more than three (3) Business Days prior to such determination date. </w:t>
      </w:r>
    </w:p>
    <w:p>
      <w:pPr>
        <w:pStyle w:val="TextBody"/>
        <w:bidi w:val="0"/>
        <w:spacing w:before="240" w:after="0"/>
        <w:jc w:val="left"/>
        <w:rPr/>
      </w:pPr>
      <w:r>
        <w:rPr/>
        <w:t>“</w:t>
      </w:r>
      <w:r>
        <w:rPr>
          <w:rFonts w:ascii="Times New Roman" w:hAnsi="Times New Roman"/>
          <w:sz w:val="20"/>
          <w:u w:val="single"/>
        </w:rPr>
        <w:t>Daily Resetting SOFR Option</w:t>
      </w:r>
      <w:r>
        <w:rPr>
          <w:rFonts w:ascii="Times New Roman" w:hAnsi="Times New Roman"/>
          <w:sz w:val="20"/>
        </w:rPr>
        <w:t xml:space="preserve">” means the option of the Seller to have Investments accrue Discount at the rate and under the terms specified in </w:t>
      </w:r>
      <w:r>
        <w:rPr>
          <w:rFonts w:ascii="Times New Roman" w:hAnsi="Times New Roman"/>
          <w:sz w:val="20"/>
          <w:u w:val="single"/>
        </w:rPr>
        <w:t>Section 1.12(a)(i)(B)(2)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w:t>
      </w:r>
      <w:r>
        <w:rPr>
          <w:rFonts w:ascii="Times New Roman" w:hAnsi="Times New Roman"/>
          <w:sz w:val="20"/>
        </w:rPr>
        <w:t xml:space="preserve">” means: (a) indebtedness for borrowed money, (b) obligations evidenced by bonds, debentures, notes or other similar instruments, (c) obligations to pay the deferred purchase price of property or services (excluding current accounts payable incurred in the ordinary course of business), (d) obligations as lessee under leases that shall have been or should be, in accordance with generally accepted accounting principles, recorded as capital leases, and (e) obligations under direct or indirect guaranties in respect of, and obligations (contingent or otherwise) to purchase or otherwise acquire, or otherwise to assure a creditor against loss in respect of, indebtedness or obligations of others of the kinds referred to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Default Ratio</w:t>
      </w:r>
      <w:r>
        <w:rPr>
          <w:rFonts w:ascii="Times New Roman" w:hAnsi="Times New Roman"/>
          <w:sz w:val="20"/>
        </w:rPr>
        <w:t xml:space="preserve">” means the ratio (expressed as a percentage and rounded to the nearest 1/100 of 1%, with 5/1000th of 1% rounded upward) computed as of the last day of each calendar month by dividing: (a) the aggregate Outstanding Balance of all Pool Receivables that became Defaulted Receivables during such month, by (b) the aggregate credit sales made by the Originators during the month that is six months prior to such month. </w:t>
      </w:r>
    </w:p>
    <w:p>
      <w:pPr>
        <w:pStyle w:val="TextBody"/>
        <w:bidi w:val="0"/>
        <w:spacing w:before="240" w:after="0"/>
        <w:jc w:val="left"/>
        <w:rPr/>
      </w:pPr>
      <w:r>
        <w:rPr/>
        <w:t>“</w:t>
      </w:r>
      <w:r>
        <w:rPr>
          <w:rFonts w:ascii="Times New Roman" w:hAnsi="Times New Roman"/>
          <w:sz w:val="20"/>
          <w:u w:val="single"/>
        </w:rPr>
        <w:t>Defaulted Receivable</w:t>
      </w:r>
      <w:r>
        <w:rPr>
          <w:rFonts w:ascii="Times New Roman" w:hAnsi="Times New Roman"/>
          <w:sz w:val="20"/>
        </w:rPr>
        <w:t xml:space="preserve">” means a Receivable: </w:t>
      </w:r>
    </w:p>
    <w:p>
      <w:pPr>
        <w:pStyle w:val="TextBody"/>
        <w:bidi w:val="0"/>
        <w:spacing w:before="120" w:after="0"/>
        <w:jc w:val="left"/>
        <w:rPr>
          <w:rFonts w:ascii="Times New Roman" w:hAnsi="Times New Roman"/>
          <w:sz w:val="20"/>
        </w:rPr>
      </w:pPr>
      <w:r>
        <w:rPr>
          <w:rFonts w:ascii="Times New Roman" w:hAnsi="Times New Roman"/>
          <w:sz w:val="20"/>
        </w:rPr>
        <w:t xml:space="preserve">(a) as to which any payment, or part thereof, remains unpaid for more than 180 days from the original invoice date for such payment, or </w:t>
      </w:r>
    </w:p>
    <w:p>
      <w:pPr>
        <w:pStyle w:val="TextBody"/>
        <w:bidi w:val="0"/>
        <w:spacing w:before="120" w:after="0"/>
        <w:jc w:val="left"/>
        <w:rPr>
          <w:rFonts w:ascii="Times New Roman" w:hAnsi="Times New Roman"/>
          <w:sz w:val="20"/>
        </w:rPr>
      </w:pPr>
      <w:r>
        <w:rPr>
          <w:rFonts w:ascii="Times New Roman" w:hAnsi="Times New Roman"/>
          <w:sz w:val="20"/>
        </w:rPr>
        <w:t xml:space="preserve">(b) without duplication (i) as to which an Event of Bankruptcy shall have occurred with respect to the Obligor thereof or any other Person obligated thereon or owning any Related Security with respect thereto, (ii) that has been written off the Seller’s books as uncollectible or (iii) that should have been written off the Seller’s books as uncollectible pursuant to the Credit and Collection Policy. </w:t>
      </w:r>
    </w:p>
    <w:p>
      <w:pPr>
        <w:pStyle w:val="TextBody"/>
        <w:bidi w:val="0"/>
        <w:spacing w:before="240" w:after="0"/>
        <w:jc w:val="left"/>
        <w:rPr/>
      </w:pPr>
      <w:r>
        <w:rPr/>
        <w:t>“</w:t>
      </w:r>
      <w:r>
        <w:rPr>
          <w:rFonts w:ascii="Times New Roman" w:hAnsi="Times New Roman"/>
          <w:sz w:val="20"/>
          <w:u w:val="single"/>
        </w:rPr>
        <w:t>Defaulting Purchaser</w:t>
      </w:r>
      <w:r>
        <w:rPr>
          <w:rFonts w:ascii="Times New Roman" w:hAnsi="Times New Roman"/>
          <w:sz w:val="20"/>
        </w:rPr>
        <w:t xml:space="preserve">” means, subject to </w:t>
      </w:r>
      <w:r>
        <w:rPr>
          <w:rFonts w:ascii="Times New Roman" w:hAnsi="Times New Roman"/>
          <w:sz w:val="20"/>
          <w:u w:val="single"/>
        </w:rPr>
        <w:t>Section 1.9(b)</w:t>
      </w:r>
      <w:r>
        <w:rPr>
          <w:rFonts w:ascii="Times New Roman" w:hAnsi="Times New Roman"/>
          <w:sz w:val="20"/>
        </w:rPr>
        <w:t xml:space="preserve">, any Purchaser that (a) has failed to (i) fund all or any portion of its Investments within two (2) Business Days of the date such Investments were required to be funded hereunder unless such Purchaser notifies the Administrator and the Seller in writing that such failure is the result of such Purchaser’s good faith determination that one or more conditions precedent to funding (each of which conditions precedent, together with any applicable default, shall be specifically identified in such writing) has not been satisfied, or (ii) pay to the Administrator or any other Purchaser any other amount required to be paid by it hereunder within two (2) Business Days of the date when due, (b) has notified the Seller or the Administrator in writing that it does not intend or expect to comply with any of its funding obligations hereunder, or has made a public statement to that effect (unless such writing or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relates to such Purchaser’s obligation to fund an Investment hereunder and states that such position is based on such Purchaser’s good faith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Administrator or the Seller, to confirm in writing to the Administrator and the Seller that it will comply with its prospective funding obligations hereunder (and is financially able to meet such obligations as of the date of such certification), provided that such Purchaser shall cease to be a Defaulting Purchaser pursuant to this clause (c) upon receipt of such written confirmation by the Administrator and the Seller, or (d) has, or has a direct or indirect parent company that has, (i) become the subject of an Insolvency Proceeding,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Any determination by the Administrator that a Purchaser is a Defaulting Purchaser under any one or more of clauses (a) through (d) above shall be conclusive and binding absent manifest error, and such Purchaser shall be deemed to be a Defaulting Purchaser (subject to </w:t>
      </w:r>
      <w:r>
        <w:rPr>
          <w:rFonts w:ascii="Times New Roman" w:hAnsi="Times New Roman"/>
          <w:sz w:val="20"/>
          <w:u w:val="single"/>
        </w:rPr>
        <w:t>Section 1.9(b)</w:t>
      </w:r>
      <w:r>
        <w:rPr>
          <w:rFonts w:ascii="Times New Roman" w:hAnsi="Times New Roman"/>
          <w:sz w:val="20"/>
        </w:rPr>
        <w:t xml:space="preserve">) upon delivery of written notice of such determination to the Seller and each Purchaser. </w:t>
      </w:r>
    </w:p>
    <w:p>
      <w:pPr>
        <w:pStyle w:val="TextBody"/>
        <w:bidi w:val="0"/>
        <w:spacing w:before="240" w:after="0"/>
        <w:jc w:val="left"/>
        <w:rPr/>
      </w:pPr>
      <w:r>
        <w:rPr/>
        <w:t>“</w:t>
      </w:r>
      <w:r>
        <w:rPr>
          <w:rFonts w:ascii="Times New Roman" w:hAnsi="Times New Roman"/>
          <w:sz w:val="20"/>
          <w:u w:val="single"/>
        </w:rPr>
        <w:t>Delinquency Ratio</w:t>
      </w:r>
      <w:r>
        <w:rPr>
          <w:rFonts w:ascii="Times New Roman" w:hAnsi="Times New Roman"/>
          <w:sz w:val="20"/>
        </w:rPr>
        <w:t xml:space="preserve">” means the ratio (expressed as a percentage and rounded to the nearest 1/100 of 1%, with 5/1000th of 1% rounded upward), computed as of the last day of each calendar month by dividing: (a) the aggregate Outstanding Balance of all Pool Receivables that became Delinquent Receivables during such month, by (b) the aggregate Outstanding Balance of all Pool Receivables on such day. </w:t>
      </w:r>
    </w:p>
    <w:p>
      <w:pPr>
        <w:pStyle w:val="TextBody"/>
        <w:bidi w:val="0"/>
        <w:spacing w:before="240" w:after="0"/>
        <w:jc w:val="left"/>
        <w:rPr/>
      </w:pPr>
      <w:r>
        <w:rPr/>
        <w:t>“</w:t>
      </w:r>
      <w:r>
        <w:rPr>
          <w:rFonts w:ascii="Times New Roman" w:hAnsi="Times New Roman"/>
          <w:sz w:val="20"/>
          <w:u w:val="single"/>
        </w:rPr>
        <w:t>Delinquent Receivable</w:t>
      </w:r>
      <w:r>
        <w:rPr>
          <w:rFonts w:ascii="Times New Roman" w:hAnsi="Times New Roman"/>
          <w:sz w:val="20"/>
        </w:rPr>
        <w:t xml:space="preserve">” means a Receivable (a) as to which any payment, or part thereof, remains unpaid for more than 150 days from the original invoice date for such payment or (b) without duplication, which has been (or consistent with the Credit and Collection Policy, would be) classified as a Delinquent Receivable by the applicable Originator. </w:t>
      </w:r>
    </w:p>
    <w:p>
      <w:pPr>
        <w:pStyle w:val="TextBody"/>
        <w:bidi w:val="0"/>
        <w:spacing w:before="240" w:after="0"/>
        <w:jc w:val="left"/>
        <w:rPr/>
      </w:pPr>
      <w:r>
        <w:rPr/>
        <w:t>“</w:t>
      </w:r>
      <w:r>
        <w:rPr>
          <w:rFonts w:ascii="Times New Roman" w:hAnsi="Times New Roman"/>
          <w:sz w:val="20"/>
          <w:u w:val="single"/>
        </w:rPr>
        <w:t>Dilution Horizon Ratio</w:t>
      </w:r>
      <w:r>
        <w:rPr>
          <w:rFonts w:ascii="Times New Roman" w:hAnsi="Times New Roman"/>
          <w:sz w:val="20"/>
        </w:rPr>
        <w:t xml:space="preserve">” means, for any calendar month, the ratio (expressed as a percentage and rounded to the nearest 1/100th of 1%, with 5/1000th of 1% rounded upward) computed as of the last day of such calendar month of: (a) the aggregate credit sales made by the Originators during the two most recent calendar months (or such greater number of days or months as determined by the Administrator from time to time with the consent or at the direction of the Purchaser Agents following any periodic audit conducted pursuant to the Transaction Documents), to (b) the Adjusted Net Receivables Pool Balance at the last day of the most recent calendar month. </w:t>
      </w:r>
    </w:p>
    <w:p>
      <w:pPr>
        <w:pStyle w:val="TextBody"/>
        <w:bidi w:val="0"/>
        <w:spacing w:before="240" w:after="0"/>
        <w:jc w:val="left"/>
        <w:rPr/>
      </w:pPr>
      <w:r>
        <w:rPr/>
        <w:t>“</w:t>
      </w:r>
      <w:r>
        <w:rPr>
          <w:rFonts w:ascii="Times New Roman" w:hAnsi="Times New Roman"/>
          <w:sz w:val="20"/>
          <w:u w:val="single"/>
        </w:rPr>
        <w:t>Dilution Ratio</w:t>
      </w:r>
      <w:r>
        <w:rPr>
          <w:rFonts w:ascii="Times New Roman" w:hAnsi="Times New Roman"/>
          <w:sz w:val="20"/>
        </w:rPr>
        <w:t xml:space="preserve">” means the ratio (expressed as a percentage and rounded to the nearest 1/100th of 1%, with 5/1000th of 1% rounded upward), computed as of the last day of each calendar month by dividing: (a) the aggregate amount of payments made or owed by the Seller pursuant to </w:t>
      </w:r>
      <w:r>
        <w:rPr>
          <w:rFonts w:ascii="Times New Roman" w:hAnsi="Times New Roman"/>
          <w:sz w:val="20"/>
          <w:u w:val="single"/>
        </w:rPr>
        <w:t>Section 1.4(e)(i)</w:t>
      </w:r>
      <w:r>
        <w:rPr>
          <w:rFonts w:ascii="Times New Roman" w:hAnsi="Times New Roman"/>
          <w:sz w:val="20"/>
        </w:rPr>
        <w:t xml:space="preserve"> of this Agreement during such calendar month by (b) the aggregate credit sales made by all the Originators during the calendar month that is one month prior to such calendar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Dilution Reserve</w:t>
      </w:r>
      <w:r>
        <w:rPr>
          <w:rFonts w:ascii="Times New Roman" w:hAnsi="Times New Roman"/>
          <w:sz w:val="20"/>
        </w:rPr>
        <w:t xml:space="preserve">” means, on any date, an amount equal to: (a) the Aggregate Investments on such date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(i) the Dilution Reserve Percentage on such date, </w:t>
      </w:r>
      <w:r>
        <w:rPr>
          <w:rFonts w:ascii="Times New Roman" w:hAnsi="Times New Roman"/>
          <w:sz w:val="20"/>
          <w:u w:val="single"/>
        </w:rPr>
        <w:t>divided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100% minus the Dilution Reserve Percentage on such date. </w:t>
      </w:r>
    </w:p>
    <w:p>
      <w:pPr>
        <w:pStyle w:val="TextBody"/>
        <w:bidi w:val="0"/>
        <w:spacing w:before="240" w:after="0"/>
        <w:jc w:val="left"/>
        <w:rPr/>
      </w:pPr>
      <w:r>
        <w:rPr/>
        <w:t>“</w:t>
      </w:r>
      <w:r>
        <w:rPr>
          <w:rFonts w:ascii="Times New Roman" w:hAnsi="Times New Roman"/>
          <w:sz w:val="20"/>
          <w:u w:val="single"/>
        </w:rPr>
        <w:t>Dilution Reserve Percentage</w:t>
      </w:r>
      <w:r>
        <w:rPr>
          <w:rFonts w:ascii="Times New Roman" w:hAnsi="Times New Roman"/>
          <w:sz w:val="20"/>
        </w:rPr>
        <w:t xml:space="preserve">” means, on any date, the product of (i) the sum of (A) 2.00 times the Adjusted Dilution Ratio </w:t>
      </w:r>
      <w:r>
        <w:rPr>
          <w:rFonts w:ascii="Times New Roman" w:hAnsi="Times New Roman"/>
          <w:sz w:val="20"/>
          <w:u w:val="single"/>
        </w:rPr>
        <w:t>plus</w:t>
      </w:r>
      <w:r>
        <w:rPr>
          <w:rFonts w:ascii="Times New Roman" w:hAnsi="Times New Roman"/>
          <w:sz w:val="20"/>
        </w:rPr>
        <w:t xml:space="preserve"> (B) the Dilution Volatility Component,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the Dilution Horizon Ratio. </w:t>
      </w:r>
    </w:p>
    <w:p>
      <w:pPr>
        <w:pStyle w:val="TextBody"/>
        <w:bidi w:val="0"/>
        <w:spacing w:before="240" w:after="0"/>
        <w:jc w:val="left"/>
        <w:rPr/>
      </w:pPr>
      <w:r>
        <w:rPr/>
        <w:t>“</w:t>
      </w:r>
      <w:r>
        <w:rPr>
          <w:rFonts w:ascii="Times New Roman" w:hAnsi="Times New Roman"/>
          <w:sz w:val="20"/>
          <w:u w:val="single"/>
        </w:rPr>
        <w:t>Dilution Volatility Component</w:t>
      </w:r>
      <w:r>
        <w:rPr>
          <w:rFonts w:ascii="Times New Roman" w:hAnsi="Times New Roman"/>
          <w:sz w:val="20"/>
        </w:rPr>
        <w:t>” means, for any calendar month, the product of (a) the difference of (i) the highest three-month rolling average Dilution Ratio during the twelve most recent calendar months (the “</w:t>
      </w:r>
      <w:r>
        <w:rPr>
          <w:rFonts w:ascii="Times New Roman" w:hAnsi="Times New Roman"/>
          <w:sz w:val="20"/>
          <w:u w:val="single"/>
        </w:rPr>
        <w:t>Highest 3-Month Rolling Average Dilution Ratio</w:t>
      </w:r>
      <w:r>
        <w:rPr>
          <w:rFonts w:ascii="Times New Roman" w:hAnsi="Times New Roman"/>
          <w:sz w:val="20"/>
        </w:rPr>
        <w:t xml:space="preserve">”) </w:t>
      </w:r>
      <w:r>
        <w:rPr>
          <w:rFonts w:ascii="Times New Roman" w:hAnsi="Times New Roman"/>
          <w:sz w:val="20"/>
          <w:u w:val="single"/>
        </w:rPr>
        <w:t>minus</w:t>
      </w:r>
      <w:r>
        <w:rPr>
          <w:rFonts w:ascii="Times New Roman" w:hAnsi="Times New Roman"/>
          <w:sz w:val="20"/>
        </w:rPr>
        <w:t xml:space="preserve"> (ii) the Adjusted Dilution Ratio for such calendar month,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a fraction (i) the numerator of which is the Highest 3-Month Rolling Average Dilution Ratio during the twelve most recent calendar months and (ii) the denominator of which is the Adjusted Dilution Ratio for such calendar month. </w:t>
      </w:r>
    </w:p>
    <w:p>
      <w:pPr>
        <w:pStyle w:val="TextBody"/>
        <w:bidi w:val="0"/>
        <w:spacing w:before="240" w:after="0"/>
        <w:jc w:val="left"/>
        <w:rPr/>
      </w:pPr>
      <w:r>
        <w:rPr/>
        <w:t>“</w:t>
      </w:r>
      <w:r>
        <w:rPr>
          <w:rFonts w:ascii="Times New Roman" w:hAnsi="Times New Roman"/>
          <w:sz w:val="20"/>
          <w:u w:val="single"/>
        </w:rPr>
        <w:t>Discount</w:t>
      </w:r>
      <w:r>
        <w:rPr>
          <w:rFonts w:ascii="Times New Roman" w:hAnsi="Times New Roman"/>
          <w:sz w:val="20"/>
        </w:rPr>
        <w:t xml:space="preserve">” means for each Portion of Investment for any Yield Period (or portion thereof), (a) with respect to any Portion of Investment other than CP Rate Investments, the amount of discount accrued on such Portion of Investment during such Yield Period (or portion thereof) in accordance with </w:t>
      </w:r>
      <w:r>
        <w:rPr>
          <w:rFonts w:ascii="Times New Roman" w:hAnsi="Times New Roman"/>
          <w:sz w:val="20"/>
          <w:u w:val="single"/>
        </w:rPr>
        <w:t>Section 1.12</w:t>
      </w:r>
      <w:r>
        <w:rPr>
          <w:rFonts w:ascii="Times New Roman" w:hAnsi="Times New Roman"/>
          <w:sz w:val="20"/>
        </w:rPr>
        <w:t xml:space="preserve"> and (b) if such Portion of Investment is a CP Rate Investment, then the CP Rate. </w:t>
      </w:r>
    </w:p>
    <w:p>
      <w:pPr>
        <w:pStyle w:val="TextBody"/>
        <w:bidi w:val="0"/>
        <w:spacing w:before="240" w:after="0"/>
        <w:jc w:val="left"/>
        <w:rPr/>
      </w:pPr>
      <w:r>
        <w:rPr/>
        <w:t>“</w:t>
      </w:r>
      <w:r>
        <w:rPr>
          <w:rFonts w:ascii="Times New Roman" w:hAnsi="Times New Roman"/>
          <w:sz w:val="20"/>
          <w:u w:val="single"/>
        </w:rPr>
        <w:t>Discount Rate Option</w:t>
      </w:r>
      <w:r>
        <w:rPr>
          <w:rFonts w:ascii="Times New Roman" w:hAnsi="Times New Roman"/>
          <w:sz w:val="20"/>
        </w:rPr>
        <w:t xml:space="preserve">” means any Term Rate Investment Option or Daily Rate Investment Option.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sz w:val="20"/>
          <w:u w:val="single"/>
        </w:rPr>
        <w:t>clause (a)</w:t>
      </w:r>
      <w:r>
        <w:rPr>
          <w:rFonts w:ascii="Times New Roman" w:hAnsi="Times New Roman"/>
          <w:sz w:val="20"/>
        </w:rPr>
        <w:t xml:space="preserve"> of this definition, or (c) any financial institution established in an EEA Member Country which is a subsidiary of an institution described in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Eligible Foreign Obligor</w:t>
      </w:r>
      <w:r>
        <w:rPr>
          <w:rFonts w:ascii="Times New Roman" w:hAnsi="Times New Roman"/>
          <w:sz w:val="20"/>
        </w:rPr>
        <w:t xml:space="preserve">” means an Obligor which is a resident of any country (other than the United States) that has a long-term currency rating of at least “A” by Standard &amp; Poor’s and “A2” by Moody’s. </w:t>
      </w:r>
    </w:p>
    <w:p>
      <w:pPr>
        <w:pStyle w:val="TextBody"/>
        <w:bidi w:val="0"/>
        <w:spacing w:before="240" w:after="0"/>
        <w:jc w:val="left"/>
        <w:rPr/>
      </w:pPr>
      <w:r>
        <w:rPr/>
        <w:t>“</w:t>
      </w:r>
      <w:r>
        <w:rPr>
          <w:rFonts w:ascii="Times New Roman" w:hAnsi="Times New Roman"/>
          <w:sz w:val="20"/>
          <w:u w:val="single"/>
        </w:rPr>
        <w:t>Eligible Receivable</w:t>
      </w:r>
      <w:r>
        <w:rPr>
          <w:rFonts w:ascii="Times New Roman" w:hAnsi="Times New Roman"/>
          <w:sz w:val="20"/>
        </w:rPr>
        <w:t xml:space="preserve">” means, at any time, a Pool Receivable: </w:t>
      </w:r>
    </w:p>
    <w:p>
      <w:pPr>
        <w:pStyle w:val="TextBody"/>
        <w:bidi w:val="0"/>
        <w:spacing w:before="120" w:after="0"/>
        <w:jc w:val="left"/>
        <w:rPr>
          <w:rFonts w:ascii="Times New Roman" w:hAnsi="Times New Roman"/>
          <w:sz w:val="20"/>
        </w:rPr>
      </w:pPr>
      <w:r>
        <w:rPr>
          <w:rFonts w:ascii="Times New Roman" w:hAnsi="Times New Roman"/>
          <w:sz w:val="20"/>
        </w:rPr>
        <w:t xml:space="preserve">(a) the Obligor of which is (i) a United States resident or an Eligible Foreign Obligor, (ii) not subject to any action of the type described in </w:t>
      </w:r>
      <w:r>
        <w:rPr>
          <w:rFonts w:ascii="Times New Roman" w:hAnsi="Times New Roman"/>
          <w:sz w:val="20"/>
          <w:u w:val="single"/>
        </w:rPr>
        <w:t>paragraph (f)</w:t>
      </w:r>
      <w:r>
        <w:rPr>
          <w:rFonts w:ascii="Times New Roman" w:hAnsi="Times New Roman"/>
          <w:sz w:val="20"/>
        </w:rPr>
        <w:t xml:space="preserve"> of </w:t>
      </w:r>
      <w:r>
        <w:rPr>
          <w:rFonts w:ascii="Times New Roman" w:hAnsi="Times New Roman"/>
          <w:sz w:val="20"/>
          <w:u w:val="single"/>
        </w:rPr>
        <w:t>Exhibit V</w:t>
      </w:r>
      <w:r>
        <w:rPr>
          <w:rFonts w:ascii="Times New Roman" w:hAnsi="Times New Roman"/>
          <w:sz w:val="20"/>
        </w:rPr>
        <w:t xml:space="preserve"> to this Agreement, (iii) not an Affiliate of WESCO or any Originator and (iv) not a Sanctioned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that is denominated and payable only in U.S. dollars in the United States and the Obligor with respect to which has been instructed to remit Collections in respect thereof to a Lock-Box Account, </w:t>
      </w:r>
    </w:p>
    <w:p>
      <w:pPr>
        <w:pStyle w:val="TextBody"/>
        <w:bidi w:val="0"/>
        <w:spacing w:before="120" w:after="0"/>
        <w:jc w:val="left"/>
        <w:rPr>
          <w:rFonts w:ascii="Times New Roman" w:hAnsi="Times New Roman"/>
          <w:sz w:val="20"/>
        </w:rPr>
      </w:pPr>
      <w:r>
        <w:rPr>
          <w:rFonts w:ascii="Times New Roman" w:hAnsi="Times New Roman"/>
          <w:sz w:val="20"/>
        </w:rPr>
        <w:t xml:space="preserve">(c) that does not have a stated maturity which is more than 150 days after the original invoice date of such Receivable, unless a longer stated maturity is approved by and in the sole discretion of the Administrator and all of the Purchasers in writing, prior to the acquisition of such Receivable (or any interest therein), </w:t>
      </w:r>
    </w:p>
    <w:p>
      <w:pPr>
        <w:pStyle w:val="TextBody"/>
        <w:bidi w:val="0"/>
        <w:spacing w:before="120" w:after="0"/>
        <w:jc w:val="left"/>
        <w:rPr>
          <w:rFonts w:ascii="Times New Roman" w:hAnsi="Times New Roman"/>
          <w:sz w:val="20"/>
        </w:rPr>
      </w:pPr>
      <w:r>
        <w:rPr>
          <w:rFonts w:ascii="Times New Roman" w:hAnsi="Times New Roman"/>
          <w:sz w:val="20"/>
        </w:rPr>
        <w:t xml:space="preserve">(d) that arises under a duly authorized Contract for the sale and delivery of goods and services in the ordinary course of an Originator’s business, </w:t>
      </w:r>
    </w:p>
    <w:p>
      <w:pPr>
        <w:pStyle w:val="TextBody"/>
        <w:bidi w:val="0"/>
        <w:spacing w:before="120" w:after="0"/>
        <w:jc w:val="left"/>
        <w:rPr>
          <w:rFonts w:ascii="Times New Roman" w:hAnsi="Times New Roman"/>
          <w:sz w:val="20"/>
        </w:rPr>
      </w:pPr>
      <w:r>
        <w:rPr>
          <w:rFonts w:ascii="Times New Roman" w:hAnsi="Times New Roman"/>
          <w:sz w:val="20"/>
        </w:rPr>
        <w:t xml:space="preserve">(e) that arises under a duly authorized Contract that is in full force and effect and that is a legal, valid and binding obligation of the related Obligor, enforceable against such Obligor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(f) that conforms in all material respects with all Applicable Laws in effect, </w:t>
      </w:r>
    </w:p>
    <w:p>
      <w:pPr>
        <w:pStyle w:val="TextBody"/>
        <w:bidi w:val="0"/>
        <w:spacing w:before="120" w:after="0"/>
        <w:jc w:val="left"/>
        <w:rPr>
          <w:rFonts w:ascii="Times New Roman" w:hAnsi="Times New Roman"/>
          <w:sz w:val="20"/>
        </w:rPr>
      </w:pPr>
      <w:r>
        <w:rPr>
          <w:rFonts w:ascii="Times New Roman" w:hAnsi="Times New Roman"/>
          <w:sz w:val="20"/>
        </w:rPr>
        <w:t xml:space="preserve">(g) that is not the subject of any asserted dispute, offset, hold back defense, Adverse Claim or other claim, </w:t>
      </w:r>
    </w:p>
    <w:p>
      <w:pPr>
        <w:pStyle w:val="TextBody"/>
        <w:bidi w:val="0"/>
        <w:spacing w:before="120" w:after="0"/>
        <w:jc w:val="left"/>
        <w:rPr>
          <w:rFonts w:ascii="Times New Roman" w:hAnsi="Times New Roman"/>
          <w:sz w:val="20"/>
        </w:rPr>
      </w:pPr>
      <w:r>
        <w:rPr>
          <w:rFonts w:ascii="Times New Roman" w:hAnsi="Times New Roman"/>
          <w:sz w:val="20"/>
        </w:rPr>
        <w:t xml:space="preserve">(h) that satisfies all applicable requirements of the applicable Credit and Collection Policy, </w:t>
      </w:r>
    </w:p>
    <w:p>
      <w:pPr>
        <w:pStyle w:val="TextBody"/>
        <w:bidi w:val="0"/>
        <w:spacing w:before="120" w:after="0"/>
        <w:jc w:val="left"/>
        <w:rPr>
          <w:rFonts w:ascii="Times New Roman" w:hAnsi="Times New Roman"/>
          <w:sz w:val="20"/>
        </w:rPr>
      </w:pPr>
      <w:r>
        <w:rPr>
          <w:rFonts w:ascii="Times New Roman" w:hAnsi="Times New Roman"/>
          <w:sz w:val="20"/>
        </w:rPr>
        <w:t xml:space="preserve">(i) that has not been modified, waived or restructured since its creation, except as permitted pursuant to </w:t>
      </w:r>
      <w:r>
        <w:rPr>
          <w:rFonts w:ascii="Times New Roman" w:hAnsi="Times New Roman"/>
          <w:sz w:val="20"/>
          <w:u w:val="single"/>
        </w:rPr>
        <w:t>Section 4.2</w:t>
      </w:r>
      <w:r>
        <w:rPr>
          <w:rFonts w:ascii="Times New Roman" w:hAnsi="Times New Roman"/>
          <w:sz w:val="20"/>
        </w:rPr>
        <w:t xml:space="preserv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(j) in which the Seller owns good and marketable title, free and clear of any Adverse Claims, and that is freely assignable by the Seller (including without any consent of the related Obligor), except to the extent any such requirement would be rendered ineffective under Article 9 of any applicable UCC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(k) for which the Administrator (for the benefit of each Purchaser) shall have a valid and enforceable undivided percentage ownership or security interest, to the extent of the Purchased Interest, and a valid and enforceable first priority perfected security interest therein and in the Related Security and Collections with respect thereto, in each case free and clear of any Adverse Claim, </w:t>
      </w:r>
    </w:p>
    <w:p>
      <w:pPr>
        <w:pStyle w:val="TextBody"/>
        <w:bidi w:val="0"/>
        <w:spacing w:before="120" w:after="0"/>
        <w:jc w:val="left"/>
        <w:rPr>
          <w:rFonts w:ascii="Times New Roman" w:hAnsi="Times New Roman"/>
          <w:sz w:val="20"/>
        </w:rPr>
      </w:pPr>
      <w:r>
        <w:rPr>
          <w:rFonts w:ascii="Times New Roman" w:hAnsi="Times New Roman"/>
          <w:sz w:val="20"/>
        </w:rPr>
        <w:t xml:space="preserve">(l) that constitutes an account as defined in the UCC, and that is not evidenced by instruments or chattel paper, </w:t>
      </w:r>
    </w:p>
    <w:p>
      <w:pPr>
        <w:pStyle w:val="TextBody"/>
        <w:bidi w:val="0"/>
        <w:spacing w:before="120" w:after="0"/>
        <w:jc w:val="left"/>
        <w:rPr>
          <w:rFonts w:ascii="Times New Roman" w:hAnsi="Times New Roman"/>
          <w:sz w:val="20"/>
        </w:rPr>
      </w:pPr>
      <w:r>
        <w:rPr>
          <w:rFonts w:ascii="Times New Roman" w:hAnsi="Times New Roman"/>
          <w:sz w:val="20"/>
        </w:rPr>
        <w:t xml:space="preserve">(m) that is not a Defaulted Receivable or a Delinquent Receivable, </w:t>
      </w:r>
    </w:p>
    <w:p>
      <w:pPr>
        <w:pStyle w:val="TextBody"/>
        <w:bidi w:val="0"/>
        <w:spacing w:before="120" w:after="0"/>
        <w:jc w:val="left"/>
        <w:rPr>
          <w:rFonts w:ascii="Times New Roman" w:hAnsi="Times New Roman"/>
          <w:sz w:val="20"/>
        </w:rPr>
      </w:pPr>
      <w:r>
        <w:rPr>
          <w:rFonts w:ascii="Times New Roman" w:hAnsi="Times New Roman"/>
          <w:sz w:val="20"/>
        </w:rPr>
        <w:t xml:space="preserve">(n) for which none of the Originator thereof, the Seller and the Servicer has established any offset arrangements with the related Obligor,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for which Defaulted Receivables of the related Obligor do not exceed 50% of the Outstanding Balance of all such Obligor’s Receivables, </w:t>
      </w:r>
    </w:p>
    <w:p>
      <w:pPr>
        <w:pStyle w:val="TextBody"/>
        <w:bidi w:val="0"/>
        <w:spacing w:before="120" w:after="0"/>
        <w:jc w:val="left"/>
        <w:rPr>
          <w:rFonts w:ascii="Times New Roman" w:hAnsi="Times New Roman"/>
          <w:sz w:val="20"/>
        </w:rPr>
      </w:pPr>
      <w:r>
        <w:rPr>
          <w:rFonts w:ascii="Times New Roman" w:hAnsi="Times New Roman"/>
          <w:sz w:val="20"/>
        </w:rPr>
        <w:t xml:space="preserve">(p) that represents amounts earned and payable by the Obligor that are not subject to the performance of additional services by the Originator thereof or the Seller, </w:t>
      </w:r>
    </w:p>
    <w:p>
      <w:pPr>
        <w:pStyle w:val="TextBody"/>
        <w:bidi w:val="0"/>
        <w:spacing w:before="120" w:after="0"/>
        <w:jc w:val="left"/>
        <w:rPr>
          <w:rFonts w:ascii="Times New Roman" w:hAnsi="Times New Roman"/>
          <w:sz w:val="20"/>
        </w:rPr>
      </w:pPr>
      <w:r>
        <w:rPr>
          <w:rFonts w:ascii="Times New Roman" w:hAnsi="Times New Roman"/>
          <w:sz w:val="20"/>
        </w:rPr>
        <w:t xml:space="preserve">(q) which (i) does not relate to the sale of any consigned goods or finished goods which have incorporated any consigned goods into such finished goods and (ii) is not owed to any Originator or the Seller as a bailee or consignee for another Person, </w:t>
      </w:r>
    </w:p>
    <w:p>
      <w:pPr>
        <w:pStyle w:val="TextBody"/>
        <w:bidi w:val="0"/>
        <w:spacing w:before="120" w:after="0"/>
        <w:jc w:val="left"/>
        <w:rPr>
          <w:rFonts w:ascii="Times New Roman" w:hAnsi="Times New Roman"/>
          <w:sz w:val="20"/>
        </w:rPr>
      </w:pPr>
      <w:r>
        <w:rPr>
          <w:rFonts w:ascii="Times New Roman" w:hAnsi="Times New Roman"/>
          <w:sz w:val="20"/>
        </w:rPr>
        <w:t xml:space="preserve">(r) which is not a Receivable attributable to a business acquired by such Originator after the Closing Date unless and until such time, if any, that the Administrator gives written notice to the Servicer that such Receivables shall no longer be ineligible pursuant to this </w:t>
      </w:r>
      <w:r>
        <w:rPr>
          <w:rFonts w:ascii="Times New Roman" w:hAnsi="Times New Roman"/>
          <w:sz w:val="20"/>
          <w:u w:val="single"/>
        </w:rPr>
        <w:t>clause (r)</w:t>
      </w:r>
      <w:r>
        <w:rPr>
          <w:rFonts w:ascii="Times New Roman" w:hAnsi="Times New Roman"/>
          <w:sz w:val="20"/>
        </w:rPr>
        <w:t xml:space="preserve">, such consent not to be unreasonably withheld, delayed or conditioned, </w:t>
      </w:r>
    </w:p>
    <w:p>
      <w:pPr>
        <w:pStyle w:val="TextBody"/>
        <w:bidi w:val="0"/>
        <w:spacing w:before="120" w:after="0"/>
        <w:jc w:val="left"/>
        <w:rPr>
          <w:rFonts w:ascii="Times New Roman" w:hAnsi="Times New Roman"/>
          <w:sz w:val="20"/>
        </w:rPr>
      </w:pPr>
      <w:r>
        <w:rPr>
          <w:rFonts w:ascii="Times New Roman" w:hAnsi="Times New Roman"/>
          <w:sz w:val="20"/>
        </w:rPr>
        <w:t xml:space="preserve">(s) which is not an Ineligible Subject Originator Receivable, </w:t>
      </w:r>
    </w:p>
    <w:p>
      <w:pPr>
        <w:pStyle w:val="TextBody"/>
        <w:bidi w:val="0"/>
        <w:spacing w:before="120" w:after="0"/>
        <w:jc w:val="left"/>
        <w:rPr>
          <w:rFonts w:ascii="Times New Roman" w:hAnsi="Times New Roman"/>
          <w:sz w:val="20"/>
        </w:rPr>
      </w:pPr>
      <w:r>
        <w:rPr>
          <w:rFonts w:ascii="Times New Roman" w:hAnsi="Times New Roman"/>
          <w:sz w:val="20"/>
        </w:rPr>
        <w:t xml:space="preserve">(t) [Reserved], </w:t>
      </w:r>
    </w:p>
    <w:p>
      <w:pPr>
        <w:pStyle w:val="TextBody"/>
        <w:bidi w:val="0"/>
        <w:spacing w:before="120" w:after="0"/>
        <w:jc w:val="left"/>
        <w:rPr>
          <w:rFonts w:ascii="Times New Roman" w:hAnsi="Times New Roman"/>
          <w:sz w:val="20"/>
        </w:rPr>
      </w:pPr>
      <w:r>
        <w:rPr>
          <w:rFonts w:ascii="Times New Roman" w:hAnsi="Times New Roman"/>
          <w:sz w:val="20"/>
        </w:rPr>
        <w:t xml:space="preserve">(u) is not Blocked Property, </w:t>
      </w:r>
    </w:p>
    <w:p>
      <w:pPr>
        <w:pStyle w:val="TextBody"/>
        <w:bidi w:val="0"/>
        <w:spacing w:before="120" w:after="0"/>
        <w:jc w:val="left"/>
        <w:rPr>
          <w:rFonts w:ascii="Times New Roman" w:hAnsi="Times New Roman"/>
          <w:sz w:val="20"/>
        </w:rPr>
      </w:pPr>
      <w:r>
        <w:rPr>
          <w:rFonts w:ascii="Times New Roman" w:hAnsi="Times New Roman"/>
          <w:sz w:val="20"/>
        </w:rPr>
        <w:t xml:space="preserve">(v) [Reserved]; and </w:t>
      </w:r>
    </w:p>
    <w:p>
      <w:pPr>
        <w:pStyle w:val="TextBody"/>
        <w:bidi w:val="0"/>
        <w:spacing w:before="120" w:after="0"/>
        <w:jc w:val="left"/>
        <w:rPr>
          <w:rFonts w:ascii="Times New Roman" w:hAnsi="Times New Roman"/>
          <w:sz w:val="20"/>
        </w:rPr>
      </w:pPr>
      <w:r>
        <w:rPr>
          <w:rFonts w:ascii="Times New Roman" w:hAnsi="Times New Roman"/>
          <w:sz w:val="20"/>
        </w:rPr>
        <w:t>(w) the Originator of which is not a Ninth Amendment Date Originator, unless and until such time, if any, that the Administrator and each Purchaser Agent has received (i) such information and reports with respect to Receivables originated by the Ninth Amendment Date Originator, in form and substance reasonably satisfactory to the Administrator and each Purchaser Agent, as the Administrator and each Purchaser Agent has reasonably requested from the Seller or the Servicer and (ii) either (1) evidence reasonably satisfactory to the Administrator that Seller (or Servicer on its behalf) has instructed all Obligors of Receivables originated by the Ninth Amendment Date Originator to deliver payments on such Receivables to an existing Lock-Box Account (other than an Exception Account) or (2) a duly executed Lock-Box Agreement (or amendment thereto) reasonably satisfactory to the Administrator relating to each account to which Seller (or Servicer on its behalf) has instructed Obligors of Receivables originated by the Ninth Amendment Date Originator to make payments (which account shall be owned by the Seller) along with a corresponding update to the Lock-Box Schedule Letter Agreement (satisfaction of the foregoing conditions in this clause, the “</w:t>
      </w:r>
      <w:r>
        <w:rPr>
          <w:rFonts w:ascii="Times New Roman" w:hAnsi="Times New Roman"/>
          <w:sz w:val="20"/>
          <w:u w:val="single"/>
        </w:rPr>
        <w:t>Post-Joinder Cash Management Conditions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from time to time, and any successor statute of similar import, together with the regulations thereunder, in each case as in effect from time to time. References to sections of ERISA also refer to any successor sections.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ERISA Affiliate</w:t>
      </w:r>
      <w:r>
        <w:rPr>
          <w:rFonts w:ascii="Times New Roman" w:hAnsi="Times New Roman"/>
          <w:sz w:val="20"/>
        </w:rPr>
        <w:t xml:space="preserve">” means: (a) any corporation that is a member of the same controlled group of corporations (within the meaning of Section 414(b) of the Internal Revenue Code) as the Seller, any Originator or WESCO, (b) a trade or business (whether or not incorporated) under common control (within the meaning of Section 414(c) of the Internal Revenue Code) with the Seller, any Originator or WESCO, or (c) a member of the same affiliated service group (within the meaning of Section 414(m) of the Internal Revenue Code) as the Seller, any Originator, any corporation described in </w:t>
      </w:r>
      <w:r>
        <w:rPr>
          <w:rFonts w:ascii="Times New Roman" w:hAnsi="Times New Roman"/>
          <w:sz w:val="20"/>
          <w:u w:val="single"/>
        </w:rPr>
        <w:t>clause (a)</w:t>
      </w:r>
      <w:r>
        <w:rPr>
          <w:rFonts w:ascii="Times New Roman" w:hAnsi="Times New Roman"/>
          <w:sz w:val="20"/>
        </w:rPr>
        <w:t xml:space="preserve"> or any trade or business described in </w:t>
      </w:r>
      <w:r>
        <w:rPr>
          <w:rFonts w:ascii="Times New Roman" w:hAnsi="Times New Roman"/>
          <w:sz w:val="20"/>
          <w:u w:val="single"/>
        </w:rPr>
        <w:t>clause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xml:space="preserve">” has the meaning assigned to it in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Notice</w:t>
      </w:r>
      <w:r>
        <w:rPr>
          <w:rFonts w:ascii="Times New Roman" w:hAnsi="Times New Roman"/>
          <w:sz w:val="20"/>
        </w:rPr>
        <w:t xml:space="preserve">” has the meaning assigned to it in </w:t>
      </w:r>
      <w:r>
        <w:rPr>
          <w:rFonts w:ascii="Times New Roman" w:hAnsi="Times New Roman"/>
          <w:sz w:val="20"/>
          <w:u w:val="single"/>
        </w:rPr>
        <w:t>Section 4.8(a)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EU Securitisation Regulation</w:t>
      </w:r>
      <w:r>
        <w:rPr>
          <w:rFonts w:ascii="Times New Roman" w:hAnsi="Times New Roman"/>
          <w:sz w:val="20"/>
        </w:rPr>
        <w:t xml:space="preserve">” means Regulation (EU) 2017/2402 of the European Parliament and of the Council of 12 December 2017 laying down a general framework for securitisation and creating a specific framework for simple, transparent and standardized securitisation, and amending certain other European Union Directives and Regulations, as amended. </w:t>
      </w:r>
    </w:p>
    <w:p>
      <w:pPr>
        <w:pStyle w:val="TextBody"/>
        <w:bidi w:val="0"/>
        <w:spacing w:before="240" w:after="0"/>
        <w:jc w:val="left"/>
        <w:rPr/>
      </w:pPr>
      <w:r>
        <w:rPr/>
        <w:t>“</w:t>
      </w:r>
      <w:r>
        <w:rPr>
          <w:rFonts w:ascii="Times New Roman" w:hAnsi="Times New Roman"/>
          <w:sz w:val="20"/>
          <w:u w:val="single"/>
        </w:rPr>
        <w:t>EU Securitisation Regulation Rules</w:t>
      </w:r>
      <w:r>
        <w:rPr>
          <w:rFonts w:ascii="Times New Roman" w:hAnsi="Times New Roman"/>
          <w:sz w:val="20"/>
        </w:rPr>
        <w:t xml:space="preserve">” means the EU Securitisation Regulation, together with all relevant implementing regulations in relation thereto, all regulatory technical standards and implementing technical standards in relation thereto or applicable in relation thereto pursuant to any transitional arrangements made pursuant to the EU Securitisation Regulation and, in each case, any relevant guidance published in relation thereto by the European Banking Authority, the European Securities and Markets Authority and the European Insurance and Occupational Pensions Authority (or in each case, any predecessor or any other applicable regulatory authority) or by the European Commission, in each case, as amended and in effect from time to time. </w:t>
      </w:r>
    </w:p>
    <w:p>
      <w:pPr>
        <w:pStyle w:val="TextBody"/>
        <w:bidi w:val="0"/>
        <w:spacing w:before="240" w:after="0"/>
        <w:jc w:val="left"/>
        <w:rPr/>
      </w:pPr>
      <w:r>
        <w:rPr/>
        <w:t>“</w:t>
      </w:r>
      <w:r>
        <w:rPr>
          <w:rFonts w:ascii="Times New Roman" w:hAnsi="Times New Roman"/>
          <w:sz w:val="20"/>
          <w:u w:val="single"/>
        </w:rPr>
        <w:t>EU/UK Risk Retention Letter</w:t>
      </w:r>
      <w:r>
        <w:rPr>
          <w:rFonts w:ascii="Times New Roman" w:hAnsi="Times New Roman"/>
          <w:sz w:val="20"/>
        </w:rPr>
        <w:t xml:space="preserve">” means the EU/UK risk retention letter, dated as of June 1, 2021, between WESCO, the Seller, the Originators and the Administrator, as the same may be amended or modified in accordance with its terms and the terms hereof. </w:t>
      </w:r>
    </w:p>
    <w:p>
      <w:pPr>
        <w:pStyle w:val="TextBody"/>
        <w:bidi w:val="0"/>
        <w:spacing w:before="240" w:after="0"/>
        <w:jc w:val="left"/>
        <w:rPr/>
      </w:pPr>
      <w:r>
        <w:rPr/>
        <w:t>“</w:t>
      </w:r>
      <w:r>
        <w:rPr>
          <w:rFonts w:ascii="Times New Roman" w:hAnsi="Times New Roman"/>
          <w:sz w:val="20"/>
          <w:u w:val="single"/>
        </w:rPr>
        <w:t>EUWA</w:t>
      </w:r>
      <w:r>
        <w:rPr>
          <w:rFonts w:ascii="Times New Roman" w:hAnsi="Times New Roman"/>
          <w:sz w:val="20"/>
        </w:rPr>
        <w:t xml:space="preserve">” means the European Union (Withdrawal) Act 2018, as amended. </w:t>
      </w:r>
    </w:p>
    <w:p>
      <w:pPr>
        <w:pStyle w:val="TextBody"/>
        <w:bidi w:val="0"/>
        <w:spacing w:before="240" w:after="0"/>
        <w:jc w:val="left"/>
        <w:rPr/>
      </w:pPr>
      <w:r>
        <w:rPr/>
        <w:t>“</w:t>
      </w:r>
      <w:r>
        <w:rPr>
          <w:rFonts w:ascii="Times New Roman" w:hAnsi="Times New Roman"/>
          <w:sz w:val="20"/>
          <w:u w:val="single"/>
        </w:rPr>
        <w:t>Event of Bankruptcy</w:t>
      </w:r>
      <w:r>
        <w:rPr>
          <w:rFonts w:ascii="Times New Roman" w:hAnsi="Times New Roman"/>
          <w:sz w:val="20"/>
        </w:rPr>
        <w:t xml:space="preserve">” means (a) any case, action or proceeding before any court or other governmental authority relating to bankruptcy, reorganization, insolvency, liquidation, receivership, dissolution, winding-up or relief of debtors or (b) any general assignment for the benefit of creditors of a Person or any composition, marshalling of assets for creditors of a Person, or other similar arrangement in respect of its creditors generally or any substantial portion of its creditors; in each of cases (a) and (b) undertaken under U.S. Federal, state or foreign law, including the U.S. Bankruptcy Code. </w:t>
      </w:r>
    </w:p>
    <w:p>
      <w:pPr>
        <w:pStyle w:val="TextBody"/>
        <w:bidi w:val="0"/>
        <w:spacing w:before="240" w:after="0"/>
        <w:jc w:val="left"/>
        <w:rPr/>
      </w:pPr>
      <w:r>
        <w:rPr/>
        <w:t>“</w:t>
      </w:r>
      <w:r>
        <w:rPr>
          <w:rFonts w:ascii="Times New Roman" w:hAnsi="Times New Roman"/>
          <w:sz w:val="20"/>
          <w:u w:val="single"/>
        </w:rPr>
        <w:t>Exception Account</w:t>
      </w:r>
      <w:r>
        <w:rPr>
          <w:rFonts w:ascii="Times New Roman" w:hAnsi="Times New Roman"/>
          <w:sz w:val="20"/>
        </w:rPr>
        <w:t xml:space="preserve">” means each account identified as such in the Lock-Box Schedule Letter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“Exception Account” may be added to the Lock-Box Schedule Letter Agreement without the prior written consent of the Administrator in its sole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account shall cease to be an Exception Account upon the satisfaction of the following conditions: (x) such account is maintained in the name of the Seller and (y) the Seller, the Servicer, the Administrator and the related Lock-Box Bank have entered into a Lock-Box Agreement with respect to such account, in form and substance reasonably satisfactory to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Exception Account Conditions</w:t>
      </w:r>
      <w:r>
        <w:rPr>
          <w:rFonts w:ascii="Times New Roman" w:hAnsi="Times New Roman"/>
          <w:sz w:val="20"/>
        </w:rPr>
        <w:t xml:space="preserve">” means with respect to each Exception Account, (i) the amount of Collections received in (A) such Exception Account during each calendar month does not exceed $10,000,000 (or such other amounts agreed to in writing by the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higher amount shall not exceed $20,000,000 unless agreed to in writing by the Majority Purchasers) and (B) all such Exception Accounts in the aggregate, during each calendar month does not exceed $15,000,000 (or such other amounts agreed to in writing by the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higher amount shall not exceed $30,000,000 unless agreed to in writing by the Majority Purchasers), (ii) no Termination Event has occurred and is continuing and (iii) all Collections received in such Exception Account are being automatically transferred directly to a Lock-Box Account (other than an Exception Account) no later than two (2) Business Days following receipt thereof. </w:t>
      </w:r>
    </w:p>
    <w:p>
      <w:pPr>
        <w:pStyle w:val="TextBody"/>
        <w:bidi w:val="0"/>
        <w:spacing w:before="240" w:after="0"/>
        <w:jc w:val="left"/>
        <w:rPr/>
      </w:pPr>
      <w:r>
        <w:rPr/>
        <w:t>“</w:t>
      </w:r>
      <w:r>
        <w:rPr>
          <w:rFonts w:ascii="Times New Roman" w:hAnsi="Times New Roman"/>
          <w:sz w:val="20"/>
          <w:u w:val="single"/>
        </w:rPr>
        <w:t>Excess Concentration</w:t>
      </w:r>
      <w:r>
        <w:rPr>
          <w:rFonts w:ascii="Times New Roman" w:hAnsi="Times New Roman"/>
          <w:sz w:val="20"/>
        </w:rPr>
        <w:t xml:space="preserve">” means, without duplication, the sum of the following amounts: </w:t>
      </w:r>
    </w:p>
    <w:p>
      <w:pPr>
        <w:pStyle w:val="TextBody"/>
        <w:bidi w:val="0"/>
        <w:spacing w:before="120" w:after="0"/>
        <w:jc w:val="left"/>
        <w:rPr>
          <w:rFonts w:ascii="Times New Roman" w:hAnsi="Times New Roman"/>
          <w:sz w:val="20"/>
        </w:rPr>
      </w:pPr>
      <w:r>
        <w:rPr>
          <w:rFonts w:ascii="Times New Roman" w:hAnsi="Times New Roman"/>
          <w:sz w:val="20"/>
        </w:rPr>
        <w:t xml:space="preserve">(i) the amount by which the Outstanding Balance of Eligible Receivables of each Obligor then in the Receivables Pool exceeds an amount equal to: (a) the applicable Concentration Percentage for such Obligor multiplied by (b) the Outstanding Balance of all Eligible Receivables then in the Receivables Pool; </w:t>
      </w:r>
    </w:p>
    <w:p>
      <w:pPr>
        <w:pStyle w:val="TextBody"/>
        <w:bidi w:val="0"/>
        <w:spacing w:before="120" w:after="0"/>
        <w:jc w:val="left"/>
        <w:rPr>
          <w:rFonts w:ascii="Times New Roman" w:hAnsi="Times New Roman"/>
          <w:sz w:val="20"/>
        </w:rPr>
      </w:pPr>
      <w:r>
        <w:rPr>
          <w:rFonts w:ascii="Times New Roman" w:hAnsi="Times New Roman"/>
          <w:sz w:val="20"/>
        </w:rPr>
        <w:t xml:space="preserve">(ii) the amount by which the aggregate Outstanding Balance of all Eligible Receivables then in the Receivables Pool, the Obligor of which is an Eligible Foreign Obligor, exceeds 3.00% of the aggregate Outstanding Balance of all Eligible Receivables then in the Receivables Pool; </w:t>
      </w:r>
    </w:p>
    <w:p>
      <w:pPr>
        <w:pStyle w:val="TextBody"/>
        <w:bidi w:val="0"/>
        <w:spacing w:before="120" w:after="0"/>
        <w:jc w:val="left"/>
        <w:rPr>
          <w:rFonts w:ascii="Times New Roman" w:hAnsi="Times New Roman"/>
          <w:sz w:val="20"/>
        </w:rPr>
      </w:pPr>
      <w:r>
        <w:rPr>
          <w:rFonts w:ascii="Times New Roman" w:hAnsi="Times New Roman"/>
          <w:sz w:val="20"/>
        </w:rPr>
        <w:t xml:space="preserve">(iii) the amount by which the aggregate Outstanding Balance of all Eligible Receivables then in the Receivables Pool, the Obligor of which is a government or governmental subdivision, affiliate or agency, exceeds 5.00% of the aggregate Outstanding Balance of all Eligible Receivables then in the Receivables Pool;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the amount by which the aggregate Outstanding Balance of all Eligible Receivables then in the Receivables Pool which are aged greater than 90 days from the original invoice date for such payment and without duplication less than 121 days from the original invoice date for such payment, exceeds 7.50% of the aggregate credit sales made by the Originators in the month that is three months prior to the current month; and </w:t>
      </w:r>
    </w:p>
    <w:p>
      <w:pPr>
        <w:pStyle w:val="TextBody"/>
        <w:bidi w:val="0"/>
        <w:spacing w:before="120" w:after="0"/>
        <w:jc w:val="left"/>
        <w:rPr>
          <w:rFonts w:ascii="Times New Roman" w:hAnsi="Times New Roman"/>
          <w:sz w:val="20"/>
        </w:rPr>
      </w:pPr>
      <w:r>
        <w:rPr>
          <w:rFonts w:ascii="Times New Roman" w:hAnsi="Times New Roman"/>
          <w:sz w:val="20"/>
        </w:rPr>
        <w:t xml:space="preserve">(vi) the amount by which the aggregate Outstanding Balance of all Eligible Receivables then in the Receivables Pool which are aged greater than 120 days from the original invoice date for such payment and without duplication less than 151 days from the original invoice date for such payment, exceeds 5.00% of the aggregate credit sales made by the Originators in the month that is four months prior to the current month. </w:t>
      </w:r>
    </w:p>
    <w:p>
      <w:pPr>
        <w:pStyle w:val="TextBody"/>
        <w:bidi w:val="0"/>
        <w:spacing w:before="240" w:after="0"/>
        <w:jc w:val="left"/>
        <w:rPr/>
      </w:pPr>
      <w:r>
        <w:rPr/>
        <w:t>“</w:t>
      </w:r>
      <w:r>
        <w:rPr>
          <w:rFonts w:ascii="Times New Roman" w:hAnsi="Times New Roman"/>
          <w:sz w:val="20"/>
          <w:u w:val="single"/>
        </w:rPr>
        <w:t>Excluded Receivable</w:t>
      </w:r>
      <w:r>
        <w:rPr>
          <w:rFonts w:ascii="Times New Roman" w:hAnsi="Times New Roman"/>
          <w:sz w:val="20"/>
        </w:rPr>
        <w:t xml:space="preserve">” has the meaning set forth in </w:t>
      </w:r>
      <w:r>
        <w:rPr>
          <w:rFonts w:ascii="Times New Roman" w:hAnsi="Times New Roman"/>
          <w:sz w:val="20"/>
          <w:u w:val="single"/>
        </w:rPr>
        <w:t>Schedule X</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an Affected Person or required to be withheld or deducted from a payment to an Affected Person: (a) taxes imposed on or measured by net income (however denominated), franchise taxes and branch profits taxes, (b) in the case of a Purchaser, any U.S. federal withholding taxes imposed on amounts payable to or for the account of such Purchaser pursuant to a law in effect on the date on which (i) such Purchaser funds a Purchase or (ii) such Purchaser changes its lending office, except in each case to the extent that amounts with respect to such taxes were payable either to such Purchaser’s assignor immediately before such Purchaser became a party hereto or to such Purchaser immediately before it changed its lending office, (c) taxes attributable to such Affected Person’s failure to deliver an IRS Form W-9 or applicable IRS Form W-8 (together with applicable attachments) or any other tax documentation reasonably requested by the Seller, provided that an Affected Person shall not be required to provide any other tax documentation if in such Affected Person’s reasonable judgment, such completion, execution or submission would subject such Affected Person to any material unreimbursed cost or expense or would materially prejudice the legal or commercial position of such Affected Person, and (d) any taxes imposed pursuant to FATCA. </w:t>
      </w:r>
    </w:p>
    <w:p>
      <w:pPr>
        <w:pStyle w:val="TextBody"/>
        <w:bidi w:val="0"/>
        <w:spacing w:before="240" w:after="0"/>
        <w:jc w:val="left"/>
        <w:rPr/>
      </w:pPr>
      <w:r>
        <w:rPr/>
        <w:t>“</w:t>
      </w:r>
      <w:r>
        <w:rPr>
          <w:rFonts w:ascii="Times New Roman" w:hAnsi="Times New Roman"/>
          <w:sz w:val="20"/>
          <w:u w:val="single"/>
        </w:rPr>
        <w:t>Exiting Notice</w:t>
      </w:r>
      <w:r>
        <w:rPr>
          <w:rFonts w:ascii="Times New Roman" w:hAnsi="Times New Roman"/>
          <w:sz w:val="20"/>
        </w:rPr>
        <w:t xml:space="preserve">” has the meaning set forth in </w:t>
      </w:r>
      <w:r>
        <w:rPr>
          <w:rFonts w:ascii="Times New Roman" w:hAnsi="Times New Roman"/>
          <w:sz w:val="20"/>
          <w:u w:val="single"/>
        </w:rPr>
        <w:t>Section 1.4(b)(ii)</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Exiting Purchaser</w:t>
      </w:r>
      <w:r>
        <w:rPr>
          <w:rFonts w:ascii="Times New Roman" w:hAnsi="Times New Roman"/>
          <w:sz w:val="20"/>
        </w:rPr>
        <w:t xml:space="preserve">” has the meaning set forth in </w:t>
      </w:r>
      <w:r>
        <w:rPr>
          <w:rFonts w:ascii="Times New Roman" w:hAnsi="Times New Roman"/>
          <w:sz w:val="20"/>
          <w:u w:val="single"/>
        </w:rPr>
        <w:t>Section 1.4(b)(ii)</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Facility Termination Date</w:t>
      </w:r>
      <w:r>
        <w:rPr>
          <w:rFonts w:ascii="Times New Roman" w:hAnsi="Times New Roman"/>
          <w:sz w:val="20"/>
        </w:rPr>
        <w:t xml:space="preserve">” means the earliest to occur of: (a) with respect to any Purchaser, the applicable Scheduled Commitment Termination Date with respect to such Purchaser, subject to any extension thereof pursuant to </w:t>
      </w:r>
      <w:r>
        <w:rPr>
          <w:rFonts w:ascii="Times New Roman" w:hAnsi="Times New Roman"/>
          <w:sz w:val="20"/>
          <w:u w:val="single"/>
        </w:rPr>
        <w:t>Section 1.10</w:t>
      </w:r>
      <w:r>
        <w:rPr>
          <w:rFonts w:ascii="Times New Roman" w:hAnsi="Times New Roman"/>
          <w:sz w:val="20"/>
        </w:rPr>
        <w:t xml:space="preserve"> of this Agreement (it being understood that if any such Purchaser does not extend its Commitment hereunder then the Purchase Limit shall be reduced ratably with respect to the Purchasers in each Purchaser Group by an amount equal to the Commitment of such non-extending Purchaser and the Commitment Percentages and Group Commitments of the Purchasers within each Purchaser Group shall be appropriately adjusted), (b) the date determined pursuant to </w:t>
      </w:r>
      <w:r>
        <w:rPr>
          <w:rFonts w:ascii="Times New Roman" w:hAnsi="Times New Roman"/>
          <w:sz w:val="20"/>
          <w:u w:val="single"/>
        </w:rPr>
        <w:t>Section 2.2</w:t>
      </w:r>
      <w:r>
        <w:rPr>
          <w:rFonts w:ascii="Times New Roman" w:hAnsi="Times New Roman"/>
          <w:sz w:val="20"/>
        </w:rPr>
        <w:t xml:space="preserve"> of this Agreement, (c) the date the Purchase Limit reduces to zero pursuant to </w:t>
      </w:r>
      <w:r>
        <w:rPr>
          <w:rFonts w:ascii="Times New Roman" w:hAnsi="Times New Roman"/>
          <w:sz w:val="20"/>
          <w:u w:val="single"/>
        </w:rPr>
        <w:t>Section 1.1(b)</w:t>
      </w:r>
      <w:r>
        <w:rPr>
          <w:rFonts w:ascii="Times New Roman" w:hAnsi="Times New Roman"/>
          <w:sz w:val="20"/>
        </w:rPr>
        <w:t xml:space="preserve"> or </w:t>
      </w:r>
      <w:r>
        <w:rPr>
          <w:rFonts w:ascii="Times New Roman" w:hAnsi="Times New Roman"/>
          <w:sz w:val="20"/>
          <w:u w:val="single"/>
        </w:rPr>
        <w:t>Section 1.1(c)</w:t>
      </w:r>
      <w:r>
        <w:rPr>
          <w:rFonts w:ascii="Times New Roman" w:hAnsi="Times New Roman"/>
          <w:sz w:val="20"/>
        </w:rPr>
        <w:t xml:space="preserve"> of this Agreement and (d) with respect to each Purchaser Group, the date that the Commitments of all of the Committed Purchasers of such Purchaser Group terminate pursuant to </w:t>
      </w:r>
      <w:r>
        <w:rPr>
          <w:rFonts w:ascii="Times New Roman" w:hAnsi="Times New Roman"/>
          <w:sz w:val="20"/>
          <w:u w:val="single"/>
        </w:rPr>
        <w:t>Section 1.10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Internal Revenue Code, as of the Tenth Amendment Date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or rules adopted pursuant to any intergovernmental agreement, treaty or convention among Governmental Authorities entered into in connection with the implementation of the foregoing. </w:t>
      </w:r>
    </w:p>
    <w:p>
      <w:pPr>
        <w:pStyle w:val="TextBody"/>
        <w:bidi w:val="0"/>
        <w:spacing w:before="240" w:after="0"/>
        <w:jc w:val="left"/>
        <w:rPr/>
      </w:pPr>
      <w:r>
        <w:rPr/>
        <w:t>“</w:t>
      </w:r>
      <w:r>
        <w:rPr>
          <w:rFonts w:ascii="Times New Roman" w:hAnsi="Times New Roman"/>
          <w:sz w:val="20"/>
          <w:u w:val="single"/>
        </w:rPr>
        <w:t>Federal Reserve Board</w:t>
      </w:r>
      <w:r>
        <w:rPr>
          <w:rFonts w:ascii="Times New Roman" w:hAnsi="Times New Roman"/>
          <w:sz w:val="20"/>
        </w:rPr>
        <w:t xml:space="preserve">” means the Board of Governors of the Federal Reserve System, or any entity succeeding to any of its principal functions. </w:t>
      </w:r>
    </w:p>
    <w:p>
      <w:pPr>
        <w:pStyle w:val="TextBody"/>
        <w:bidi w:val="0"/>
        <w:spacing w:before="240" w:after="0"/>
        <w:jc w:val="left"/>
        <w:rPr/>
      </w:pPr>
      <w:r>
        <w:rPr/>
        <w:t>“</w:t>
      </w:r>
      <w:r>
        <w:rPr>
          <w:rFonts w:ascii="Times New Roman" w:hAnsi="Times New Roman"/>
          <w:sz w:val="20"/>
          <w:u w:val="single"/>
        </w:rPr>
        <w:t>Fees</w:t>
      </w:r>
      <w:r>
        <w:rPr>
          <w:rFonts w:ascii="Times New Roman" w:hAnsi="Times New Roman"/>
          <w:sz w:val="20"/>
        </w:rPr>
        <w:t xml:space="preserve">” means the fees payable by the Seller to each Purchaser Group pursuant to the applicable Purchaser Group Fee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Fifth Third</w:t>
      </w:r>
      <w:r>
        <w:rPr>
          <w:rFonts w:ascii="Times New Roman" w:hAnsi="Times New Roman"/>
          <w:sz w:val="20"/>
        </w:rPr>
        <w:t xml:space="preserve">” means Fifth Third Bank, National Association. </w:t>
      </w:r>
    </w:p>
    <w:p>
      <w:pPr>
        <w:pStyle w:val="TextBody"/>
        <w:bidi w:val="0"/>
        <w:spacing w:before="240" w:after="0"/>
        <w:jc w:val="left"/>
        <w:rPr/>
      </w:pPr>
      <w:r>
        <w:rPr/>
        <w:t>“</w:t>
      </w:r>
      <w:r>
        <w:rPr>
          <w:rFonts w:ascii="Times New Roman" w:hAnsi="Times New Roman"/>
          <w:sz w:val="20"/>
          <w:u w:val="single"/>
        </w:rPr>
        <w:t>Final Payout Date</w:t>
      </w:r>
      <w:r>
        <w:rPr>
          <w:rFonts w:ascii="Times New Roman" w:hAnsi="Times New Roman"/>
          <w:sz w:val="20"/>
        </w:rPr>
        <w:t xml:space="preserve">” means the date on or after the Facility Termination Date when (i) no Investment of or Discount in respect of the Purchased Interest shall be outstanding, (ii) all other amounts owing to each Indemnified Party and Affected Person hereunder and under the other Transaction Documents have been paid in full and (iii) all accrued Servicing Fees have been paid in full. </w:t>
      </w:r>
    </w:p>
    <w:p>
      <w:pPr>
        <w:pStyle w:val="TextBody"/>
        <w:bidi w:val="0"/>
        <w:spacing w:before="240" w:after="0"/>
        <w:jc w:val="left"/>
        <w:rPr/>
      </w:pPr>
      <w:r>
        <w:rPr/>
        <w:t>“</w:t>
      </w:r>
      <w:r>
        <w:rPr>
          <w:rFonts w:ascii="Times New Roman" w:hAnsi="Times New Roman"/>
          <w:sz w:val="20"/>
          <w:u w:val="single"/>
        </w:rPr>
        <w:t>Floor</w:t>
      </w:r>
      <w:r>
        <w:rPr>
          <w:rFonts w:ascii="Times New Roman" w:hAnsi="Times New Roman"/>
          <w:sz w:val="20"/>
        </w:rPr>
        <w:t xml:space="preserve">” means a rate of interest equal to 0.00%.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the generally accepted accounting principles and practices in the United States, consistently applied.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 </w:t>
      </w:r>
    </w:p>
    <w:p>
      <w:pPr>
        <w:pStyle w:val="TextBody"/>
        <w:bidi w:val="0"/>
        <w:spacing w:before="240" w:after="0"/>
        <w:jc w:val="left"/>
        <w:rPr/>
      </w:pPr>
      <w:r>
        <w:rPr/>
        <w:t>“</w:t>
      </w:r>
      <w:r>
        <w:rPr>
          <w:rFonts w:ascii="Times New Roman" w:hAnsi="Times New Roman"/>
          <w:sz w:val="20"/>
          <w:u w:val="single"/>
        </w:rPr>
        <w:t>Group A Obligor</w:t>
      </w:r>
      <w:r>
        <w:rPr>
          <w:rFonts w:ascii="Times New Roman" w:hAnsi="Times New Roman"/>
          <w:sz w:val="20"/>
        </w:rPr>
        <w:t xml:space="preserve">” means any Obligor (or its parent or majority owner, as applicable, if such Obligor is not rated) with a short-term rating of at least: (a) “A-1” by Standard &amp; Poor’s, or if such Obligor does not have a short-term rating from S&amp;P, a rating of “A+” or better by Standard &amp; Poor’s on such Obligor’s, its parent’s, or its majority owner’s (as applicable) long-term senior unsecured and uncredit-enhanced debt securities, </w:t>
      </w:r>
      <w:r>
        <w:rPr>
          <w:rFonts w:ascii="Times New Roman" w:hAnsi="Times New Roman"/>
          <w:sz w:val="20"/>
          <w:u w:val="single"/>
        </w:rPr>
        <w:t>and</w:t>
      </w:r>
      <w:r>
        <w:rPr>
          <w:rFonts w:ascii="Times New Roman" w:hAnsi="Times New Roman"/>
          <w:sz w:val="20"/>
        </w:rPr>
        <w:t xml:space="preserve"> (b) “P 1” by Moody’s, or if such Obligor does not have a short-term rating from Moody’s, “Al” or better by Moody’s on such Obligor’s, its parent’s or its majority owner’s (as applicable) long-term senior unsecured and uncredit-enhanced debt securities. Notwithstanding the foregoing, any Obligor that is a Subsidiary of an Obligor that satisfies the definition of “Group A Obligor” shall be deemed to be a Group A Obligor and shall be aggregated with the Obligor that satisfies such definition for the purposes of determining the “Concentration Reserve Percentage”, the “Concentration Reserve” and </w:t>
      </w:r>
      <w:r>
        <w:rPr>
          <w:rFonts w:ascii="Times New Roman" w:hAnsi="Times New Roman"/>
          <w:sz w:val="20"/>
          <w:u w:val="single"/>
        </w:rPr>
        <w:t>clause (i)</w:t>
      </w:r>
      <w:r>
        <w:rPr>
          <w:rFonts w:ascii="Times New Roman" w:hAnsi="Times New Roman"/>
          <w:sz w:val="20"/>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 </w:t>
      </w:r>
    </w:p>
    <w:p>
      <w:pPr>
        <w:pStyle w:val="TextBody"/>
        <w:bidi w:val="0"/>
        <w:spacing w:before="240" w:after="0"/>
        <w:jc w:val="left"/>
        <w:rPr/>
      </w:pPr>
      <w:r>
        <w:rPr/>
        <w:t>“</w:t>
      </w:r>
      <w:r>
        <w:rPr>
          <w:rFonts w:ascii="Times New Roman" w:hAnsi="Times New Roman"/>
          <w:sz w:val="20"/>
          <w:u w:val="single"/>
        </w:rPr>
        <w:t>Group B Obligor</w:t>
      </w:r>
      <w:r>
        <w:rPr>
          <w:rFonts w:ascii="Times New Roman" w:hAnsi="Times New Roman"/>
          <w:sz w:val="20"/>
        </w:rPr>
        <w:t xml:space="preserve">” means an Obligor (or its parent or majority owner, as applicable, if such Obligor is not rated) that is not a Group A Obligor, with a short-term rating of at least: (a) “A 2” by Standard &amp; Poor’s, or if such Obligor does not have a short-term rating from Standard &amp; Poor’s, a rating of “BBB+” to “A” by Standard &amp; Poor’s on such Obligor’s, its parent’s or its majority owner’s (as applicable) long-term senior unsecured and uncredit-enhanced debt securities, </w:t>
      </w:r>
      <w:r>
        <w:rPr>
          <w:rFonts w:ascii="Times New Roman" w:hAnsi="Times New Roman"/>
          <w:sz w:val="20"/>
          <w:u w:val="single"/>
        </w:rPr>
        <w:t>and</w:t>
      </w:r>
      <w:r>
        <w:rPr>
          <w:rFonts w:ascii="Times New Roman" w:hAnsi="Times New Roman"/>
          <w:sz w:val="20"/>
        </w:rPr>
        <w:t xml:space="preserve"> (b) “P 2” by Moody’s, or if such Obligor does not have a short-term rating from Moody’s, “Baal” to “A2” by Moody’s on such Obligor’s, its parent’s or its majority owner’s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long-term senior unsecured and uncredit-enhanced debt securities. Notwithstanding the foregoing, any Obligor that is a Subsidiary of an Obligor that satisfies the definition of “Group B Obligor” shall be deemed to be a Group B Obligor and shall be aggregated with the Obligor that satisfies such definition for the purposes of determining the “Concentration Reserve Percentage”, the “Concentration Reserve” and </w:t>
      </w:r>
      <w:r>
        <w:rPr>
          <w:rFonts w:ascii="Times New Roman" w:hAnsi="Times New Roman"/>
          <w:sz w:val="20"/>
          <w:u w:val="single"/>
        </w:rPr>
        <w:t>clause (i)</w:t>
      </w:r>
      <w:r>
        <w:rPr>
          <w:rFonts w:ascii="Times New Roman" w:hAnsi="Times New Roman"/>
          <w:sz w:val="20"/>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 </w:t>
      </w:r>
    </w:p>
    <w:p>
      <w:pPr>
        <w:pStyle w:val="TextBody"/>
        <w:bidi w:val="0"/>
        <w:spacing w:before="240" w:after="0"/>
        <w:jc w:val="left"/>
        <w:rPr/>
      </w:pPr>
      <w:r>
        <w:rPr/>
        <w:t>“</w:t>
      </w:r>
      <w:r>
        <w:rPr>
          <w:rFonts w:ascii="Times New Roman" w:hAnsi="Times New Roman"/>
          <w:sz w:val="20"/>
          <w:u w:val="single"/>
        </w:rPr>
        <w:t>Group C Obligor</w:t>
      </w:r>
      <w:r>
        <w:rPr>
          <w:rFonts w:ascii="Times New Roman" w:hAnsi="Times New Roman"/>
          <w:sz w:val="20"/>
        </w:rPr>
        <w:t xml:space="preserve">” means an Obligor (or its parent or majority owner, as applicable, if such Obligor is not rated) that is not a Group A Obligor or a Group B Obligor, with a short-term rating of at least: (a) “A 3” by Standard &amp; Poor’s, or if such Obligor does not have a short-term rating from Standard &amp; Poor’s, a rating of “BBB-” to “BBB” by Standard &amp; Poor’s on such Obligor’s, its parent’s or its majority owner’s (as applicable) long-term senior unsecured and uncredit-enhanced debt securities, </w:t>
      </w:r>
      <w:r>
        <w:rPr>
          <w:rFonts w:ascii="Times New Roman" w:hAnsi="Times New Roman"/>
          <w:sz w:val="20"/>
          <w:u w:val="single"/>
        </w:rPr>
        <w:t>and</w:t>
      </w:r>
      <w:r>
        <w:rPr>
          <w:rFonts w:ascii="Times New Roman" w:hAnsi="Times New Roman"/>
          <w:sz w:val="20"/>
        </w:rPr>
        <w:t xml:space="preserve"> (b) “P 3” by Moody’s, or if such Obligor does not have a short-term rating from Moody’s, “Baa3” to “Baa2” by Moody’s on such Obligor’s, its parent’s or its majority owner’s (as applicable) long-term senior unsecured and uncredit-enhanced debt securities; </w:t>
      </w:r>
      <w:r>
        <w:rPr>
          <w:rFonts w:ascii="Times New Roman" w:hAnsi="Times New Roman"/>
          <w:sz w:val="20"/>
          <w:u w:val="single"/>
        </w:rPr>
        <w:t>provided</w:t>
      </w:r>
      <w:r>
        <w:rPr>
          <w:rFonts w:ascii="Times New Roman" w:hAnsi="Times New Roman"/>
          <w:sz w:val="20"/>
        </w:rPr>
        <w:t xml:space="preserve">, that if an Obligor (or its parent or majority owner, as applicable, if such Obligor is not rated) receives a split rating from Standard &amp; Poor’s and Moody’s, then such Obligor (or its parent or majority owner, as applicable) shall be deemed to have the rating from each of Standard &amp; Poor’s and Moody’s as determined in accordance with the rules of construction found in the final paragraph of this Article I, and such deemed rating shall be used for the purposes of whether such rating satisfies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Notwithstanding the foregoing, any Obligor that is a Subsidiary of an Obligor that satisfies the definition of “Group C Obligor” shall be deemed to be a Group C Obligor and shall be aggregated with the Obligor that satisfies such definition for the purposes of determining the “Concentration Reserve Percentage”, the “Concentration Reserve” and </w:t>
      </w:r>
      <w:r>
        <w:rPr>
          <w:rFonts w:ascii="Times New Roman" w:hAnsi="Times New Roman"/>
          <w:sz w:val="20"/>
          <w:u w:val="single"/>
        </w:rPr>
        <w:t>clause (i)</w:t>
      </w:r>
      <w:r>
        <w:rPr>
          <w:rFonts w:ascii="Times New Roman" w:hAnsi="Times New Roman"/>
          <w:sz w:val="20"/>
        </w:rPr>
        <w:t xml:space="preserve"> 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 </w:t>
      </w:r>
    </w:p>
    <w:p>
      <w:pPr>
        <w:pStyle w:val="TextBody"/>
        <w:bidi w:val="0"/>
        <w:spacing w:before="240" w:after="0"/>
        <w:jc w:val="left"/>
        <w:rPr/>
      </w:pPr>
      <w:r>
        <w:rPr/>
        <w:t>“</w:t>
      </w:r>
      <w:r>
        <w:rPr>
          <w:rFonts w:ascii="Times New Roman" w:hAnsi="Times New Roman"/>
          <w:sz w:val="20"/>
          <w:u w:val="single"/>
        </w:rPr>
        <w:t>Group Commitment</w:t>
      </w:r>
      <w:r>
        <w:rPr>
          <w:rFonts w:ascii="Times New Roman" w:hAnsi="Times New Roman"/>
          <w:sz w:val="20"/>
        </w:rPr>
        <w:t xml:space="preserve">” means with respect to any Purchaser Group the aggregate of the Commitments of each Purchaser within such Purchaser Group. </w:t>
      </w:r>
    </w:p>
    <w:p>
      <w:pPr>
        <w:pStyle w:val="TextBody"/>
        <w:bidi w:val="0"/>
        <w:spacing w:before="240" w:after="0"/>
        <w:jc w:val="left"/>
        <w:rPr/>
      </w:pPr>
      <w:r>
        <w:rPr/>
        <w:t>“</w:t>
      </w:r>
      <w:r>
        <w:rPr>
          <w:rFonts w:ascii="Times New Roman" w:hAnsi="Times New Roman"/>
          <w:sz w:val="20"/>
          <w:u w:val="single"/>
        </w:rPr>
        <w:t>Group D Obligor</w:t>
      </w:r>
      <w:r>
        <w:rPr>
          <w:rFonts w:ascii="Times New Roman" w:hAnsi="Times New Roman"/>
          <w:sz w:val="20"/>
        </w:rPr>
        <w:t xml:space="preserve">” means any Obligor that is not a Group A Obligor, Group B Obligor or Group C Obligor; </w:t>
      </w:r>
      <w:r>
        <w:rPr>
          <w:rFonts w:ascii="Times New Roman" w:hAnsi="Times New Roman"/>
          <w:sz w:val="20"/>
          <w:u w:val="single"/>
        </w:rPr>
        <w:t>provided</w:t>
      </w:r>
      <w:r>
        <w:rPr>
          <w:rFonts w:ascii="Times New Roman" w:hAnsi="Times New Roman"/>
          <w:sz w:val="20"/>
        </w:rPr>
        <w:t xml:space="preserve">, that any Obligor (or its parent or majority owner, as applicable, if such Obligor is unrated) that is not rated by both Moody’s and Standard &amp; Poor’s shall be a Group D Obligor. </w:t>
      </w:r>
    </w:p>
    <w:p>
      <w:pPr>
        <w:pStyle w:val="TextBody"/>
        <w:bidi w:val="0"/>
        <w:spacing w:before="240" w:after="0"/>
        <w:jc w:val="left"/>
        <w:rPr/>
      </w:pPr>
      <w:r>
        <w:rPr/>
        <w:t>“</w:t>
      </w:r>
      <w:r>
        <w:rPr>
          <w:rFonts w:ascii="Times New Roman" w:hAnsi="Times New Roman"/>
          <w:sz w:val="20"/>
          <w:u w:val="single"/>
        </w:rPr>
        <w:t>Group Investment</w:t>
      </w:r>
      <w:r>
        <w:rPr>
          <w:rFonts w:ascii="Times New Roman" w:hAnsi="Times New Roman"/>
          <w:sz w:val="20"/>
        </w:rPr>
        <w:t xml:space="preserve">” means with respect to any Purchaser Group, an amount equal to the aggregate of all Investments of the Purchasers within such Purchaser Group. </w:t>
      </w:r>
    </w:p>
    <w:p>
      <w:pPr>
        <w:pStyle w:val="TextBody"/>
        <w:bidi w:val="0"/>
        <w:spacing w:before="240" w:after="0"/>
        <w:jc w:val="left"/>
        <w:rPr/>
      </w:pPr>
      <w:r>
        <w:rPr/>
        <w:t>“</w:t>
      </w:r>
      <w:r>
        <w:rPr>
          <w:rFonts w:ascii="Times New Roman" w:hAnsi="Times New Roman"/>
          <w:sz w:val="20"/>
          <w:u w:val="single"/>
        </w:rPr>
        <w:t>Holdings</w:t>
      </w:r>
      <w:r>
        <w:rPr>
          <w:rFonts w:ascii="Times New Roman" w:hAnsi="Times New Roman"/>
          <w:sz w:val="20"/>
        </w:rPr>
        <w:t xml:space="preserve">” means WESCO International, Inc., a Delaware corporation. </w:t>
      </w:r>
    </w:p>
    <w:p>
      <w:pPr>
        <w:pStyle w:val="TextBody"/>
        <w:bidi w:val="0"/>
        <w:spacing w:before="240" w:after="0"/>
        <w:jc w:val="left"/>
        <w:rPr/>
      </w:pPr>
      <w:r>
        <w:rPr/>
        <w:t>“</w:t>
      </w:r>
      <w:r>
        <w:rPr>
          <w:rFonts w:ascii="Times New Roman" w:hAnsi="Times New Roman"/>
          <w:sz w:val="20"/>
          <w:u w:val="single"/>
        </w:rPr>
        <w:t>Indemnified Amounts</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Indemnified Party</w:t>
      </w:r>
      <w:r>
        <w:rPr>
          <w:rFonts w:ascii="Times New Roman" w:hAnsi="Times New Roman"/>
          <w:sz w:val="20"/>
        </w:rPr>
        <w:t xml:space="preserve">” has the meaning set forth in </w:t>
      </w:r>
      <w:r>
        <w:rPr>
          <w:rFonts w:ascii="Times New Roman" w:hAnsi="Times New Roman"/>
          <w:sz w:val="20"/>
          <w:u w:val="single"/>
        </w:rPr>
        <w:t>Section 3.1</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Independent Director</w:t>
      </w:r>
      <w:r>
        <w:rPr>
          <w:rFonts w:ascii="Times New Roman" w:hAnsi="Times New Roman"/>
          <w:sz w:val="20"/>
        </w:rPr>
        <w:t xml:space="preserve">” has the meaning set forth in </w:t>
      </w:r>
      <w:r>
        <w:rPr>
          <w:rFonts w:ascii="Times New Roman" w:hAnsi="Times New Roman"/>
          <w:sz w:val="20"/>
          <w:u w:val="single"/>
        </w:rPr>
        <w:t>paragraph 3(c)</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Ineligible Subject Originator Receivables</w:t>
      </w:r>
      <w:r>
        <w:rPr>
          <w:rFonts w:ascii="Times New Roman" w:hAnsi="Times New Roman"/>
          <w:sz w:val="20"/>
        </w:rPr>
        <w:t xml:space="preserve">” means Receivables of a Subject Originator designated as ineligible. </w:t>
      </w:r>
    </w:p>
    <w:p>
      <w:pPr>
        <w:pStyle w:val="TextBody"/>
        <w:bidi w:val="0"/>
        <w:spacing w:before="240" w:after="0"/>
        <w:jc w:val="left"/>
        <w:rPr/>
      </w:pPr>
      <w:r>
        <w:rPr/>
        <w:t>“</w:t>
      </w:r>
      <w:r>
        <w:rPr>
          <w:rFonts w:ascii="Times New Roman" w:hAnsi="Times New Roman"/>
          <w:sz w:val="20"/>
          <w:u w:val="single"/>
        </w:rPr>
        <w:t>Information Package</w:t>
      </w:r>
      <w:r>
        <w:rPr>
          <w:rFonts w:ascii="Times New Roman" w:hAnsi="Times New Roman"/>
          <w:sz w:val="20"/>
        </w:rPr>
        <w:t xml:space="preserve">” means a report, in substantially the form of </w:t>
      </w:r>
      <w:r>
        <w:rPr>
          <w:rFonts w:ascii="Times New Roman" w:hAnsi="Times New Roman"/>
          <w:sz w:val="20"/>
          <w:u w:val="single"/>
        </w:rPr>
        <w:t>Annex A</w:t>
      </w:r>
      <w:r>
        <w:rPr>
          <w:rFonts w:ascii="Times New Roman" w:hAnsi="Times New Roman"/>
          <w:sz w:val="20"/>
        </w:rPr>
        <w:t xml:space="preserve"> to this Agreement, furnished to the Administrator pursuant to this Agreement. </w:t>
      </w:r>
    </w:p>
    <w:p>
      <w:pPr>
        <w:pStyle w:val="TextBody"/>
        <w:bidi w:val="0"/>
        <w:spacing w:before="240" w:after="0"/>
        <w:jc w:val="left"/>
        <w:rPr/>
      </w:pPr>
      <w:r>
        <w:rPr/>
        <w:t>“</w:t>
      </w:r>
      <w:r>
        <w:rPr>
          <w:rFonts w:ascii="Times New Roman" w:hAnsi="Times New Roman"/>
          <w:sz w:val="20"/>
          <w:u w:val="single"/>
        </w:rPr>
        <w:t>Insolvency Proceeding</w:t>
      </w:r>
      <w:r>
        <w:rPr>
          <w:rFonts w:ascii="Times New Roman" w:hAnsi="Times New Roman"/>
          <w:sz w:val="20"/>
        </w:rPr>
        <w:t xml:space="preserve">”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undertaken under U.S. Federal, state or foreign law, including the Bankruptcy Code. </w:t>
      </w:r>
    </w:p>
    <w:p>
      <w:pPr>
        <w:pStyle w:val="TextBody"/>
        <w:bidi w:val="0"/>
        <w:spacing w:before="240" w:after="0"/>
        <w:jc w:val="left"/>
        <w:rPr/>
      </w:pPr>
      <w:r>
        <w:rPr/>
        <w:t>“</w:t>
      </w:r>
      <w:r>
        <w:rPr>
          <w:rFonts w:ascii="Times New Roman" w:hAnsi="Times New Roman"/>
          <w:sz w:val="20"/>
          <w:u w:val="single"/>
        </w:rPr>
        <w:t>Intended Tax Treatment</w:t>
      </w:r>
      <w:r>
        <w:rPr>
          <w:rFonts w:ascii="Times New Roman" w:hAnsi="Times New Roman"/>
          <w:sz w:val="20"/>
        </w:rPr>
        <w:t xml:space="preserve">” has the meaning set forth in </w:t>
      </w:r>
      <w:r>
        <w:rPr>
          <w:rFonts w:ascii="Times New Roman" w:hAnsi="Times New Roman"/>
          <w:sz w:val="20"/>
          <w:u w:val="single"/>
        </w:rPr>
        <w:t>Section 6.4</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Intercreditor Agreement</w:t>
      </w:r>
      <w:r>
        <w:rPr>
          <w:rFonts w:ascii="Times New Roman" w:hAnsi="Times New Roman"/>
          <w:sz w:val="20"/>
        </w:rPr>
        <w:t xml:space="preserve">” means that certain Intercreditor Agreement, dated on or about the date hereof, by and among the Administrator, as receivables agent, Barclays Bank PLC, as ABL lenders agent, WESCO, the Seller, and the other Persons party thereto,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Internal Revenue Code</w:t>
      </w:r>
      <w:r>
        <w:rPr>
          <w:rFonts w:ascii="Times New Roman" w:hAnsi="Times New Roman"/>
          <w:sz w:val="20"/>
        </w:rPr>
        <w:t xml:space="preserve">” means the Internal Revenue Code of 1986, as amended from time to time, and any successor statute of similar import, together with the regulations thereunder, in each case as in effect from time to time. References to sections of the Internal Revenue Code also refer to any successor sections. </w:t>
      </w:r>
    </w:p>
    <w:p>
      <w:pPr>
        <w:pStyle w:val="TextBody"/>
        <w:bidi w:val="0"/>
        <w:spacing w:before="240" w:after="0"/>
        <w:jc w:val="left"/>
        <w:rPr/>
      </w:pPr>
      <w:r>
        <w:rPr/>
        <w:t>“</w:t>
      </w:r>
      <w:r>
        <w:rPr>
          <w:rFonts w:ascii="Times New Roman" w:hAnsi="Times New Roman"/>
          <w:sz w:val="20"/>
          <w:u w:val="single"/>
        </w:rPr>
        <w:t>International Trade Laws</w:t>
      </w:r>
      <w:r>
        <w:rPr>
          <w:rFonts w:ascii="Times New Roman" w:hAnsi="Times New Roman"/>
          <w:sz w:val="20"/>
        </w:rPr>
        <w:t xml:space="preserve">” means all Laws relating to economic and financial sanctions, trade embargoes, export controls, customs and anti-boycott measures.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with respect to any Purchaser the amount paid to the Seller by such Purchaser pursuant to this Agreement as reduced from time to time by Collections distributed and applied on account of such Investment pursuant to </w:t>
      </w:r>
      <w:r>
        <w:rPr>
          <w:rFonts w:ascii="Times New Roman" w:hAnsi="Times New Roman"/>
          <w:sz w:val="20"/>
          <w:u w:val="single"/>
        </w:rPr>
        <w:t>Section 1.4(d)</w:t>
      </w:r>
      <w:r>
        <w:rPr>
          <w:rFonts w:ascii="Times New Roman" w:hAnsi="Times New Roman"/>
          <w:sz w:val="20"/>
        </w:rPr>
        <w:t xml:space="preserve"> of this Agreement; </w:t>
      </w:r>
      <w:r>
        <w:rPr>
          <w:rFonts w:ascii="Times New Roman" w:hAnsi="Times New Roman"/>
          <w:sz w:val="20"/>
          <w:u w:val="single"/>
        </w:rPr>
        <w:t>provided</w:t>
      </w:r>
      <w:r>
        <w:rPr>
          <w:rFonts w:ascii="Times New Roman" w:hAnsi="Times New Roman"/>
          <w:sz w:val="20"/>
        </w:rPr>
        <w:t xml:space="preserve">, that if such Investment shall have been reduced by any distribution and thereafter all or a portion of such distribution is rescinded or must otherwise be returned for any reason, such Investment shall be increased by the amount of such rescinded or returned distribution as though it had not been made. </w:t>
      </w:r>
    </w:p>
    <w:p>
      <w:pPr>
        <w:pStyle w:val="TextBody"/>
        <w:bidi w:val="0"/>
        <w:spacing w:before="240" w:after="0"/>
        <w:jc w:val="left"/>
        <w:rPr/>
      </w:pPr>
      <w:r>
        <w:rPr/>
        <w:t>“</w:t>
      </w:r>
      <w:r>
        <w:rPr>
          <w:rFonts w:ascii="Times New Roman" w:hAnsi="Times New Roman"/>
          <w:sz w:val="20"/>
          <w:u w:val="single"/>
        </w:rPr>
        <w:t>Joinder Conditions</w:t>
      </w:r>
      <w:r>
        <w:rPr>
          <w:rFonts w:ascii="Times New Roman" w:hAnsi="Times New Roman"/>
          <w:sz w:val="20"/>
        </w:rPr>
        <w:t xml:space="preserve">” means (i) such proposed additional Subject Originator shall have delivered to the Administrator each of the documents with respect to such Originator described in </w:t>
      </w:r>
      <w:r>
        <w:rPr>
          <w:rFonts w:ascii="Times New Roman" w:hAnsi="Times New Roman"/>
          <w:sz w:val="20"/>
          <w:u w:val="single"/>
        </w:rPr>
        <w:t>Section 4.1</w:t>
      </w:r>
      <w:r>
        <w:rPr>
          <w:rFonts w:ascii="Times New Roman" w:hAnsi="Times New Roman"/>
          <w:sz w:val="20"/>
        </w:rPr>
        <w:t xml:space="preserve"> of the Sale Agreement, in each case in form and substance reasonably satisfactory to the Administrator (it being agreed that the forms previously delivered to the Administrator are satisfactory), (ii) the aggregate Outstanding Balance of all Receivables of such Subject Originator plus the aggregate Outstanding Balance of all Receivables of each other Subject Originator joined to the Sale Agreement pursuant to an amendment not consented to by the Majority Purchasers during such calendar year do not exceed 15.0% of the aggregate Outstanding Balance of all Receivables then in the Receivables Pool, (iii) no Purchase and Sale Termination Event or Unmatured Purchase and Sale Termination Event shall have occurred and be continuing and (iv) no Termination Event or an Unmatured Termination Event shall have occurred and be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Law</w:t>
      </w:r>
      <w:r>
        <w:rPr>
          <w:rFonts w:ascii="Times New Roman" w:hAnsi="Times New Roman"/>
          <w:sz w:val="20"/>
        </w:rPr>
        <w:t xml:space="preserve">” 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Governmental Authority, foreign or domestic. </w:t>
      </w:r>
    </w:p>
    <w:p>
      <w:pPr>
        <w:pStyle w:val="TextBody"/>
        <w:bidi w:val="0"/>
        <w:spacing w:before="240" w:after="0"/>
        <w:jc w:val="left"/>
        <w:rPr/>
      </w:pPr>
      <w:r>
        <w:rPr/>
        <w:t>“</w:t>
      </w:r>
      <w:r>
        <w:rPr>
          <w:rFonts w:ascii="Times New Roman" w:hAnsi="Times New Roman"/>
          <w:sz w:val="20"/>
          <w:u w:val="single"/>
        </w:rPr>
        <w:t>LCR Security</w:t>
      </w:r>
      <w:r>
        <w:rPr>
          <w:rFonts w:ascii="Times New Roman" w:hAnsi="Times New Roman"/>
          <w:sz w:val="20"/>
        </w:rPr>
        <w:t>” means any commercial paper or security (other than equity securities issued to WESCO or any Originator that is a consolidated subsidiary of WESCO under GAAP) within the meaning of Paragraph __.32(e)(viii) of the final rules titled Liquidity Coverage Ratio: Liquidity Risk Measurement Standards, 79 Fed. Reg. 197, 61440 et seq. (October 10, 2014).</w:t>
      </w:r>
    </w:p>
    <w:p>
      <w:pPr>
        <w:pStyle w:val="TextBody"/>
        <w:bidi w:val="0"/>
        <w:spacing w:before="240" w:after="0"/>
        <w:jc w:val="left"/>
        <w:rPr/>
      </w:pPr>
      <w:r>
        <w:rPr/>
        <w:t>“</w:t>
      </w:r>
      <w:r>
        <w:rPr>
          <w:rFonts w:ascii="Times New Roman" w:hAnsi="Times New Roman"/>
          <w:sz w:val="20"/>
          <w:u w:val="single"/>
        </w:rPr>
        <w:t>Liberty Street</w:t>
      </w:r>
      <w:r>
        <w:rPr>
          <w:rFonts w:ascii="Times New Roman" w:hAnsi="Times New Roman"/>
          <w:sz w:val="20"/>
        </w:rPr>
        <w:t xml:space="preserve">” means Liberty Street Funding LLC. </w:t>
      </w:r>
    </w:p>
    <w:p>
      <w:pPr>
        <w:pStyle w:val="TextBody"/>
        <w:bidi w:val="0"/>
        <w:spacing w:before="240" w:after="0"/>
        <w:jc w:val="left"/>
        <w:rPr/>
      </w:pPr>
      <w:r>
        <w:rPr/>
        <w:t>“</w:t>
      </w:r>
      <w:r>
        <w:rPr>
          <w:rFonts w:ascii="Times New Roman" w:hAnsi="Times New Roman"/>
          <w:sz w:val="20"/>
          <w:u w:val="single"/>
        </w:rPr>
        <w:t>Liquidity Agent</w:t>
      </w:r>
      <w:r>
        <w:rPr>
          <w:rFonts w:ascii="Times New Roman" w:hAnsi="Times New Roman"/>
          <w:sz w:val="20"/>
        </w:rPr>
        <w:t xml:space="preserve">” means each of the banks acting or other Persons as agent for the various Liquidity Banks under each Liquidity Agreement. </w:t>
      </w:r>
    </w:p>
    <w:p>
      <w:pPr>
        <w:pStyle w:val="TextBody"/>
        <w:bidi w:val="0"/>
        <w:spacing w:before="240" w:after="0"/>
        <w:jc w:val="left"/>
        <w:rPr/>
      </w:pPr>
      <w:r>
        <w:rPr/>
        <w:t>“</w:t>
      </w:r>
      <w:r>
        <w:rPr>
          <w:rFonts w:ascii="Times New Roman" w:hAnsi="Times New Roman"/>
          <w:sz w:val="20"/>
          <w:u w:val="single"/>
        </w:rPr>
        <w:t>Liquidity Agreement</w:t>
      </w:r>
      <w:r>
        <w:rPr>
          <w:rFonts w:ascii="Times New Roman" w:hAnsi="Times New Roman"/>
          <w:sz w:val="20"/>
        </w:rPr>
        <w:t xml:space="preserve">” means any agreement entered into in connection with this Agreement pursuant to which a Liquidity Provider agrees to make purchases or advances to, or purchase assets from, any Conduit Purchaser in order to provide liquidity for such Conduit Purchaser’s Purchases. </w:t>
      </w:r>
    </w:p>
    <w:p>
      <w:pPr>
        <w:pStyle w:val="TextBody"/>
        <w:bidi w:val="0"/>
        <w:spacing w:before="240" w:after="0"/>
        <w:jc w:val="left"/>
        <w:rPr/>
      </w:pPr>
      <w:r>
        <w:rPr/>
        <w:t>“</w:t>
      </w:r>
      <w:r>
        <w:rPr>
          <w:rFonts w:ascii="Times New Roman" w:hAnsi="Times New Roman"/>
          <w:sz w:val="20"/>
          <w:u w:val="single"/>
        </w:rPr>
        <w:t>Liquidity Provider</w:t>
      </w:r>
      <w:r>
        <w:rPr>
          <w:rFonts w:ascii="Times New Roman" w:hAnsi="Times New Roman"/>
          <w:sz w:val="20"/>
        </w:rPr>
        <w:t xml:space="preserve">” means each bank or other financial institution that provides liquidity support to any Conduit Purchaser pursuant to the terms of a Liquidity Agreement. </w:t>
      </w:r>
    </w:p>
    <w:p>
      <w:pPr>
        <w:pStyle w:val="TextBody"/>
        <w:bidi w:val="0"/>
        <w:spacing w:before="240" w:after="0"/>
        <w:jc w:val="left"/>
        <w:rPr/>
      </w:pPr>
      <w:r>
        <w:rPr/>
        <w:t>“</w:t>
      </w:r>
      <w:r>
        <w:rPr>
          <w:rFonts w:ascii="Times New Roman" w:hAnsi="Times New Roman"/>
          <w:sz w:val="20"/>
          <w:u w:val="single"/>
        </w:rPr>
        <w:t>Lock-Box Account</w:t>
      </w:r>
      <w:r>
        <w:rPr>
          <w:rFonts w:ascii="Times New Roman" w:hAnsi="Times New Roman"/>
          <w:sz w:val="20"/>
        </w:rPr>
        <w:t xml:space="preserve">” means an account maintained in the name of the Seller (or solely with respect to any Exception Account, in the name of the Seller or an Originator) at a bank or other financial institution for the purpose of receiving Collections. </w:t>
      </w:r>
    </w:p>
    <w:p>
      <w:pPr>
        <w:pStyle w:val="TextBody"/>
        <w:bidi w:val="0"/>
        <w:spacing w:before="240" w:after="0"/>
        <w:jc w:val="left"/>
        <w:rPr/>
      </w:pPr>
      <w:r>
        <w:rPr/>
        <w:t>“</w:t>
      </w:r>
      <w:r>
        <w:rPr>
          <w:rFonts w:ascii="Times New Roman" w:hAnsi="Times New Roman"/>
          <w:sz w:val="20"/>
          <w:u w:val="single"/>
        </w:rPr>
        <w:t>Lock-Box Agreement</w:t>
      </w:r>
      <w:r>
        <w:rPr>
          <w:rFonts w:ascii="Times New Roman" w:hAnsi="Times New Roman"/>
          <w:sz w:val="20"/>
        </w:rPr>
        <w:t xml:space="preserve">” means an agreement among the Seller, the Servicer, a Lock-Box Bank and the Administrator, for the benefit of the Purchasers, establishing “control” (as defined in Section 9-104 of the applicable UCC) of the Administrator in the Lock-Box Account(s) referenced therein. </w:t>
      </w:r>
    </w:p>
    <w:p>
      <w:pPr>
        <w:pStyle w:val="TextBody"/>
        <w:bidi w:val="0"/>
        <w:spacing w:before="240" w:after="0"/>
        <w:jc w:val="left"/>
        <w:rPr/>
      </w:pPr>
      <w:r>
        <w:rPr/>
        <w:t>“</w:t>
      </w:r>
      <w:r>
        <w:rPr>
          <w:rFonts w:ascii="Times New Roman" w:hAnsi="Times New Roman"/>
          <w:sz w:val="20"/>
          <w:u w:val="single"/>
        </w:rPr>
        <w:t>Lock-Box Bank</w:t>
      </w:r>
      <w:r>
        <w:rPr>
          <w:rFonts w:ascii="Times New Roman" w:hAnsi="Times New Roman"/>
          <w:sz w:val="20"/>
        </w:rPr>
        <w:t xml:space="preserve">” means any of the banks or other financial institutions holding one or more Lock-Box Accounts. </w:t>
      </w:r>
    </w:p>
    <w:p>
      <w:pPr>
        <w:pStyle w:val="TextBody"/>
        <w:bidi w:val="0"/>
        <w:spacing w:before="240" w:after="0"/>
        <w:jc w:val="left"/>
        <w:rPr/>
      </w:pPr>
      <w:r>
        <w:rPr/>
        <w:t>“</w:t>
      </w:r>
      <w:r>
        <w:rPr>
          <w:rFonts w:ascii="Times New Roman" w:hAnsi="Times New Roman"/>
          <w:sz w:val="20"/>
          <w:u w:val="single"/>
        </w:rPr>
        <w:t>Lock-Box Rights</w:t>
      </w:r>
      <w:r>
        <w:rPr>
          <w:rFonts w:ascii="Times New Roman" w:hAnsi="Times New Roman"/>
          <w:sz w:val="20"/>
        </w:rPr>
        <w:t xml:space="preserve">” has the meaning set forth in </w:t>
      </w:r>
      <w:r>
        <w:rPr>
          <w:rFonts w:ascii="Times New Roman" w:hAnsi="Times New Roman"/>
          <w:sz w:val="20"/>
          <w:u w:val="single"/>
        </w:rPr>
        <w:t>Section 4.3</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Lock-Box Schedule Letter Agreement</w:t>
      </w:r>
      <w:r>
        <w:rPr>
          <w:rFonts w:ascii="Times New Roman" w:hAnsi="Times New Roman"/>
          <w:sz w:val="20"/>
        </w:rPr>
        <w:t xml:space="preserve">” means that certain letter agreement, dated as of December 16, 2010 and as amended, restated, amended and restated, supplemented or otherwise modified or replaced from time to time, among the Seller, the Servicer, the Administrator and each of the Purchasers and Purchaser Agents party thereto,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Loss Reserve</w:t>
      </w:r>
      <w:r>
        <w:rPr>
          <w:rFonts w:ascii="Times New Roman" w:hAnsi="Times New Roman"/>
          <w:sz w:val="20"/>
        </w:rPr>
        <w:t xml:space="preserve">” means, on any date, an amount equal to (i) the aggregate of the Investment of all Purchasers set forth in the definition thereof at the close of business of the Servicer on such date multiplied by (ii)(A) the Loss Reserve Percentage on such date divided by (B) 100% minus the Loss Reserve Percentage on such date. </w:t>
      </w:r>
    </w:p>
    <w:p>
      <w:pPr>
        <w:pStyle w:val="TextBody"/>
        <w:bidi w:val="0"/>
        <w:spacing w:before="240" w:after="0"/>
        <w:jc w:val="left"/>
        <w:rPr/>
      </w:pPr>
      <w:r>
        <w:rPr/>
        <w:t>“</w:t>
      </w:r>
      <w:r>
        <w:rPr>
          <w:rFonts w:ascii="Times New Roman" w:hAnsi="Times New Roman"/>
          <w:sz w:val="20"/>
          <w:u w:val="single"/>
        </w:rPr>
        <w:t>Loss Reserve Percentage</w:t>
      </w:r>
      <w:r>
        <w:rPr>
          <w:rFonts w:ascii="Times New Roman" w:hAnsi="Times New Roman"/>
          <w:sz w:val="20"/>
        </w:rPr>
        <w:t xml:space="preserve">” means, on any date, (i) the product of (A) 2.00 times the highest average of the Default Ratios for any three consecutive calendar months during the twelve most recent calendar months multiplied by (B) the sum of (x) the aggregate credit sales made by the Originators during the four most recent calendar months and (y) the product of 0.125 and the aggregate credit sales made by the Originators during the fifth most recent calendar month, divided by (ii) the Adjusted Net Receivables Pool Balance as of such date. </w:t>
      </w:r>
    </w:p>
    <w:p>
      <w:pPr>
        <w:pStyle w:val="TextBody"/>
        <w:bidi w:val="0"/>
        <w:spacing w:before="240" w:after="0"/>
        <w:jc w:val="left"/>
        <w:rPr/>
      </w:pPr>
      <w:r>
        <w:rPr/>
        <w:t>“</w:t>
      </w:r>
      <w:r>
        <w:rPr>
          <w:rFonts w:ascii="Times New Roman" w:hAnsi="Times New Roman"/>
          <w:sz w:val="20"/>
          <w:u w:val="single"/>
        </w:rPr>
        <w:t>Majority Purchasers</w:t>
      </w:r>
      <w:r>
        <w:rPr>
          <w:rFonts w:ascii="Times New Roman" w:hAnsi="Times New Roman"/>
          <w:sz w:val="20"/>
        </w:rPr>
        <w:t xml:space="preserve">” means, at any time, Purchasers (other than Defaulting Purchasers) whose Commitments aggregate more than 66.67% of the aggregate of the Commitments of all Purchasers (other than Defaulting Purchasers);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any Purchaser’s Commitment is greater than 66.67% of the aggregate Commitments (other than Defaulting Purchaser’s Commitments), then “Majority Purchasers” shall mean a minimum of two Purchasers whose Commitments aggregate more than 66.67% of the aggregate Commitments (other than Defaulting Purchaser’s Commitments).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relative to any Person (provided that if no particular Person is specified, “Material Adverse Effect” shall be deemed to be relative to both (i) Holdings and its Subsidiaries (other than the Seller), taken as a whole, and (ii) the Seller, individually) with respect to any event or circumstance, a material adverse effect on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the assets, operations, business or financial condition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(b) the ability of such Person to perform its obligations under this Agreement or any other Transaction Document to which it is a party, </w:t>
      </w:r>
    </w:p>
    <w:p>
      <w:pPr>
        <w:pStyle w:val="TextBody"/>
        <w:bidi w:val="0"/>
        <w:spacing w:before="120" w:after="0"/>
        <w:jc w:val="left"/>
        <w:rPr>
          <w:rFonts w:ascii="Times New Roman" w:hAnsi="Times New Roman"/>
          <w:sz w:val="20"/>
        </w:rPr>
      </w:pPr>
      <w:r>
        <w:rPr>
          <w:rFonts w:ascii="Times New Roman" w:hAnsi="Times New Roman"/>
          <w:sz w:val="20"/>
        </w:rPr>
        <w:t xml:space="preserve">(c) the validity or enforceability of any other Transaction Document, or the validity, enforceability or collectibility of a material portion of the Pool Receivables, or </w:t>
      </w:r>
    </w:p>
    <w:p>
      <w:pPr>
        <w:pStyle w:val="TextBody"/>
        <w:bidi w:val="0"/>
        <w:spacing w:before="120" w:after="0"/>
        <w:jc w:val="left"/>
        <w:rPr>
          <w:rFonts w:ascii="Times New Roman" w:hAnsi="Times New Roman"/>
          <w:sz w:val="20"/>
        </w:rPr>
      </w:pPr>
      <w:r>
        <w:rPr>
          <w:rFonts w:ascii="Times New Roman" w:hAnsi="Times New Roman"/>
          <w:sz w:val="20"/>
        </w:rPr>
        <w:t xml:space="preserve">(d) the status, perfection, enforceability or priority of any Purchaser’s or the Seller’s interest in the Pool Assets. </w:t>
      </w:r>
    </w:p>
    <w:p>
      <w:pPr>
        <w:pStyle w:val="TextBody"/>
        <w:bidi w:val="0"/>
        <w:spacing w:before="240" w:after="0"/>
        <w:jc w:val="left"/>
        <w:rPr/>
      </w:pPr>
      <w:r>
        <w:rPr/>
        <w:t>“</w:t>
      </w:r>
      <w:r>
        <w:rPr>
          <w:rFonts w:ascii="Times New Roman" w:hAnsi="Times New Roman"/>
          <w:sz w:val="20"/>
          <w:u w:val="single"/>
        </w:rPr>
        <w:t>Maximum Incremental Purchase</w:t>
      </w:r>
      <w:r>
        <w:rPr>
          <w:rFonts w:ascii="Times New Roman" w:hAnsi="Times New Roman"/>
          <w:sz w:val="20"/>
        </w:rPr>
        <w:t xml:space="preserve">” means, on any date, the additional incremental increase in the Aggregate Investment that would cause the Aggregate Investment plus the Total Reserves to equal the Net Receivables Pool Balance. </w:t>
      </w:r>
    </w:p>
    <w:p>
      <w:pPr>
        <w:pStyle w:val="TextBody"/>
        <w:bidi w:val="0"/>
        <w:spacing w:before="240" w:after="0"/>
        <w:jc w:val="left"/>
        <w:rPr/>
      </w:pPr>
      <w:r>
        <w:rPr/>
        <w:t>“</w:t>
      </w:r>
      <w:r>
        <w:rPr>
          <w:rFonts w:ascii="Times New Roman" w:hAnsi="Times New Roman"/>
          <w:sz w:val="20"/>
          <w:u w:val="single"/>
        </w:rPr>
        <w:t>Minimum Dilution Reserve</w:t>
      </w:r>
      <w:r>
        <w:rPr>
          <w:rFonts w:ascii="Times New Roman" w:hAnsi="Times New Roman"/>
          <w:sz w:val="20"/>
        </w:rPr>
        <w:t xml:space="preserve">” means, on any date, an amount equal to: (a) the Aggregate Investment on such date,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(i) the Minimum Dilution Reserve Percentage on such date, </w:t>
      </w:r>
      <w:r>
        <w:rPr>
          <w:rFonts w:ascii="Times New Roman" w:hAnsi="Times New Roman"/>
          <w:sz w:val="20"/>
          <w:u w:val="single"/>
        </w:rPr>
        <w:t>divided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100% minus the Minimum Dilution Reserve Percentage on such date. </w:t>
      </w:r>
    </w:p>
    <w:p>
      <w:pPr>
        <w:pStyle w:val="TextBody"/>
        <w:bidi w:val="0"/>
        <w:spacing w:before="240" w:after="0"/>
        <w:jc w:val="left"/>
        <w:rPr/>
      </w:pPr>
      <w:r>
        <w:rPr/>
        <w:t>“</w:t>
      </w:r>
      <w:r>
        <w:rPr>
          <w:rFonts w:ascii="Times New Roman" w:hAnsi="Times New Roman"/>
          <w:sz w:val="20"/>
          <w:u w:val="single"/>
        </w:rPr>
        <w:t>Minimum Dilution Reserve Percentage</w:t>
      </w:r>
      <w:r>
        <w:rPr>
          <w:rFonts w:ascii="Times New Roman" w:hAnsi="Times New Roman"/>
          <w:sz w:val="20"/>
        </w:rPr>
        <w:t xml:space="preserve">” means, on any date, the product of (i) Adjusted Dilution Ratio,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the Dilution Horizon Ratio. </w:t>
      </w:r>
    </w:p>
    <w:p>
      <w:pPr>
        <w:pStyle w:val="TextBody"/>
        <w:bidi w:val="0"/>
        <w:spacing w:before="240" w:after="0"/>
        <w:jc w:val="left"/>
        <w:rPr/>
      </w:pPr>
      <w:r>
        <w:rPr/>
        <w:t>“</w:t>
      </w:r>
      <w:r>
        <w:rPr>
          <w:rFonts w:ascii="Times New Roman" w:hAnsi="Times New Roman"/>
          <w:sz w:val="20"/>
          <w:u w:val="single"/>
        </w:rPr>
        <w:t>Moody’s</w:t>
      </w:r>
      <w:r>
        <w:rPr>
          <w:rFonts w:ascii="Times New Roman" w:hAnsi="Times New Roman"/>
          <w:sz w:val="20"/>
        </w:rPr>
        <w:t xml:space="preserve">” means Moody’s Investors Service,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Receivables Pool Balance</w:t>
      </w:r>
      <w:r>
        <w:rPr>
          <w:rFonts w:ascii="Times New Roman" w:hAnsi="Times New Roman"/>
          <w:sz w:val="20"/>
        </w:rPr>
        <w:t xml:space="preserve">” means, at any time: (a) the Outstanding Balance of Eligible Receivables then in the Receivables Pool minus (b) the Excess Concentration. </w:t>
      </w:r>
    </w:p>
    <w:p>
      <w:pPr>
        <w:pStyle w:val="TextBody"/>
        <w:bidi w:val="0"/>
        <w:spacing w:before="240" w:after="0"/>
        <w:jc w:val="left"/>
        <w:rPr/>
      </w:pPr>
      <w:r>
        <w:rPr/>
        <w:t>“</w:t>
      </w:r>
      <w:r>
        <w:rPr>
          <w:rFonts w:ascii="Times New Roman" w:hAnsi="Times New Roman"/>
          <w:sz w:val="20"/>
          <w:u w:val="single"/>
        </w:rPr>
        <w:t>New Originators</w:t>
      </w:r>
      <w:r>
        <w:rPr>
          <w:rFonts w:ascii="Times New Roman" w:hAnsi="Times New Roman"/>
          <w:sz w:val="20"/>
        </w:rPr>
        <w:t xml:space="preserve">” means each of (i) ANIXTER INC., a Delaware corporation, (ii) ACCU-TECH CORPORATION, a Georgia corporation, and (iii) ANIXTER POWER SOLUTIONS INC., a Michigan corporation. </w:t>
      </w:r>
    </w:p>
    <w:p>
      <w:pPr>
        <w:pStyle w:val="TextBody"/>
        <w:bidi w:val="0"/>
        <w:spacing w:before="240" w:after="0"/>
        <w:jc w:val="left"/>
        <w:rPr/>
      </w:pPr>
      <w:r>
        <w:rPr/>
        <w:t>“</w:t>
      </w:r>
      <w:r>
        <w:rPr>
          <w:rFonts w:ascii="Times New Roman" w:hAnsi="Times New Roman"/>
          <w:sz w:val="20"/>
          <w:u w:val="single"/>
        </w:rPr>
        <w:t>Ninth Amendment Date</w:t>
      </w:r>
      <w:r>
        <w:rPr>
          <w:rFonts w:ascii="Times New Roman" w:hAnsi="Times New Roman"/>
          <w:sz w:val="20"/>
        </w:rPr>
        <w:t xml:space="preserve">” means February 28, 2025. </w:t>
      </w:r>
    </w:p>
    <w:p>
      <w:pPr>
        <w:pStyle w:val="TextBody"/>
        <w:bidi w:val="0"/>
        <w:spacing w:before="240" w:after="0"/>
        <w:jc w:val="left"/>
        <w:rPr/>
      </w:pPr>
      <w:r>
        <w:rPr/>
        <w:t>“</w:t>
      </w:r>
      <w:r>
        <w:rPr>
          <w:rFonts w:ascii="Times New Roman" w:hAnsi="Times New Roman"/>
          <w:sz w:val="20"/>
          <w:u w:val="single"/>
        </w:rPr>
        <w:t>Ninth Amendment Date Originator</w:t>
      </w:r>
      <w:r>
        <w:rPr>
          <w:rFonts w:ascii="Times New Roman" w:hAnsi="Times New Roman"/>
          <w:sz w:val="20"/>
        </w:rPr>
        <w:t xml:space="preserve">” means Ascent, LLC, a Missouri limited liability company. </w:t>
      </w:r>
    </w:p>
    <w:p>
      <w:pPr>
        <w:pStyle w:val="TextBody"/>
        <w:bidi w:val="0"/>
        <w:spacing w:before="240" w:after="0"/>
        <w:jc w:val="left"/>
        <w:rPr/>
      </w:pPr>
      <w:r>
        <w:rPr/>
        <w:t>“</w:t>
      </w:r>
      <w:r>
        <w:rPr>
          <w:rFonts w:ascii="Times New Roman" w:hAnsi="Times New Roman"/>
          <w:sz w:val="20"/>
          <w:u w:val="single"/>
        </w:rPr>
        <w:t>Normal Concentration Percentage</w:t>
      </w:r>
      <w:r>
        <w:rPr>
          <w:rFonts w:ascii="Times New Roman" w:hAnsi="Times New Roman"/>
          <w:sz w:val="20"/>
        </w:rPr>
        <w:t xml:space="preserve">” means, (i) for any Group A Obligor, 12.0%, (ii) for any Group B Obligor, 9.0%, (iii) for any Group C Obligor, 6.0% and (iv) for any Group D Obligor, 3.0%. </w:t>
      </w:r>
    </w:p>
    <w:p>
      <w:pPr>
        <w:pStyle w:val="TextBody"/>
        <w:bidi w:val="0"/>
        <w:spacing w:before="240" w:after="0"/>
        <w:jc w:val="left"/>
        <w:rPr/>
      </w:pPr>
      <w:r>
        <w:rPr/>
        <w:t>“</w:t>
      </w:r>
      <w:r>
        <w:rPr>
          <w:rFonts w:ascii="Times New Roman" w:hAnsi="Times New Roman"/>
          <w:sz w:val="20"/>
          <w:u w:val="single"/>
        </w:rPr>
        <w:t>Notes</w:t>
      </w:r>
      <w:r>
        <w:rPr>
          <w:rFonts w:ascii="Times New Roman" w:hAnsi="Times New Roman"/>
          <w:sz w:val="20"/>
        </w:rPr>
        <w:t xml:space="preserve">” means short-term promissory notes issued, or to be issued, by each Conduit Purchaser (or, if applicable, issued by the funding source pursuant to which such Conduit Purchaser finances its Investment hereunder) to fund its investments in accounts receivable or other financial assets. </w:t>
      </w:r>
    </w:p>
    <w:p>
      <w:pPr>
        <w:pStyle w:val="TextBody"/>
        <w:bidi w:val="0"/>
        <w:spacing w:before="240" w:after="0"/>
        <w:jc w:val="left"/>
        <w:rPr/>
      </w:pPr>
      <w:r>
        <w:rPr/>
        <w:t>“</w:t>
      </w:r>
      <w:r>
        <w:rPr>
          <w:rFonts w:ascii="Times New Roman" w:hAnsi="Times New Roman"/>
          <w:sz w:val="20"/>
          <w:u w:val="single"/>
        </w:rPr>
        <w:t>Obligor</w:t>
      </w:r>
      <w:r>
        <w:rPr>
          <w:rFonts w:ascii="Times New Roman" w:hAnsi="Times New Roman"/>
          <w:sz w:val="20"/>
        </w:rPr>
        <w:t xml:space="preserve">” means, with respect to any Receivable, the Person obligated to make payments pursuant to the Contract relating to such Receivable. </w:t>
      </w:r>
    </w:p>
    <w:p>
      <w:pPr>
        <w:pStyle w:val="TextBody"/>
        <w:bidi w:val="0"/>
        <w:spacing w:before="240" w:after="0"/>
        <w:jc w:val="left"/>
        <w:rPr/>
      </w:pPr>
      <w:r>
        <w:rPr/>
        <w:t>“</w:t>
      </w:r>
      <w:r>
        <w:rPr>
          <w:rFonts w:ascii="Times New Roman" w:hAnsi="Times New Roman"/>
          <w:sz w:val="20"/>
          <w:u w:val="single"/>
        </w:rPr>
        <w:t>Obligor Percentage</w:t>
      </w:r>
      <w:r>
        <w:rPr>
          <w:rFonts w:ascii="Times New Roman" w:hAnsi="Times New Roman"/>
          <w:sz w:val="20"/>
        </w:rPr>
        <w:t xml:space="preserve">” means, at any time of determination, for each Obligor, a fraction, expressed as a percentage, (a) the numerator of which is the aggregate Outstanding Balance of the Eligible Receivables of such Obligor and its Affiliates less the amount (if any) then included in the calculation of the Excess Concentration with respect to such Obligor and its Affiliates and (b) the denominator of which is the aggregate Outstanding Balance of all Eligible Receivables at such time.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U.S. Department of Treasury’s Office of Foreign Assets Control. </w:t>
      </w:r>
    </w:p>
    <w:p>
      <w:pPr>
        <w:pStyle w:val="TextBody"/>
        <w:bidi w:val="0"/>
        <w:spacing w:before="240" w:after="0"/>
        <w:jc w:val="left"/>
        <w:rPr/>
      </w:pPr>
      <w:r>
        <w:rPr/>
        <w:t>“</w:t>
      </w:r>
      <w:r>
        <w:rPr>
          <w:rFonts w:ascii="Times New Roman" w:hAnsi="Times New Roman"/>
          <w:sz w:val="20"/>
          <w:u w:val="single"/>
        </w:rPr>
        <w:t>Original Agreement</w:t>
      </w:r>
      <w:r>
        <w:rPr>
          <w:rFonts w:ascii="Times New Roman" w:hAnsi="Times New Roman"/>
          <w:sz w:val="20"/>
        </w:rPr>
        <w:t xml:space="preserve">” has the meaning set forth in the preliminary statements of this Agreement. </w:t>
      </w:r>
    </w:p>
    <w:p>
      <w:pPr>
        <w:pStyle w:val="TextBody"/>
        <w:bidi w:val="0"/>
        <w:spacing w:before="240" w:after="0"/>
        <w:jc w:val="left"/>
        <w:rPr/>
      </w:pPr>
      <w:r>
        <w:rPr/>
        <w:t>“</w:t>
      </w:r>
      <w:r>
        <w:rPr>
          <w:rFonts w:ascii="Times New Roman" w:hAnsi="Times New Roman"/>
          <w:sz w:val="20"/>
          <w:u w:val="single"/>
        </w:rPr>
        <w:t>Originator</w:t>
      </w:r>
      <w:r>
        <w:rPr>
          <w:rFonts w:ascii="Times New Roman" w:hAnsi="Times New Roman"/>
          <w:sz w:val="20"/>
        </w:rPr>
        <w:t xml:space="preserve">” has the meaning set forth in the Sale Agreement. </w:t>
      </w:r>
    </w:p>
    <w:p>
      <w:pPr>
        <w:pStyle w:val="TextBody"/>
        <w:bidi w:val="0"/>
        <w:spacing w:before="240" w:after="0"/>
        <w:jc w:val="left"/>
        <w:rPr/>
      </w:pPr>
      <w:r>
        <w:rPr/>
        <w:t>“</w:t>
      </w:r>
      <w:r>
        <w:rPr>
          <w:rFonts w:ascii="Times New Roman" w:hAnsi="Times New Roman"/>
          <w:sz w:val="20"/>
          <w:u w:val="single"/>
        </w:rPr>
        <w:t>Originator Assignment Certificate</w:t>
      </w:r>
      <w:r>
        <w:rPr>
          <w:rFonts w:ascii="Times New Roman" w:hAnsi="Times New Roman"/>
          <w:sz w:val="20"/>
        </w:rPr>
        <w:t xml:space="preserve">” means each assignment, in substantially the form of </w:t>
      </w:r>
      <w:r>
        <w:rPr>
          <w:rFonts w:ascii="Times New Roman" w:hAnsi="Times New Roman"/>
          <w:sz w:val="20"/>
          <w:u w:val="single"/>
        </w:rPr>
        <w:t>Exhibit C</w:t>
      </w:r>
      <w:r>
        <w:rPr>
          <w:rFonts w:ascii="Times New Roman" w:hAnsi="Times New Roman"/>
          <w:sz w:val="20"/>
        </w:rPr>
        <w:t xml:space="preserve"> to the Sale Agreement, evidencing Seller’s ownership of the Receivables generated by Originator, as the same may be amended, supplemented, amended and restated, or otherwise modified from time to time in accordance with the Sale Agreement. </w:t>
      </w:r>
    </w:p>
    <w:p>
      <w:pPr>
        <w:pStyle w:val="TextBody"/>
        <w:bidi w:val="0"/>
        <w:spacing w:before="240" w:after="0"/>
        <w:jc w:val="left"/>
        <w:rPr/>
      </w:pPr>
      <w:r>
        <w:rPr/>
        <w:t>“</w:t>
      </w:r>
      <w:r>
        <w:rPr>
          <w:rFonts w:ascii="Times New Roman" w:hAnsi="Times New Roman"/>
          <w:sz w:val="20"/>
          <w:u w:val="single"/>
        </w:rPr>
        <w:t>Outstanding Balance</w:t>
      </w:r>
      <w:r>
        <w:rPr>
          <w:rFonts w:ascii="Times New Roman" w:hAnsi="Times New Roman"/>
          <w:sz w:val="20"/>
        </w:rPr>
        <w:t xml:space="preserve">” of any Receivable at any time means the then outstanding principal balance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Overnight Bank Funding Rate</w:t>
      </w:r>
      <w:r>
        <w:rPr>
          <w:rFonts w:ascii="Times New Roman" w:hAnsi="Times New Roman"/>
          <w:sz w:val="20"/>
        </w:rPr>
        <w:t>” means for any day, the rate comprised of both overnight federal funds and overnight eurocurrency borrowings by U.S.-managed banking offices of depository institutions, as such composite rate shall be determined by the Federal Reserve Bank of New York (“</w:t>
      </w:r>
      <w:r>
        <w:rPr>
          <w:rFonts w:ascii="Times New Roman" w:hAnsi="Times New Roman"/>
          <w:sz w:val="20"/>
          <w:u w:val="single"/>
        </w:rPr>
        <w:t>NYFRB</w:t>
      </w:r>
      <w:r>
        <w:rPr>
          <w:rFonts w:ascii="Times New Roman" w:hAnsi="Times New Roman"/>
          <w:sz w:val="20"/>
        </w:rPr>
        <w:t xml:space="preserve">”), as set forth on its public website from time to time, and as published on the next succeeding Business Day as the overnight bank funding rate by the NYFRB (or by such other recognized electronic source (such as Bloomberg) selected by the Administrator for the purpose of displaying such rate); </w:t>
      </w:r>
      <w:r>
        <w:rPr>
          <w:rFonts w:ascii="Times New Roman" w:hAnsi="Times New Roman"/>
          <w:sz w:val="20"/>
          <w:u w:val="single"/>
        </w:rPr>
        <w:t>provided</w:t>
      </w:r>
      <w:r>
        <w:rPr>
          <w:rFonts w:ascii="Times New Roman" w:hAnsi="Times New Roman"/>
          <w:sz w:val="20"/>
        </w:rPr>
        <w:t xml:space="preserve">, that if such day is not a Business Day, the Overnight Bank Funding Rate for such day shall be such rate on the immediately preceding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rate shall at any time, for any reason, no longer exist, a comparable replacement rate determined by the Administrator at such time (which determination shall be conclusive absent manifest error). If the Overnight Bank Funding Rate determined as above would be less than 0.00%, then such rate shall be deemed to be 0.00%. The rate of interest charged shall be adjusted as of each Business Day based on changes in the Overnight Bank Funding Rate without notice to the Seller. </w:t>
      </w:r>
    </w:p>
    <w:p>
      <w:pPr>
        <w:pStyle w:val="TextBody"/>
        <w:bidi w:val="0"/>
        <w:spacing w:before="240" w:after="0"/>
        <w:jc w:val="left"/>
        <w:rPr/>
      </w:pPr>
      <w:r>
        <w:rPr/>
        <w:t>“</w:t>
      </w:r>
      <w:r>
        <w:rPr>
          <w:rFonts w:ascii="Times New Roman" w:hAnsi="Times New Roman"/>
          <w:sz w:val="20"/>
          <w:u w:val="single"/>
        </w:rPr>
        <w:t>Payment Date</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of the Sale Agreement.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partnership, corporation (including a business trust), joint stock company, trust, unincorporated association, joint venture, limited liability company or other entity, or a government or any political subdivision or agency thereof. </w:t>
      </w:r>
    </w:p>
    <w:p>
      <w:pPr>
        <w:pStyle w:val="TextBody"/>
        <w:bidi w:val="0"/>
        <w:spacing w:before="240" w:after="0"/>
        <w:jc w:val="left"/>
        <w:rPr/>
      </w:pPr>
      <w:r>
        <w:rPr/>
        <w:t>“</w:t>
      </w:r>
      <w:r>
        <w:rPr>
          <w:rFonts w:ascii="Times New Roman" w:hAnsi="Times New Roman"/>
          <w:sz w:val="20"/>
          <w:u w:val="single"/>
        </w:rPr>
        <w:t>PINACLE</w:t>
      </w:r>
      <w:r>
        <w:rPr>
          <w:rFonts w:ascii="Times New Roman" w:hAnsi="Times New Roman"/>
          <w:sz w:val="20"/>
        </w:rPr>
        <w:t xml:space="preserve">” means PNC’s PINACLE® credit management service and any and all services and systems provided or used in connection therewith, and any similar or replacement electronic credit administration services implemented by PNC. </w:t>
      </w:r>
    </w:p>
    <w:p>
      <w:pPr>
        <w:pStyle w:val="TextBody"/>
        <w:bidi w:val="0"/>
        <w:spacing w:before="240" w:after="0"/>
        <w:jc w:val="left"/>
        <w:rPr/>
      </w:pPr>
      <w:r>
        <w:rPr/>
        <w:t>“</w:t>
      </w:r>
      <w:r>
        <w:rPr>
          <w:rFonts w:ascii="Times New Roman" w:hAnsi="Times New Roman"/>
          <w:sz w:val="20"/>
          <w:u w:val="single"/>
        </w:rPr>
        <w:t>PINACLE Agreement</w:t>
      </w:r>
      <w:r>
        <w:rPr>
          <w:rFonts w:ascii="Times New Roman" w:hAnsi="Times New Roman"/>
          <w:sz w:val="20"/>
        </w:rPr>
        <w:t xml:space="preserve">” means a separate written agreement between Seller and PNC regarding PINACLE, and any amendments, modifications or replacements thereof. </w:t>
      </w:r>
    </w:p>
    <w:p>
      <w:pPr>
        <w:pStyle w:val="TextBody"/>
        <w:bidi w:val="0"/>
        <w:spacing w:before="240" w:after="0"/>
        <w:jc w:val="left"/>
        <w:rPr/>
      </w:pPr>
      <w:r>
        <w:rPr/>
        <w:t>“</w:t>
      </w:r>
      <w:r>
        <w:rPr>
          <w:rFonts w:ascii="Times New Roman" w:hAnsi="Times New Roman"/>
          <w:sz w:val="20"/>
          <w:u w:val="single"/>
        </w:rPr>
        <w:t>Platform</w:t>
      </w:r>
      <w:r>
        <w:rPr>
          <w:rFonts w:ascii="Times New Roman" w:hAnsi="Times New Roman"/>
          <w:sz w:val="20"/>
        </w:rPr>
        <w:t xml:space="preserve">” means PINACLE or any of Debt Domain, Intralinks, Syndtrak or a substantially similar electronic transmission system. </w:t>
      </w:r>
    </w:p>
    <w:p>
      <w:pPr>
        <w:pStyle w:val="TextBody"/>
        <w:bidi w:val="0"/>
        <w:spacing w:before="240" w:after="0"/>
        <w:jc w:val="left"/>
        <w:rPr/>
      </w:pPr>
      <w:r>
        <w:rPr/>
        <w:t>“</w:t>
      </w:r>
      <w:r>
        <w:rPr>
          <w:rFonts w:ascii="Times New Roman" w:hAnsi="Times New Roman"/>
          <w:sz w:val="20"/>
          <w:u w:val="single"/>
        </w:rPr>
        <w:t>PNC</w:t>
      </w:r>
      <w:r>
        <w:rPr>
          <w:rFonts w:ascii="Times New Roman" w:hAnsi="Times New Roman"/>
          <w:sz w:val="20"/>
        </w:rPr>
        <w:t xml:space="preserve">” means PNC Bank, National Association. </w:t>
      </w:r>
    </w:p>
    <w:p>
      <w:pPr>
        <w:pStyle w:val="TextBody"/>
        <w:bidi w:val="0"/>
        <w:spacing w:before="240" w:after="0"/>
        <w:jc w:val="left"/>
        <w:rPr/>
      </w:pPr>
      <w:r>
        <w:rPr/>
        <w:t>“</w:t>
      </w:r>
      <w:r>
        <w:rPr>
          <w:rFonts w:ascii="Times New Roman" w:hAnsi="Times New Roman"/>
          <w:sz w:val="20"/>
          <w:u w:val="single"/>
        </w:rPr>
        <w:t>Pool Assets</w:t>
      </w:r>
      <w:r>
        <w:rPr>
          <w:rFonts w:ascii="Times New Roman" w:hAnsi="Times New Roman"/>
          <w:sz w:val="20"/>
        </w:rPr>
        <w:t xml:space="preserve">” has the meaning set forth in </w:t>
      </w:r>
      <w:r>
        <w:rPr>
          <w:rFonts w:ascii="Times New Roman" w:hAnsi="Times New Roman"/>
          <w:sz w:val="20"/>
          <w:u w:val="single"/>
        </w:rPr>
        <w:t>Section 1.2(d)</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Pool Receivable</w:t>
      </w:r>
      <w:r>
        <w:rPr>
          <w:rFonts w:ascii="Times New Roman" w:hAnsi="Times New Roman"/>
          <w:sz w:val="20"/>
        </w:rPr>
        <w:t xml:space="preserve">” means a Receivable in the Receivables Pool. </w:t>
      </w:r>
    </w:p>
    <w:p>
      <w:pPr>
        <w:pStyle w:val="TextBody"/>
        <w:bidi w:val="0"/>
        <w:spacing w:before="240" w:after="0"/>
        <w:jc w:val="left"/>
        <w:rPr/>
      </w:pPr>
      <w:r>
        <w:rPr/>
        <w:t>“</w:t>
      </w:r>
      <w:r>
        <w:rPr>
          <w:rFonts w:ascii="Times New Roman" w:hAnsi="Times New Roman"/>
          <w:sz w:val="20"/>
          <w:u w:val="single"/>
        </w:rPr>
        <w:t>Portion of Investment</w:t>
      </w:r>
      <w:r>
        <w:rPr>
          <w:rFonts w:ascii="Times New Roman" w:hAnsi="Times New Roman"/>
          <w:sz w:val="20"/>
        </w:rPr>
        <w:t xml:space="preserve">” means specified portions of Investments outstanding as follows: (a) any Investments to which a SOFR Rate Option applies under the same Purchase Notice by the Seller and which have the same Yield Period shall constitute one Portion of Investment, (b) all CP Rate Investments shall constitute one Portion of Investment, (c) all Investments to which a Daily Resetting SOFR Option applies shall constitute one Portion of Investment and (d) all Investments to which a Base Rate Option applies shall constitute one Portion of Investment. </w:t>
      </w:r>
    </w:p>
    <w:p>
      <w:pPr>
        <w:pStyle w:val="TextBody"/>
        <w:bidi w:val="0"/>
        <w:spacing w:before="240" w:after="0"/>
        <w:jc w:val="left"/>
        <w:rPr/>
      </w:pPr>
      <w:r>
        <w:rPr/>
        <w:t>“</w:t>
      </w:r>
      <w:r>
        <w:rPr>
          <w:rFonts w:ascii="Times New Roman" w:hAnsi="Times New Roman"/>
          <w:sz w:val="20"/>
          <w:u w:val="single"/>
        </w:rPr>
        <w:t>Program Support Agreement</w:t>
      </w:r>
      <w:r>
        <w:rPr>
          <w:rFonts w:ascii="Times New Roman" w:hAnsi="Times New Roman"/>
          <w:sz w:val="20"/>
        </w:rPr>
        <w:t xml:space="preserve">” means and includes any Liquidity Agreement and any other agreement entered into by any Program Support Provider providing for: (a) the issuance of one or more letters of credit for the account of any Conduit Purchaser, (b) the issuance of one or more surety bonds for which such Conduit Purchaser is obligated to reimburse the applicable Program Support Provider for any drawings thereunder, (c) the sale by such Conduit Purchaser to any Program Support Provider of the Purchased Interest (or portions thereof) maintained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Conduit Purchaser and/or (d) the making of loans and/or other extensions of credit to any Conduit Purchaser in connection with such Conduit Purchaser’s securitization program contemplated in this Agreement, together with any letter of credit, surety bond or other instrument issued thereunder (but excluding any discretionary advance facility provided by the Administrator). </w:t>
      </w:r>
    </w:p>
    <w:p>
      <w:pPr>
        <w:pStyle w:val="TextBody"/>
        <w:bidi w:val="0"/>
        <w:spacing w:before="240" w:after="0"/>
        <w:jc w:val="left"/>
        <w:rPr/>
      </w:pPr>
      <w:r>
        <w:rPr/>
        <w:t>“</w:t>
      </w:r>
      <w:r>
        <w:rPr>
          <w:rFonts w:ascii="Times New Roman" w:hAnsi="Times New Roman"/>
          <w:sz w:val="20"/>
          <w:u w:val="single"/>
        </w:rPr>
        <w:t>Program Support Provider</w:t>
      </w:r>
      <w:r>
        <w:rPr>
          <w:rFonts w:ascii="Times New Roman" w:hAnsi="Times New Roman"/>
          <w:sz w:val="20"/>
        </w:rPr>
        <w:t xml:space="preserve">” means and includes with respect to each Conduit Purchaser any Liquidity Provider and any other Person (other than any customer of such Conduit Purchaser) now or hereafter extending credit or having a commitment to extend credit to or for the account of, or to make purchases from, such Conduit Purchaser pursuant to any Program Support Agreement. </w:t>
      </w:r>
    </w:p>
    <w:p>
      <w:pPr>
        <w:pStyle w:val="TextBody"/>
        <w:bidi w:val="0"/>
        <w:spacing w:before="240" w:after="0"/>
        <w:jc w:val="left"/>
        <w:rPr/>
      </w:pPr>
      <w:r>
        <w:rPr/>
        <w:t>“</w:t>
      </w:r>
      <w:r>
        <w:rPr>
          <w:rFonts w:ascii="Times New Roman" w:hAnsi="Times New Roman"/>
          <w:sz w:val="20"/>
          <w:u w:val="single"/>
        </w:rPr>
        <w:t>Purchase</w:t>
      </w:r>
      <w:r>
        <w:rPr>
          <w:rFonts w:ascii="Times New Roman" w:hAnsi="Times New Roman"/>
          <w:sz w:val="20"/>
        </w:rPr>
        <w:t xml:space="preserve">” is defined in </w:t>
      </w:r>
      <w:r>
        <w:rPr>
          <w:rFonts w:ascii="Times New Roman" w:hAnsi="Times New Roman"/>
          <w:sz w:val="20"/>
          <w:u w:val="single"/>
        </w:rPr>
        <w:t>Section 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Purchase and Sale Indemnified Amounts</w:t>
      </w:r>
      <w:r>
        <w:rPr>
          <w:rFonts w:ascii="Times New Roman" w:hAnsi="Times New Roman"/>
          <w:sz w:val="20"/>
        </w:rPr>
        <w:t xml:space="preserve">” has the meaning set forth in </w:t>
      </w:r>
      <w:r>
        <w:rPr>
          <w:rFonts w:ascii="Times New Roman" w:hAnsi="Times New Roman"/>
          <w:sz w:val="20"/>
          <w:u w:val="single"/>
        </w:rPr>
        <w:t>Section 9.1</w:t>
      </w:r>
      <w:r>
        <w:rPr>
          <w:rFonts w:ascii="Times New Roman" w:hAnsi="Times New Roman"/>
          <w:sz w:val="20"/>
        </w:rPr>
        <w:t xml:space="preserve"> of the Sale Agreement. </w:t>
      </w:r>
    </w:p>
    <w:p>
      <w:pPr>
        <w:pStyle w:val="TextBody"/>
        <w:bidi w:val="0"/>
        <w:spacing w:before="240" w:after="0"/>
        <w:jc w:val="left"/>
        <w:rPr/>
      </w:pPr>
      <w:r>
        <w:rPr/>
        <w:t>“</w:t>
      </w:r>
      <w:r>
        <w:rPr>
          <w:rFonts w:ascii="Times New Roman" w:hAnsi="Times New Roman"/>
          <w:sz w:val="20"/>
          <w:u w:val="single"/>
        </w:rPr>
        <w:t>Purchase and Sale Indemnified Party</w:t>
      </w:r>
      <w:r>
        <w:rPr>
          <w:rFonts w:ascii="Times New Roman" w:hAnsi="Times New Roman"/>
          <w:sz w:val="20"/>
        </w:rPr>
        <w:t xml:space="preserve">” has the meaning set forth in </w:t>
      </w:r>
      <w:r>
        <w:rPr>
          <w:rFonts w:ascii="Times New Roman" w:hAnsi="Times New Roman"/>
          <w:sz w:val="20"/>
          <w:u w:val="single"/>
        </w:rPr>
        <w:t>Section 9.1</w:t>
      </w:r>
      <w:r>
        <w:rPr>
          <w:rFonts w:ascii="Times New Roman" w:hAnsi="Times New Roman"/>
          <w:sz w:val="20"/>
        </w:rPr>
        <w:t xml:space="preserve"> of the Sale Agreement. </w:t>
      </w:r>
    </w:p>
    <w:p>
      <w:pPr>
        <w:pStyle w:val="TextBody"/>
        <w:bidi w:val="0"/>
        <w:spacing w:before="240" w:after="0"/>
        <w:jc w:val="left"/>
        <w:rPr/>
      </w:pPr>
      <w:r>
        <w:rPr/>
        <w:t>“</w:t>
      </w:r>
      <w:r>
        <w:rPr>
          <w:rFonts w:ascii="Times New Roman" w:hAnsi="Times New Roman"/>
          <w:sz w:val="20"/>
          <w:u w:val="single"/>
        </w:rPr>
        <w:t>Purchase and Sale Termination Date</w:t>
      </w:r>
      <w:r>
        <w:rPr>
          <w:rFonts w:ascii="Times New Roman" w:hAnsi="Times New Roman"/>
          <w:sz w:val="20"/>
        </w:rPr>
        <w:t xml:space="preserve">” has the meaning set forth in </w:t>
      </w:r>
      <w:r>
        <w:rPr>
          <w:rFonts w:ascii="Times New Roman" w:hAnsi="Times New Roman"/>
          <w:sz w:val="20"/>
          <w:u w:val="single"/>
        </w:rPr>
        <w:t>Section 1.4</w:t>
      </w:r>
      <w:r>
        <w:rPr>
          <w:rFonts w:ascii="Times New Roman" w:hAnsi="Times New Roman"/>
          <w:sz w:val="20"/>
        </w:rPr>
        <w:t xml:space="preserve"> of the Sale Agreement. </w:t>
      </w:r>
    </w:p>
    <w:p>
      <w:pPr>
        <w:pStyle w:val="TextBody"/>
        <w:bidi w:val="0"/>
        <w:spacing w:before="240" w:after="0"/>
        <w:jc w:val="left"/>
        <w:rPr/>
      </w:pPr>
      <w:r>
        <w:rPr/>
        <w:t>“</w:t>
      </w:r>
      <w:r>
        <w:rPr>
          <w:rFonts w:ascii="Times New Roman" w:hAnsi="Times New Roman"/>
          <w:sz w:val="20"/>
          <w:u w:val="single"/>
        </w:rPr>
        <w:t>Purchase and Sale Termination Event</w:t>
      </w:r>
      <w:r>
        <w:rPr>
          <w:rFonts w:ascii="Times New Roman" w:hAnsi="Times New Roman"/>
          <w:sz w:val="20"/>
        </w:rPr>
        <w:t xml:space="preserve">” has the meaning set forth in </w:t>
      </w:r>
      <w:r>
        <w:rPr>
          <w:rFonts w:ascii="Times New Roman" w:hAnsi="Times New Roman"/>
          <w:sz w:val="20"/>
          <w:u w:val="single"/>
        </w:rPr>
        <w:t>Section 8.1</w:t>
      </w:r>
      <w:r>
        <w:rPr>
          <w:rFonts w:ascii="Times New Roman" w:hAnsi="Times New Roman"/>
          <w:sz w:val="20"/>
        </w:rPr>
        <w:t xml:space="preserve"> of the Sale Agreement. </w:t>
      </w:r>
    </w:p>
    <w:p>
      <w:pPr>
        <w:pStyle w:val="TextBody"/>
        <w:bidi w:val="0"/>
        <w:spacing w:before="240" w:after="0"/>
        <w:jc w:val="left"/>
        <w:rPr/>
      </w:pPr>
      <w:r>
        <w:rPr/>
        <w:t>“</w:t>
      </w:r>
      <w:r>
        <w:rPr>
          <w:rFonts w:ascii="Times New Roman" w:hAnsi="Times New Roman"/>
          <w:sz w:val="20"/>
          <w:u w:val="single"/>
        </w:rPr>
        <w:t>Purchase Date</w:t>
      </w:r>
      <w:r>
        <w:rPr>
          <w:rFonts w:ascii="Times New Roman" w:hAnsi="Times New Roman"/>
          <w:sz w:val="20"/>
        </w:rPr>
        <w:t xml:space="preserve">” means the date on which a Purchase or a reinvestment is made pursuant to this Agreement. </w:t>
      </w:r>
    </w:p>
    <w:p>
      <w:pPr>
        <w:pStyle w:val="TextBody"/>
        <w:bidi w:val="0"/>
        <w:spacing w:before="240" w:after="0"/>
        <w:jc w:val="left"/>
        <w:rPr/>
      </w:pPr>
      <w:r>
        <w:rPr/>
        <w:t>“</w:t>
      </w:r>
      <w:r>
        <w:rPr>
          <w:rFonts w:ascii="Times New Roman" w:hAnsi="Times New Roman"/>
          <w:sz w:val="20"/>
          <w:u w:val="single"/>
        </w:rPr>
        <w:t>Purchase Facility</w:t>
      </w:r>
      <w:r>
        <w:rPr>
          <w:rFonts w:ascii="Times New Roman" w:hAnsi="Times New Roman"/>
          <w:sz w:val="20"/>
        </w:rPr>
        <w:t xml:space="preserve">” has the meaning set forth in </w:t>
      </w:r>
      <w:r>
        <w:rPr>
          <w:rFonts w:ascii="Times New Roman" w:hAnsi="Times New Roman"/>
          <w:sz w:val="20"/>
          <w:u w:val="single"/>
        </w:rPr>
        <w:t>Section 1.1</w:t>
      </w:r>
      <w:r>
        <w:rPr>
          <w:rFonts w:ascii="Times New Roman" w:hAnsi="Times New Roman"/>
          <w:sz w:val="20"/>
        </w:rPr>
        <w:t xml:space="preserve"> of the Sale Agreement. </w:t>
      </w:r>
    </w:p>
    <w:p>
      <w:pPr>
        <w:pStyle w:val="TextBody"/>
        <w:bidi w:val="0"/>
        <w:spacing w:before="240" w:after="0"/>
        <w:jc w:val="left"/>
        <w:rPr/>
      </w:pPr>
      <w:r>
        <w:rPr/>
        <w:t>“</w:t>
      </w:r>
      <w:r>
        <w:rPr>
          <w:rFonts w:ascii="Times New Roman" w:hAnsi="Times New Roman"/>
          <w:sz w:val="20"/>
          <w:u w:val="single"/>
        </w:rPr>
        <w:t>Purchase Limit</w:t>
      </w:r>
      <w:r>
        <w:rPr>
          <w:rFonts w:ascii="Times New Roman" w:hAnsi="Times New Roman"/>
          <w:sz w:val="20"/>
        </w:rPr>
        <w:t xml:space="preserve">” means, at any time, the aggregate of all Group Commitments (which, on the Tenth Amendment Date, shall be $1,750,000,000), as such amount may be reduced pursuant to </w:t>
      </w:r>
      <w:r>
        <w:rPr>
          <w:rFonts w:ascii="Times New Roman" w:hAnsi="Times New Roman"/>
          <w:sz w:val="20"/>
          <w:u w:val="single"/>
        </w:rPr>
        <w:t>Section 1.1(b)</w:t>
      </w:r>
      <w:r>
        <w:rPr>
          <w:rFonts w:ascii="Times New Roman" w:hAnsi="Times New Roman"/>
          <w:sz w:val="20"/>
        </w:rPr>
        <w:t xml:space="preserve"> of this Agreement or increased pursuant to </w:t>
      </w:r>
      <w:r>
        <w:rPr>
          <w:rFonts w:ascii="Times New Roman" w:hAnsi="Times New Roman"/>
          <w:sz w:val="20"/>
          <w:u w:val="single"/>
        </w:rPr>
        <w:t>Section 1.11</w:t>
      </w:r>
      <w:r>
        <w:rPr>
          <w:rFonts w:ascii="Times New Roman" w:hAnsi="Times New Roman"/>
          <w:sz w:val="20"/>
        </w:rPr>
        <w:t xml:space="preserve"> of this Agreement. References to the unused portion of the Purchase Limit shall mean, at any time, the Purchase Limit minus the then outstanding Aggregate Investment. </w:t>
      </w:r>
    </w:p>
    <w:p>
      <w:pPr>
        <w:pStyle w:val="TextBody"/>
        <w:bidi w:val="0"/>
        <w:spacing w:before="240" w:after="0"/>
        <w:jc w:val="left"/>
        <w:rPr/>
      </w:pPr>
      <w:r>
        <w:rPr/>
        <w:t>“</w:t>
      </w:r>
      <w:r>
        <w:rPr>
          <w:rFonts w:ascii="Times New Roman" w:hAnsi="Times New Roman"/>
          <w:sz w:val="20"/>
          <w:u w:val="single"/>
        </w:rPr>
        <w:t>Purchase Notice</w:t>
      </w:r>
      <w:r>
        <w:rPr>
          <w:rFonts w:ascii="Times New Roman" w:hAnsi="Times New Roman"/>
          <w:sz w:val="20"/>
        </w:rPr>
        <w:t xml:space="preserve">” has the meaning set forth in </w:t>
      </w:r>
      <w:r>
        <w:rPr>
          <w:rFonts w:ascii="Times New Roman" w:hAnsi="Times New Roman"/>
          <w:sz w:val="20"/>
          <w:u w:val="single"/>
        </w:rPr>
        <w:t>Section 1.2(a)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Purchase Price</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of the Sale Agreement. </w:t>
      </w:r>
    </w:p>
    <w:p>
      <w:pPr>
        <w:pStyle w:val="TextBody"/>
        <w:bidi w:val="0"/>
        <w:spacing w:before="240" w:after="0"/>
        <w:jc w:val="left"/>
        <w:rPr/>
      </w:pPr>
      <w:r>
        <w:rPr/>
        <w:t>“</w:t>
      </w:r>
      <w:r>
        <w:rPr>
          <w:rFonts w:ascii="Times New Roman" w:hAnsi="Times New Roman"/>
          <w:sz w:val="20"/>
          <w:u w:val="single"/>
        </w:rPr>
        <w:t>Purchase Report</w:t>
      </w:r>
      <w:r>
        <w:rPr>
          <w:rFonts w:ascii="Times New Roman" w:hAnsi="Times New Roman"/>
          <w:sz w:val="20"/>
        </w:rPr>
        <w:t xml:space="preserve">” has the meaning set forth in </w:t>
      </w:r>
      <w:r>
        <w:rPr>
          <w:rFonts w:ascii="Times New Roman" w:hAnsi="Times New Roman"/>
          <w:sz w:val="20"/>
          <w:u w:val="single"/>
        </w:rPr>
        <w:t>Section 2.1</w:t>
      </w:r>
      <w:r>
        <w:rPr>
          <w:rFonts w:ascii="Times New Roman" w:hAnsi="Times New Roman"/>
          <w:sz w:val="20"/>
        </w:rPr>
        <w:t xml:space="preserve"> of the Sale Agreement. </w:t>
      </w:r>
    </w:p>
    <w:p>
      <w:pPr>
        <w:pStyle w:val="TextBody"/>
        <w:bidi w:val="0"/>
        <w:spacing w:before="240" w:after="0"/>
        <w:jc w:val="left"/>
        <w:rPr/>
      </w:pPr>
      <w:r>
        <w:rPr/>
        <w:t>“</w:t>
      </w:r>
      <w:r>
        <w:rPr>
          <w:rFonts w:ascii="Times New Roman" w:hAnsi="Times New Roman"/>
          <w:sz w:val="20"/>
          <w:u w:val="single"/>
        </w:rPr>
        <w:t>Purchased Interest</w:t>
      </w:r>
      <w:r>
        <w:rPr>
          <w:rFonts w:ascii="Times New Roman" w:hAnsi="Times New Roman"/>
          <w:sz w:val="20"/>
        </w:rPr>
        <w:t xml:space="preserve">” means, at any time, the undivided percentage ownership interest in: (a) each and every Pool Receivable now existing or hereafter arising, (b) all Related Security with respect to such Pool Receivables and (c) all Collections with respect to, and other proceeds of, such Pool Receivables and Related Security. Such undivided percentage interest shall be computed as: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Aggregate Investment + Total Reserves </w:t>
      </w:r>
    </w:p>
    <w:p>
      <w:pPr>
        <w:pStyle w:val="TextBody"/>
        <w:bidi w:val="0"/>
        <w:spacing w:before="0" w:after="0"/>
        <w:jc w:val="center"/>
        <w:rPr>
          <w:rFonts w:ascii="Times New Roman" w:hAnsi="Times New Roman"/>
          <w:sz w:val="20"/>
        </w:rPr>
      </w:pPr>
      <w:r>
        <w:rPr>
          <w:rFonts w:ascii="Times New Roman" w:hAnsi="Times New Roman"/>
          <w:sz w:val="20"/>
        </w:rPr>
        <w:t xml:space="preserve">Net Receivables Pool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Purchased Interest shall be determined from time to time pursuant to </w:t>
      </w:r>
      <w:r>
        <w:rPr>
          <w:rFonts w:ascii="Times New Roman" w:hAnsi="Times New Roman"/>
          <w:sz w:val="20"/>
          <w:u w:val="single"/>
        </w:rPr>
        <w:t>Section 1.3</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Purchaser</w:t>
      </w:r>
      <w:r>
        <w:rPr>
          <w:rFonts w:ascii="Times New Roman" w:hAnsi="Times New Roman"/>
          <w:sz w:val="20"/>
        </w:rPr>
        <w:t xml:space="preserve">” means each Conduit Purchaser and/or each Committed Purchaser, as applicable. </w:t>
      </w:r>
    </w:p>
    <w:p>
      <w:pPr>
        <w:pStyle w:val="TextBody"/>
        <w:bidi w:val="0"/>
        <w:spacing w:before="240" w:after="0"/>
        <w:jc w:val="left"/>
        <w:rPr/>
      </w:pPr>
      <w:r>
        <w:rPr/>
        <w:t>“</w:t>
      </w:r>
      <w:r>
        <w:rPr>
          <w:rFonts w:ascii="Times New Roman" w:hAnsi="Times New Roman"/>
          <w:sz w:val="20"/>
          <w:u w:val="single"/>
        </w:rPr>
        <w:t>Purchaser Agent</w:t>
      </w:r>
      <w:r>
        <w:rPr>
          <w:rFonts w:ascii="Times New Roman" w:hAnsi="Times New Roman"/>
          <w:sz w:val="20"/>
        </w:rPr>
        <w:t xml:space="preserve">” means each Person acting as agent on behalf of a Purchaser Group and designated as a Purchaser Agent for such Purchaser Group on the signature pages to this Agreement or any other Person who becomes a party to this Agreement as a Purchaser Agent pursuant to an Assumption Agreement or a Transfer Supplement. </w:t>
      </w:r>
    </w:p>
    <w:p>
      <w:pPr>
        <w:pStyle w:val="TextBody"/>
        <w:bidi w:val="0"/>
        <w:spacing w:before="240" w:after="0"/>
        <w:jc w:val="left"/>
        <w:rPr/>
      </w:pPr>
      <w:r>
        <w:rPr/>
        <w:t>“</w:t>
      </w:r>
      <w:r>
        <w:rPr>
          <w:rFonts w:ascii="Times New Roman" w:hAnsi="Times New Roman"/>
          <w:sz w:val="20"/>
          <w:u w:val="single"/>
        </w:rPr>
        <w:t>Purchaser Group</w:t>
      </w:r>
      <w:r>
        <w:rPr>
          <w:rFonts w:ascii="Times New Roman" w:hAnsi="Times New Roman"/>
          <w:sz w:val="20"/>
        </w:rPr>
        <w:t xml:space="preserve">” means, (i) for each Conduit Purchaser, such Conduit Purchaser, its Committed Purchasers (if any) and its related Purchaser Agent and (ii) for any Purchaser that does not have a related Conduit Purchaser, such Purchaser and its related Purchaser Agent. </w:t>
      </w:r>
    </w:p>
    <w:p>
      <w:pPr>
        <w:pStyle w:val="TextBody"/>
        <w:bidi w:val="0"/>
        <w:spacing w:before="240" w:after="0"/>
        <w:jc w:val="left"/>
        <w:rPr/>
      </w:pPr>
      <w:r>
        <w:rPr/>
        <w:t>“</w:t>
      </w:r>
      <w:r>
        <w:rPr>
          <w:rFonts w:ascii="Times New Roman" w:hAnsi="Times New Roman"/>
          <w:sz w:val="20"/>
          <w:u w:val="single"/>
        </w:rPr>
        <w:t>Purchaser Group Fee Letter</w:t>
      </w:r>
      <w:r>
        <w:rPr>
          <w:rFonts w:ascii="Times New Roman" w:hAnsi="Times New Roman"/>
          <w:sz w:val="20"/>
        </w:rPr>
        <w:t xml:space="preserve">” has the meaning set forth in </w:t>
      </w:r>
      <w:r>
        <w:rPr>
          <w:rFonts w:ascii="Times New Roman" w:hAnsi="Times New Roman"/>
          <w:sz w:val="20"/>
          <w:u w:val="single"/>
        </w:rPr>
        <w:t>Section 1.5</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Purchaser Party</w:t>
      </w:r>
      <w:r>
        <w:rPr>
          <w:rFonts w:ascii="Times New Roman" w:hAnsi="Times New Roman"/>
          <w:sz w:val="20"/>
        </w:rPr>
        <w:t xml:space="preserve">” means each Purchaser and the Administrator. </w:t>
      </w:r>
    </w:p>
    <w:p>
      <w:pPr>
        <w:pStyle w:val="TextBody"/>
        <w:bidi w:val="0"/>
        <w:spacing w:before="240" w:after="0"/>
        <w:jc w:val="left"/>
        <w:rPr/>
      </w:pPr>
      <w:r>
        <w:rPr/>
        <w:t>“</w:t>
      </w:r>
      <w:r>
        <w:rPr>
          <w:rFonts w:ascii="Times New Roman" w:hAnsi="Times New Roman"/>
          <w:sz w:val="20"/>
          <w:u w:val="single"/>
        </w:rPr>
        <w:t>Ratable Share</w:t>
      </w:r>
      <w:r>
        <w:rPr>
          <w:rFonts w:ascii="Times New Roman" w:hAnsi="Times New Roman"/>
          <w:sz w:val="20"/>
        </w:rPr>
        <w:t xml:space="preserve">” means, for each Purchaser Group, such Purchaser Group’s aggregate Commitments divided by the aggregate Commitments of all Purchaser Groups. </w:t>
      </w:r>
    </w:p>
    <w:p>
      <w:pPr>
        <w:pStyle w:val="TextBody"/>
        <w:bidi w:val="0"/>
        <w:spacing w:before="240" w:after="0"/>
        <w:jc w:val="left"/>
        <w:rPr/>
      </w:pPr>
      <w:r>
        <w:rPr/>
        <w:t>“</w:t>
      </w:r>
      <w:r>
        <w:rPr>
          <w:rFonts w:ascii="Times New Roman" w:hAnsi="Times New Roman"/>
          <w:sz w:val="20"/>
          <w:u w:val="single"/>
        </w:rPr>
        <w:t>Receivable</w:t>
      </w:r>
      <w:r>
        <w:rPr>
          <w:rFonts w:ascii="Times New Roman" w:hAnsi="Times New Roman"/>
          <w:sz w:val="20"/>
        </w:rPr>
        <w:t xml:space="preserve">” means any indebtedness and other obligations (other than Excluded Receivables) owed to the Seller or any Originator by, or any right of the Seller or any Originator to payment from or on behalf of, an Obligor, whether constituting an account, chattel paper, instrument or general intangible, arising in connection with the sale of goods or the rendering of services by an Originator (whether or not earned by performance), and includes the obligation to pay any finance charges, fees and other charges with respect thereto. Indebtedness and other obligations arising from any one transaction, including indebtedness and other obligations represented by an individual invoice or agreement, shall constitute a Receivable separate from a Receivable consisting of the indebtedness and other obligations arising from any other transaction. </w:t>
      </w:r>
    </w:p>
    <w:p>
      <w:pPr>
        <w:pStyle w:val="TextBody"/>
        <w:bidi w:val="0"/>
        <w:spacing w:before="240" w:after="0"/>
        <w:jc w:val="left"/>
        <w:rPr/>
      </w:pPr>
      <w:r>
        <w:rPr/>
        <w:t>“</w:t>
      </w:r>
      <w:r>
        <w:rPr>
          <w:rFonts w:ascii="Times New Roman" w:hAnsi="Times New Roman"/>
          <w:sz w:val="20"/>
          <w:u w:val="single"/>
        </w:rPr>
        <w:t>Receivables Pool</w:t>
      </w:r>
      <w:r>
        <w:rPr>
          <w:rFonts w:ascii="Times New Roman" w:hAnsi="Times New Roman"/>
          <w:sz w:val="20"/>
        </w:rPr>
        <w:t xml:space="preserve">” means, at any time, all of the then outstanding Receivables purchased by the Seller pursuant to the Sale Agreement prior to the Facility Termination Date.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set forth in </w:t>
      </w:r>
      <w:r>
        <w:rPr>
          <w:rFonts w:ascii="Times New Roman" w:hAnsi="Times New Roman"/>
          <w:sz w:val="20"/>
          <w:u w:val="single"/>
        </w:rPr>
        <w:t>Section 6.3(f)</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Related Rights</w:t>
      </w:r>
      <w:r>
        <w:rPr>
          <w:rFonts w:ascii="Times New Roman" w:hAnsi="Times New Roman"/>
          <w:sz w:val="20"/>
        </w:rPr>
        <w:t xml:space="preserve">” has the meaning set forth in </w:t>
      </w:r>
      <w:r>
        <w:rPr>
          <w:rFonts w:ascii="Times New Roman" w:hAnsi="Times New Roman"/>
          <w:sz w:val="20"/>
          <w:u w:val="single"/>
        </w:rPr>
        <w:t>Section 1.1</w:t>
      </w:r>
      <w:r>
        <w:rPr>
          <w:rFonts w:ascii="Times New Roman" w:hAnsi="Times New Roman"/>
          <w:sz w:val="20"/>
        </w:rPr>
        <w:t xml:space="preserve"> of the Sale Agreement. </w:t>
      </w:r>
    </w:p>
    <w:p>
      <w:pPr>
        <w:pStyle w:val="TextBody"/>
        <w:bidi w:val="0"/>
        <w:spacing w:before="240" w:after="0"/>
        <w:jc w:val="left"/>
        <w:rPr/>
      </w:pPr>
      <w:r>
        <w:rPr/>
        <w:t>“</w:t>
      </w:r>
      <w:r>
        <w:rPr>
          <w:rFonts w:ascii="Times New Roman" w:hAnsi="Times New Roman"/>
          <w:sz w:val="20"/>
          <w:u w:val="single"/>
        </w:rPr>
        <w:t>Related Security</w:t>
      </w:r>
      <w:r>
        <w:rPr>
          <w:rFonts w:ascii="Times New Roman" w:hAnsi="Times New Roman"/>
          <w:sz w:val="20"/>
        </w:rPr>
        <w:t xml:space="preserve">” means, with respect to any Receivable: </w:t>
      </w:r>
    </w:p>
    <w:p>
      <w:pPr>
        <w:pStyle w:val="TextBody"/>
        <w:bidi w:val="0"/>
        <w:spacing w:before="120" w:after="0"/>
        <w:jc w:val="left"/>
        <w:rPr>
          <w:rFonts w:ascii="Times New Roman" w:hAnsi="Times New Roman"/>
          <w:sz w:val="20"/>
        </w:rPr>
      </w:pPr>
      <w:r>
        <w:rPr>
          <w:rFonts w:ascii="Times New Roman" w:hAnsi="Times New Roman"/>
          <w:sz w:val="20"/>
        </w:rPr>
        <w:t xml:space="preserve">(a) all of the Seller’s and the Originator thereof’s interest in any goods (including returned goods), and documentation of title evidencing the shipment or storage of any goods (including returned goods), relating to any sale giving rise to such Receivable,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instruments and chattel paper that may evidence such Receivable, </w:t>
      </w:r>
    </w:p>
    <w:p>
      <w:pPr>
        <w:pStyle w:val="TextBody"/>
        <w:bidi w:val="0"/>
        <w:spacing w:before="120" w:after="0"/>
        <w:jc w:val="left"/>
        <w:rPr>
          <w:rFonts w:ascii="Times New Roman" w:hAnsi="Times New Roman"/>
          <w:sz w:val="20"/>
        </w:rPr>
      </w:pPr>
      <w:r>
        <w:rPr>
          <w:rFonts w:ascii="Times New Roman" w:hAnsi="Times New Roman"/>
          <w:sz w:val="20"/>
        </w:rPr>
        <w:t xml:space="preserve">(c) 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 and </w:t>
      </w:r>
    </w:p>
    <w:p>
      <w:pPr>
        <w:pStyle w:val="TextBody"/>
        <w:bidi w:val="0"/>
        <w:spacing w:before="120" w:after="0"/>
        <w:jc w:val="left"/>
        <w:rPr>
          <w:rFonts w:ascii="Times New Roman" w:hAnsi="Times New Roman"/>
          <w:sz w:val="20"/>
        </w:rPr>
      </w:pPr>
      <w:r>
        <w:rPr>
          <w:rFonts w:ascii="Times New Roman" w:hAnsi="Times New Roman"/>
          <w:sz w:val="20"/>
        </w:rPr>
        <w:t xml:space="preserve">(d) all of the Seller’s and the Originator thereof’s rights, interests and claims under the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Sale Agreement</w:t>
      </w:r>
      <w:r>
        <w:rPr>
          <w:rFonts w:ascii="Times New Roman" w:hAnsi="Times New Roman"/>
          <w:sz w:val="20"/>
        </w:rPr>
        <w:t xml:space="preserve">” means the Second Amended and Restated Purchase and Sale Agreement, dated as of the date hereof, among the Seller, the Originators and the Servicer as amended through the date of this Agreement and as such agreement may be amended, amended and restated, supplemented or otherwise modified from time to time. </w:t>
      </w:r>
    </w:p>
    <w:p>
      <w:pPr>
        <w:pStyle w:val="TextBody"/>
        <w:bidi w:val="0"/>
        <w:spacing w:before="240" w:after="0"/>
        <w:jc w:val="left"/>
        <w:rPr/>
      </w:pPr>
      <w:r>
        <w:rPr/>
        <w:t>“</w:t>
      </w:r>
      <w:r>
        <w:rPr>
          <w:rFonts w:ascii="Times New Roman" w:hAnsi="Times New Roman"/>
          <w:sz w:val="20"/>
          <w:u w:val="single"/>
        </w:rPr>
        <w:t>Sanctioned Jurisdiction</w:t>
      </w:r>
      <w:r>
        <w:rPr>
          <w:rFonts w:ascii="Times New Roman" w:hAnsi="Times New Roman"/>
          <w:sz w:val="20"/>
        </w:rPr>
        <w:t xml:space="preserve">” means, at any time, a country or territory which is itself the subject of comprehensive Sanctions.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means (a) a Person that is the subject of sanctions administered by OFAC or the U.S. Department of State (“State”), including by virtue of being (i) named on OFAC’s list of “Specially Designated Nationals and Blocked Persons”; (ii) organized under the Laws of, ordinarily resident in, or physically located in a Sanctioned Jurisdiction; (iii) owned or controlled 50% or more in the aggregate, by one or more Persons that are the subject of sanctions administered by OFAC; (b) a Person that is the subject of sanctions maintained by the European Union (“E.U.”), including by virtue of being named on the E.U.’s “Consolidated list of persons, groups and entities subject to E.U. financial sanctions” or other, similar lists; (c) a Person that is the subject of sanctions maintained by the United Kingdom (“U.K.”), including by virtue of being named on the “Consolidated List Of Financial Sanctions Targets in the U.K.” or other, similar lists; or (d) a Person that is the subject of sanctions imposed by any Governmental Authority of a jurisdiction whose Laws apply to this Agreement. “</w:t>
      </w:r>
      <w:r>
        <w:rPr>
          <w:rFonts w:ascii="Times New Roman" w:hAnsi="Times New Roman"/>
          <w:sz w:val="20"/>
          <w:u w:val="single"/>
        </w:rPr>
        <w:t>Sanctions</w:t>
      </w:r>
      <w:r>
        <w:rPr>
          <w:rFonts w:ascii="Times New Roman" w:hAnsi="Times New Roman"/>
          <w:sz w:val="20"/>
        </w:rPr>
        <w:t xml:space="preserve">” means economic or financial sanctions or trade embargoes imposed, administered or enforced from time to time by (a) the U.S. government, including those administered by the Office of Foreign Assets Control of the U.S. Department of Treasury or the U.S. Department of State, (b) the United Nations Security Council, the European Union, any European Union member state or His Majesty’s Treasury of the United Kingdom or (c) the Government of Canada. </w:t>
      </w:r>
    </w:p>
    <w:p>
      <w:pPr>
        <w:pStyle w:val="TextBody"/>
        <w:bidi w:val="0"/>
        <w:spacing w:before="240" w:after="0"/>
        <w:jc w:val="left"/>
        <w:rPr/>
      </w:pPr>
      <w:r>
        <w:rPr/>
        <w:t>“</w:t>
      </w:r>
      <w:r>
        <w:rPr>
          <w:rFonts w:ascii="Times New Roman" w:hAnsi="Times New Roman"/>
          <w:sz w:val="20"/>
          <w:u w:val="single"/>
        </w:rPr>
        <w:t>Scheduled Commitment Termination Date</w:t>
      </w:r>
      <w:r>
        <w:rPr>
          <w:rFonts w:ascii="Times New Roman" w:hAnsi="Times New Roman"/>
          <w:sz w:val="20"/>
        </w:rPr>
        <w:t xml:space="preserve">” means with respect to any Committed Purchaser, the date set forth as such below its name on </w:t>
      </w:r>
      <w:r>
        <w:rPr>
          <w:rFonts w:ascii="Times New Roman" w:hAnsi="Times New Roman"/>
          <w:sz w:val="20"/>
          <w:u w:val="single"/>
        </w:rPr>
        <w:t>Schedule VII</w:t>
      </w:r>
      <w:r>
        <w:rPr>
          <w:rFonts w:ascii="Times New Roman" w:hAnsi="Times New Roman"/>
          <w:sz w:val="20"/>
        </w:rPr>
        <w:t xml:space="preserve"> to this Agreement or in any Assumption Agreement or other document pursuant to which such Purchaser became a party hereto. </w:t>
      </w:r>
    </w:p>
    <w:p>
      <w:pPr>
        <w:pStyle w:val="TextBody"/>
        <w:bidi w:val="0"/>
        <w:spacing w:before="240" w:after="0"/>
        <w:jc w:val="left"/>
        <w:rPr/>
      </w:pPr>
      <w:r>
        <w:rPr/>
        <w:t>“</w:t>
      </w:r>
      <w:r>
        <w:rPr>
          <w:rFonts w:ascii="Times New Roman" w:hAnsi="Times New Roman"/>
          <w:sz w:val="20"/>
          <w:u w:val="single"/>
        </w:rPr>
        <w:t>Scotia</w:t>
      </w:r>
      <w:r>
        <w:rPr>
          <w:rFonts w:ascii="Times New Roman" w:hAnsi="Times New Roman"/>
          <w:sz w:val="20"/>
        </w:rPr>
        <w:t xml:space="preserve">” means The Bank of Nova Scotia.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Seller</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Seller’s Share</w:t>
      </w:r>
      <w:r>
        <w:rPr>
          <w:rFonts w:ascii="Times New Roman" w:hAnsi="Times New Roman"/>
          <w:sz w:val="20"/>
        </w:rPr>
        <w:t xml:space="preserve">” of any amount means the greater of: (a) $0 and (b) such amount minus the product of (i) such amount multiplied by (ii) the Purchased Interest. </w:t>
      </w:r>
    </w:p>
    <w:p>
      <w:pPr>
        <w:pStyle w:val="TextBody"/>
        <w:bidi w:val="0"/>
        <w:spacing w:before="240" w:after="0"/>
        <w:jc w:val="left"/>
        <w:rPr/>
      </w:pPr>
      <w:r>
        <w:rPr/>
        <w:t>“</w:t>
      </w:r>
      <w:r>
        <w:rPr>
          <w:rFonts w:ascii="Times New Roman" w:hAnsi="Times New Roman"/>
          <w:sz w:val="20"/>
          <w:u w:val="single"/>
        </w:rPr>
        <w:t>Servicer</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Servicing Fee</w:t>
      </w:r>
      <w:r>
        <w:rPr>
          <w:rFonts w:ascii="Times New Roman" w:hAnsi="Times New Roman"/>
          <w:sz w:val="20"/>
        </w:rPr>
        <w:t xml:space="preserve">” shall mean the fee referred to in </w:t>
      </w:r>
      <w:r>
        <w:rPr>
          <w:rFonts w:ascii="Times New Roman" w:hAnsi="Times New Roman"/>
          <w:sz w:val="20"/>
          <w:u w:val="single"/>
        </w:rPr>
        <w:t>Section 4.6</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sz w:val="20"/>
          <w:u w:val="single"/>
        </w:rPr>
        <w:t>Servicing Fee Rate</w:t>
      </w:r>
      <w:r>
        <w:rPr>
          <w:rFonts w:ascii="Times New Roman" w:hAnsi="Times New Roman"/>
          <w:sz w:val="20"/>
        </w:rPr>
        <w:t xml:space="preserve">” means, at any time, 1.0%. </w:t>
      </w:r>
    </w:p>
    <w:p>
      <w:pPr>
        <w:pStyle w:val="TextBody"/>
        <w:bidi w:val="0"/>
        <w:spacing w:before="240" w:after="0"/>
        <w:jc w:val="left"/>
        <w:rPr/>
      </w:pPr>
      <w:r>
        <w:rPr/>
        <w:t>“</w:t>
      </w:r>
      <w:r>
        <w:rPr>
          <w:rFonts w:ascii="Times New Roman" w:hAnsi="Times New Roman"/>
          <w:sz w:val="20"/>
          <w:u w:val="single"/>
        </w:rPr>
        <w:t>Settlement Date</w:t>
      </w:r>
      <w:r>
        <w:rPr>
          <w:rFonts w:ascii="Times New Roman" w:hAnsi="Times New Roman"/>
          <w:sz w:val="20"/>
        </w:rPr>
        <w:t xml:space="preserve">” means the 22nd day of each calendar month (or, if such day is not a Business Day, the next occurring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pursuant to </w:t>
      </w:r>
      <w:r>
        <w:rPr>
          <w:rFonts w:ascii="Times New Roman" w:hAnsi="Times New Roman"/>
          <w:sz w:val="20"/>
          <w:u w:val="single"/>
        </w:rPr>
        <w:t>Section 2(i)(iii)</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the Servicer is required to provide Information Packages on a more frequent than monthly basis, then the “Settlement Date”, solely for purposes of amounts distributable in respect of principal pursuant to </w:t>
      </w:r>
      <w:r>
        <w:rPr>
          <w:rFonts w:ascii="Times New Roman" w:hAnsi="Times New Roman"/>
          <w:sz w:val="20"/>
          <w:u w:val="single"/>
        </w:rPr>
        <w:t>Section 1.4</w:t>
      </w:r>
      <w:r>
        <w:rPr>
          <w:rFonts w:ascii="Times New Roman" w:hAnsi="Times New Roman"/>
          <w:sz w:val="20"/>
        </w:rPr>
        <w:t xml:space="preserve"> in the event the Purchased Interest exceeds 100% at such time, shall (in addition to the monthly Settlement Date described above, in the case of all other distributions) be the Wednesday of each calendar week (or if such day is not a Business Day, the next occurring Business Day);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notwithstanding anything else in this definition to the contrary, on and after the occurrence and continuation of any Termination Event, the Settlement Date shall be the date selected as such by the Administrator (with the consent or at the direction of the Majority Purchasers) from time to time (</w:t>
      </w:r>
      <w:r>
        <w:rPr>
          <w:rFonts w:ascii="Times New Roman" w:hAnsi="Times New Roman"/>
          <w:sz w:val="20"/>
          <w:u w:val="single"/>
        </w:rPr>
        <w:t>it being understood</w:t>
      </w:r>
      <w:r>
        <w:rPr>
          <w:rFonts w:ascii="Times New Roman" w:hAnsi="Times New Roman"/>
          <w:sz w:val="20"/>
        </w:rPr>
        <w:t xml:space="preserve"> that the Administrator (with the consent or at the direction of the Majority Purchasers) may select such Settlement Date to occur as frequently as daily) or, in the absence of any such selection, the date which would be the Settlement Date pursuant to this definition. </w:t>
      </w:r>
    </w:p>
    <w:p>
      <w:pPr>
        <w:pStyle w:val="TextBody"/>
        <w:bidi w:val="0"/>
        <w:spacing w:before="240" w:after="0"/>
        <w:jc w:val="left"/>
        <w:rPr/>
      </w:pPr>
      <w:r>
        <w:rPr/>
        <w:t>“</w:t>
      </w:r>
      <w:r>
        <w:rPr>
          <w:rFonts w:ascii="Times New Roman" w:hAnsi="Times New Roman"/>
          <w:sz w:val="20"/>
          <w:u w:val="single"/>
        </w:rPr>
        <w:t>Simple Majority</w:t>
      </w:r>
      <w:r>
        <w:rPr>
          <w:rFonts w:ascii="Times New Roman" w:hAnsi="Times New Roman"/>
          <w:sz w:val="20"/>
        </w:rPr>
        <w:t xml:space="preserve">” means, at any time, Purchasers (other than Defaulting Purchasers) whose Commitments aggregate more than 50% of the aggregate of the Commitments of all Purchasers (other than Defaulting Purchasers).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a rate per annum equal to the secured overnight financing rate for such Business Day published by the SOFR Administrator on the SOFR Administrator’s Website. </w:t>
      </w:r>
    </w:p>
    <w:p>
      <w:pPr>
        <w:pStyle w:val="TextBody"/>
        <w:bidi w:val="0"/>
        <w:spacing w:before="240" w:after="0"/>
        <w:jc w:val="left"/>
        <w:rPr/>
      </w:pPr>
      <w:r>
        <w:rPr/>
        <w:t>“</w:t>
      </w:r>
      <w:r>
        <w:rPr>
          <w:rFonts w:ascii="Times New Roman" w:hAnsi="Times New Roman"/>
          <w:sz w:val="20"/>
          <w:u w:val="single"/>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Administrator’s Website</w:t>
      </w:r>
      <w:r>
        <w:rPr>
          <w:rFonts w:ascii="Times New Roman" w:hAnsi="Times New Roman"/>
          <w:sz w:val="20"/>
        </w:rPr>
        <w:t xml:space="preserve">” means the website of the Federal Reserve Bank of New York, currently at </w:t>
      </w:r>
      <w:r>
        <w:rPr>
          <w:rFonts w:ascii="Times New Roman" w:hAnsi="Times New Roman"/>
          <w:sz w:val="20"/>
          <w:u w:val="single"/>
        </w:rPr>
        <w:t>http://www.newyorkfed.org</w:t>
      </w:r>
      <w:r>
        <w:rPr>
          <w:rFonts w:ascii="Times New Roman" w:hAnsi="Times New Roman"/>
          <w:sz w:val="20"/>
        </w:rPr>
        <w:t xml:space="preserve">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sz w:val="20"/>
          <w:u w:val="single"/>
        </w:rPr>
        <w:t>SOFR Rate</w:t>
      </w:r>
      <w:r>
        <w:rPr>
          <w:rFonts w:ascii="Times New Roman" w:hAnsi="Times New Roman"/>
          <w:sz w:val="20"/>
        </w:rPr>
        <w:t xml:space="preserve">” means, with respect to Investments comprising any Portion of Investment to which Term SOFR applies for any Yield Period, the rate per annum determined by the Administrator by dividing (the resulting quotient rounded upwards, at the Administrator’s discretion, to the nearest 1/100th of 1%) (a) two (2) Business Days prior to the first day of such Yield Period and having a term comparable to such Yield Period; </w:t>
      </w:r>
      <w:r>
        <w:rPr>
          <w:rFonts w:ascii="Times New Roman" w:hAnsi="Times New Roman"/>
          <w:sz w:val="20"/>
          <w:u w:val="single"/>
        </w:rPr>
        <w:t>provided</w:t>
      </w:r>
      <w:r>
        <w:rPr>
          <w:rFonts w:ascii="Times New Roman" w:hAnsi="Times New Roman"/>
          <w:sz w:val="20"/>
        </w:rPr>
        <w:t xml:space="preserve"> that if the rate is not published on such determination date, then the rate per annum for purposes of this </w:t>
      </w:r>
      <w:r>
        <w:rPr>
          <w:rFonts w:ascii="Times New Roman" w:hAnsi="Times New Roman"/>
          <w:sz w:val="20"/>
          <w:u w:val="single"/>
        </w:rPr>
        <w:t>clause (a)</w:t>
      </w:r>
      <w:r>
        <w:rPr>
          <w:rFonts w:ascii="Times New Roman" w:hAnsi="Times New Roman"/>
          <w:sz w:val="20"/>
        </w:rPr>
        <w:t xml:space="preserve"> shall be SOFR on the first Business Day immediately prior thereto, so long as such first preceding Business Day is not more than three (3) Business Days prior to such determination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SOFR Rate Investment</w:t>
      </w:r>
      <w:r>
        <w:rPr>
          <w:rFonts w:ascii="Times New Roman" w:hAnsi="Times New Roman"/>
          <w:sz w:val="20"/>
        </w:rPr>
        <w:t xml:space="preserve">” means an Investment that accrues discount based on the SOFR Rate. </w:t>
      </w:r>
    </w:p>
    <w:p>
      <w:pPr>
        <w:pStyle w:val="TextBody"/>
        <w:bidi w:val="0"/>
        <w:spacing w:before="240" w:after="0"/>
        <w:jc w:val="left"/>
        <w:rPr/>
      </w:pPr>
      <w:r>
        <w:rPr/>
        <w:t>“</w:t>
      </w:r>
      <w:r>
        <w:rPr>
          <w:rFonts w:ascii="Times New Roman" w:hAnsi="Times New Roman"/>
          <w:sz w:val="20"/>
          <w:u w:val="single"/>
        </w:rPr>
        <w:t>SOFR Rate Option</w:t>
      </w:r>
      <w:r>
        <w:rPr>
          <w:rFonts w:ascii="Times New Roman" w:hAnsi="Times New Roman"/>
          <w:sz w:val="20"/>
        </w:rPr>
        <w:t xml:space="preserve">” means the option of the Seller to have Investments accrue discount at the rate and under the terms specified in </w:t>
      </w:r>
      <w:r>
        <w:rPr>
          <w:rFonts w:ascii="Times New Roman" w:hAnsi="Times New Roman"/>
          <w:sz w:val="20"/>
          <w:u w:val="single"/>
        </w:rPr>
        <w:t>Section 1.12(a)(i)(A)(1)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with respect to any Person at any time, a condition under which: </w:t>
      </w:r>
    </w:p>
    <w:p>
      <w:pPr>
        <w:pStyle w:val="TextBody"/>
        <w:bidi w:val="0"/>
        <w:spacing w:before="120" w:after="0"/>
        <w:jc w:val="left"/>
        <w:rPr>
          <w:rFonts w:ascii="Times New Roman" w:hAnsi="Times New Roman"/>
          <w:sz w:val="20"/>
        </w:rPr>
      </w:pPr>
      <w:r>
        <w:rPr>
          <w:rFonts w:ascii="Times New Roman" w:hAnsi="Times New Roman"/>
          <w:sz w:val="20"/>
        </w:rPr>
        <w:t xml:space="preserve">(i) the fair value and present fair saleable value of such Person’s total assets is, on the date of determination, greater than such Person’s total liabilities (including contingent and unliquidated liabilities) at such time; </w:t>
      </w:r>
    </w:p>
    <w:p>
      <w:pPr>
        <w:pStyle w:val="TextBody"/>
        <w:bidi w:val="0"/>
        <w:spacing w:before="120" w:after="0"/>
        <w:jc w:val="left"/>
        <w:rPr>
          <w:rFonts w:ascii="Times New Roman" w:hAnsi="Times New Roman"/>
          <w:sz w:val="20"/>
        </w:rPr>
      </w:pPr>
      <w:r>
        <w:rPr>
          <w:rFonts w:ascii="Times New Roman" w:hAnsi="Times New Roman"/>
          <w:sz w:val="20"/>
        </w:rPr>
        <w:t>(ii) the fair value and present fair saleable value of such Person’s assets is greater than the amount that will be required to pay such Person’s probable liability on its existing debts as they become absolute and matured (“</w:t>
      </w:r>
      <w:r>
        <w:rPr>
          <w:rFonts w:ascii="Times New Roman" w:hAnsi="Times New Roman"/>
          <w:sz w:val="20"/>
          <w:u w:val="single"/>
        </w:rPr>
        <w:t>debts</w:t>
      </w:r>
      <w:r>
        <w:rPr>
          <w:rFonts w:ascii="Times New Roman" w:hAnsi="Times New Roman"/>
          <w:sz w:val="20"/>
        </w:rPr>
        <w:t xml:space="preserve">,” for this purpose, includes all legal liabilities, whether matured or unmatured, liquidated or unliquidated, absolute, fixed, or contingent); </w:t>
      </w:r>
    </w:p>
    <w:p>
      <w:pPr>
        <w:pStyle w:val="TextBody"/>
        <w:bidi w:val="0"/>
        <w:spacing w:before="120" w:after="0"/>
        <w:jc w:val="left"/>
        <w:rPr>
          <w:rFonts w:ascii="Times New Roman" w:hAnsi="Times New Roman"/>
          <w:sz w:val="20"/>
        </w:rPr>
      </w:pPr>
      <w:r>
        <w:rPr>
          <w:rFonts w:ascii="Times New Roman" w:hAnsi="Times New Roman"/>
          <w:sz w:val="20"/>
        </w:rPr>
        <w:t xml:space="preserve">(iii) such Person is and shall continue to be able to pay all of its liabilities as such liabilities mature; and </w:t>
      </w:r>
    </w:p>
    <w:p>
      <w:pPr>
        <w:pStyle w:val="TextBody"/>
        <w:bidi w:val="0"/>
        <w:spacing w:before="120" w:after="0"/>
        <w:jc w:val="left"/>
        <w:rPr>
          <w:rFonts w:ascii="Times New Roman" w:hAnsi="Times New Roman"/>
          <w:sz w:val="20"/>
        </w:rPr>
      </w:pPr>
      <w:r>
        <w:rPr>
          <w:rFonts w:ascii="Times New Roman" w:hAnsi="Times New Roman"/>
          <w:sz w:val="20"/>
        </w:rPr>
        <w:t xml:space="preserve">(iv) such Person does not have unreasonably small capital with which to engage in its current and in its anticipated business.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w:t>
      </w:r>
    </w:p>
    <w:p>
      <w:pPr>
        <w:pStyle w:val="TextBody"/>
        <w:bidi w:val="0"/>
        <w:spacing w:before="120" w:after="0"/>
        <w:jc w:val="left"/>
        <w:rPr>
          <w:rFonts w:ascii="Times New Roman" w:hAnsi="Times New Roman"/>
          <w:sz w:val="20"/>
        </w:rPr>
      </w:pPr>
      <w:r>
        <w:rPr>
          <w:rFonts w:ascii="Times New Roman" w:hAnsi="Times New Roman"/>
          <w:sz w:val="20"/>
        </w:rPr>
        <w:t xml:space="preserve">(A) the amount of a Person’s contingent or unliquidated liabilities at any time shall be that amount which, in light of all the facts and circumstances then existing, represents the amount which can reasonably be expected to become an actual or matured liability; </w:t>
      </w:r>
    </w:p>
    <w:p>
      <w:pPr>
        <w:pStyle w:val="TextBody"/>
        <w:bidi w:val="0"/>
        <w:spacing w:before="120" w:after="0"/>
        <w:jc w:val="left"/>
        <w:rPr>
          <w:rFonts w:ascii="Times New Roman" w:hAnsi="Times New Roman"/>
          <w:sz w:val="20"/>
        </w:rPr>
      </w:pPr>
      <w:r>
        <w:rPr>
          <w:rFonts w:ascii="Times New Roman" w:hAnsi="Times New Roman"/>
          <w:sz w:val="20"/>
        </w:rPr>
        <w:t xml:space="preserve">(B) the “fair value” of an asset shall be the amount which may be realized within a reasonable time either through collection or sale of such asset at its regular market value; </w:t>
      </w:r>
    </w:p>
    <w:p>
      <w:pPr>
        <w:pStyle w:val="TextBody"/>
        <w:bidi w:val="0"/>
        <w:spacing w:before="120" w:after="0"/>
        <w:jc w:val="left"/>
        <w:rPr>
          <w:rFonts w:ascii="Times New Roman" w:hAnsi="Times New Roman"/>
          <w:sz w:val="20"/>
        </w:rPr>
      </w:pPr>
      <w:r>
        <w:rPr>
          <w:rFonts w:ascii="Times New Roman" w:hAnsi="Times New Roman"/>
          <w:sz w:val="20"/>
        </w:rPr>
        <w:t xml:space="preserve">(C) the “regular market value” of an asset shall be the amount which a capable and diligent business person could obtain for such asset from an interested buyer who is willing to Purchase such asset under ordinary selling conditions; and </w:t>
      </w:r>
    </w:p>
    <w:p>
      <w:pPr>
        <w:pStyle w:val="TextBody"/>
        <w:bidi w:val="0"/>
        <w:spacing w:before="120" w:after="0"/>
        <w:jc w:val="left"/>
        <w:rPr>
          <w:rFonts w:ascii="Times New Roman" w:hAnsi="Times New Roman"/>
          <w:sz w:val="20"/>
        </w:rPr>
      </w:pPr>
      <w:r>
        <w:rPr>
          <w:rFonts w:ascii="Times New Roman" w:hAnsi="Times New Roman"/>
          <w:sz w:val="20"/>
        </w:rPr>
        <w:t xml:space="preserve">(D) the “present fair saleable value” of an asset means the amount which can be obtained if such asset is sold with reasonable promptness in an arm’s-length transaction in an existing and not theoretical market. </w:t>
      </w:r>
    </w:p>
    <w:p>
      <w:pPr>
        <w:pStyle w:val="TextBody"/>
        <w:bidi w:val="0"/>
        <w:spacing w:before="240" w:after="0"/>
        <w:jc w:val="left"/>
        <w:rPr/>
      </w:pPr>
      <w:r>
        <w:rPr/>
        <w:t>“</w:t>
      </w:r>
      <w:r>
        <w:rPr>
          <w:rFonts w:ascii="Times New Roman" w:hAnsi="Times New Roman"/>
          <w:sz w:val="20"/>
          <w:u w:val="single"/>
        </w:rPr>
        <w:t>Specifically Reserved Amount</w:t>
      </w:r>
      <w:r>
        <w:rPr>
          <w:rFonts w:ascii="Times New Roman" w:hAnsi="Times New Roman"/>
          <w:sz w:val="20"/>
        </w:rPr>
        <w:t xml:space="preserve">” means, at any time, the aggregate amount then recorded on the books and records of the Originators as the sum of (i) the aggregate accrued rebate payments owing to Obligors related to the purchase volumes by such Obligors with respect to the Pool Receivables and (ii) deferred revenue reserves with respect to the Pool Receivables.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Standard &amp; Poor’s</w:t>
      </w:r>
      <w:r>
        <w:rPr>
          <w:rFonts w:ascii="Times New Roman" w:hAnsi="Times New Roman"/>
          <w:sz w:val="20"/>
        </w:rPr>
        <w:t xml:space="preserve">” means Standard &amp; Poor’s, a division of The McGraw-Hill Companies, Inc. </w:t>
      </w:r>
    </w:p>
    <w:p>
      <w:pPr>
        <w:pStyle w:val="TextBody"/>
        <w:bidi w:val="0"/>
        <w:spacing w:before="240" w:after="0"/>
        <w:jc w:val="left"/>
        <w:rPr/>
      </w:pPr>
      <w:r>
        <w:rPr/>
        <w:t>“</w:t>
      </w:r>
      <w:r>
        <w:rPr>
          <w:rFonts w:ascii="Times New Roman" w:hAnsi="Times New Roman"/>
          <w:sz w:val="20"/>
          <w:u w:val="single"/>
        </w:rPr>
        <w:t>Structuring Agent</w:t>
      </w:r>
      <w:r>
        <w:rPr>
          <w:rFonts w:ascii="Times New Roman" w:hAnsi="Times New Roman"/>
          <w:sz w:val="20"/>
        </w:rPr>
        <w:t xml:space="preserve">” means PNC Capital Markets LLC, a Pennsylvania limited liability company. </w:t>
      </w:r>
    </w:p>
    <w:p>
      <w:pPr>
        <w:pStyle w:val="TextBody"/>
        <w:bidi w:val="0"/>
        <w:spacing w:before="240" w:after="0"/>
        <w:jc w:val="left"/>
        <w:rPr/>
      </w:pPr>
      <w:r>
        <w:rPr/>
        <w:t>“</w:t>
      </w:r>
      <w:r>
        <w:rPr>
          <w:rFonts w:ascii="Times New Roman" w:hAnsi="Times New Roman"/>
          <w:sz w:val="20"/>
          <w:u w:val="single"/>
        </w:rPr>
        <w:t>Subject Originator</w:t>
      </w:r>
      <w:r>
        <w:rPr>
          <w:rFonts w:ascii="Times New Roman" w:hAnsi="Times New Roman"/>
          <w:sz w:val="20"/>
        </w:rPr>
        <w:t xml:space="preserve">” means any Subsidiary (organized under the laws of the United States or any state thereof) of Holdings for which the aggregate Outstanding Balance of all Receivables of such Subsidiary of Holdings does not exceed 5.0% of the aggregate Outstanding Balance of all Receivables then in the Receivables Pool.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 </w:t>
      </w:r>
    </w:p>
    <w:p>
      <w:pPr>
        <w:pStyle w:val="TextBody"/>
        <w:bidi w:val="0"/>
        <w:spacing w:before="240" w:after="0"/>
        <w:jc w:val="left"/>
        <w:rPr/>
      </w:pPr>
      <w:r>
        <w:rPr/>
        <w:t>“</w:t>
      </w:r>
      <w:r>
        <w:rPr>
          <w:rFonts w:ascii="Times New Roman" w:hAnsi="Times New Roman"/>
          <w:sz w:val="20"/>
          <w:u w:val="single"/>
        </w:rPr>
        <w:t>Tangible Net Worth</w:t>
      </w:r>
      <w:r>
        <w:rPr>
          <w:rFonts w:ascii="Times New Roman" w:hAnsi="Times New Roman"/>
          <w:sz w:val="20"/>
        </w:rPr>
        <w:t xml:space="preserve">” means, with respect to any Person, the tangible net worth of such Person as determined in accordance with GAAP. </w:t>
      </w:r>
    </w:p>
    <w:p>
      <w:pPr>
        <w:pStyle w:val="TextBody"/>
        <w:bidi w:val="0"/>
        <w:spacing w:before="240" w:after="0"/>
        <w:jc w:val="left"/>
        <w:rPr/>
      </w:pPr>
      <w:r>
        <w:rPr/>
        <w:t>“</w:t>
      </w:r>
      <w:r>
        <w:rPr>
          <w:rFonts w:ascii="Times New Roman" w:hAnsi="Times New Roman"/>
          <w:sz w:val="20"/>
          <w:u w:val="single"/>
        </w:rPr>
        <w:t>TD</w:t>
      </w:r>
      <w:r>
        <w:rPr>
          <w:rFonts w:ascii="Times New Roman" w:hAnsi="Times New Roman"/>
          <w:sz w:val="20"/>
        </w:rPr>
        <w:t xml:space="preserve">” means The Toronto-Dominion Bank. </w:t>
      </w:r>
    </w:p>
    <w:p>
      <w:pPr>
        <w:pStyle w:val="TextBody"/>
        <w:bidi w:val="0"/>
        <w:spacing w:before="240" w:after="0"/>
        <w:jc w:val="left"/>
        <w:rPr/>
      </w:pPr>
      <w:r>
        <w:rPr/>
        <w:t>“</w:t>
      </w:r>
      <w:r>
        <w:rPr>
          <w:rFonts w:ascii="Times New Roman" w:hAnsi="Times New Roman"/>
          <w:sz w:val="20"/>
          <w:u w:val="single"/>
        </w:rPr>
        <w:t>Tenth Amendment Date</w:t>
      </w:r>
      <w:r>
        <w:rPr>
          <w:rFonts w:ascii="Times New Roman" w:hAnsi="Times New Roman"/>
          <w:sz w:val="20"/>
        </w:rPr>
        <w:t xml:space="preserve">” means September 17, 2026. </w:t>
      </w:r>
    </w:p>
    <w:p>
      <w:pPr>
        <w:pStyle w:val="TextBody"/>
        <w:bidi w:val="0"/>
        <w:spacing w:before="240" w:after="0"/>
        <w:jc w:val="left"/>
        <w:rPr/>
      </w:pPr>
      <w:r>
        <w:rPr/>
        <w:t>“</w:t>
      </w:r>
      <w:r>
        <w:rPr>
          <w:rFonts w:ascii="Times New Roman" w:hAnsi="Times New Roman"/>
          <w:sz w:val="20"/>
          <w:u w:val="single"/>
        </w:rPr>
        <w:t>Term Rate Investment</w:t>
      </w:r>
      <w:r>
        <w:rPr>
          <w:rFonts w:ascii="Times New Roman" w:hAnsi="Times New Roman"/>
          <w:sz w:val="20"/>
        </w:rPr>
        <w:t xml:space="preserve">” means an Investment that accrues discount at a rate based on the SOFR Rate. </w:t>
      </w:r>
    </w:p>
    <w:p>
      <w:pPr>
        <w:pStyle w:val="TextBody"/>
        <w:bidi w:val="0"/>
        <w:spacing w:before="240" w:after="0"/>
        <w:jc w:val="left"/>
        <w:rPr/>
      </w:pPr>
      <w:r>
        <w:rPr/>
        <w:t>“</w:t>
      </w:r>
      <w:r>
        <w:rPr>
          <w:rFonts w:ascii="Times New Roman" w:hAnsi="Times New Roman"/>
          <w:sz w:val="20"/>
          <w:u w:val="single"/>
        </w:rPr>
        <w:t>Term Rate Investment Option</w:t>
      </w:r>
      <w:r>
        <w:rPr>
          <w:rFonts w:ascii="Times New Roman" w:hAnsi="Times New Roman"/>
          <w:sz w:val="20"/>
        </w:rPr>
        <w:t xml:space="preserve">” means the option of the Seller to have Investments accrue discount at the rate and under the terms specified in </w:t>
      </w:r>
      <w:r>
        <w:rPr>
          <w:rFonts w:ascii="Times New Roman" w:hAnsi="Times New Roman"/>
          <w:sz w:val="20"/>
          <w:u w:val="single"/>
        </w:rPr>
        <w:t>Section 1.12(a)(i)(A)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Term SOFR</w:t>
      </w:r>
      <w:r>
        <w:rPr>
          <w:rFonts w:ascii="Times New Roman" w:hAnsi="Times New Roman"/>
          <w:sz w:val="20"/>
        </w:rPr>
        <w:t xml:space="preserve">” means, for the applicable corresponding tenor, the forward-looking term rate based on SOFR that has been selected or recommended by the Relevant Governmental Body. </w:t>
      </w:r>
    </w:p>
    <w:p>
      <w:pPr>
        <w:pStyle w:val="TextBody"/>
        <w:bidi w:val="0"/>
        <w:spacing w:before="240" w:after="0"/>
        <w:jc w:val="left"/>
        <w:rPr/>
      </w:pPr>
      <w:r>
        <w:rPr/>
        <w:t>“</w:t>
      </w:r>
      <w:r>
        <w:rPr>
          <w:rFonts w:ascii="Times New Roman" w:hAnsi="Times New Roman"/>
          <w:sz w:val="20"/>
          <w:u w:val="single"/>
        </w:rPr>
        <w:t>Termination Day</w:t>
      </w:r>
      <w:r>
        <w:rPr>
          <w:rFonts w:ascii="Times New Roman" w:hAnsi="Times New Roman"/>
          <w:sz w:val="20"/>
        </w:rPr>
        <w:t xml:space="preserve">” means: (a) each day on which the conditions set forth in </w:t>
      </w:r>
      <w:r>
        <w:rPr>
          <w:rFonts w:ascii="Times New Roman" w:hAnsi="Times New Roman"/>
          <w:sz w:val="20"/>
          <w:u w:val="single"/>
        </w:rPr>
        <w:t>Section 2</w:t>
      </w:r>
      <w:r>
        <w:rPr>
          <w:rFonts w:ascii="Times New Roman" w:hAnsi="Times New Roman"/>
          <w:sz w:val="20"/>
        </w:rPr>
        <w:t xml:space="preserve"> of </w:t>
      </w:r>
      <w:r>
        <w:rPr>
          <w:rFonts w:ascii="Times New Roman" w:hAnsi="Times New Roman"/>
          <w:sz w:val="20"/>
          <w:u w:val="single"/>
        </w:rPr>
        <w:t>Exhibit II</w:t>
      </w:r>
      <w:r>
        <w:rPr>
          <w:rFonts w:ascii="Times New Roman" w:hAnsi="Times New Roman"/>
          <w:sz w:val="20"/>
        </w:rPr>
        <w:t xml:space="preserve"> to this Agreement are not satisfied or (b) each day that occurs on or after the Facility Termination Date. </w:t>
      </w:r>
    </w:p>
    <w:p>
      <w:pPr>
        <w:pStyle w:val="TextBody"/>
        <w:bidi w:val="0"/>
        <w:spacing w:before="240" w:after="0"/>
        <w:jc w:val="left"/>
        <w:rPr/>
      </w:pPr>
      <w:r>
        <w:rPr/>
        <w:t>“</w:t>
      </w:r>
      <w:r>
        <w:rPr>
          <w:rFonts w:ascii="Times New Roman" w:hAnsi="Times New Roman"/>
          <w:sz w:val="20"/>
          <w:u w:val="single"/>
        </w:rPr>
        <w:t>Termination Event</w:t>
      </w:r>
      <w:r>
        <w:rPr>
          <w:rFonts w:ascii="Times New Roman" w:hAnsi="Times New Roman"/>
          <w:sz w:val="20"/>
        </w:rPr>
        <w:t xml:space="preserve">” has the meaning specified in </w:t>
      </w:r>
      <w:r>
        <w:rPr>
          <w:rFonts w:ascii="Times New Roman" w:hAnsi="Times New Roman"/>
          <w:sz w:val="20"/>
          <w:u w:val="single"/>
        </w:rPr>
        <w:t>Exhibit V</w:t>
      </w:r>
      <w:r>
        <w:rPr>
          <w:rFonts w:ascii="Times New Roman" w:hAnsi="Times New Roman"/>
          <w:sz w:val="20"/>
        </w:rPr>
        <w:t xml:space="preserve"> to this Agreement. </w:t>
      </w:r>
    </w:p>
    <w:p>
      <w:pPr>
        <w:pStyle w:val="TextBody"/>
        <w:bidi w:val="0"/>
        <w:spacing w:before="240" w:after="0"/>
        <w:jc w:val="left"/>
        <w:rPr/>
      </w:pPr>
      <w:r>
        <w:rPr/>
        <w:t>“</w:t>
      </w:r>
      <w:r>
        <w:rPr>
          <w:rFonts w:ascii="Times New Roman" w:hAnsi="Times New Roman"/>
          <w:sz w:val="20"/>
          <w:u w:val="single"/>
        </w:rPr>
        <w:t>Termination Fee</w:t>
      </w:r>
      <w:r>
        <w:rPr>
          <w:rFonts w:ascii="Times New Roman" w:hAnsi="Times New Roman"/>
          <w:sz w:val="20"/>
        </w:rPr>
        <w:t xml:space="preserve">” means, for any Yield Period, with respect to any Purchaser, the amount, if any, by which: (a) the additional Discount related to such Purchaser’s Investment (calculated without taking into account any Termination Fee or any shortened duration of such Yield Period) that would have accrued during such Yield Period on the reductions of Investment relating to such Yield Period had such reductions not been made, exceeds (b) the income, if any, received by such Purchaser from investing the proceeds of such reductions of Investment, as determined by such Purchaser’s Purchaser Agent, which determination shall be binding and conclusive for all purposes,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Total Reserves</w:t>
      </w:r>
      <w:r>
        <w:rPr>
          <w:rFonts w:ascii="Times New Roman" w:hAnsi="Times New Roman"/>
          <w:sz w:val="20"/>
        </w:rPr>
        <w:t xml:space="preserve">” means, at any time the sum of: (a) the Yield Reserve, plus (b) the greater of (i) the Dilution Reserve plus the Loss Reserve and (ii) the Minimum Dilution Reserve plus the Concentration Reserve.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(i) this Agreement, the Lock-Box Agreements, the Lock-Box Schedule Letter Agreement, each Purchaser Group Fee Letter, the Sale Agreement, the Intercreditor Agreement, the EU/UK Risk Retention Letter and (ii) all other certificates, instruments, UCC financing statements, reports, notices, agreements and documents executed or delivered under or in connection with this Agreement or such other agreement, in each case as the same may be amended, supplemented or otherwise modified from time to time in accordance with this Agreement. </w:t>
      </w:r>
    </w:p>
    <w:p>
      <w:pPr>
        <w:pStyle w:val="TextBody"/>
        <w:bidi w:val="0"/>
        <w:spacing w:before="240" w:after="0"/>
        <w:jc w:val="left"/>
        <w:rPr/>
      </w:pPr>
      <w:r>
        <w:rPr/>
        <w:t>“</w:t>
      </w:r>
      <w:r>
        <w:rPr>
          <w:rFonts w:ascii="Times New Roman" w:hAnsi="Times New Roman"/>
          <w:sz w:val="20"/>
          <w:u w:val="single"/>
        </w:rPr>
        <w:t>Transfer Supplement</w:t>
      </w:r>
      <w:r>
        <w:rPr>
          <w:rFonts w:ascii="Times New Roman" w:hAnsi="Times New Roman"/>
          <w:sz w:val="20"/>
        </w:rPr>
        <w:t xml:space="preserve">” has the respective meanings set forth in </w:t>
      </w:r>
      <w:r>
        <w:rPr>
          <w:rFonts w:ascii="Times New Roman" w:hAnsi="Times New Roman"/>
          <w:sz w:val="20"/>
          <w:u w:val="single"/>
        </w:rPr>
        <w:t>Sections 6.3(c)</w:t>
      </w:r>
      <w:r>
        <w:rPr>
          <w:rFonts w:ascii="Times New Roman" w:hAnsi="Times New Roman"/>
          <w:sz w:val="20"/>
        </w:rPr>
        <w:t xml:space="preserve"> and </w:t>
      </w:r>
      <w:r>
        <w:rPr>
          <w:rFonts w:ascii="Times New Roman" w:hAnsi="Times New Roman"/>
          <w:sz w:val="20"/>
          <w:u w:val="single"/>
        </w:rPr>
        <w:t>6.3(e)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from time to time in effect in the applicable jurisdiction.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UK Securitisation Regulation</w:t>
      </w:r>
      <w:r>
        <w:rPr>
          <w:rFonts w:ascii="Times New Roman" w:hAnsi="Times New Roman"/>
          <w:sz w:val="20"/>
        </w:rPr>
        <w:t xml:space="preserve">” means Regulation (EU) 2017/2402 as it forms part of UK domestic law by operation of the EUWA, and as amended by the Securitisation (Amendment) (EU Exit) Regulations 2019, and as further amended. </w:t>
      </w:r>
    </w:p>
    <w:p>
      <w:pPr>
        <w:pStyle w:val="TextBody"/>
        <w:bidi w:val="0"/>
        <w:spacing w:before="240" w:after="0"/>
        <w:jc w:val="left"/>
        <w:rPr/>
      </w:pPr>
      <w:r>
        <w:rPr/>
        <w:t>“</w:t>
      </w:r>
      <w:r>
        <w:rPr>
          <w:rFonts w:ascii="Times New Roman" w:hAnsi="Times New Roman"/>
          <w:sz w:val="20"/>
          <w:u w:val="single"/>
        </w:rPr>
        <w:t>UK Securitisation Regulation Rules</w:t>
      </w:r>
      <w:r>
        <w:rPr>
          <w:rFonts w:ascii="Times New Roman" w:hAnsi="Times New Roman"/>
          <w:sz w:val="20"/>
        </w:rPr>
        <w:t xml:space="preserve">” means the UK Securitisation Regulation, together with (a) all applicable binding technical standards made under the UK Securitisation Regulation, (b) any EU regulatory technical standards or implementing technical standards relating to the EU Securitisation Regulation (including such regulatory technical standards or implementing technical standards which are applicable pursuant to any transitional provisions of the EU Securitisation Regulation) forming part of UK domestic law by operation of the EUWA, (c) relevant guidance, policy statements or directions relating to the application of the UK Securitisation Regulation (or any binding technical standards) published by the Financial Conduct Authority and/or Prudential Regulation Authority (or their successors), (d) any guidelines relating to the application of the EU Securitisation Regulation which are applicable in the UK, (e) any other transitional, saving or other provision relevant to the UK Securitisation Regulation by virtue of the operation of the EUWA and (f) any other applicable laws, acts, statutory instruments, rules, guidance or policy statements published or enacted relating to the UK Securitisation Regulation, in each case, as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Unmatured Purchase and Sale Termination Event</w:t>
      </w:r>
      <w:r>
        <w:rPr>
          <w:rFonts w:ascii="Times New Roman" w:hAnsi="Times New Roman"/>
          <w:sz w:val="20"/>
        </w:rPr>
        <w:t xml:space="preserve">” means any event which, with the giving of notice or lapse of time, or both, would become a Purchase and Sale Termination Event. </w:t>
      </w:r>
    </w:p>
    <w:p>
      <w:pPr>
        <w:pStyle w:val="TextBody"/>
        <w:bidi w:val="0"/>
        <w:spacing w:before="240" w:after="0"/>
        <w:jc w:val="left"/>
        <w:rPr/>
      </w:pPr>
      <w:r>
        <w:rPr/>
        <w:t>“</w:t>
      </w:r>
      <w:r>
        <w:rPr>
          <w:rFonts w:ascii="Times New Roman" w:hAnsi="Times New Roman"/>
          <w:sz w:val="20"/>
          <w:u w:val="single"/>
        </w:rPr>
        <w:t>Unmatured Termination Event</w:t>
      </w:r>
      <w:r>
        <w:rPr>
          <w:rFonts w:ascii="Times New Roman" w:hAnsi="Times New Roman"/>
          <w:sz w:val="20"/>
        </w:rPr>
        <w:t xml:space="preserve">” means an event that, with the giving of notice or lapse of time, or both, would constitute a Termination Event. </w:t>
      </w:r>
    </w:p>
    <w:p>
      <w:pPr>
        <w:pStyle w:val="TextBody"/>
        <w:bidi w:val="0"/>
        <w:spacing w:before="240" w:after="0"/>
        <w:jc w:val="left"/>
        <w:rPr/>
      </w:pPr>
      <w:r>
        <w:rPr/>
        <w:t>“</w:t>
      </w:r>
      <w:r>
        <w:rPr>
          <w:rFonts w:ascii="Times New Roman" w:hAnsi="Times New Roman"/>
          <w:sz w:val="20"/>
          <w:u w:val="single"/>
        </w:rPr>
        <w:t>Wells</w:t>
      </w:r>
      <w:r>
        <w:rPr>
          <w:rFonts w:ascii="Times New Roman" w:hAnsi="Times New Roman"/>
          <w:sz w:val="20"/>
        </w:rPr>
        <w:t xml:space="preserve">” means Wells Fargo Bank, National Association. </w:t>
      </w:r>
    </w:p>
    <w:p>
      <w:pPr>
        <w:pStyle w:val="TextBody"/>
        <w:bidi w:val="0"/>
        <w:spacing w:before="240" w:after="0"/>
        <w:jc w:val="left"/>
        <w:rPr/>
      </w:pPr>
      <w:r>
        <w:rPr/>
        <w:t>“</w:t>
      </w:r>
      <w:r>
        <w:rPr>
          <w:rFonts w:ascii="Times New Roman" w:hAnsi="Times New Roman"/>
          <w:sz w:val="20"/>
          <w:u w:val="single"/>
        </w:rPr>
        <w:t>WESCO</w:t>
      </w:r>
      <w:r>
        <w:rPr>
          <w:rFonts w:ascii="Times New Roman" w:hAnsi="Times New Roman"/>
          <w:sz w:val="20"/>
        </w:rPr>
        <w:t xml:space="preserve">” has the meaning set forth in the preamble to this Agreement.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pPr>
      <w:r>
        <w:rPr/>
        <w:t>“</w:t>
      </w:r>
      <w:r>
        <w:rPr>
          <w:rFonts w:ascii="Times New Roman" w:hAnsi="Times New Roman"/>
          <w:sz w:val="20"/>
          <w:u w:val="single"/>
        </w:rPr>
        <w:t>Yield Period</w:t>
      </w:r>
      <w:r>
        <w:rPr>
          <w:rFonts w:ascii="Times New Roman" w:hAnsi="Times New Roman"/>
          <w:sz w:val="20"/>
        </w:rPr>
        <w:t xml:space="preserve">” means, with respect to each Portion of Investment or fees payable hereunder: (a) before the Facility Termination Date: (i) initially the period commencing on the date of the initial Purchase pursuant to </w:t>
      </w:r>
      <w:r>
        <w:rPr>
          <w:rFonts w:ascii="Times New Roman" w:hAnsi="Times New Roman"/>
          <w:sz w:val="20"/>
          <w:u w:val="single"/>
        </w:rPr>
        <w:t>Section 1.2</w:t>
      </w:r>
      <w:r>
        <w:rPr>
          <w:rFonts w:ascii="Times New Roman" w:hAnsi="Times New Roman"/>
          <w:sz w:val="20"/>
        </w:rPr>
        <w:t xml:space="preserve"> of this Agreement and ending on (but not including) the last day of the calendar month in which such Investment was funded (or, in the case of such fees, commencing on the Closing Date and ending on the last day of the calendar month in which the Closing Date occurs), and (ii) thereafter, each period commencing on the first day of a calendar month and ending on the last day of such calendar month, and (b) on and after the Facility Termination Date: such period (including a period of one day) as shall be selected from time to time by the Administrator or, in the absence of any such selection, each period commencing on the first day of a calendar month and ending on the last day of such calendar month. Notwithstanding the foregoing, for purposes of calculating the first Yield Period ending after the Amendment Date, the Yield Period shall be the period commencing on the Settlement Date immediately prior to the Amendment Date and ending on March 31, 2024. </w:t>
      </w:r>
    </w:p>
    <w:p>
      <w:pPr>
        <w:pStyle w:val="TextBody"/>
        <w:bidi w:val="0"/>
        <w:spacing w:before="240" w:after="0"/>
        <w:jc w:val="left"/>
        <w:rPr/>
      </w:pPr>
      <w:r>
        <w:rPr/>
        <w:t>“</w:t>
      </w:r>
      <w:r>
        <w:rPr>
          <w:rFonts w:ascii="Times New Roman" w:hAnsi="Times New Roman"/>
          <w:sz w:val="20"/>
          <w:u w:val="single"/>
        </w:rPr>
        <w:t>Yield Reserve</w:t>
      </w:r>
      <w:r>
        <w:rPr>
          <w:rFonts w:ascii="Times New Roman" w:hAnsi="Times New Roman"/>
          <w:sz w:val="20"/>
        </w:rPr>
        <w:t xml:space="preserve">” means, on any date, an amount equal to: (a) the Aggregate Investment on such date,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(i) the Yield Reserve Percentage on such date, </w:t>
      </w:r>
      <w:r>
        <w:rPr>
          <w:rFonts w:ascii="Times New Roman" w:hAnsi="Times New Roman"/>
          <w:sz w:val="20"/>
          <w:u w:val="single"/>
        </w:rPr>
        <w:t>divided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(ii) 100% minus the Yield Reserve Percentage on such date. </w:t>
      </w:r>
    </w:p>
    <w:p>
      <w:pPr>
        <w:pStyle w:val="TextBody"/>
        <w:bidi w:val="0"/>
        <w:spacing w:before="240" w:after="0"/>
        <w:jc w:val="left"/>
        <w:rPr/>
      </w:pPr>
      <w:r>
        <w:rPr/>
        <w:t>“</w:t>
      </w:r>
      <w:r>
        <w:rPr>
          <w:rFonts w:ascii="Times New Roman" w:hAnsi="Times New Roman"/>
          <w:sz w:val="20"/>
          <w:u w:val="single"/>
        </w:rPr>
        <w:t>Yield Reserve Percentage</w:t>
      </w:r>
      <w:r>
        <w:rPr>
          <w:rFonts w:ascii="Times New Roman" w:hAnsi="Times New Roman"/>
          <w:sz w:val="20"/>
        </w:rPr>
        <w:t xml:space="preserve">” means, on any date, the product of (a) 1.5,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(b) the sum of (i) the Base Rate with respect to the most recent Yield Period and (ii) the Servicing Fee Rate, </w:t>
      </w:r>
      <w:r>
        <w:rPr>
          <w:rFonts w:ascii="Times New Roman" w:hAnsi="Times New Roman"/>
          <w:sz w:val="20"/>
          <w:u w:val="single"/>
        </w:rPr>
        <w:t>multiplied</w:t>
      </w:r>
      <w:r>
        <w:rPr>
          <w:rFonts w:ascii="Times New Roman" w:hAnsi="Times New Roman"/>
          <w:sz w:val="20"/>
        </w:rPr>
        <w:t xml:space="preserve"> </w:t>
      </w:r>
      <w:r>
        <w:rPr>
          <w:rFonts w:ascii="Times New Roman" w:hAnsi="Times New Roman"/>
          <w:sz w:val="20"/>
          <w:u w:val="single"/>
        </w:rPr>
        <w:t>by</w:t>
      </w:r>
      <w:r>
        <w:rPr>
          <w:rFonts w:ascii="Times New Roman" w:hAnsi="Times New Roman"/>
          <w:sz w:val="20"/>
        </w:rPr>
        <w:t xml:space="preserve"> (c) a fraction (i) the numerator of which is the highest Days’ Sales Outstanding for the twelve most recent calendar months and (ii) the denominator of which is 360.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Other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accounting terms not specifically defined herein shall be construed in accordance with generally accepted accounting principles. All terms used in Article 9 of the UCC in the State of New York, and not specifically defined herein, are used herein as defined in such Article 9. Unless the context otherwise requires, “or” means “and/or,” and “including” (and with correlative meaning “include” and “includes”) means including without limiting the generality of any description preceding such term.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1.12</w:t>
      </w:r>
      <w:r>
        <w:rPr>
          <w:rFonts w:ascii="Times New Roman" w:hAnsi="Times New Roman"/>
          <w:sz w:val="20"/>
        </w:rPr>
        <w:t xml:space="preserve"> of this Agreement provides a mechanism for determining an alternative rate of discount in the event that the SOFR Rate or Daily Resetting SOFR is no longer available or in certain other circumstances. The Administrator does not warrant or accept any responsibility for and shall not have any liability with respect to, the administration, submission or any other matter related to the SOFR Rate or Daily Resetting SOFR or with respect to any alternative or successor rate thereto, or replacement rate therefor. </w:t>
      </w:r>
    </w:p>
    <w:p>
      <w:pPr>
        <w:pStyle w:val="TextBody"/>
        <w:bidi w:val="0"/>
        <w:spacing w:before="240" w:after="0"/>
        <w:jc w:val="left"/>
        <w:rPr>
          <w:rFonts w:ascii="Times New Roman" w:hAnsi="Times New Roman"/>
          <w:sz w:val="20"/>
        </w:rPr>
      </w:pPr>
      <w:r>
        <w:rPr>
          <w:rFonts w:ascii="Times New Roman" w:hAnsi="Times New Roman"/>
          <w:sz w:val="20"/>
          <w:u w:val="single"/>
        </w:rPr>
        <w:t>(c) Conforming Changes Relating to SOFR or Daily Resetting SOFR.</w:t>
      </w:r>
      <w:r>
        <w:rPr>
          <w:rFonts w:ascii="Times New Roman" w:hAnsi="Times New Roman"/>
          <w:sz w:val="20"/>
        </w:rPr>
        <w:t xml:space="preserve"> The Administrator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 w:hAnsi="Times New Roman"/>
          <w:sz w:val="20"/>
          <w:u w:val="single"/>
        </w:rPr>
        <w:t>provided</w:t>
      </w:r>
      <w:r>
        <w:rPr>
          <w:rFonts w:ascii="Times New Roman" w:hAnsi="Times New Roman"/>
          <w:sz w:val="20"/>
        </w:rPr>
        <w:t xml:space="preserve"> that, with respect to any such amendment effected, the Administrator shall provide notice to the Seller and the Purchasers of each such amendment implementing such Conforming Changes reasonably promptly after such amendment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II </w:t>
      </w:r>
    </w:p>
    <w:p>
      <w:pPr>
        <w:pStyle w:val="TextBody"/>
        <w:bidi w:val="0"/>
        <w:spacing w:before="120" w:after="0"/>
        <w:jc w:val="center"/>
        <w:rPr>
          <w:rFonts w:ascii="Times New Roman" w:hAnsi="Times New Roman"/>
          <w:sz w:val="20"/>
        </w:rPr>
      </w:pPr>
      <w:r>
        <w:rPr>
          <w:rFonts w:ascii="Times New Roman" w:hAnsi="Times New Roman"/>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Conditions Precedent to Initial Purchase</w:t>
      </w:r>
      <w:r>
        <w:rPr>
          <w:rFonts w:ascii="Times New Roman" w:hAnsi="Times New Roman"/>
          <w:sz w:val="20"/>
        </w:rPr>
        <w:t xml:space="preserve">. The effectiveness of this Agreement is subject to the conditions precedent that the Administrator and each Purchaser Agent shall have received the following items, each in form and substance (including the date thereof) reasonably satisfactory to the Administrator and each such Purchaser Agent: </w:t>
      </w:r>
    </w:p>
    <w:p>
      <w:pPr>
        <w:pStyle w:val="TextBody"/>
        <w:bidi w:val="0"/>
        <w:spacing w:before="120" w:after="0"/>
        <w:jc w:val="left"/>
        <w:rPr>
          <w:rFonts w:ascii="Times New Roman" w:hAnsi="Times New Roman"/>
          <w:sz w:val="20"/>
        </w:rPr>
      </w:pPr>
      <w:r>
        <w:rPr>
          <w:rFonts w:ascii="Times New Roman" w:hAnsi="Times New Roman"/>
          <w:sz w:val="20"/>
        </w:rPr>
        <w:t xml:space="preserve">(a) Each of the documents, agreements (in fully executed form), opinions of counsel, lien search results, UCC filings, certificates and other deliverables listed on the closing memorandum attached as Schedule XI hereto.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conditions set forth in Exhibit C to the Commitment Letter has been, or substantially concurrently herewith will be, satisfied. </w:t>
      </w:r>
    </w:p>
    <w:p>
      <w:pPr>
        <w:pStyle w:val="TextBody"/>
        <w:bidi w:val="0"/>
        <w:spacing w:before="240" w:after="0"/>
        <w:jc w:val="left"/>
        <w:rPr>
          <w:rFonts w:ascii="Times New Roman" w:hAnsi="Times New Roman"/>
          <w:sz w:val="20"/>
        </w:rPr>
      </w:pPr>
      <w:r>
        <w:rPr>
          <w:rFonts w:ascii="Times New Roman" w:hAnsi="Times New Roman"/>
          <w:sz w:val="20"/>
        </w:rPr>
        <w:t xml:space="preserve">(c) Evidence of payment by the Seller of all accrued and unpaid fees (including those contemplated by each Purchaser Group Fee Letter and the Commitment Letter), costs and expenses to the extent then due and payable on the Closing Date, including any such costs, fees and expenses arising under or referenced in </w:t>
      </w:r>
      <w:r>
        <w:rPr>
          <w:rFonts w:ascii="Times New Roman" w:hAnsi="Times New Roman"/>
          <w:sz w:val="20"/>
          <w:u w:val="single"/>
        </w:rPr>
        <w:t>Section 6.4</w:t>
      </w:r>
      <w:r>
        <w:rPr>
          <w:rFonts w:ascii="Times New Roman" w:hAnsi="Times New Roman"/>
          <w:sz w:val="20"/>
        </w:rPr>
        <w:t xml:space="preserve"> of this Agreement, the Commitment Letter and the Purchaser Group Fee Letter, to the extent invoiced at least two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The Anixter Acquisition (as defined in the Credit Agreement) shall have been consummated or will be consummated substantially concurrently with any Purchase made hereunder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A completed pro forma Information Package after giving effect to the transactions contemplated by the Transaction Documents to occur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Conditions Precedent to All Purchases and Reinvestments</w:t>
      </w:r>
      <w:r>
        <w:rPr>
          <w:rFonts w:ascii="Times New Roman" w:hAnsi="Times New Roman"/>
          <w:sz w:val="20"/>
        </w:rPr>
        <w:t xml:space="preserve">. Each Purchase (including the initial Purchase) and each reinvestment shall be subject to the further conditions precedent that: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each purchase, the Servicer shall have delivered to the Administrator and each Purchaser Agent on or before such purchase, in form and substance satisfactory to the Administrator and such Purchaser Agent, a completed pro forma Information Package to reflect the level of Investment with respect to each Purchaser Group and related reserves after such subsequent purchase; and </w:t>
      </w:r>
    </w:p>
    <w:p>
      <w:pPr>
        <w:pStyle w:val="TextBody"/>
        <w:bidi w:val="0"/>
        <w:spacing w:before="240" w:after="0"/>
        <w:jc w:val="left"/>
        <w:rPr>
          <w:rFonts w:ascii="Times New Roman" w:hAnsi="Times New Roman"/>
          <w:sz w:val="20"/>
        </w:rPr>
      </w:pPr>
      <w:r>
        <w:rPr>
          <w:rFonts w:ascii="Times New Roman" w:hAnsi="Times New Roman"/>
          <w:sz w:val="20"/>
        </w:rPr>
        <w:t xml:space="preserve">(b) on the date of such purchase or reinvestment the following statements shall be true (and acceptance of the proceeds of such purchase or reinvestment shall be deemed a representation and warranty by the Seller that such statements are then true): </w:t>
      </w:r>
    </w:p>
    <w:p>
      <w:pPr>
        <w:pStyle w:val="TextBody"/>
        <w:bidi w:val="0"/>
        <w:spacing w:before="240" w:after="0"/>
        <w:jc w:val="left"/>
        <w:rPr>
          <w:rFonts w:ascii="Times New Roman" w:hAnsi="Times New Roman"/>
          <w:sz w:val="20"/>
        </w:rPr>
      </w:pPr>
      <w:r>
        <w:rPr>
          <w:rFonts w:ascii="Times New Roman" w:hAnsi="Times New Roman"/>
          <w:sz w:val="20"/>
        </w:rPr>
        <w:t xml:space="preserve">(i) the representations and warranties contained in </w:t>
      </w:r>
      <w:r>
        <w:rPr>
          <w:rFonts w:ascii="Times New Roman" w:hAnsi="Times New Roman"/>
          <w:sz w:val="20"/>
          <w:u w:val="single"/>
        </w:rPr>
        <w:t>Exhibit III</w:t>
      </w:r>
      <w:r>
        <w:rPr>
          <w:rFonts w:ascii="Times New Roman" w:hAnsi="Times New Roman"/>
          <w:sz w:val="20"/>
        </w:rPr>
        <w:t xml:space="preserve"> to this Agreement are true and correct in all material respects on and as of the date of such purchase or reinvestment as though made on and as of such date; provided that if such representation and warranty relates solely to an earlier date, such representation and warranty was true and correct in all material respects as of such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no event has occurred and is continuing, or would result from such purchase or reinvestment, that constitutes a Termination Event or an Unmatured Termination Event; </w:t>
      </w:r>
    </w:p>
    <w:p>
      <w:pPr>
        <w:pStyle w:val="TextBody"/>
        <w:bidi w:val="0"/>
        <w:spacing w:before="240" w:after="0"/>
        <w:jc w:val="left"/>
        <w:rPr>
          <w:rFonts w:ascii="Times New Roman" w:hAnsi="Times New Roman"/>
          <w:sz w:val="20"/>
        </w:rPr>
      </w:pPr>
      <w:r>
        <w:rPr>
          <w:rFonts w:ascii="Times New Roman" w:hAnsi="Times New Roman"/>
          <w:sz w:val="20"/>
        </w:rPr>
        <w:t xml:space="preserve">(iii) the Aggregate Investment shall not exceed the Purchase Limit, and the Purchased Interest shall not exceed 100%; and </w:t>
      </w:r>
    </w:p>
    <w:p>
      <w:pPr>
        <w:pStyle w:val="TextBody"/>
        <w:bidi w:val="0"/>
        <w:spacing w:before="240" w:after="0"/>
        <w:jc w:val="left"/>
        <w:rPr>
          <w:rFonts w:ascii="Times New Roman" w:hAnsi="Times New Roman"/>
          <w:sz w:val="20"/>
        </w:rPr>
      </w:pPr>
      <w:r>
        <w:rPr>
          <w:rFonts w:ascii="Times New Roman" w:hAnsi="Times New Roman"/>
          <w:sz w:val="20"/>
        </w:rPr>
        <w:t xml:space="preserve">(iv) the Facility Termination Date has not occurred.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it shall not be a condition precedent to any reinvestment that an Unmatured Termination Event shall not have occurred and be continuing or that a Termination Event shall not have occurred and be continuing, unless the Administrator shall have notified the Seller and the Servicer to cease making reinvestments.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III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 of the Seller</w:t>
      </w:r>
      <w:r>
        <w:rPr>
          <w:rFonts w:ascii="Times New Roman" w:hAnsi="Times New Roman"/>
          <w:sz w:val="20"/>
        </w:rPr>
        <w:t xml:space="preserve">. The Seller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Seller is a corporation duly incorporated, validly existing and in good standing under the laws of the State of Delaware, and is duly qualified to do business and is in good standing as a foreign corporation in every jurisdiction where the nature of its business requires it to be so qualified, except where the failure to be so qualified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by the Seller of this Agreement and the other Transaction Documents to which it is a party, including its use of the proceeds of purchases and reinvestments: (i) are within its corporate powers; (ii) have been duly authorized by all necessary corporate action; (iii) do not contravene or result in a default under or conflict with: (A) its charter or by-laws, (B) any law, rule or regulation applicable to it, (C) any indenture, loan agreement, mortgage, deed of trust or other material agreement or instrument to which it is a party or by which it is bound, or (D) any order, writ, judgment, award, injunction or decree binding on or affecting it or any of its property; and (iv) do not result in or require the creation of any Adverse Claim upon or with respect to any of its properties. This Agreement and the other Transaction Documents to which it is a party have been duly executed and delivered by the Seller. </w:t>
      </w:r>
    </w:p>
    <w:p>
      <w:pPr>
        <w:pStyle w:val="TextBody"/>
        <w:bidi w:val="0"/>
        <w:spacing w:before="240" w:after="0"/>
        <w:jc w:val="left"/>
        <w:rPr>
          <w:rFonts w:ascii="Times New Roman" w:hAnsi="Times New Roman"/>
          <w:sz w:val="20"/>
        </w:rPr>
      </w:pPr>
      <w:r>
        <w:rPr>
          <w:rFonts w:ascii="Times New Roman" w:hAnsi="Times New Roman"/>
          <w:sz w:val="20"/>
        </w:rPr>
        <w:t xml:space="preserve">(c) No authorization, approval or other action by, and no notice to or filing with, any Governmental Authority or other Person is required for its due execution, delivery and performance by the Seller of this Agreement or any other Transaction Document to which it is a party, other than the Uniform Commercial Code filings referred to in </w:t>
      </w:r>
      <w:r>
        <w:rPr>
          <w:rFonts w:ascii="Times New Roman" w:hAnsi="Times New Roman"/>
          <w:sz w:val="20"/>
          <w:u w:val="single"/>
        </w:rPr>
        <w:t>Exhibit II</w:t>
      </w:r>
      <w:r>
        <w:rPr>
          <w:rFonts w:ascii="Times New Roman" w:hAnsi="Times New Roman"/>
          <w:sz w:val="20"/>
        </w:rPr>
        <w:t xml:space="preserve"> to this Agreement, all of which shall have been filed on or before the date of the first purchase hereunder. </w:t>
      </w:r>
    </w:p>
    <w:p>
      <w:pPr>
        <w:pStyle w:val="TextBody"/>
        <w:bidi w:val="0"/>
        <w:spacing w:before="240" w:after="0"/>
        <w:jc w:val="left"/>
        <w:rPr>
          <w:rFonts w:ascii="Times New Roman" w:hAnsi="Times New Roman"/>
          <w:sz w:val="20"/>
        </w:rPr>
      </w:pPr>
      <w:r>
        <w:rPr>
          <w:rFonts w:ascii="Times New Roman" w:hAnsi="Times New Roman"/>
          <w:sz w:val="20"/>
        </w:rPr>
        <w:t xml:space="preserve">(d) Each of this Agreement and the other Transaction Documents to which the Seller is a party constitutes its legal, valid and binding obligation of the Seller enforceable against the Seller in accordance with its terms, except as enforceability may be limited by bankruptcy, insolvency, reorganization or other similar laws from time to time in effect affecting the enforcement of creditors’ rights generally and by general principles of equity,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(e) There is no pending or, to Seller’s best knowledge, threatened action or proceeding affecting Seller or any of its properties before any Governmental Authority or arbitrator. </w:t>
      </w:r>
    </w:p>
    <w:p>
      <w:pPr>
        <w:pStyle w:val="TextBody"/>
        <w:bidi w:val="0"/>
        <w:spacing w:before="240" w:after="0"/>
        <w:jc w:val="left"/>
        <w:rPr>
          <w:rFonts w:ascii="Times New Roman" w:hAnsi="Times New Roman"/>
          <w:sz w:val="20"/>
        </w:rPr>
      </w:pPr>
      <w:r>
        <w:rPr>
          <w:rFonts w:ascii="Times New Roman" w:hAnsi="Times New Roman"/>
          <w:sz w:val="20"/>
        </w:rPr>
        <w:t xml:space="preserve">(f) No proceeds of any Purchase or reinvestment will be used to acquire any equity security of a class that is registered pursuant to Section 12 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 xml:space="preserve">(g) The Seller is the legal and beneficial owner of the Pool Receivables and Related Security, free and clear of any Adverse Claim. Upon each purchase or reinvestment, Administrator (for the benefit of each Purchaser) shall acquire a valid and enforceable perfected undivided percentage ownership or security interest, to the extent of the Purchased Interest, in each Pool Receivable then existing or thereafter arising and in the Related Security, Collections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proceeds with respect thereto, free and clear of any Adverse Claim. This Agreement creates a security interest in favor of the Administrator (for the benefit of each Purchaser) in the Pool Assets, and the Administrator (for the benefit of each Purchaser) has a first priority perfected security interest in the Pool Assets, free and clear of any Adverse Claims. No effective financing statement or other instrument similar in effect covering any Pool Asset is on file in any recording office, except those filed in favor of the Seller pursuant to the Sale Agreement and the Administrator (for the benefit of each Purchaser) relating to this Agreement, or in respect of which the Administrator has received evidence satisfactory to the Administrator of acknowledgment copies, or time-stamped receipt copies, of proper financing statements releasing or terminating, as applicable, all security interests and other rights of any Person in such Pool Asset. </w:t>
      </w:r>
    </w:p>
    <w:p>
      <w:pPr>
        <w:pStyle w:val="TextBody"/>
        <w:bidi w:val="0"/>
        <w:spacing w:before="240" w:after="0"/>
        <w:jc w:val="left"/>
        <w:rPr>
          <w:rFonts w:ascii="Times New Roman" w:hAnsi="Times New Roman"/>
          <w:sz w:val="20"/>
        </w:rPr>
      </w:pPr>
      <w:r>
        <w:rPr>
          <w:rFonts w:ascii="Times New Roman" w:hAnsi="Times New Roman"/>
          <w:sz w:val="20"/>
        </w:rPr>
        <w:t xml:space="preserve">(h) Each Information Package or Daily Report (if prepared by the Seller or one of its Affiliates, or to the extent that information contained therein is supplied by the Seller or an Affiliate), information, exhibit, financial statement, document, book, record or report furnished or to be furnished at any time by or on behalf of the Seller to the Administrator or any Purchaser Agent in connection with this Agreement or any other Transaction Document to which it is a party is or will be, when taken as a whole, complete and accurate in all material respects as of its date or as of the date so furnished, and does not and will not, when taken as a whole, contain any material misstatement of fact or omit to state a material fact or any fact necessary to make the statements contained therein, in light of the circumstances under which they were made, not materially misleading. </w:t>
      </w:r>
    </w:p>
    <w:p>
      <w:pPr>
        <w:pStyle w:val="TextBody"/>
        <w:bidi w:val="0"/>
        <w:spacing w:before="240" w:after="0"/>
        <w:jc w:val="left"/>
        <w:rPr>
          <w:rFonts w:ascii="Times New Roman" w:hAnsi="Times New Roman"/>
          <w:sz w:val="20"/>
        </w:rPr>
      </w:pPr>
      <w:r>
        <w:rPr>
          <w:rFonts w:ascii="Times New Roman" w:hAnsi="Times New Roman"/>
          <w:sz w:val="20"/>
        </w:rPr>
        <w:t xml:space="preserve">(i) The Seller’s (x) principal place of business and chief executive office and the office where it keeps its records concerning the Receivables and (y) “location” (as such term is used in the UCC), are, in each case, located at the addresses referred to in </w:t>
      </w:r>
      <w:r>
        <w:rPr>
          <w:rFonts w:ascii="Times New Roman" w:hAnsi="Times New Roman"/>
          <w:sz w:val="20"/>
          <w:u w:val="single"/>
        </w:rPr>
        <w:t>Sections 1(b)</w:t>
      </w:r>
      <w:r>
        <w:rPr>
          <w:rFonts w:ascii="Times New Roman" w:hAnsi="Times New Roman"/>
          <w:sz w:val="20"/>
        </w:rPr>
        <w:t xml:space="preserve"> and </w:t>
      </w:r>
      <w:r>
        <w:rPr>
          <w:rFonts w:ascii="Times New Roman" w:hAnsi="Times New Roman"/>
          <w:sz w:val="20"/>
          <w:u w:val="single"/>
        </w:rPr>
        <w:t>2(b)</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The names and addresses of all the Lock-Box Banks, together with the account numbers of the Lock-Box Accounts at such Lock-Box Banks, are specified in the Lock-Box Schedule Letter Agreement (or at such other Lock-Box Banks and/or with such other Lock-Box Accounts as have been notified to the Administrator in accordance with this Agreement) and all Lock-Box Accounts are subject to Lock-Box Agreements (except as otherwise agreed to in writing by the Administrator);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the Exception Account Conditions are then satisfied with respect to an Exception Account, such Exception Account need not be subject to a Lock-Box Agreement. Seller has not granted to any Person, other than the Administrator as contemplated by this Agreement, dominion and control of any Lock-Box Account, or the right to take dominion and control of any such account at a future time or upon the occurrence of a future event. No Lock-Box Account is subject to any Adverse Claim. The Seller is not in violation of any order of any court, arbitrator or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(k) Neither the Seller nor any of its Affiliates has any direct or indirect ownership or other financial interest in any Purchaser. </w:t>
      </w:r>
    </w:p>
    <w:p>
      <w:pPr>
        <w:pStyle w:val="TextBody"/>
        <w:bidi w:val="0"/>
        <w:spacing w:before="240" w:after="0"/>
        <w:jc w:val="left"/>
        <w:rPr>
          <w:rFonts w:ascii="Times New Roman" w:hAnsi="Times New Roman"/>
          <w:sz w:val="20"/>
        </w:rPr>
      </w:pPr>
      <w:r>
        <w:rPr>
          <w:rFonts w:ascii="Times New Roman" w:hAnsi="Times New Roman"/>
          <w:sz w:val="20"/>
        </w:rPr>
        <w:t xml:space="preserve">(l) No proceeds of any Purchase or reinvestment will be used for any purpose that violates any Applicable Law. No part of the proceeds of any Purchase or reinvestment will be used, whether directly or indirectly, for any purpose that entails a violation of any of the Regulations of the Federal Reserve Board, including Regulations T, U and 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Each Pool Receivable included as an Eligible Receivable in the calculation of the Net Receivables Pool Balance is an Eligible Receivable. </w:t>
      </w:r>
    </w:p>
    <w:p>
      <w:pPr>
        <w:pStyle w:val="TextBody"/>
        <w:bidi w:val="0"/>
        <w:spacing w:before="240" w:after="0"/>
        <w:jc w:val="left"/>
        <w:rPr>
          <w:rFonts w:ascii="Times New Roman" w:hAnsi="Times New Roman"/>
          <w:sz w:val="20"/>
        </w:rPr>
      </w:pPr>
      <w:r>
        <w:rPr>
          <w:rFonts w:ascii="Times New Roman" w:hAnsi="Times New Roman"/>
          <w:sz w:val="20"/>
        </w:rPr>
        <w:t xml:space="preserve">(n) No event has occurred and is continuing that constitutes a Termination Event or an Unmatured Termination Event and no event would result from a purchase in respect of, or reinvestment in respect of, the Purchased Interest or from the application of the proceeds therefrom that constitutes a Termination Event or an Unmatured Termination Event. </w:t>
      </w:r>
    </w:p>
    <w:p>
      <w:pPr>
        <w:pStyle w:val="TextBody"/>
        <w:bidi w:val="0"/>
        <w:spacing w:before="240" w:after="0"/>
        <w:jc w:val="left"/>
        <w:rPr>
          <w:rFonts w:ascii="Times New Roman" w:hAnsi="Times New Roman"/>
          <w:sz w:val="20"/>
        </w:rPr>
      </w:pPr>
      <w:r>
        <w:rPr>
          <w:rFonts w:ascii="Times New Roman" w:hAnsi="Times New Roman"/>
          <w:sz w:val="20"/>
        </w:rPr>
        <w:t xml:space="preserve">(o) The Seller has accounted for each sale of undivided percentage ownership interests in Receivables in its books and financial statements as sales, consistent with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(p) The Seller has complied in all material respects with the Credit and Collection Policy of each Originator with regard to each Receivable originated by such Originator. </w:t>
      </w:r>
    </w:p>
    <w:p>
      <w:pPr>
        <w:pStyle w:val="TextBody"/>
        <w:bidi w:val="0"/>
        <w:spacing w:before="240" w:after="0"/>
        <w:jc w:val="left"/>
        <w:rPr>
          <w:rFonts w:ascii="Times New Roman" w:hAnsi="Times New Roman"/>
          <w:sz w:val="20"/>
        </w:rPr>
      </w:pPr>
      <w:r>
        <w:rPr>
          <w:rFonts w:ascii="Times New Roman" w:hAnsi="Times New Roman"/>
          <w:sz w:val="20"/>
        </w:rPr>
        <w:t xml:space="preserve">(q) The Seller has complied in all material respects with all of the terms, covenants and agreements contained in this Agreement and the other Transaction Documents that are applicable to it and all laws, rules, regulations and orders that are applicable to it. </w:t>
      </w:r>
    </w:p>
    <w:p>
      <w:pPr>
        <w:pStyle w:val="TextBody"/>
        <w:bidi w:val="0"/>
        <w:spacing w:before="240" w:after="0"/>
        <w:jc w:val="left"/>
        <w:rPr>
          <w:rFonts w:ascii="Times New Roman" w:hAnsi="Times New Roman"/>
          <w:sz w:val="20"/>
        </w:rPr>
      </w:pPr>
      <w:r>
        <w:rPr>
          <w:rFonts w:ascii="Times New Roman" w:hAnsi="Times New Roman"/>
          <w:sz w:val="20"/>
        </w:rPr>
        <w:t xml:space="preserve">(r) The Seller’s complete corporate name is set forth in the preamble to this Agreement, and it does not use and has not during the last five years used any other corporate name, trade name, doing-business name or fictitious name, except as set forth on </w:t>
      </w:r>
      <w:r>
        <w:rPr>
          <w:rFonts w:ascii="Times New Roman" w:hAnsi="Times New Roman"/>
          <w:sz w:val="20"/>
          <w:u w:val="single"/>
        </w:rPr>
        <w:t>Schedule III</w:t>
      </w:r>
      <w:r>
        <w:rPr>
          <w:rFonts w:ascii="Times New Roman" w:hAnsi="Times New Roman"/>
          <w:sz w:val="20"/>
        </w:rPr>
        <w:t xml:space="preserve"> to this Agreement and except for names first used after the date of this Agreement and set forth in a notice delivered to the Administrator pursuant to </w:t>
      </w:r>
      <w:r>
        <w:rPr>
          <w:rFonts w:ascii="Times New Roman" w:hAnsi="Times New Roman"/>
          <w:sz w:val="20"/>
          <w:u w:val="single"/>
        </w:rPr>
        <w:t>Section 1(k)(iv)</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this Agreement. </w:t>
      </w:r>
    </w:p>
    <w:p>
      <w:pPr>
        <w:pStyle w:val="TextBody"/>
        <w:bidi w:val="0"/>
        <w:spacing w:before="240" w:after="0"/>
        <w:jc w:val="left"/>
        <w:rPr>
          <w:rFonts w:ascii="Times New Roman" w:hAnsi="Times New Roman"/>
          <w:sz w:val="20"/>
        </w:rPr>
      </w:pPr>
      <w:r>
        <w:rPr>
          <w:rFonts w:ascii="Times New Roman" w:hAnsi="Times New Roman"/>
          <w:sz w:val="20"/>
        </w:rPr>
        <w:t>(s) The Seller is not an “investment company,” or a company “controlled” by an “investment company” within the meaning of the Investment Company Act of 1940, as amended. The Seller is not a “covered fund” under Section 619 of the Dodd-Frank Wall Street Reform and Consumer Protection Act and the regulations implemented thereunder (the “</w:t>
      </w:r>
      <w:r>
        <w:rPr>
          <w:rFonts w:ascii="Times New Roman" w:hAnsi="Times New Roman"/>
          <w:sz w:val="20"/>
          <w:u w:val="single"/>
        </w:rPr>
        <w:t>Volcker Rule</w:t>
      </w:r>
      <w:r>
        <w:rPr>
          <w:rFonts w:ascii="Times New Roman" w:hAnsi="Times New Roman"/>
          <w:sz w:val="20"/>
        </w:rPr>
        <w:t xml:space="preserve">”). In determining that the Seller is not a “covered fund” under the Volcker Rule, the Seller is entitled to rely on the exemption from the definition of “investment company” set forth in Section 3(c)(5)(A) or (B) of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(t) Reserved. </w:t>
      </w:r>
    </w:p>
    <w:p>
      <w:pPr>
        <w:pStyle w:val="TextBody"/>
        <w:bidi w:val="0"/>
        <w:spacing w:before="240" w:after="0"/>
        <w:jc w:val="left"/>
        <w:rPr>
          <w:rFonts w:ascii="Times New Roman" w:hAnsi="Times New Roman"/>
          <w:sz w:val="20"/>
        </w:rPr>
      </w:pPr>
      <w:r>
        <w:rPr>
          <w:rFonts w:ascii="Times New Roman" w:hAnsi="Times New Roman"/>
          <w:sz w:val="20"/>
        </w:rPr>
        <w:t xml:space="preserve">(u) With respect to each Receivable transferred to the Seller under the Sale Agreement, Seller has given reasonably equivalent value to the Originator thereof in consideration therefor and such transfer was not made for or on account of an antecedent debt. No transfer by any Originator of any Receivable under the Sale Agreement is or may be voidable under any Section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(v) Each Contract with respect to each Receivable is effective to create, and has created, a legal, valid and binding obligation of the related Obligor to pay the Outstanding Balance of the Receivable created thereunder and any accrued interest thereon, enforceable against the Obligor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Since its most recent fiscal year end, there has been no change in the business, operations, financial condition, properties or assets of the Seller which would have a Material Adverse Effect on its ability to perform its obligations under this Agreement or any other Transaction Document to which it is a party or materially and adversely affect the transactions contemplated under this Agreement or such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(x) [Reserved]. </w:t>
      </w:r>
    </w:p>
    <w:p>
      <w:pPr>
        <w:pStyle w:val="TextBody"/>
        <w:bidi w:val="0"/>
        <w:spacing w:before="240" w:after="0"/>
        <w:jc w:val="left"/>
        <w:rPr>
          <w:rFonts w:ascii="Times New Roman" w:hAnsi="Times New Roman"/>
          <w:sz w:val="20"/>
        </w:rPr>
      </w:pPr>
      <w:r>
        <w:rPr>
          <w:rFonts w:ascii="Times New Roman" w:hAnsi="Times New Roman"/>
          <w:sz w:val="20"/>
        </w:rPr>
        <w:t xml:space="preserve">(y) The Seller has not issued any LCR Securities, and the Seller is a consolidated subsidiary of WESCO under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(z) As of the Closing Date, the Seller is an entity that is organized under the laws of the United States or of any state and at least 51% of whose common stock or analogous equity interest is owned directly or indirectly by a company listed on the New York Stock Exchange or the American Stock Exchange or designated as a NASDAQ National Market Security listed on the NASDAQ stock exchange and is excluded on that basis from the definition of “Legal Entity Customer” as defined in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 xml:space="preserve">(aa) [Reserved]. </w:t>
      </w:r>
    </w:p>
    <w:p>
      <w:pPr>
        <w:pStyle w:val="TextBody"/>
        <w:bidi w:val="0"/>
        <w:spacing w:before="240" w:after="0"/>
        <w:jc w:val="left"/>
        <w:rPr>
          <w:rFonts w:ascii="Times New Roman" w:hAnsi="Times New Roman"/>
          <w:sz w:val="20"/>
        </w:rPr>
      </w:pPr>
      <w:r>
        <w:rPr>
          <w:rFonts w:ascii="Times New Roman" w:hAnsi="Times New Roman"/>
          <w:sz w:val="20"/>
        </w:rPr>
        <w:t xml:space="preserve">(bb) No: (a) Covered Entity, nor any employees, officers, directors, affiliates of such Covered Entity, nor to the knowledge of Seller, any consultants, brokers, or agents acting on such Covered Entity’s behalf in connection with this Agreement: (i) is a Sanctioned Person; (ii) directly, or indirectly through any third party, is engaged in any transactions or other dealings with or for the benefit of any Sanctioned Person or Sanctioned Jurisdiction in violation of Sanctions, or any transactions or other dealings that otherwise are prohibited by any Anti-Terrorism Laws; (b) Pool Asset is Blocked Property. </w:t>
      </w:r>
    </w:p>
    <w:p>
      <w:pPr>
        <w:pStyle w:val="TextBody"/>
        <w:bidi w:val="0"/>
        <w:spacing w:before="240" w:after="0"/>
        <w:jc w:val="left"/>
        <w:rPr>
          <w:rFonts w:ascii="Times New Roman" w:hAnsi="Times New Roman"/>
          <w:sz w:val="20"/>
        </w:rPr>
      </w:pPr>
      <w:r>
        <w:rPr>
          <w:rFonts w:ascii="Times New Roman" w:hAnsi="Times New Roman"/>
          <w:sz w:val="20"/>
        </w:rPr>
        <w:t xml:space="preserve">(cc) Each Covered Entity has, in the reasonable business judgment of Seller, (a) conducted its business in compliance with all Anti-Corruption Laws and (b) implemented and maintains policies and procedures designed to ensure compliance with such Anti-Corruption Laws, in each case,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Representations and Warranties of WESCO (including in its capacity as the Servicer)</w:t>
      </w:r>
      <w:r>
        <w:rPr>
          <w:rFonts w:ascii="Times New Roman" w:hAnsi="Times New Roman"/>
          <w:sz w:val="20"/>
        </w:rPr>
        <w:t xml:space="preserve">. WESCO, individually and in its capacity as the Servicer,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WESCO is a corporation duly incorporated, validly existing and in good standing under the laws of the State of Delaware, and is duly qualified to do business and is in good standing as a foreign corporation in every jurisdiction where the nature of its business requires it to be so qualified, except where the failure to be so qualified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by WESCO of this Agreement and the other Transaction Documents to which it is a party, including the Servicer’s use of the proceeds of purchases and reinvestments: (i) are within its corporate powers; (ii) have been duly authorized by all necessary corporate action; (iii) do not contravene or result in a default under or conflict with: (A) its charter or by-laws, (B) any law, rule or regulation applicable to it, (C) any indenture, loan agreement, mortgage, deed of trust or other material agreement or instrument to which it is a party or by which it is bound, or (D) any order, writ, judgment, award, injunction or decree binding on or affecting it or any of its property; and (iv) do not result in or require the creation of any Adverse Claim upon or with respect to any of its properties. This Agreement and the other Transaction Documents to which WESCO is a party have been duly executed and delivered by WESCO.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 authorization, approval or other action by, and no notice to or filing with any Governmental Authority or other Person, is required for the due execution, delivery and performance by WESCO of this Agreement or any other Transaction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(d) Each of this Agreement and the other Transaction Documents to which WESCO is a party constitutes the legal, valid and binding obligation of WESCO enforceable against WESCO in accordance with its terms, except as enforceability may be limited by bankruptcy, insolvency, reorganization or other similar laws from time to time in effect affecting the enforcement of creditors’ rights generally and by general principles of equity,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(e) The balance sheets of Holdings and its consolidated Subsidiaries as at March 31, 2020, and the related statements of income and retained earnings for the fiscal year then ended, copies of which have been furnished to the Administrator and each Purchaser Agent, fairly present the financial condition of Holdings and its consolidated Subsidiaries as at such date and the results of the operations of Holdings and its Subsidiaries for the period ended on such date, all in accordance with generally accepted accounting principles consistently applied, and since March 31, 2025 there has been no event or circumstance which has had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Except as disclosed in the most recent audited financial statements of Holdings and its consolidated Subsidiaries furnished to the Administrator and each Purchaser Agent, there is no pending or, to its best knowledge, threatened action or proceeding affecting it or any of its Subsidiaries before any Governmental Authority or arbitrator that could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No proceeds of any Purchase or reinvestment will be used to acquire any equity security of a class that is registered pursuant to Section 12 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 xml:space="preserve">(h) Each Information Package or Daily Report (if prepared by WESCO or one of its Affiliates, or to the extent that information contained therein is supplied by WESCO or an Affiliate), information, exhibit, financial statement, document, book, record or report furnished or to be furnished at any time by or on behalf of the Servicer to the Administrator, any Purchaser or any Purchaser Agent in connection with this Agreement is or will be complete and accurate in all material respects as of its date or as of the date so furnished and does not and will not contain any material misstatement of fact or omit to state a material fact or any fact necessary to make the statements contained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(i) The office where WESCO keeps its records concerning the Receivables is located at the address referred to in </w:t>
      </w:r>
      <w:r>
        <w:rPr>
          <w:rFonts w:ascii="Times New Roman" w:hAnsi="Times New Roman"/>
          <w:sz w:val="20"/>
          <w:u w:val="single"/>
        </w:rPr>
        <w:t>Section 2(b)</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WESCO is not in violation of any order of any court, arbitrator or Governmental Authority, which could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Neither WESCO nor any of its Affiliates has any direct or indirect ownership or other financial interest in any Purchaser. </w:t>
      </w:r>
    </w:p>
    <w:p>
      <w:pPr>
        <w:pStyle w:val="TextBody"/>
        <w:bidi w:val="0"/>
        <w:spacing w:before="240" w:after="0"/>
        <w:jc w:val="left"/>
        <w:rPr>
          <w:rFonts w:ascii="Times New Roman" w:hAnsi="Times New Roman"/>
          <w:sz w:val="20"/>
        </w:rPr>
      </w:pPr>
      <w:r>
        <w:rPr>
          <w:rFonts w:ascii="Times New Roman" w:hAnsi="Times New Roman"/>
          <w:sz w:val="20"/>
        </w:rPr>
        <w:t xml:space="preserve">(l) The Servicer has complied in all material respects with the Credit and Collection Policy of each Originator with regard to each Receivable originated by such Originator. </w:t>
      </w:r>
    </w:p>
    <w:p>
      <w:pPr>
        <w:pStyle w:val="TextBody"/>
        <w:bidi w:val="0"/>
        <w:spacing w:before="240" w:after="0"/>
        <w:jc w:val="left"/>
        <w:rPr>
          <w:rFonts w:ascii="Times New Roman" w:hAnsi="Times New Roman"/>
          <w:sz w:val="20"/>
        </w:rPr>
      </w:pPr>
      <w:r>
        <w:rPr>
          <w:rFonts w:ascii="Times New Roman" w:hAnsi="Times New Roman"/>
          <w:sz w:val="20"/>
        </w:rPr>
        <w:t xml:space="preserve">(m) WESCO has complied in all material respects with all of the terms, covenants and agreements contained in this Agreement and the other Transaction Documents that are applicable to it. </w:t>
      </w:r>
    </w:p>
    <w:p>
      <w:pPr>
        <w:pStyle w:val="TextBody"/>
        <w:bidi w:val="0"/>
        <w:spacing w:before="240" w:after="0"/>
        <w:jc w:val="left"/>
        <w:rPr>
          <w:rFonts w:ascii="Times New Roman" w:hAnsi="Times New Roman"/>
          <w:sz w:val="20"/>
        </w:rPr>
      </w:pPr>
      <w:r>
        <w:rPr>
          <w:rFonts w:ascii="Times New Roman" w:hAnsi="Times New Roman"/>
          <w:sz w:val="20"/>
        </w:rPr>
        <w:t xml:space="preserve">(n) WESCO is not an “investment company” or a company “controlled” by an “investment company” within the meaning of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(o) [Reserved]. </w:t>
      </w:r>
    </w:p>
    <w:p>
      <w:pPr>
        <w:pStyle w:val="TextBody"/>
        <w:bidi w:val="0"/>
        <w:spacing w:before="240" w:after="0"/>
        <w:jc w:val="left"/>
        <w:rPr>
          <w:rFonts w:ascii="Times New Roman" w:hAnsi="Times New Roman"/>
          <w:sz w:val="20"/>
        </w:rPr>
      </w:pPr>
      <w:r>
        <w:rPr>
          <w:rFonts w:ascii="Times New Roman" w:hAnsi="Times New Roman"/>
          <w:sz w:val="20"/>
        </w:rPr>
        <w:t xml:space="preserve">(p) Since its most recent fiscal year end, there has been no change in the business, operations, financial condition, properties or assets of the Servicer which would have a Material Adverse Effect on its ability to perform its obligations under this Agreement or any other Transaction Document to which it is a party or materially and adversely affect the transactions contemplated under this Agreement or such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(q) No license or approval is required for the Administrator or any successor Servicer to use any program used by the Servicer in the servicing of the Receivables. </w:t>
      </w:r>
    </w:p>
    <w:p>
      <w:pPr>
        <w:pStyle w:val="TextBody"/>
        <w:bidi w:val="0"/>
        <w:spacing w:before="240" w:after="0"/>
        <w:jc w:val="left"/>
        <w:rPr>
          <w:rFonts w:ascii="Times New Roman" w:hAnsi="Times New Roman"/>
          <w:sz w:val="20"/>
        </w:rPr>
      </w:pPr>
      <w:r>
        <w:rPr>
          <w:rFonts w:ascii="Times New Roman" w:hAnsi="Times New Roman"/>
          <w:sz w:val="20"/>
        </w:rPr>
        <w:t xml:space="preserve">(r) [Reserved]. </w:t>
      </w:r>
    </w:p>
    <w:p>
      <w:pPr>
        <w:pStyle w:val="TextBody"/>
        <w:bidi w:val="0"/>
        <w:spacing w:before="240" w:after="0"/>
        <w:jc w:val="left"/>
        <w:rPr>
          <w:rFonts w:ascii="Times New Roman" w:hAnsi="Times New Roman"/>
          <w:sz w:val="20"/>
        </w:rPr>
      </w:pPr>
      <w:r>
        <w:rPr>
          <w:rFonts w:ascii="Times New Roman" w:hAnsi="Times New Roman"/>
          <w:sz w:val="20"/>
        </w:rPr>
        <w:t xml:space="preserve">(s) [Reserved]. </w:t>
      </w:r>
    </w:p>
    <w:p>
      <w:pPr>
        <w:pStyle w:val="TextBody"/>
        <w:bidi w:val="0"/>
        <w:spacing w:before="240" w:after="0"/>
        <w:jc w:val="left"/>
        <w:rPr>
          <w:rFonts w:ascii="Times New Roman" w:hAnsi="Times New Roman"/>
          <w:sz w:val="20"/>
        </w:rPr>
      </w:pPr>
      <w:r>
        <w:rPr>
          <w:rFonts w:ascii="Times New Roman" w:hAnsi="Times New Roman"/>
          <w:sz w:val="20"/>
        </w:rPr>
        <w:t xml:space="preserve">(t) No: (a) Covered Entity, nor any employees, officers, directors, affiliates of such Covered Entity, nor, to the knowledge of WESCO, any consultants, brokers, or agents acting on such Covered Entity’s behalf in connection with this Agreement: (i) is a Sanctioned Person; (ii) directly, or indirectly through any third party, is engaged in any transactions or other dealings with or for the benefit of any Sanctioned Person or Sanctioned Jurisdiction in violation of Sanctions, or any transactions or other dealings that otherwise are prohibited by any Anti-Terrorism Laws; (b) Pool Asset is Blocked Property. </w:t>
      </w:r>
    </w:p>
    <w:p>
      <w:pPr>
        <w:pStyle w:val="TextBody"/>
        <w:bidi w:val="0"/>
        <w:spacing w:before="240" w:after="0"/>
        <w:jc w:val="left"/>
        <w:rPr>
          <w:rFonts w:ascii="Times New Roman" w:hAnsi="Times New Roman"/>
          <w:sz w:val="20"/>
        </w:rPr>
      </w:pPr>
      <w:r>
        <w:rPr>
          <w:rFonts w:ascii="Times New Roman" w:hAnsi="Times New Roman"/>
          <w:sz w:val="20"/>
        </w:rPr>
        <w:t xml:space="preserve">(u) Each Covered Entity has, in the reasonable business judgment of WESCO, (a) conducted its business in compliance with all Anti-Corruption Laws and (b) implemented and maintains policies and procedures designed to ensure compliance with such Anti-Corruption Laws, in each case,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Ordinary Course of Business.</w:t>
      </w:r>
      <w:r>
        <w:rPr>
          <w:rFonts w:ascii="Times New Roman" w:hAnsi="Times New Roman"/>
          <w:sz w:val="20"/>
        </w:rPr>
        <w:t xml:space="preserve"> Each of the Seller and the Purchasers represents and warrants, as to itself, that each remittance of Collections by or on behalf of the Seller to the Purchasers under this Agreement will have been (i) in payment of a debt incurred by the Seller in the ordinary course of business or financial affairs of the Seller and the Purchasers and (ii) made in the ordinary course of business or financial affairs of the Seller and the Purchasers.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IV </w:t>
      </w:r>
    </w:p>
    <w:p>
      <w:pPr>
        <w:pStyle w:val="TextBody"/>
        <w:bidi w:val="0"/>
        <w:spacing w:before="12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Covenants of the Seller</w:t>
      </w:r>
      <w:r>
        <w:rPr>
          <w:rFonts w:ascii="Times New Roman" w:hAnsi="Times New Roman"/>
          <w:sz w:val="20"/>
        </w:rPr>
        <w:t xml:space="preserve">. Until the Final Payout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Compliance with Laws, Etc.</w:t>
      </w:r>
      <w:r>
        <w:rPr>
          <w:rFonts w:ascii="Times New Roman" w:hAnsi="Times New Roman"/>
          <w:sz w:val="20"/>
        </w:rPr>
        <w:t xml:space="preserve"> The Seller shall comply with all Applicable Laws, and preserve and maintain its corporate existence, rights, franchises, qualifications and privileges, except to the extent that the failure so to comply with such laws, rules and regulations or the failure so to preserve and maintain such rights, franchises, qualifications and privileges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Offices, Records and Books of Account, Etc.</w:t>
      </w:r>
      <w:r>
        <w:rPr>
          <w:rFonts w:ascii="Times New Roman" w:hAnsi="Times New Roman"/>
          <w:sz w:val="20"/>
        </w:rPr>
        <w:t xml:space="preserve"> The Seller: (i) shall keep its principal place of business, chief executive office and “location” (as such term is used in the UCC) and the office where it keeps its records concerning the Receivables at the addresses and locations of the Seller set forth under its name on </w:t>
      </w:r>
      <w:r>
        <w:rPr>
          <w:rFonts w:ascii="Times New Roman" w:hAnsi="Times New Roman"/>
          <w:sz w:val="20"/>
          <w:u w:val="single"/>
        </w:rPr>
        <w:t>Schedule IV</w:t>
      </w:r>
      <w:r>
        <w:rPr>
          <w:rFonts w:ascii="Times New Roman" w:hAnsi="Times New Roman"/>
          <w:sz w:val="20"/>
        </w:rPr>
        <w:t xml:space="preserve"> to this Agreement or, pursuant to </w:t>
      </w:r>
      <w:r>
        <w:rPr>
          <w:rFonts w:ascii="Times New Roman" w:hAnsi="Times New Roman"/>
          <w:sz w:val="20"/>
          <w:u w:val="single"/>
        </w:rPr>
        <w:t>clause (k)(iv)</w:t>
      </w:r>
      <w:r>
        <w:rPr>
          <w:rFonts w:ascii="Times New Roman" w:hAnsi="Times New Roman"/>
          <w:sz w:val="20"/>
        </w:rPr>
        <w:t xml:space="preserve"> below, at any other locations in jurisdictions where all actions reasonably requested by the Administrator to protect and perfect the interest of the Administrator (for the benefit of the Purchasers) in the Receivables and related items (including the Pool Assets) have been taken and completed and (ii) shall provide the Administrator with at least 30 days’ written notice before making any change in the Seller’s name or making any other change in the Seller’s identity or corporate structure (including a Change in Control) that could render any UCC financing statement filed in connection with this Agreement “seriously misleading” as such term (or similar term) is used in the UCC; each notice to the Administrator pursuant to this sentence shall set forth the applicable change and the effective date thereof. The Seller also will maintain and implement (or cause the Servicer to maintain and implement) administrative and operating procedures (including an ability to recreate records evidencing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Receivables (including records adequate to permit the prompt identification of each Receivable and all Collections of and adjustments to each existing Receivable). The Seller will (and will cause each Originator to) on or prior to the date of this Agreement, mark its master data processing records and other books and records relating to the Purchased Interest (and at all times thereafter (until the latest of the Facility Termination Date or the date all other amounts owed by the Seller under this Agreement shall be paid in full) continue to maintain such records) with a legend, acceptable to the Administrator, describing the Purchased Interest.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Performance and Compliance with Contracts and Credit and Collection Policy</w:t>
      </w:r>
      <w:r>
        <w:rPr>
          <w:rFonts w:ascii="Times New Roman" w:hAnsi="Times New Roman"/>
          <w:sz w:val="20"/>
        </w:rPr>
        <w:t xml:space="preserve">. The Seller shall (and shall cause the Servicer to), at its expense, timely and fully perform and comply with all material provisions, covenants and other promises required to be observed by it under the Contracts related to the Receivables, and timely and fully comply in all material respects with the applicable Credit and Collection Policies with regard to each Receivable and the related Contract.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Ownership Interest, Etc</w:t>
      </w:r>
      <w:r>
        <w:rPr>
          <w:rFonts w:ascii="Times New Roman" w:hAnsi="Times New Roman"/>
          <w:sz w:val="20"/>
        </w:rPr>
        <w:t xml:space="preserve">. The Seller shall (and shall cause the Servicer to), at its expense, take all action necessary or desirable to establish and maintain a valid and enforceable undivided percentage ownership or security interest, to the extent of the Purchased Interest, in the Pool Receivables, the Related Security and Collections with respect thereto, and a first priority perfected security interest in the Pool Assets, in each case free and clear of any Adverse Claim, in favor of the Administrator (for the benefit of the Purchasers), including taking such action to perfect, protect or more fully evidence the interest of the Administrator (for the benefit of the Purchasers) as the Administrator,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Sales, Liens, Etc</w:t>
      </w:r>
      <w:r>
        <w:rPr>
          <w:rFonts w:ascii="Times New Roman" w:hAnsi="Times New Roman"/>
          <w:sz w:val="20"/>
        </w:rPr>
        <w:t xml:space="preserve">. The Seller shall not sell, assign (by operation of law or otherwise) or otherwise dispose of, or create or suffer to exist any Adverse Claim upon or with respect to, any or all of its right, title or interest in, to or under any Pool Assets (including the Seller’s undivided interest in any Receivable, Related Security or Collections, or upon or with respect to any account to which any Collections of any Receivables are sent), or assign any right to receive income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Extension or Amendment of Receivables</w:t>
      </w:r>
      <w:r>
        <w:rPr>
          <w:rFonts w:ascii="Times New Roman" w:hAnsi="Times New Roman"/>
          <w:sz w:val="20"/>
        </w:rPr>
        <w:t xml:space="preserve">. Except as provided in this Agreement, the Seller shall not, and shall not permit the Servicer to, extend the maturity or adjust the Outstanding Balance or otherwise modify the terms of any Pool Receivable, or amend, modify or waive any term or condition of any related Contract.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Change in Business or Credit and Collection Policy</w:t>
      </w:r>
      <w:r>
        <w:rPr>
          <w:rFonts w:ascii="Times New Roman" w:hAnsi="Times New Roman"/>
          <w:sz w:val="20"/>
        </w:rPr>
        <w:t xml:space="preserve">. The Seller shall not make (or agree with any Originator to make) any change (i) in the character of its business or (ii) in any Credit and Collection Policy that would have a Material Adverse Effect with respect to the Receivables. The Seller shall not make (or agree with any Originator to make) any other change in any Credit and Collection Policy without giving prior written notice thereof to the Administrator and each Purchaser Agent.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Audits</w:t>
      </w:r>
      <w:r>
        <w:rPr>
          <w:rFonts w:ascii="Times New Roman" w:hAnsi="Times New Roman"/>
          <w:sz w:val="20"/>
        </w:rPr>
        <w:t xml:space="preserve">. The Seller shall (and shall cause each Originator to), from time to time during regular business hours as reasonably requested in advance (unless a Termination Event exists) by the Administrator, permit the Administrator, or its agents or representatives, at the Seller’s expense: (i) to examine and make copies of and abstracts from all books, records and documents (including computer tapes and disks) in the possession or under the control of the Seller (or any such Originator) relating to Receivables and the Related Security, including the related Contracts, and (ii) to visit the offices and properties of the Seller and the Originators for the purpose of examining such materials described in </w:t>
      </w:r>
      <w:r>
        <w:rPr>
          <w:rFonts w:ascii="Times New Roman" w:hAnsi="Times New Roman"/>
          <w:sz w:val="20"/>
          <w:u w:val="single"/>
        </w:rPr>
        <w:t>clause (i)</w:t>
      </w:r>
      <w:r>
        <w:rPr>
          <w:rFonts w:ascii="Times New Roman" w:hAnsi="Times New Roman"/>
          <w:sz w:val="20"/>
        </w:rPr>
        <w:t xml:space="preserve"> above (and shall include the review of the systems and operations of the off-system originators), and to discuss matters relating to Receivables and the Related Security or the Seller’s, WESCO’s or the Originators’ performance under the Transaction Documents or under the Contracts with any of the officers, employees, agents or contractors of the Seller, WESCO or the Originators having knowledge of such matters. The Seller shall not be required to reimburse the Administrator for such audits more frequently than once per year unless (x) a Termination Event has occurred and is continuing, (y) WESCO or Holdings ceases to have a rating of at least “B-” by Standard &amp; Poor’s on its respective corporate credit rating or (z) Holdings’ Available Liquidity fails to exceed $100,000,000.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Deposits to Lock-Box Accounts</w:t>
      </w:r>
      <w:r>
        <w:rPr>
          <w:rFonts w:ascii="Times New Roman" w:hAnsi="Times New Roman"/>
          <w:sz w:val="20"/>
        </w:rPr>
        <w:t xml:space="preserve">. The Seller shall (or shall cause the Servicer to): (i) instruct all Obligors to make payments of all Receivables to one or more Lock-Box Accounts or to post office boxes to which only Lock-Box Banks have access (and shall instruct the Lock-Box Banks to cause all items and amounts relating to such Receivables received in such post office boxes to be removed and deposited into a Lock-Box Account on a daily basis); </w:t>
      </w:r>
      <w:r>
        <w:rPr>
          <w:rFonts w:ascii="Times New Roman" w:hAnsi="Times New Roman"/>
          <w:sz w:val="20"/>
          <w:u w:val="single"/>
        </w:rPr>
        <w:t>provided</w:t>
      </w:r>
      <w:r>
        <w:rPr>
          <w:rFonts w:ascii="Times New Roman" w:hAnsi="Times New Roman"/>
          <w:sz w:val="20"/>
        </w:rPr>
        <w:t xml:space="preserve">, that the Obligors with respect to Receivables originated by the Ninth Amendment Date Originator need not be directed to deposit Collections to a Lock-Box Account until such time as the Post-Joinder Cash Management Conditions are satisfied, (ii) deposit, or cause to be deposited, any Collections received by it, the Servicer or any Originator into Lock-Box Accounts not later than one Business Day after receipt thereof and (iii) if a Termination Event has occurred and is continuing, directly transfer all Collections received in each Exception Account to a Lock-Box Account (other than an Exception Account) no later than one (1) Business Day following receipt thereof. Except as otherwise agreed to in writing by the Administrator and the Majority Purchasers, each Lock-Box Account shall at all times be subject to a Lock-Box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the Exception Account Conditions are then satisfied with respect to an Exception Account, such Exception Account need not be subject to a Lock-Box Agreement. The Seller will (and will cause the Servicer to) use commercially reasonable efforts to prevent funds other than Collections to be deposited or credited, to any Lock-Box Account; </w:t>
      </w:r>
      <w:r>
        <w:rPr>
          <w:rFonts w:ascii="Times New Roman" w:hAnsi="Times New Roman"/>
          <w:sz w:val="20"/>
          <w:u w:val="single"/>
        </w:rPr>
        <w:t>provided</w:t>
      </w:r>
      <w:r>
        <w:rPr>
          <w:rFonts w:ascii="Times New Roman" w:hAnsi="Times New Roman"/>
          <w:sz w:val="20"/>
        </w:rPr>
        <w:t xml:space="preserve"> that the Seller may permit (i) collections relating to Excluded Receivables and (ii) such other collections not relating to Receivables as the Administrator may approve in writing, in each case, to be so deposited or credited to any Lock-Box Account so long as (x) the amount of such collections does not exceed $15,000,000 for any calendar month and (y) the Administrator has not requested in writing that the Servicer direct obligors relating to such Excluded Receivables to cease making payments to Lock-Box Accounts. If such funds are nevertheless deposited into any Lock-Box Account, the Seller (or the Servicer on its behalf) will within two Business Days identify and transfer such funds to the appropriate Person entitled to such funds.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Reporting Requirements</w:t>
      </w:r>
      <w:r>
        <w:rPr>
          <w:rFonts w:ascii="Times New Roman" w:hAnsi="Times New Roman"/>
          <w:sz w:val="20"/>
        </w:rPr>
        <w:t xml:space="preserve">. The Seller will provide to the Administrator (in multiple copies, if requested by the Administrator) and each Purchaser Agent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within ninety (90) days after the end of each fiscal year of the Seller, a copy of the annual report for such year for the Seller, containing unaudited financial statements for such year certified as to accuracy by an officer of the Seller; </w:t>
      </w:r>
    </w:p>
    <w:p>
      <w:pPr>
        <w:pStyle w:val="TextBody"/>
        <w:bidi w:val="0"/>
        <w:spacing w:before="120" w:after="0"/>
        <w:jc w:val="left"/>
        <w:rPr>
          <w:rFonts w:ascii="Times New Roman" w:hAnsi="Times New Roman"/>
          <w:sz w:val="20"/>
        </w:rPr>
      </w:pPr>
      <w:r>
        <w:rPr>
          <w:rFonts w:ascii="Times New Roman" w:hAnsi="Times New Roman"/>
          <w:sz w:val="20"/>
        </w:rPr>
        <w:t xml:space="preserve">(ii) within five (5) days after any executive or senior managing officer of the Seller or Servicer learning of the occurrence of any Termination Event or Unmatured Termination Event, a statement of an officer of the Seller setting forth details of such Termination Event or Unmatured Termination Event and the action that the Seller has taken and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(iii) promptly after the filing or receiving thereof, copies of all material reports and notices that the Seller or any Affiliate files under ERISA with the Internal Revenue Service, the Pension Benefit Guaranty Corporation or the U.S. Department of Labor or that the Seller or any Affiliate receives from any of the foregoing or from any multiemployer plan (within the meaning of Section 4001(a)(3) of ERISA) to which the Seller or any of its Affiliates is or was, within the preceding five years, a contributing employer, in each case in respect of the assessment of withdrawal liability or an event or condition that could, in the aggregate, result in the imposition of liability on the Seller and/or any such Affiliate which would reasonably be expected to have a Material Adverse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at least thirty days (or such shorter period as agreed to in writing by the Administrator) before any change in the Seller’s name or any other change requiring the amendment of UCC financing statements, a notice setting forth such changes and the effective date thereof; </w:t>
      </w:r>
    </w:p>
    <w:p>
      <w:pPr>
        <w:pStyle w:val="TextBody"/>
        <w:bidi w:val="0"/>
        <w:spacing w:before="120" w:after="0"/>
        <w:jc w:val="left"/>
        <w:rPr>
          <w:rFonts w:ascii="Times New Roman" w:hAnsi="Times New Roman"/>
          <w:sz w:val="20"/>
        </w:rPr>
      </w:pPr>
      <w:r>
        <w:rPr>
          <w:rFonts w:ascii="Times New Roman" w:hAnsi="Times New Roman"/>
          <w:sz w:val="20"/>
        </w:rPr>
        <w:t xml:space="preserve">(v) promptly after any executive or senior managing officer of the Seller or Servicer obtains knowledge thereof, notice of any: (A) material litigation, investigation or proceeding that may exist at any time between the Seller and any Person or (B) material litigation or proceeding relating to any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(vi) promptly after the occurrence thereof, notice of a material adverse change in the business, operations, property or financial or other condition of the Seller, or to its knowledge, the Servicer or any Originator; </w:t>
      </w:r>
    </w:p>
    <w:p>
      <w:pPr>
        <w:pStyle w:val="TextBody"/>
        <w:bidi w:val="0"/>
        <w:spacing w:before="120" w:after="0"/>
        <w:jc w:val="left"/>
        <w:rPr>
          <w:rFonts w:ascii="Times New Roman" w:hAnsi="Times New Roman"/>
          <w:sz w:val="20"/>
        </w:rPr>
      </w:pPr>
      <w:r>
        <w:rPr>
          <w:rFonts w:ascii="Times New Roman" w:hAnsi="Times New Roman"/>
          <w:sz w:val="20"/>
        </w:rPr>
        <w:t xml:space="preserve">(vii) within five (5) days after the occurrence of any joinder of a Subject Originator without the consent of the Majority Purchasers (or such later date as may be agreed to by the Administrator), a copy of such joinder; </w:t>
      </w:r>
    </w:p>
    <w:p>
      <w:pPr>
        <w:pStyle w:val="TextBody"/>
        <w:bidi w:val="0"/>
        <w:spacing w:before="120" w:after="0"/>
        <w:jc w:val="left"/>
        <w:rPr>
          <w:rFonts w:ascii="Times New Roman" w:hAnsi="Times New Roman"/>
          <w:sz w:val="20"/>
        </w:rPr>
      </w:pPr>
      <w:r>
        <w:rPr>
          <w:rFonts w:ascii="Times New Roman" w:hAnsi="Times New Roman"/>
          <w:sz w:val="20"/>
        </w:rPr>
        <w:t xml:space="preserve">(viii) promptly after request such other information respecting the Receivables or the condition or operations, financial or otherwise, of the Seller or any Originator as the Administrator or any Purchaser Agent may from time to time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(ix) promptly after request any information available to the Seller or any of its Affiliates reasonably requested by the Administrator or any Purchaser in order to assist any Purchaser in complying with any of its obligations under Article 5 of the EU Securitisation Regulation or Article 5 of the UK Securitisation Regulation, as applicable, and any other due diligence provision of the EU Securitisation Regulation Rules or the UK Securitisation Regulation Rules, as applicable, in relation to the Transaction Documents and the transactions contemplated thereby; and </w:t>
      </w:r>
    </w:p>
    <w:p>
      <w:pPr>
        <w:pStyle w:val="TextBody"/>
        <w:bidi w:val="0"/>
        <w:spacing w:before="120" w:after="0"/>
        <w:jc w:val="left"/>
        <w:rPr>
          <w:rFonts w:ascii="Times New Roman" w:hAnsi="Times New Roman"/>
          <w:sz w:val="20"/>
        </w:rPr>
      </w:pPr>
      <w:r>
        <w:rPr>
          <w:rFonts w:ascii="Times New Roman" w:hAnsi="Times New Roman"/>
          <w:sz w:val="20"/>
        </w:rPr>
        <w:t xml:space="preserve">(x) promptly after request solely to the extent such data is reasonably available to the Seller or any of its Affiliates without additional burden or out-of-pocket expense, information regarding the Receivables as any Purchaser may reasonably request in connection with the analysis by such Purchaser of capital treatment under the accord known as Basel II, Basel III or other regulatory capital guidelines as relates to the transactions contemplated in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Information required to be delivered pursuant to this clause (j) shall be deemed to have been delivered if such information, or one or more annual or quarterly reports or current reports containing such information, shall have been posted by the Administrator on a SyndTrak, IntraLinks or similar site to which the Purchasers have been granted access or shall be available on the website of the Securities and Exchange Commission at http://www.sec.gov or on the website of Holdings. Each Purchaser shall be solely responsible for timely accessing posted documents and maintaining its copies of such documents.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Certain Agreements</w:t>
      </w:r>
      <w:r>
        <w:rPr>
          <w:rFonts w:ascii="Times New Roman" w:hAnsi="Times New Roman"/>
          <w:sz w:val="20"/>
        </w:rPr>
        <w:t xml:space="preserve">. Without the prior written consent of the Administrator and the Majority Purchasers, the Seller will not (and will not agree with any Originator to) amend, modify, waive, revoke or terminate any Transaction Document to which it is a party or any provision of Seller’s certificate of incorporation or by-laws.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Restricted Payments</w:t>
      </w:r>
      <w:r>
        <w:rPr>
          <w:rFonts w:ascii="Times New Roman" w:hAnsi="Times New Roman"/>
          <w:sz w:val="20"/>
        </w:rPr>
        <w:t xml:space="preserve">. (i) Except pursuant to </w:t>
      </w:r>
      <w:r>
        <w:rPr>
          <w:rFonts w:ascii="Times New Roman" w:hAnsi="Times New Roman"/>
          <w:sz w:val="20"/>
          <w:u w:val="single"/>
        </w:rPr>
        <w:t>clause (ii)</w:t>
      </w:r>
      <w:r>
        <w:rPr>
          <w:rFonts w:ascii="Times New Roman" w:hAnsi="Times New Roman"/>
          <w:sz w:val="20"/>
        </w:rPr>
        <w:t xml:space="preserve"> below, the Seller will not: (A) purchase or redeem any shares of its capital stock, (B) declare or pay any dividend or set aside any funds for any such purpose, (C) prepay, purchase or redeem any Debt, (D) lend or advance any funds or (E) repay any loans or advances to, for or from any of its Affiliates (the amounts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(E)</w:t>
      </w:r>
      <w:r>
        <w:rPr>
          <w:rFonts w:ascii="Times New Roman" w:hAnsi="Times New Roman"/>
          <w:sz w:val="20"/>
        </w:rPr>
        <w:t xml:space="preserve"> being referred to as “</w:t>
      </w:r>
      <w:r>
        <w:rPr>
          <w:rFonts w:ascii="Times New Roman" w:hAnsi="Times New Roman"/>
          <w:sz w:val="20"/>
          <w:u w:val="single"/>
        </w:rPr>
        <w:t>Restricted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Subject to the limitation set forth in clause (iii) below, the Seller may make Restricted Payments so long as such Restricted Payments are made only in one or more of the following ways: (A) the Seller may make cash payments (including prepayments) of the Company Note in accordance with its terms, and (B) the Seller may declare and pay dividends. </w:t>
      </w:r>
    </w:p>
    <w:p>
      <w:pPr>
        <w:pStyle w:val="TextBody"/>
        <w:bidi w:val="0"/>
        <w:spacing w:before="120" w:after="0"/>
        <w:jc w:val="left"/>
        <w:rPr>
          <w:rFonts w:ascii="Times New Roman" w:hAnsi="Times New Roman"/>
          <w:sz w:val="20"/>
        </w:rPr>
      </w:pPr>
      <w:r>
        <w:rPr>
          <w:rFonts w:ascii="Times New Roman" w:hAnsi="Times New Roman"/>
          <w:sz w:val="20"/>
        </w:rPr>
        <w:t xml:space="preserve">(iii) The Seller may make Restricted Payments only out of the funds it receives pursuant to </w:t>
      </w:r>
      <w:r>
        <w:rPr>
          <w:rFonts w:ascii="Times New Roman" w:hAnsi="Times New Roman"/>
          <w:sz w:val="20"/>
          <w:u w:val="single"/>
        </w:rPr>
        <w:t>Sections 1.4(b)(ii)</w:t>
      </w:r>
      <w:r>
        <w:rPr>
          <w:rFonts w:ascii="Times New Roman" w:hAnsi="Times New Roman"/>
          <w:sz w:val="20"/>
        </w:rPr>
        <w:t xml:space="preserve"> and </w:t>
      </w:r>
      <w:r>
        <w:rPr>
          <w:rFonts w:ascii="Times New Roman" w:hAnsi="Times New Roman"/>
          <w:sz w:val="20"/>
          <w:u w:val="single"/>
        </w:rPr>
        <w:t>(iv)</w:t>
      </w:r>
      <w:r>
        <w:rPr>
          <w:rFonts w:ascii="Times New Roman" w:hAnsi="Times New Roman"/>
          <w:sz w:val="20"/>
        </w:rPr>
        <w:t xml:space="preserve"> of this Agreement. Furthermore, the Seller shall not pay, make or declare: (A) any dividend if, after giving effect thereto, the Seller’s tangible net worth would be less than $50,000,000 or (B) any Restricted Payment (including any dividend) if, after giving effect thereto, any Termination Event or Unmatured Termination Event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Other Business</w:t>
      </w:r>
      <w:r>
        <w:rPr>
          <w:rFonts w:ascii="Times New Roman" w:hAnsi="Times New Roman"/>
          <w:sz w:val="20"/>
        </w:rPr>
        <w:t xml:space="preserve">. The Seller will not: (i) engage in any business other than the transactions contemplated by the Transaction Documents; (ii) create, incur or permit to exist any Debt of any kind (or cause or permit to be issued for its account any letters of credit or bankers’ acceptances) other than pursuant to this Agreement or the Company Note; or (iii) form any Subsidiary or make any investments in any other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Seller shall be permitted to incur minimal obligations to the extent necessary for the day-to-day operations of the Seller (such as expenses for stationery, audits, maintenance of legal status, etc.).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Use of Seller’s Share of Collections</w:t>
      </w:r>
      <w:r>
        <w:rPr>
          <w:rFonts w:ascii="Times New Roman" w:hAnsi="Times New Roman"/>
          <w:sz w:val="20"/>
        </w:rPr>
        <w:t xml:space="preserve">. The Seller shall apply the Seller’s Share of Collections to make payments in the following order of priority: (i) the payment of its expenses (including all obligations payable to the Purchaser Groups and the Administrator under this Agreement and under each Purchaser Group Fee Letter); (ii) the payment of accrued and unpaid interest on the Company Note; and (iii) other legal and valid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Tangible Net Worth</w:t>
      </w:r>
      <w:r>
        <w:rPr>
          <w:rFonts w:ascii="Times New Roman" w:hAnsi="Times New Roman"/>
          <w:sz w:val="20"/>
        </w:rPr>
        <w:t xml:space="preserve">. The Seller will not permit its tangible net worth, at any time, to be less than $50,000,000.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Exclusion of Credit Memos</w:t>
      </w:r>
      <w:r>
        <w:rPr>
          <w:rFonts w:ascii="Times New Roman" w:hAnsi="Times New Roman"/>
          <w:sz w:val="20"/>
        </w:rPr>
        <w:t xml:space="preserve">. As soon as possible, the Seller shall (and shall cause each Originator and the Servicer to) remove credit memos from any aging schedules contained in or used to calculate the information set forth in each Information Package delivered pursuant to </w:t>
      </w:r>
      <w:r>
        <w:rPr>
          <w:rFonts w:ascii="Times New Roman" w:hAnsi="Times New Roman"/>
          <w:sz w:val="20"/>
          <w:u w:val="single"/>
        </w:rPr>
        <w:t>Section 2(i)(iii)</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(r) Sanctions and other Anti-Terrorism Laws; Anti-Corruption Laws. The Seller covenants and agrees that: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it shall, and shall require each other Covered Entity to, conduct its business in compliance with all Anti-Corruption Laws in all material respects and maintain policies and procedures designed, in Seller’s reasonable business judgment, to ensure compliance with such Anti-Corruption Laws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(ii) it and its Subsidiaries will not: (A) become a Sanctioned Person or allow its employees, officers or directors to become a Sanctioned Person; (B) directly, or indirectly through a third party, engage in any transactions or other dealings with or for the benefit of any Sanctioned Person or Sanctioned Jurisdiction, including any use of the proceeds of the Investments to fund any operations in, finance any investments or activities in, or, make any payments to, a Sanctioned Person or Sanctioned Jurisdiction; (C) pay or repay obligations with Blocked Property or funds derived from any unlawful activity; (D) permit any Pool Assets to become Blocked Property; or (E) cause any Purchaser or the Administrator to violate any Anti-Terrorism Law in any material respects; and </w:t>
      </w:r>
    </w:p>
    <w:p>
      <w:pPr>
        <w:pStyle w:val="TextBody"/>
        <w:bidi w:val="0"/>
        <w:spacing w:before="120" w:after="0"/>
        <w:jc w:val="left"/>
        <w:rPr>
          <w:rFonts w:ascii="Times New Roman" w:hAnsi="Times New Roman"/>
          <w:sz w:val="20"/>
        </w:rPr>
      </w:pPr>
      <w:r>
        <w:rPr>
          <w:rFonts w:ascii="Times New Roman" w:hAnsi="Times New Roman"/>
          <w:sz w:val="20"/>
        </w:rPr>
        <w:t xml:space="preserve">(iii) it will not, and will not permit any of its Subsidiaries to, directly or indirectly, use the Investments or any proceeds thereof in any manner that would result in a violation by any Person of Anti-Corruption Law (including any Purchaser Party) or in violation in any material respect of any applicable Law, including, without limitation, any applicable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Liquidity Coverage Ratio</w:t>
      </w:r>
      <w:r>
        <w:rPr>
          <w:rFonts w:ascii="Times New Roman" w:hAnsi="Times New Roman"/>
          <w:sz w:val="20"/>
        </w:rPr>
        <w:t xml:space="preserve">. The Seller shall not issue any LCR Security.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Certification of Beneficial Owner(s)</w:t>
      </w:r>
      <w:r>
        <w:rPr>
          <w:rFonts w:ascii="Times New Roman" w:hAnsi="Times New Roman"/>
          <w:sz w:val="20"/>
        </w:rPr>
        <w:t xml:space="preserve">. Promptly following any change that would result in a change to the status as an excluded “Legal Entity Customer” under (and as defined in) the Beneficial Ownership Regulation, the Seller shall execute and deliver to the Administrator a Certification of Beneficial Owner(s) complying with the Beneficial Ownership Regulation. The information included in any Certification of Beneficial Owner(s) shall be true and correct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Additional Assistance</w:t>
      </w:r>
      <w:r>
        <w:rPr>
          <w:rFonts w:ascii="Times New Roman" w:hAnsi="Times New Roman"/>
          <w:sz w:val="20"/>
        </w:rPr>
        <w:t xml:space="preserve">. The Seller shall use commercially reasonable efforts to take such further action, provide such information and enter into such other agreements not otherwise provided for hereunder as may be reasonably required by the Administrator or any Purchaser in order to assist any Purchaser in complying with any of its obligations under Article 5 of the EU Securitisation Regulation or Article 5 of the UK Securitisation Regulation, as applicable, and any other due diligence provision of the EU Securitisation Regulation Rules or the UK Securitisation Regulation Rules, as applicable, in relation to the Transaction Documents and the transactions contemplated thereby.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Intended Tax Treatment</w:t>
      </w:r>
      <w:r>
        <w:rPr>
          <w:rFonts w:ascii="Times New Roman" w:hAnsi="Times New Roman"/>
          <w:sz w:val="20"/>
        </w:rPr>
        <w:t xml:space="preserve">. The Seller shall not file any tax return, or take any action, inconsistent with the Intended Tax Treatment unless required by a final determination within the meaning of Section 1313 of the Internal Revenue Code (or similar or analogous state, local or foreign tax law).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Covenants of the Servicer and WESCO</w:t>
      </w:r>
      <w:r>
        <w:rPr>
          <w:rFonts w:ascii="Times New Roman" w:hAnsi="Times New Roman"/>
          <w:sz w:val="20"/>
        </w:rPr>
        <w:t xml:space="preserve">. Until the Final Payout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Compliance with Laws, Etc.</w:t>
      </w:r>
      <w:r>
        <w:rPr>
          <w:rFonts w:ascii="Times New Roman" w:hAnsi="Times New Roman"/>
          <w:sz w:val="20"/>
        </w:rPr>
        <w:t xml:space="preserve"> The Servicer and, to the extent that it ceases to be the Servicer, WESCO shall comply (and shall cause each Originator to comply) in all material respects with all Applicable Laws, and preserve and maintain its corporate existence, rights, franchises, qualifications and privileges, except to the extent that the failure so to comply with such laws, rules and regulations or the failure so to preserve and maintain such existence, rights, franchises, qualifications and privileges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Offices, Records and Books of Account, Etc.</w:t>
      </w:r>
      <w:r>
        <w:rPr>
          <w:rFonts w:ascii="Times New Roman" w:hAnsi="Times New Roman"/>
          <w:sz w:val="20"/>
        </w:rPr>
        <w:t xml:space="preserve"> The Servicer and, to the extent that it ceases to be the Servicer, WESCO, shall keep (and shall cause each Originator to keep) its principal place of business, chief executive office and “location” (as such term is used in the applicable UCC) and the office where it keeps its records concerning the Receivables at the addresses of the Servicer set forth under its name on </w:t>
      </w:r>
      <w:r>
        <w:rPr>
          <w:rFonts w:ascii="Times New Roman" w:hAnsi="Times New Roman"/>
          <w:sz w:val="20"/>
          <w:u w:val="single"/>
        </w:rPr>
        <w:t>Schedule IV</w:t>
      </w:r>
      <w:r>
        <w:rPr>
          <w:rFonts w:ascii="Times New Roman" w:hAnsi="Times New Roman"/>
          <w:sz w:val="20"/>
        </w:rPr>
        <w:t xml:space="preserve"> to this Agreement or, upon at least 30 days’ prior written notice of a proposed change to the Administrator, at any other locations in jurisdictions where all actions reasonably requested by the Administrator to protect and perfect the interest of the Administrator (for the benefit of each Purchaser) in the Receivables and related items (including the Pool Assets) have been taken and completed. The Servicer and, to the extent that it ceases to be the Servicer, WESCO, also will (and will cause each Originator to) maintain and implement administrative and operating procedures (including an ability to recreate records evidencing Receivables and related Contracts in the event of the destruction of the originals thereof), and keep and maintain all documents, books, records, computer tapes and disks and other information reasonably necessary or advisable for the collection of all Receivables (including records adequate to permit the prompt identification of each Receivable and all Collections of and adjustments to each existing Receivable).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Performance and Compliance with Contracts and Credit and Collection Policy</w:t>
      </w:r>
      <w:r>
        <w:rPr>
          <w:rFonts w:ascii="Times New Roman" w:hAnsi="Times New Roman"/>
          <w:sz w:val="20"/>
        </w:rPr>
        <w:t xml:space="preserve">. The Servicer and, to the extent that it ceases to be the Servicer, WESCO, shall (and shall cause each Originator to), at its expense, timely and fully perform and comply with all material provisions, covenants and other promises required to be observed by it under the Contracts related to the Receivables, and timely and fully comply in all material respects with the Credit and Collection Policy with regard to each Receivable and the related Contract.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Extension or Amendment of Receivables</w:t>
      </w:r>
      <w:r>
        <w:rPr>
          <w:rFonts w:ascii="Times New Roman" w:hAnsi="Times New Roman"/>
          <w:sz w:val="20"/>
        </w:rPr>
        <w:t xml:space="preserve">. Except as provided in this Agreement, the Servicer and, to the extent that it ceases to be the Servicer, WESCO, shall not extend (and shall not permit any Originator to extend), the maturity or adjust the Outstanding Balance or otherwise modify the terms of any Pool Receivable, or amend, modify or waive any term or condition of any related Contract.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Change in Business or Credit and Collection Policy</w:t>
      </w:r>
      <w:r>
        <w:rPr>
          <w:rFonts w:ascii="Times New Roman" w:hAnsi="Times New Roman"/>
          <w:sz w:val="20"/>
        </w:rPr>
        <w:t xml:space="preserve">. The Servicer and, to the extent that it ceases to be the Servicer, WESCO, shall not make (and shall not permit any Originator to make) any change in (i) the character of its business or (ii) in any Credit and Collection Policy that would have a Material Adverse Effect. The Servicer and, to the extent that it ceases to be the Servicer, WESCO, shall not make (and shall not permit any Originator to make) any other change in any Credit and Collection Policy without giving prior written notice thereof to the Administrator and each Purchaser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Audits</w:t>
      </w:r>
      <w:r>
        <w:rPr>
          <w:rFonts w:ascii="Times New Roman" w:hAnsi="Times New Roman"/>
          <w:sz w:val="20"/>
        </w:rPr>
        <w:t xml:space="preserve">. The Servicer and, to the extent that it ceases to be the Servicer, WESCO, shall (and shall cause each Originator to), from time to time during regular business hours, as reasonably requested in advance (unless a Termination Event exists) by the Administrator, permit the Administrator, or its agents or representatives, at the Servicer’s expense: (i) to examine and make copies of and abstracts from all books, records and documents (including computer tapes and disks) in its possession or under its control relating to Receivables and the Related Security, including the related Contracts; and (ii) to visit its offices and properties for the purpose of examining such materials described in </w:t>
      </w:r>
      <w:r>
        <w:rPr>
          <w:rFonts w:ascii="Times New Roman" w:hAnsi="Times New Roman"/>
          <w:sz w:val="20"/>
          <w:u w:val="single"/>
        </w:rPr>
        <w:t>clause (i)</w:t>
      </w:r>
      <w:r>
        <w:rPr>
          <w:rFonts w:ascii="Times New Roman" w:hAnsi="Times New Roman"/>
          <w:sz w:val="20"/>
        </w:rPr>
        <w:t xml:space="preserve"> above, and to discuss matters relating to Receivables and the Related Security or its performance hereunder or under the Contracts with any of its officers, employees, agents or contractors having knowledge of such matters. The Servicer shall not be required to reimburse the Administrator for such audits more frequently than once per year unless (x) a Termination Event has occurred and is continuing, (y) WESCO or Holdings ceases to have a rating of at least “B-” by Standard &amp; Poor’s on its respective corporate credit rating or (z) Holdings’ Available Liquidity fails to exceed $100,000,000.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Change in Lock-Box Banks, Lock-Box Accounts and Payment Instructions to Obligors</w:t>
      </w:r>
      <w:r>
        <w:rPr>
          <w:rFonts w:ascii="Times New Roman" w:hAnsi="Times New Roman"/>
          <w:sz w:val="20"/>
        </w:rPr>
        <w:t xml:space="preserve">. The Servicer and, to the extent that it ceases to be the Servicer, WESCO, shall not (and shall not permit any Originator to) add or terminate any bank as a Lock-Box Bank or any account as a Lock-Box Account from those listed in the Lock-Box Schedule Letter Agreement, or make any change in its instructions to Obligors regarding payments to be made to the Servicer or any Lock-Box Account (or related post office box), unless the Administrator shall have consented thereto in writing and the Administrator shall have received copies of all agreements and documents (including Lock-Box Agreements) that it may request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Deposits to Lock-Box Accounts</w:t>
      </w:r>
      <w:r>
        <w:rPr>
          <w:rFonts w:ascii="Times New Roman" w:hAnsi="Times New Roman"/>
          <w:sz w:val="20"/>
        </w:rPr>
        <w:t xml:space="preserve">. The Servicer shall: (i) instruct all Obligors to make payments of all Receivables to one or more Lock-Box Accounts or to post office boxes to which only Lock-Box Banks have access (and shall instruct the Lock-Box Banks to cause all items and amounts relating to such Receivables received in such post office boxes to be removed and deposited into a Lock-Box Account on a daily basis); </w:t>
      </w:r>
      <w:r>
        <w:rPr>
          <w:rFonts w:ascii="Times New Roman" w:hAnsi="Times New Roman"/>
          <w:sz w:val="20"/>
          <w:u w:val="single"/>
        </w:rPr>
        <w:t>provided</w:t>
      </w:r>
      <w:r>
        <w:rPr>
          <w:rFonts w:ascii="Times New Roman" w:hAnsi="Times New Roman"/>
          <w:sz w:val="20"/>
        </w:rPr>
        <w:t xml:space="preserve">, that the Obligors with respect to Receivables originated by of the Ninth Amendment Date Originator need not be directed to deposit Collections to a Lock-Box Account until such time as the Post-Joinder Cash Management Conditions are satisfied; (ii) deposit, or cause to be deposited, any Collections received by it into Lock-Box Accounts not later than one Business Day after receipt thereof and (iii) if a Termination Event has occurred and is continuing, directly transfer all Collections received in each Exception Account to a Lock-Box Account (other than an Exception Account) no later than one (1) Business Day following receipt thereof. Except as otherwise agreed to in writing by the Administrator and the Majority Purchasers, each Lock-Box Account shall at all times be subject to a Lock-Box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the Exception Account Conditions are then satisfied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an Exception Account, such Exception Account need not be subject to a Lock-Box Agreement. The Servicer will use commercially reasonable efforts to prevent funds other than Collections to be deposited or credited, to any Lock-Box Account; </w:t>
      </w:r>
      <w:r>
        <w:rPr>
          <w:rFonts w:ascii="Times New Roman" w:hAnsi="Times New Roman"/>
          <w:sz w:val="20"/>
          <w:u w:val="single"/>
        </w:rPr>
        <w:t>provided</w:t>
      </w:r>
      <w:r>
        <w:rPr>
          <w:rFonts w:ascii="Times New Roman" w:hAnsi="Times New Roman"/>
          <w:sz w:val="20"/>
        </w:rPr>
        <w:t xml:space="preserve"> that the Servicer may permit (i) collections relating to Excluded Receivables and (ii) such other collections not relating to Receivables as the Administrator may approve in writing, in each case, to be so deposited or credited to any Lock-Box Account so long as (x) the amount of such collections does not exceed $15,000,000 for any calendar month and (y) the Administrator has not requested in writing that the Servicer direct obligors relating to such Excluded Receivables to cease making payments to Lock-Box Accounts. If such funds are nevertheless deposited into any Lock-Box, the Servicer will within two Business Days identify and transfer such funds to the appropriate Person entitled to such funds.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Reporting Requirements</w:t>
      </w:r>
      <w:r>
        <w:rPr>
          <w:rFonts w:ascii="Times New Roman" w:hAnsi="Times New Roman"/>
          <w:sz w:val="20"/>
        </w:rPr>
        <w:t xml:space="preserve">. WESCO shall provide to the Administrator (in multiple copies, if requested by the Administrator) and each Purchaser Agent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within 45 days after the end of the first three quarters of each fiscal year of Holdings, balance sheets of Holdings and its consolidated Subsidiaries as of the end of such quarter and statements of income, retained earnings and cash flow of Holdings and its consolidated Subsidiaries for the period commencing at the end of the previous fiscal year and ending with the end of such quarter, certified by the chief financial officer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(ii) within 90 days after the end of each fiscal year of Holdings, a copy of the annual report for such year for Holdings and its consolidated Subsidiaries, containing financial statements for such year audited by independent certified public accountants of nationally recognized standing; </w:t>
      </w:r>
    </w:p>
    <w:p>
      <w:pPr>
        <w:pStyle w:val="TextBody"/>
        <w:bidi w:val="0"/>
        <w:spacing w:before="120" w:after="0"/>
        <w:jc w:val="left"/>
        <w:rPr>
          <w:rFonts w:ascii="Times New Roman" w:hAnsi="Times New Roman"/>
          <w:sz w:val="20"/>
        </w:rPr>
      </w:pPr>
      <w:r>
        <w:rPr>
          <w:rFonts w:ascii="Times New Roman" w:hAnsi="Times New Roman"/>
          <w:sz w:val="20"/>
        </w:rPr>
        <w:t xml:space="preserve">(iii) as to the Servicer only, not later than 2 days prior to the Settlement Date in such month, an Information Package for such period, including a calculation (with reasonable detail with respect to such calculation) of Available Liquidity as of the last day of the preceding calendar month;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if the Purchased Interest as reported in the most recently delivered Information Package or Daily Report exceeds 75%, within two (2) Business Days of the Administrator’s request thereof, the Servicer shall provide (x) a Daily Report calculated as of the Business Day immediately preceding delivery thereof and (y) such other information as shall be reasonably requested by the Administrator in its sole discretion regarding Collections and originations of Receivables and (B) if (x) WESCO or Holdings shall cease to have a rating of at least “B-” by Standard &amp; Poor’s on its respective corporate credit rating or (y) Holdings’ Available Liquidity fails to exceed $100,000,000, the Servicer shall provide (i) if requested by the Administrator or any Purchaser Agent, in each case in such Person’s sole discretion, an Information Package on the first Business Day of each calendar week and (ii) such information as shall be requested by the Administrator in its sole discretion regarding Collections to the Administrator on a daily basis;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within five days after any executive or senior managing officer of the Seller or Servicer becoming aware of the occurrence of each Termination Event or Unmatured Termination Event, a statement of an officer of WESCO setting forth details of such Termination Event or Unmatured Termination Event and the action that such Person has taken and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(v) promptly after the sending or filing thereof, copies of all reports that WESCO or Holdings sends to any of their respective security holders, and copies of all reports and registration statements that WESCO, Holdings or any of their respective Subsidiaries files with the Securities and Exchange Commission or any national securities exchange; </w:t>
      </w:r>
      <w:r>
        <w:rPr>
          <w:rFonts w:ascii="Times New Roman" w:hAnsi="Times New Roman"/>
          <w:sz w:val="20"/>
          <w:u w:val="single"/>
        </w:rPr>
        <w:t>provided</w:t>
      </w:r>
      <w:r>
        <w:rPr>
          <w:rFonts w:ascii="Times New Roman" w:hAnsi="Times New Roman"/>
          <w:sz w:val="20"/>
        </w:rPr>
        <w:t xml:space="preserve">, that any filings with the Securities and Exchange Commission that have been granted “confidential” treatment shall be provided promptly after such filings have become publicly available; </w:t>
      </w:r>
    </w:p>
    <w:p>
      <w:pPr>
        <w:pStyle w:val="TextBody"/>
        <w:bidi w:val="0"/>
        <w:spacing w:before="120" w:after="0"/>
        <w:jc w:val="left"/>
        <w:rPr>
          <w:rFonts w:ascii="Times New Roman" w:hAnsi="Times New Roman"/>
          <w:sz w:val="20"/>
        </w:rPr>
      </w:pPr>
      <w:r>
        <w:rPr>
          <w:rFonts w:ascii="Times New Roman" w:hAnsi="Times New Roman"/>
          <w:sz w:val="20"/>
        </w:rPr>
        <w:t xml:space="preserve">(vi) promptly after the filing or receiving thereof, copies of all material reports and notices that WESCO, Holdings or any of their respective Affiliates files under ERISA with the Internal Revenue Service, the Pension Benefit Guaranty Corporation or the U.S. Department of Labor or that such Person or any of its Affiliates receives from any of the foregoing or from any multiemployer plan (within the meaning of Section 4001(a)(3) of ERISA) to which such Person or any of its Affiliates is or was, within the preceding five years, a contributing employer, in each case in respect of the assessment of withdrawal liability or an event or condition that could, in the aggregate, result in the imposition of liability on WESCO, Holdings and/or any such Affiliate which would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(vii) at least thirty days (or such shorter period as agreed to in writing by the Administrator) before any change in WESCO’s, Holdings’ or any Originator’s name or any other change requiring the amendment of UCC financing statements, a notice setting forth such changes and the effective date thereof; </w:t>
      </w:r>
    </w:p>
    <w:p>
      <w:pPr>
        <w:pStyle w:val="TextBody"/>
        <w:bidi w:val="0"/>
        <w:spacing w:before="120" w:after="0"/>
        <w:jc w:val="left"/>
        <w:rPr>
          <w:rFonts w:ascii="Times New Roman" w:hAnsi="Times New Roman"/>
          <w:sz w:val="20"/>
        </w:rPr>
      </w:pPr>
      <w:r>
        <w:rPr>
          <w:rFonts w:ascii="Times New Roman" w:hAnsi="Times New Roman"/>
          <w:sz w:val="20"/>
        </w:rPr>
        <w:t xml:space="preserve">(viii) promptly after any executive or senior managing officer of WESCO or Holdings obtains knowledge thereof, notice of any: (A) litigation, investigation or proceeding that may exist at any time between WESCO, Holdings or any of their respective Subsidiaries and any Governmental Authority that, if not cured or if adversely determined, as the case may be, would have a Material Adverse Effect; (B) litigation or proceeding adversely affecting such Person or any of its Subsidiaries in which (x) the amount involved is $100,000,000 or more and not covered by insurance or (y) injunctive or similar relief is sought which could reasonably be expected to have a Material Adverse Effect; or (C) litigation or proceeding relating to any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(ix) promptly after the occurrence thereof, notice of a material adverse change in the business, operations, property or financial or other condition of WESCO, Holdings or any of their respective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promptly after the occurrence thereof, notice of any downgrade of WESCO or Holdings;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promptly after request such other information respecting the Receivables or the condition or operations, financial or otherwise, of WESCO, Holdings or any of their respective Affiliates as the Administrator or any Purchaser Agent may from time to time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(xii) [Reserved]; </w:t>
      </w:r>
    </w:p>
    <w:p>
      <w:pPr>
        <w:pStyle w:val="TextBody"/>
        <w:bidi w:val="0"/>
        <w:spacing w:before="120" w:after="0"/>
        <w:jc w:val="left"/>
        <w:rPr>
          <w:rFonts w:ascii="Times New Roman" w:hAnsi="Times New Roman"/>
          <w:sz w:val="20"/>
        </w:rPr>
      </w:pPr>
      <w:r>
        <w:rPr>
          <w:rFonts w:ascii="Times New Roman" w:hAnsi="Times New Roman"/>
          <w:sz w:val="20"/>
        </w:rPr>
        <w:t xml:space="preserve">(xiii) [Reserved]; </w:t>
      </w:r>
    </w:p>
    <w:p>
      <w:pPr>
        <w:pStyle w:val="TextBody"/>
        <w:bidi w:val="0"/>
        <w:spacing w:before="120" w:after="0"/>
        <w:jc w:val="left"/>
        <w:rPr>
          <w:rFonts w:ascii="Times New Roman" w:hAnsi="Times New Roman"/>
          <w:sz w:val="20"/>
        </w:rPr>
      </w:pPr>
      <w:r>
        <w:rPr>
          <w:rFonts w:ascii="Times New Roman" w:hAnsi="Times New Roman"/>
          <w:sz w:val="20"/>
        </w:rPr>
        <w:t xml:space="preserve">(xiv) if requested by the Administrator, not later than 30 days after the end of each month (other than months which are the last month of a calendar quarter), management prepared unaudited financial statements of Holdings and its consolidated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promptly after request any information available to WESCO or any of its Affiliates reasonably requested by the Administrator or any Purchaser in order to assist any Purchaser in complying with any of its obligations under Article 5 of the EU Securitisation Regulation or Article 5 of the UK Securitisation Regulation, as applicable, and any other due diligence provision of the EU Securitisation Regulation Rules or the UK Securitisation Regulation Rules, as applicable, in relation to the Transaction Documents and the transactions contemplated thereby; and </w:t>
      </w:r>
    </w:p>
    <w:p>
      <w:pPr>
        <w:pStyle w:val="TextBody"/>
        <w:bidi w:val="0"/>
        <w:spacing w:before="120" w:after="0"/>
        <w:jc w:val="left"/>
        <w:rPr>
          <w:rFonts w:ascii="Times New Roman" w:hAnsi="Times New Roman"/>
          <w:sz w:val="20"/>
        </w:rPr>
      </w:pPr>
      <w:r>
        <w:rPr>
          <w:rFonts w:ascii="Times New Roman" w:hAnsi="Times New Roman"/>
          <w:sz w:val="20"/>
        </w:rPr>
        <w:t xml:space="preserve">(xvi) promptly after request solely to the extent such data is reasonably available to WESCO or any of its Affiliates without additional burden or out-of-pocket expense, information regarding the Receivables as any Purchaser may reasonably request in connection with the analysis by such Purchaser of capital treatment under the accord known as Basel II, Basel III or other regulatory capital guidelines as relates to the transactions contemplated in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Information required to be delivered pursuant to this </w:t>
      </w:r>
      <w:r>
        <w:rPr>
          <w:rFonts w:ascii="Times New Roman" w:hAnsi="Times New Roman"/>
          <w:sz w:val="20"/>
          <w:u w:val="single"/>
        </w:rPr>
        <w:t>clause (i)</w:t>
      </w:r>
      <w:r>
        <w:rPr>
          <w:rFonts w:ascii="Times New Roman" w:hAnsi="Times New Roman"/>
          <w:sz w:val="20"/>
        </w:rPr>
        <w:t xml:space="preserve"> shall be deemed to have been delivered if such information, or one or more annual or quarterly reports or current reports containing such information, shall have been posted by the Administrator on a SyndTrak, IntraLinks or similar site to which the Purchasers have been granted access or shall be available on the website of the Securities and Exchange Commission at http://www.sec.gov or on the website of Holdings. Each Purchaser shall be solely responsible for timely accessing posted documents and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u w:val="single"/>
        </w:rPr>
        <w:t>(j) Sanctions and other Anti-Terrorism Laws; Anti-Corruption Laws. The Servicer covenants and agrees that: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it shall, and shall require each other Covered Entity to, conduct its business in compliance with all Anti-Corruption Laws in all material respects and maintain policies and procedures designed, in Servicer’s reasonable business judgment, to ensure compliance with such Anti-Corruption Laws in all material respects;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it and its Subsidiaries will not: (A) become a Sanctioned Person or allow its employees, officers or directors to become a Sanctioned Person; (B) directly, or indirectly through a third party, engage in any transactions or other dealings with or for the benefit of any Sanctioned Person or Sanctioned Jurisdiction, including any use of the proceeds of the Investments to fund any operations in, finance any investments or activities in, or, make any payments to, a Sanctioned Person or Sanctioned Jurisdiction; (C) pay or repay obligations with Blocked Property or funds derived from any unlawful activity; (D) permit any Pool Assets to become Blocked Property; or (E) cause any Purchaser or the Administrator to violate any Anti-Terrorism Law in any material respects; and </w:t>
      </w:r>
    </w:p>
    <w:p>
      <w:pPr>
        <w:pStyle w:val="TextBody"/>
        <w:bidi w:val="0"/>
        <w:spacing w:before="120" w:after="0"/>
        <w:jc w:val="left"/>
        <w:rPr>
          <w:rFonts w:ascii="Times New Roman" w:hAnsi="Times New Roman"/>
          <w:sz w:val="20"/>
        </w:rPr>
      </w:pPr>
      <w:r>
        <w:rPr>
          <w:rFonts w:ascii="Times New Roman" w:hAnsi="Times New Roman"/>
          <w:sz w:val="20"/>
        </w:rPr>
        <w:t xml:space="preserve">(iii) it will not, and will not permit any of its Subsidiaries to, directly or indirectly, use the Investments or any proceeds thereof in any manner that would result in a violation by any Person of Anti-Corruption Law (including any Purchaser Party) or in violation in any material respect of any applicable Law, including, without limitation, any applicable Anti-Corruption Law.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Additional Assistance</w:t>
      </w:r>
      <w:r>
        <w:rPr>
          <w:rFonts w:ascii="Times New Roman" w:hAnsi="Times New Roman"/>
          <w:sz w:val="20"/>
        </w:rPr>
        <w:t xml:space="preserve">. The Servicer shall use commercially reasonable efforts to take such further action, provide such information and enter into such other agreements not otherwise provided for hereunder as may be reasonably required by the Administrator or any Purchaser in order for any Purchaser to comply with any and all applicable requirements of Article 5 of the EU Securitisation Regulation or Article 5 of the UK Securitisation Regulation and any other due diligence provision of the EU Securitisation Regulation Rules or the UK Securitisation Regulation Rules in relation to the Transaction Documents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Intended Tax Treatment</w:t>
      </w:r>
      <w:r>
        <w:rPr>
          <w:rFonts w:ascii="Times New Roman" w:hAnsi="Times New Roman"/>
          <w:sz w:val="20"/>
        </w:rPr>
        <w:t xml:space="preserve">. The Servicer shall not file any tax return, or take any action, inconsistent with the Intended Tax Treatment unless required by a final determination within the meaning of Section 1313 of the Internal Revenue Code (or similar or analogous state, local or foreign tax law).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Separate Existence</w:t>
      </w:r>
      <w:r>
        <w:rPr>
          <w:rFonts w:ascii="Times New Roman" w:hAnsi="Times New Roman"/>
          <w:sz w:val="20"/>
        </w:rPr>
        <w:t xml:space="preserve">. Each of the Seller and WESCO hereby acknowledges that the Purchasers, the Structuring Agent, the Purchaser Agents, the Administrator and the Liquidity Providers are entering into the transactions contemplated by this Agreement and the other Transaction Documents in reliance upon the Seller’s identity as a legal entity separate from WESCO and its Affiliates. Therefore, from and after the date hereof, each of the Seller and WESCO shall take all steps specifically required by this Agreement or reasonably required by the Administrator to continue the Seller’s identity as a separate legal entity and to make it apparent to third Persons that the Seller is an entity with assets and liabilities distinct from those of WESCO and any other Person, and is not a division of WESCO, its Affiliates or any other Person. Without limiting the generality of the foregoing and in addition to and consistent with the other covenants set forth herein, each of the Seller and WESCO shall take such actions as shall be required in order that: </w:t>
      </w:r>
    </w:p>
    <w:p>
      <w:pPr>
        <w:pStyle w:val="TextBody"/>
        <w:bidi w:val="0"/>
        <w:spacing w:before="120" w:after="0"/>
        <w:jc w:val="left"/>
        <w:rPr>
          <w:rFonts w:ascii="Times New Roman" w:hAnsi="Times New Roman"/>
          <w:sz w:val="20"/>
        </w:rPr>
      </w:pPr>
      <w:r>
        <w:rPr>
          <w:rFonts w:ascii="Times New Roman" w:hAnsi="Times New Roman"/>
          <w:sz w:val="20"/>
        </w:rPr>
        <w:t xml:space="preserve">(a) The Seller will be a limited purpose corporation whose primary activities are restricted in its certificate of incorporation to: (i) purchasing or otherwise acquiring from the Originators, owning, holding, granting security interests or selling interests in Pool Assets, (ii) entering into agreements for the selling and servicing of the Receivables Pool, and (iii) conducting such other activities as it deems necessary or appropriate to carry out its primary activities;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Seller shall not engage in any business or activity, or incur any indebtedness or liability, other than as expressly permitted by the Transaction Documents; </w:t>
      </w:r>
    </w:p>
    <w:p>
      <w:pPr>
        <w:pStyle w:val="TextBody"/>
        <w:bidi w:val="0"/>
        <w:spacing w:before="120" w:after="0"/>
        <w:jc w:val="left"/>
        <w:rPr>
          <w:rFonts w:ascii="Times New Roman" w:hAnsi="Times New Roman"/>
          <w:sz w:val="20"/>
        </w:rPr>
      </w:pPr>
      <w:r>
        <w:rPr>
          <w:rFonts w:ascii="Times New Roman" w:hAnsi="Times New Roman"/>
          <w:sz w:val="20"/>
        </w:rPr>
        <w:t>(c) Not less than one member of the Seller’s Board of Directors (the “</w:t>
      </w:r>
      <w:r>
        <w:rPr>
          <w:rFonts w:ascii="Times New Roman" w:hAnsi="Times New Roman"/>
          <w:sz w:val="20"/>
          <w:u w:val="single"/>
        </w:rPr>
        <w:t>Independent Director</w:t>
      </w:r>
      <w:r>
        <w:rPr>
          <w:rFonts w:ascii="Times New Roman" w:hAnsi="Times New Roman"/>
          <w:sz w:val="20"/>
        </w:rPr>
        <w:t xml:space="preserve">”) shall be an individual who is not a direct, indirect or beneficial stockholder, officer, director, employee, affiliate, associate or supplier of WESCO or any of its Affiliates. The certificate of incorporation of the Seller shall provide that: (i) the Seller’s Board of Directors shall not approve, or take any other action to cause the filing of, a voluntary bankruptcy petition with respect to the Seller unless the Independent Director shall approve the taking of such action in writing before the taking of such action, and (ii) such provision cannot be amended without the prior written consent of the Independent Director; </w:t>
      </w:r>
    </w:p>
    <w:p>
      <w:pPr>
        <w:pStyle w:val="TextBody"/>
        <w:bidi w:val="0"/>
        <w:spacing w:before="120" w:after="0"/>
        <w:jc w:val="left"/>
        <w:rPr>
          <w:rFonts w:ascii="Times New Roman" w:hAnsi="Times New Roman"/>
          <w:sz w:val="20"/>
        </w:rPr>
      </w:pPr>
      <w:r>
        <w:rPr>
          <w:rFonts w:ascii="Times New Roman" w:hAnsi="Times New Roman"/>
          <w:sz w:val="20"/>
        </w:rPr>
        <w:t xml:space="preserve">(d) The Independent Director shall not at any time serve as a trustee in bankruptcy for the Seller, WESCO or any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(e) Any employee, consultant or agent of the Seller will be compensated from the Seller’s funds for services provided to the Seller. The Seller will not engage any agents other than its attorneys, auditors and other professionals, and a servicer and any other agent contemplated by the Transaction Documents for the Receivables Pool, which servicer will be fully compensated for its services by payment of the Servicing Fee, and a manager, which manager will be fully compensated from the Seller’s funds; </w:t>
      </w:r>
    </w:p>
    <w:p>
      <w:pPr>
        <w:pStyle w:val="TextBody"/>
        <w:bidi w:val="0"/>
        <w:spacing w:before="120" w:after="0"/>
        <w:jc w:val="left"/>
        <w:rPr>
          <w:rFonts w:ascii="Times New Roman" w:hAnsi="Times New Roman"/>
          <w:sz w:val="20"/>
        </w:rPr>
      </w:pPr>
      <w:r>
        <w:rPr>
          <w:rFonts w:ascii="Times New Roman" w:hAnsi="Times New Roman"/>
          <w:sz w:val="20"/>
        </w:rPr>
        <w:t xml:space="preserve">(f) The Seller will contract with the Servicer to perform for the Seller all operations required on a daily basis to service the Receivables Pool. The Seller will pay the Servicer the Servicing Fee pursuant to this Agreement. The Seller will not incur any material indirect or overhead expenses for items shared with WESCO (or any other Affiliate thereof) that are not reflected in the Servicing Fee. To the extent, if any, that the Seller (or any Affiliate thereof) shares items of expenses not reflected in the Servicing Fee or the manager’s fee, such as legal, auditing and other professional services, such expenses will be allocated to the extent practical on the basis of actual use or the value of services rendered, and otherwise on a basis reasonably related to the actual use or the value of services rendered; </w:t>
      </w:r>
      <w:r>
        <w:rPr>
          <w:rFonts w:ascii="Times New Roman" w:hAnsi="Times New Roman"/>
          <w:sz w:val="20"/>
          <w:u w:val="single"/>
        </w:rPr>
        <w:t>it</w:t>
      </w:r>
      <w:r>
        <w:rPr>
          <w:rFonts w:ascii="Times New Roman" w:hAnsi="Times New Roman"/>
          <w:sz w:val="20"/>
        </w:rPr>
        <w:t xml:space="preserve"> </w:t>
      </w:r>
      <w:r>
        <w:rPr>
          <w:rFonts w:ascii="Times New Roman" w:hAnsi="Times New Roman"/>
          <w:sz w:val="20"/>
          <w:u w:val="single"/>
        </w:rPr>
        <w:t>being</w:t>
      </w:r>
      <w:r>
        <w:rPr>
          <w:rFonts w:ascii="Times New Roman" w:hAnsi="Times New Roman"/>
          <w:sz w:val="20"/>
        </w:rPr>
        <w:t xml:space="preserve"> </w:t>
      </w:r>
      <w:r>
        <w:rPr>
          <w:rFonts w:ascii="Times New Roman" w:hAnsi="Times New Roman"/>
          <w:sz w:val="20"/>
          <w:u w:val="single"/>
        </w:rPr>
        <w:t>understood</w:t>
      </w:r>
      <w:r>
        <w:rPr>
          <w:rFonts w:ascii="Times New Roman" w:hAnsi="Times New Roman"/>
          <w:sz w:val="20"/>
        </w:rPr>
        <w:t xml:space="preserve"> that WESCO shall pay all expenses relating to the preparation, negotiation, execution and delivery of the Transaction Documents, including legal, agency and other fees; </w:t>
      </w:r>
    </w:p>
    <w:p>
      <w:pPr>
        <w:pStyle w:val="TextBody"/>
        <w:bidi w:val="0"/>
        <w:spacing w:before="120" w:after="0"/>
        <w:jc w:val="left"/>
        <w:rPr>
          <w:rFonts w:ascii="Times New Roman" w:hAnsi="Times New Roman"/>
          <w:sz w:val="20"/>
        </w:rPr>
      </w:pPr>
      <w:r>
        <w:rPr>
          <w:rFonts w:ascii="Times New Roman" w:hAnsi="Times New Roman"/>
          <w:sz w:val="20"/>
        </w:rPr>
        <w:t xml:space="preserve">(g) The Seller’s operating expenses will not be paid by WESCO or any other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(h) All of the Seller’s business correspondence and other communications shall be conducted in the Seller’s own name and on its own separate stationery;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Seller’s books and records will be maintained separately from those of WESCO and any other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(j) All financial statements of WESCO or any Affiliate thereof that are consolidated to include Seller will contain detailed notes clearly stating that: (i) a special purpose corporation exists as a Subsidiary of WESCO, and (ii) the Originators have sold receivables and other related assets to such special purpose Subsidiary that, in turn, has sold undivided interests therein to certain financial institutions and other entities; </w:t>
      </w:r>
    </w:p>
    <w:p>
      <w:pPr>
        <w:pStyle w:val="TextBody"/>
        <w:bidi w:val="0"/>
        <w:spacing w:before="120" w:after="0"/>
        <w:jc w:val="left"/>
        <w:rPr>
          <w:rFonts w:ascii="Times New Roman" w:hAnsi="Times New Roman"/>
          <w:sz w:val="20"/>
        </w:rPr>
      </w:pPr>
      <w:r>
        <w:rPr>
          <w:rFonts w:ascii="Times New Roman" w:hAnsi="Times New Roman"/>
          <w:sz w:val="20"/>
        </w:rPr>
        <w:t xml:space="preserve">(k) The Seller’s assets will be maintained in a manner that facilitates their identification and segregation from those of WESCO or any Affiliate thereof; </w:t>
      </w:r>
    </w:p>
    <w:p>
      <w:pPr>
        <w:pStyle w:val="TextBody"/>
        <w:bidi w:val="0"/>
        <w:spacing w:before="120" w:after="0"/>
        <w:jc w:val="left"/>
        <w:rPr>
          <w:rFonts w:ascii="Times New Roman" w:hAnsi="Times New Roman"/>
          <w:sz w:val="20"/>
        </w:rPr>
      </w:pPr>
      <w:r>
        <w:rPr>
          <w:rFonts w:ascii="Times New Roman" w:hAnsi="Times New Roman"/>
          <w:sz w:val="20"/>
        </w:rPr>
        <w:t xml:space="preserve">(l) The Seller will strictly observe corporate formalities in its dealings with WESCO or any Affiliate thereof, and funds or other assets of the Seller will not be commingled with those of WESCO or any Affiliate thereof except as permitted by this Agreement in connection with servicing the Pool Receivables. The Seller shall not maintain joint bank accounts or other depository accounts to which WESCO or any Affiliate thereof (other than WESCO in its capacity as the Servicer) has independent access. The Seller is not named, and has not entered into any agreement to be named, directly or indirectly, as a direct or contingent beneficiary or loss payee on any insurance policy with respect to any loss relating to the property of WESCO or any Subsidiary or other Affiliate of WESCO. The Seller will pay to the appropriate Affiliate the marginal increase or, in the absence of such increase, the market amount of its portion of the premium payable with respect to any insurance policy that covers the Seller and such Affiliate; </w:t>
      </w:r>
    </w:p>
    <w:p>
      <w:pPr>
        <w:pStyle w:val="TextBody"/>
        <w:bidi w:val="0"/>
        <w:spacing w:before="120" w:after="0"/>
        <w:jc w:val="left"/>
        <w:rPr>
          <w:rFonts w:ascii="Times New Roman" w:hAnsi="Times New Roman"/>
          <w:sz w:val="20"/>
        </w:rPr>
      </w:pPr>
      <w:r>
        <w:rPr>
          <w:rFonts w:ascii="Times New Roman" w:hAnsi="Times New Roman"/>
          <w:sz w:val="20"/>
        </w:rPr>
        <w:t xml:space="preserve">(m) The Seller will maintain arm’s-length relationships with WESCO (and any Affiliate thereof). Any Person that renders or otherwise furnishes services to the Seller will be compensated by the Seller at market rates for such services it renders or otherwise furnishes to the Seller. Neither the Seller nor WESCO will be or will hold itself out to be responsible for the debts of the other or the decisions or actions respecting the daily business and affairs of the other. The Seller and WESCO will immediately correct any known misrepresentation with respect to the foregoing, and they will not operate or purport to operate as an integrated single economic unit with respect to each other or in their dealing with any other entity; and </w:t>
      </w:r>
    </w:p>
    <w:p>
      <w:pPr>
        <w:pStyle w:val="TextBody"/>
        <w:bidi w:val="0"/>
        <w:spacing w:before="120" w:after="0"/>
        <w:jc w:val="left"/>
        <w:rPr>
          <w:rFonts w:ascii="Times New Roman" w:hAnsi="Times New Roman"/>
          <w:sz w:val="20"/>
        </w:rPr>
      </w:pPr>
      <w:r>
        <w:rPr>
          <w:rFonts w:ascii="Times New Roman" w:hAnsi="Times New Roman"/>
          <w:sz w:val="20"/>
        </w:rPr>
        <w:t xml:space="preserve">(n) WESCO shall not pay the salaries of Seller’s employees, if 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V </w:t>
      </w:r>
    </w:p>
    <w:p>
      <w:pPr>
        <w:pStyle w:val="TextBody"/>
        <w:bidi w:val="0"/>
        <w:spacing w:before="120" w:after="0"/>
        <w:jc w:val="center"/>
        <w:rPr>
          <w:rFonts w:ascii="Times New Roman" w:hAnsi="Times New Roman"/>
          <w:sz w:val="20"/>
        </w:rPr>
      </w:pPr>
      <w:r>
        <w:rPr>
          <w:rFonts w:ascii="Times New Roman" w:hAnsi="Times New Roman"/>
          <w:sz w:val="20"/>
        </w:rPr>
        <w:t xml:space="preserve">TERMINATION EVENTS </w:t>
      </w:r>
    </w:p>
    <w:p>
      <w:pPr>
        <w:pStyle w:val="TextBody"/>
        <w:bidi w:val="0"/>
        <w:spacing w:before="240" w:after="0"/>
        <w:jc w:val="left"/>
        <w:rPr>
          <w:rFonts w:ascii="Times New Roman" w:hAnsi="Times New Roman"/>
          <w:sz w:val="20"/>
        </w:rPr>
      </w:pPr>
      <w:r>
        <w:rPr>
          <w:rFonts w:ascii="Times New Roman" w:hAnsi="Times New Roman"/>
          <w:sz w:val="20"/>
        </w:rPr>
        <w:t>Each of the following shall be a “</w:t>
      </w:r>
      <w:r>
        <w:rPr>
          <w:rFonts w:ascii="Times New Roman" w:hAnsi="Times New Roman"/>
          <w:sz w:val="20"/>
          <w:u w:val="single"/>
        </w:rPr>
        <w:t>Termination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Seller, WESCO, any Originator or the Servicer shall fail to perform or observe any term, covenant or agreement under this Agreement or any other Transaction Document and, except as otherwise provided herein, such failure shall continue for (A) 5 days after knowledge or notice thereof for any clause or provision of </w:t>
      </w:r>
      <w:r>
        <w:rPr>
          <w:rFonts w:ascii="Times New Roman" w:hAnsi="Times New Roman"/>
          <w:sz w:val="20"/>
          <w:u w:val="single"/>
        </w:rPr>
        <w:t>Sections 1(j)(i)</w:t>
      </w:r>
      <w:r>
        <w:rPr>
          <w:rFonts w:ascii="Times New Roman" w:hAnsi="Times New Roman"/>
          <w:sz w:val="20"/>
        </w:rPr>
        <w:t xml:space="preserve">, </w:t>
      </w:r>
      <w:r>
        <w:rPr>
          <w:rFonts w:ascii="Times New Roman" w:hAnsi="Times New Roman"/>
          <w:sz w:val="20"/>
          <w:u w:val="single"/>
        </w:rPr>
        <w:t>1(j)(iii)</w:t>
      </w:r>
      <w:r>
        <w:rPr>
          <w:rFonts w:ascii="Times New Roman" w:hAnsi="Times New Roman"/>
          <w:sz w:val="20"/>
        </w:rPr>
        <w:t xml:space="preserve">, or </w:t>
      </w:r>
      <w:r>
        <w:rPr>
          <w:rFonts w:ascii="Times New Roman" w:hAnsi="Times New Roman"/>
          <w:sz w:val="20"/>
          <w:u w:val="single"/>
        </w:rPr>
        <w:t>1(j)(viii)</w:t>
      </w:r>
      <w:r>
        <w:rPr>
          <w:rFonts w:ascii="Times New Roman" w:hAnsi="Times New Roman"/>
          <w:sz w:val="20"/>
        </w:rPr>
        <w:t xml:space="preserve"> or </w:t>
      </w:r>
      <w:r>
        <w:rPr>
          <w:rFonts w:ascii="Times New Roman" w:hAnsi="Times New Roman"/>
          <w:sz w:val="20"/>
          <w:u w:val="single"/>
        </w:rPr>
        <w:t>Sections 2(i)(i)</w:t>
      </w:r>
      <w:r>
        <w:rPr>
          <w:rFonts w:ascii="Times New Roman" w:hAnsi="Times New Roman"/>
          <w:sz w:val="20"/>
        </w:rPr>
        <w:t xml:space="preserve">, </w:t>
      </w:r>
      <w:r>
        <w:rPr>
          <w:rFonts w:ascii="Times New Roman" w:hAnsi="Times New Roman"/>
          <w:sz w:val="20"/>
          <w:u w:val="single"/>
        </w:rPr>
        <w:t>2(i)(ii)</w:t>
      </w:r>
      <w:r>
        <w:rPr>
          <w:rFonts w:ascii="Times New Roman" w:hAnsi="Times New Roman"/>
          <w:sz w:val="20"/>
        </w:rPr>
        <w:t xml:space="preserve">, </w:t>
      </w:r>
      <w:r>
        <w:rPr>
          <w:rFonts w:ascii="Times New Roman" w:hAnsi="Times New Roman"/>
          <w:sz w:val="20"/>
          <w:u w:val="single"/>
        </w:rPr>
        <w:t>2(i)(iii)</w:t>
      </w:r>
      <w:r>
        <w:rPr>
          <w:rFonts w:ascii="Times New Roman" w:hAnsi="Times New Roman"/>
          <w:sz w:val="20"/>
        </w:rPr>
        <w:t xml:space="preserve">, </w:t>
      </w:r>
      <w:r>
        <w:rPr>
          <w:rFonts w:ascii="Times New Roman" w:hAnsi="Times New Roman"/>
          <w:sz w:val="20"/>
          <w:u w:val="single"/>
        </w:rPr>
        <w:t>2(i)(v)</w:t>
      </w:r>
      <w:r>
        <w:rPr>
          <w:rFonts w:ascii="Times New Roman" w:hAnsi="Times New Roman"/>
          <w:sz w:val="20"/>
        </w:rPr>
        <w:t xml:space="preserve">, </w:t>
      </w:r>
      <w:r>
        <w:rPr>
          <w:rFonts w:ascii="Times New Roman" w:hAnsi="Times New Roman"/>
          <w:sz w:val="20"/>
          <w:u w:val="single"/>
        </w:rPr>
        <w:t>2(i)(vi)</w:t>
      </w:r>
      <w:r>
        <w:rPr>
          <w:rFonts w:ascii="Times New Roman" w:hAnsi="Times New Roman"/>
          <w:sz w:val="20"/>
        </w:rPr>
        <w:t xml:space="preserve">, </w:t>
      </w:r>
      <w:r>
        <w:rPr>
          <w:rFonts w:ascii="Times New Roman" w:hAnsi="Times New Roman"/>
          <w:sz w:val="20"/>
          <w:u w:val="single"/>
        </w:rPr>
        <w:t>2(i)(xi)</w:t>
      </w:r>
      <w:r>
        <w:rPr>
          <w:rFonts w:ascii="Times New Roman" w:hAnsi="Times New Roman"/>
          <w:sz w:val="20"/>
        </w:rPr>
        <w:t xml:space="preserve"> or </w:t>
      </w:r>
      <w:r>
        <w:rPr>
          <w:rFonts w:ascii="Times New Roman" w:hAnsi="Times New Roman"/>
          <w:sz w:val="20"/>
          <w:u w:val="single"/>
        </w:rPr>
        <w:t>2(i)(xiv)</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this Agreement, or (B) 10 days after knowledge or notice thereof for any clause or provision of this Agreement not referenced in clause </w:t>
      </w:r>
      <w:r>
        <w:rPr>
          <w:rFonts w:ascii="Times New Roman" w:hAnsi="Times New Roman"/>
          <w:sz w:val="20"/>
          <w:u w:val="single"/>
        </w:rPr>
        <w:t>(a)(i)(A)</w:t>
      </w:r>
      <w:r>
        <w:rPr>
          <w:rFonts w:ascii="Times New Roman" w:hAnsi="Times New Roman"/>
          <w:sz w:val="20"/>
        </w:rPr>
        <w:t xml:space="preserve"> above, (ii) the Seller or the Servicer shall fail to make when due any payment or deposit to be made by it under this Agreement and such failure shall continue unremedied for two Business Days, (iii) WESCO shall resign as Servicer, and no successor Servicer reasonably satisfactory to the Administrator and the Majority Purchasers shall have been appointed or (iv) the Seller, WESCO, any Originator or the Servicer shall fail to perform or observe any term, covenant set forth in </w:t>
      </w:r>
      <w:r>
        <w:rPr>
          <w:rFonts w:ascii="Times New Roman" w:hAnsi="Times New Roman"/>
          <w:sz w:val="20"/>
          <w:u w:val="single"/>
        </w:rPr>
        <w:t>Sections 1(bb)</w:t>
      </w:r>
      <w:r>
        <w:rPr>
          <w:rFonts w:ascii="Times New Roman" w:hAnsi="Times New Roman"/>
          <w:sz w:val="20"/>
        </w:rPr>
        <w:t xml:space="preserve"> or </w:t>
      </w:r>
      <w:r>
        <w:rPr>
          <w:rFonts w:ascii="Times New Roman" w:hAnsi="Times New Roman"/>
          <w:sz w:val="20"/>
          <w:u w:val="single"/>
        </w:rPr>
        <w:t>(cc)</w:t>
      </w:r>
      <w:r>
        <w:rPr>
          <w:rFonts w:ascii="Times New Roman" w:hAnsi="Times New Roman"/>
          <w:sz w:val="20"/>
        </w:rPr>
        <w:t xml:space="preserve"> or </w:t>
      </w:r>
      <w:r>
        <w:rPr>
          <w:rFonts w:ascii="Times New Roman" w:hAnsi="Times New Roman"/>
          <w:sz w:val="20"/>
          <w:u w:val="single"/>
        </w:rPr>
        <w:t>Sections 2(t)</w:t>
      </w:r>
      <w:r>
        <w:rPr>
          <w:rFonts w:ascii="Times New Roman" w:hAnsi="Times New Roman"/>
          <w:sz w:val="20"/>
        </w:rPr>
        <w:t xml:space="preserve"> or </w:t>
      </w:r>
      <w:r>
        <w:rPr>
          <w:rFonts w:ascii="Times New Roman" w:hAnsi="Times New Roman"/>
          <w:sz w:val="20"/>
          <w:u w:val="single"/>
        </w:rPr>
        <w:t>(u)</w:t>
      </w:r>
      <w:r>
        <w:rPr>
          <w:rFonts w:ascii="Times New Roman" w:hAnsi="Times New Roman"/>
          <w:sz w:val="20"/>
        </w:rPr>
        <w:t xml:space="preserve"> of </w:t>
      </w:r>
      <w:r>
        <w:rPr>
          <w:rFonts w:ascii="Times New Roman" w:hAnsi="Times New Roman"/>
          <w:sz w:val="20"/>
          <w:u w:val="single"/>
        </w:rPr>
        <w:t>Exhibit III</w:t>
      </w:r>
      <w:r>
        <w:rPr>
          <w:rFonts w:ascii="Times New Roman" w:hAnsi="Times New Roman"/>
          <w:sz w:val="20"/>
        </w:rPr>
        <w:t xml:space="preserve"> or </w:t>
      </w:r>
      <w:r>
        <w:rPr>
          <w:rFonts w:ascii="Times New Roman" w:hAnsi="Times New Roman"/>
          <w:sz w:val="20"/>
          <w:u w:val="single"/>
        </w:rPr>
        <w:t xml:space="preserve">Sections 1(r) </w:t>
      </w:r>
      <w:r>
        <w:rPr>
          <w:rFonts w:ascii="Times New Roman" w:hAnsi="Times New Roman"/>
          <w:sz w:val="20"/>
        </w:rPr>
        <w:t xml:space="preserve">or </w:t>
      </w:r>
      <w:r>
        <w:rPr>
          <w:rFonts w:ascii="Times New Roman" w:hAnsi="Times New Roman"/>
          <w:sz w:val="20"/>
          <w:u w:val="single"/>
        </w:rPr>
        <w:t>2(j)</w:t>
      </w:r>
      <w:r>
        <w:rPr>
          <w:rFonts w:ascii="Times New Roman" w:hAnsi="Times New Roman"/>
          <w:sz w:val="20"/>
        </w:rPr>
        <w:t xml:space="preserve"> of </w:t>
      </w:r>
      <w:r>
        <w:rPr>
          <w:rFonts w:ascii="Times New Roman" w:hAnsi="Times New Roman"/>
          <w:sz w:val="20"/>
          <w:u w:val="single"/>
        </w:rPr>
        <w:t>Exhibit IV</w:t>
      </w:r>
      <w:r>
        <w:rPr>
          <w:rFonts w:ascii="Times New Roman" w:hAnsi="Times New Roman"/>
          <w:sz w:val="20"/>
        </w:rPr>
        <w:t xml:space="preserv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WESCO (or any Affiliate thereof) shall fail to transfer to any successor Servicer when required any rights pursuant to this Agreement that WESCO (or such Affiliate) then has as Servicer; </w:t>
      </w:r>
    </w:p>
    <w:p>
      <w:pPr>
        <w:pStyle w:val="TextBody"/>
        <w:bidi w:val="0"/>
        <w:spacing w:before="240" w:after="0"/>
        <w:jc w:val="left"/>
        <w:rPr>
          <w:rFonts w:ascii="Times New Roman" w:hAnsi="Times New Roman"/>
          <w:sz w:val="20"/>
        </w:rPr>
      </w:pPr>
      <w:r>
        <w:rPr>
          <w:rFonts w:ascii="Times New Roman" w:hAnsi="Times New Roman"/>
          <w:sz w:val="20"/>
        </w:rPr>
        <w:t xml:space="preserve">(c) any representation or warranty made or deemed made by the Seller, WESCO or any Originator (or any of their respective officers) under or in connection with this Agreement or any other Transaction Document, or any information or report delivered by the Seller, WESCO or any Originator or the Servicer pursuant to this Agreement or any other Transaction Document, shall prove to have been incorrect or untrue in any material respect when made or deemed made or delivered (unless such representation or warranty relates solely to one or more specific Pool Receivables and the relevant Originator, Seller or the Servicer makes a payment with respect to such Pool Receivable to the extent required under the Purchase and Sale Agreement or otherwise under any other Transaction Document), and shall remain incorrect or untrue for 5 days after notice to the Seller or the Servicer of such inaccuracy; </w:t>
      </w:r>
    </w:p>
    <w:p>
      <w:pPr>
        <w:pStyle w:val="TextBody"/>
        <w:bidi w:val="0"/>
        <w:spacing w:before="240" w:after="0"/>
        <w:jc w:val="left"/>
        <w:rPr>
          <w:rFonts w:ascii="Times New Roman" w:hAnsi="Times New Roman"/>
          <w:sz w:val="20"/>
        </w:rPr>
      </w:pPr>
      <w:r>
        <w:rPr>
          <w:rFonts w:ascii="Times New Roman" w:hAnsi="Times New Roman"/>
          <w:sz w:val="20"/>
        </w:rPr>
        <w:t xml:space="preserve">(d) the Seller or the Servicer shall fail to deliver the Information Package or Daily Report pursuant to this Agreement, and such failure shall remain unremedied for two days; </w:t>
      </w:r>
    </w:p>
    <w:p>
      <w:pPr>
        <w:pStyle w:val="TextBody"/>
        <w:bidi w:val="0"/>
        <w:spacing w:before="240" w:after="0"/>
        <w:jc w:val="left"/>
        <w:rPr>
          <w:rFonts w:ascii="Times New Roman" w:hAnsi="Times New Roman"/>
          <w:sz w:val="20"/>
        </w:rPr>
      </w:pPr>
      <w:r>
        <w:rPr>
          <w:rFonts w:ascii="Times New Roman" w:hAnsi="Times New Roman"/>
          <w:sz w:val="20"/>
        </w:rPr>
        <w:t xml:space="preserve">(e) this Agreement or any Purchase or reinvestment pursuant to this Agreement shall for any reason: (i) cease to create, or the Purchased Interest shall for any reason cease to be, a valid and enforceable perfected undivided percentage ownership or security interest to the extent of the Purchased Interest in each Pool Receivable, the Related Security and Collections with respect thereto, free and clear of any Adverse Claim, or (ii) cease to create with respect to the Pool Assets, or the interest of the Administrator (for the benefit of the Purchasers) with respect to such Pool Assets shall cease to be, a valid and enforceable first priority perfected security interest, free and clear of any Adverse Claim;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Seller, WESCO, Holdings or any Originator shall generally not pay its debts as such debts become due, or shall admit in writing its inability to pay its debts generally, or shall make a general assignment for the benefit of creditors; or any proceeding shall be instituted by or against the Seller, WESCO, Holdings or any Originator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any of the actions sought in such proceeding (including the entry of an order for relief against, or the appointment of a receiver, trustee, custodian or other similar official for, it or for any substantial part of its property) shall occur; or the board of directors (or equivalent governing body) of the Seller, WESCO, Holdings or any Originator shall adopt any resolution or otherwise authorize any action to approve any of the actions set forth above in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(g) (i) the average for three most recently ended consecutive calendar months of: (A) the Default Ratio shall exceed 3.25%, (B) the Delinquency Ratio shall exceed 4.00% or (C) the Dilution Ratio shall exceed 7.50% or (ii) (A) the Default Ratio shall exceed 4.00%, (B) the Delinquency Ratio shall exceed 5.00% or (C) the Days’ Sales Outstanding shall exceed 62 days; </w:t>
      </w:r>
    </w:p>
    <w:p>
      <w:pPr>
        <w:pStyle w:val="TextBody"/>
        <w:bidi w:val="0"/>
        <w:spacing w:before="240" w:after="0"/>
        <w:jc w:val="left"/>
        <w:rPr>
          <w:rFonts w:ascii="Times New Roman" w:hAnsi="Times New Roman"/>
          <w:sz w:val="20"/>
        </w:rPr>
      </w:pPr>
      <w:r>
        <w:rPr>
          <w:rFonts w:ascii="Times New Roman" w:hAnsi="Times New Roman"/>
          <w:sz w:val="20"/>
        </w:rPr>
        <w:t xml:space="preserve">(h) a Change in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(i) at any time (i) the sum of (A) the Aggregate Investment plus (B) the Total Reserves, exceeds (ii) the sum of (A) the Net Receivables Pool Balance at such time plus (B) the Purchasers’ share of the amount of Collections then on deposit in the Lock-Box Accounts (other than (I) amounts on deposit in the Exception Accounts and (II) amounts set aside in the Lock-Box Accounts representing Discount and Fees), and such circumstance shall not have been cured within two Business Days after an officer of the Seller, the Servicer, WESCO, Holdings or any Originator obtains knowledge or notice thereof; </w:t>
      </w:r>
    </w:p>
    <w:p>
      <w:pPr>
        <w:pStyle w:val="TextBody"/>
        <w:bidi w:val="0"/>
        <w:spacing w:before="240" w:after="0"/>
        <w:jc w:val="left"/>
        <w:rPr>
          <w:rFonts w:ascii="Times New Roman" w:hAnsi="Times New Roman"/>
          <w:sz w:val="20"/>
        </w:rPr>
      </w:pPr>
      <w:r>
        <w:rPr>
          <w:rFonts w:ascii="Times New Roman" w:hAnsi="Times New Roman"/>
          <w:sz w:val="20"/>
        </w:rPr>
        <w:t xml:space="preserve">(j) (i) WESCO, Holdings or any of their respective Subsidiaries shall fail to pay any principal of or premium or interest on any of its Debt that is outstanding in a principal amount of at least $100,000,000 in the aggregate when the same becomes due and payable (whether by scheduled maturity, required prepayment, acceleration, demand or otherwise), and such failure shall continue after the giving of any required notice and the expiration of any grace period specified in the agreement, mortgage, indenture or instrument relating to such Debt (and shall have not been waived); or (ii) any other event shall occur or condition shall exist under any agreement, mortgage, indenture or instrument relating to any such Debt and shall continue after the giving of any required notice and the expiration of any grace period specified in such agreement, mortgage, indenture or instrument (and shall have not been waived), if, in either case: (a) the effect of such non-payment, event or condition is to give the applicable debtholders the right (whether acted upon or not) to accelerate the maturity of such Debt, or (b) any such Debt shall be declared to be due and payable, or required to be prepaid (other than by a regularly scheduled required prepayment), redeemed, purchased or defeased, or an offer to repay, redeem, purchase or defease such Debt shall be required to be made, in each case before the stated maturity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either: (i) a contribution failure shall occur with respect to any Benefit Plan sufficient to give rise to a lien under Section 303(k) of ERISA, and such failure could reasonably be expected to result in a Material Adverse Effect, (ii) the Internal Revenue Service shall file a notice of lien asserting (1) a claim or claims pursuant to the Internal Revenue Code with regard to any of the assets of Seller or (2) a claim or claims pursuant to the Internal Revenue Code with regard to any of the assets of any Originator, WESCO, Holdings or any ERISA Affiliate, and in each case such lien could reasonably be expected to result in a Material Adverse Effect and shall have been filed and not released within 10 days, or (iii) the Pension Benefit Guaranty Corporation shall, or shall indicate its intention in writing to the Seller, any Originator, WESCO, Holdings or any ERISA Affiliate to, either file a notice of lien asserting a claim pursuant to ERISA with regard to any assets of the Seller, any Originator, WESCO, Holdings or any ERISA Affiliate or terminate any Benefit Plan that has unfunded benefit liabilities, or any steps shall have been taken to terminate any Benefit Plan subject to Title IV of ERISA, in each case, as could reasonably be expected to result in a Material Adverse Effect and such lien shall have been filed and not released within 10 days; </w:t>
      </w:r>
    </w:p>
    <w:p>
      <w:pPr>
        <w:pStyle w:val="TextBody"/>
        <w:bidi w:val="0"/>
        <w:spacing w:before="240" w:after="0"/>
        <w:jc w:val="left"/>
        <w:rPr>
          <w:rFonts w:ascii="Times New Roman" w:hAnsi="Times New Roman"/>
          <w:sz w:val="20"/>
        </w:rPr>
      </w:pPr>
      <w:r>
        <w:rPr>
          <w:rFonts w:ascii="Times New Roman" w:hAnsi="Times New Roman"/>
          <w:sz w:val="20"/>
        </w:rPr>
        <w:t xml:space="preserve">(l) (i) one or more final judgments for the payment of money shall be entered against the Seller or (ii) one or more final judgments for the payment of money in an amount in excess of $100,000,000, individually or in the aggregate, shall be entered against the Servicer on claims not covered by insurance or as to which the insurance carrier has denied its responsibility, and such judgment shall continue unsatisfied and in effect for sixty (60) consecutive days without a stay of execution; </w:t>
      </w:r>
    </w:p>
    <w:p>
      <w:pPr>
        <w:pStyle w:val="TextBody"/>
        <w:bidi w:val="0"/>
        <w:spacing w:before="240" w:after="0"/>
        <w:jc w:val="left"/>
        <w:rPr>
          <w:rFonts w:ascii="Times New Roman" w:hAnsi="Times New Roman"/>
          <w:sz w:val="20"/>
        </w:rPr>
      </w:pPr>
      <w:r>
        <w:rPr>
          <w:rFonts w:ascii="Times New Roman" w:hAnsi="Times New Roman"/>
          <w:sz w:val="20"/>
        </w:rPr>
        <w:t>(m) the “</w:t>
      </w:r>
      <w:r>
        <w:rPr>
          <w:rFonts w:ascii="Times New Roman" w:hAnsi="Times New Roman"/>
          <w:sz w:val="20"/>
          <w:u w:val="single"/>
        </w:rPr>
        <w:t>Purchase and Sale Termination Date</w:t>
      </w:r>
      <w:r>
        <w:rPr>
          <w:rFonts w:ascii="Times New Roman" w:hAnsi="Times New Roman"/>
          <w:sz w:val="20"/>
        </w:rPr>
        <w:t xml:space="preserve">” under and as defined in the Sale Agreement shall occur under the Sale Agreement or any Originator shall for any reason cease to transfer, or cease to have the legal capacity to transfer, or otherwise be incapable of transferring Receivables to the Seller under the Sale Agreement; </w:t>
      </w:r>
    </w:p>
    <w:p>
      <w:pPr>
        <w:pStyle w:val="TextBody"/>
        <w:bidi w:val="0"/>
        <w:spacing w:before="240" w:after="0"/>
        <w:jc w:val="left"/>
        <w:rPr>
          <w:rFonts w:ascii="Times New Roman" w:hAnsi="Times New Roman"/>
          <w:sz w:val="20"/>
        </w:rPr>
      </w:pPr>
      <w:r>
        <w:rPr>
          <w:rFonts w:ascii="Times New Roman" w:hAnsi="Times New Roman"/>
          <w:sz w:val="20"/>
        </w:rPr>
        <w:t>(n) to the extent that a Fixed Charge Coverage Trigger Event shall have occurred, the Fixed Charge Coverage Ratio shall be less than 1.0 to 1.0 (i) as of the last day of the fiscal quarter of Holdings which has ended immediately prior to such Fixed Charge Coverage Trigger Event and for which financial statements are available or are required to be delivered hereunder (the “</w:t>
      </w:r>
      <w:r>
        <w:rPr>
          <w:rFonts w:ascii="Times New Roman" w:hAnsi="Times New Roman"/>
          <w:sz w:val="20"/>
          <w:u w:val="single"/>
        </w:rPr>
        <w:t>Initial Test Date</w:t>
      </w:r>
      <w:r>
        <w:rPr>
          <w:rFonts w:ascii="Times New Roman" w:hAnsi="Times New Roman"/>
          <w:sz w:val="20"/>
        </w:rPr>
        <w:t xml:space="preserve">”) and (ii) as of the last day of each fiscal quarter ending after such Initial Test Date until the Fixed Charge Coverage Trigger Period shall no longer be continuing. For purposes of this </w:t>
      </w:r>
      <w:r>
        <w:rPr>
          <w:rFonts w:ascii="Times New Roman" w:hAnsi="Times New Roman"/>
          <w:sz w:val="20"/>
          <w:u w:val="single"/>
        </w:rPr>
        <w:t>clause (n)</w:t>
      </w:r>
      <w:r>
        <w:rPr>
          <w:rFonts w:ascii="Times New Roman" w:hAnsi="Times New Roman"/>
          <w:sz w:val="20"/>
        </w:rPr>
        <w:t xml:space="preserve">, unless otherwise defined in this Agreement, terms used herein (including all defined terms used within such terms) shall have the respective meaning assigned to such terms in the Credit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in the event the Credit Agreement is terminated or such defined terms are no longer used in the Credit Agreement, the respective meaning assigned to such terms immediately preceding such termination or non-usage shall be used for purposes of this Agreement and (ii) if, after the Ninth Amendment Date, the covenant level set forth in Section 6.12 of the Credit Agreement (or any of the defined terms used in connection with such covenant) is amended, modified or waived, it shall, for all purposes of this Agreement similarly be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modified or waived, upon the Seller’s delivery of (A) a notice of such an amendment to the Credit Agreement (which notice shall enclose a copy of such amendment to the Credit Agreement) to the Administrator and each Purchaser not later than 30 days after the effectiveness of such amendment and (B) a certification that each of the following conditions were satisfied at the time of such Credit Agreement amendment: (x) the Majority Purchasers (without giving effect to the proviso in the definition of “Majority Purchasers”) or their Affiliates and the Administrator were a party to the Credit Agreement, (y) such amendment, modification or waiver was consummated in accordance with the terms of the Credit Agreement and (z) the Majority Purchasers (without giving effect to the proviso in the definition of “Majority Purchasers”) or their Affiliates and the Administrator consented to such amendment, modification or waiver pursuant to the Credit Agreement; or </w:t>
      </w:r>
    </w:p>
    <w:p>
      <w:pPr>
        <w:pStyle w:val="TextBody"/>
        <w:bidi w:val="0"/>
        <w:spacing w:before="240" w:after="0"/>
        <w:jc w:val="left"/>
        <w:rPr>
          <w:rFonts w:ascii="Times New Roman" w:hAnsi="Times New Roman"/>
          <w:sz w:val="20"/>
        </w:rPr>
      </w:pPr>
      <w:r>
        <w:rPr>
          <w:rFonts w:ascii="Times New Roman" w:hAnsi="Times New Roman"/>
          <w:sz w:val="20"/>
        </w:rPr>
        <w:t xml:space="preserve">(o) either (i) a “Change of Control” (as defined in the Credit Agreement) occurs with respect to Holdings or (ii) Holdings breaches or defaults in respect of its negative covenant set forth in </w:t>
      </w:r>
      <w:r>
        <w:rPr>
          <w:rFonts w:ascii="Times New Roman" w:hAnsi="Times New Roman"/>
          <w:sz w:val="20"/>
          <w:u w:val="single"/>
        </w:rPr>
        <w:t>Section 6.03(c)</w:t>
      </w:r>
      <w:r>
        <w:rPr>
          <w:rFonts w:ascii="Times New Roman" w:hAnsi="Times New Roman"/>
          <w:sz w:val="20"/>
        </w:rPr>
        <w:t xml:space="preserve"> of the Credit Agreement, in each case, subject to any applicable grace periods set forth in the Credit Agreement with respect thereto. For purposes of this </w:t>
      </w:r>
      <w:r>
        <w:rPr>
          <w:rFonts w:ascii="Times New Roman" w:hAnsi="Times New Roman"/>
          <w:sz w:val="20"/>
          <w:u w:val="single"/>
        </w:rPr>
        <w:t>clause (o)</w:t>
      </w:r>
      <w:r>
        <w:rPr>
          <w:rFonts w:ascii="Times New Roman" w:hAnsi="Times New Roman"/>
          <w:sz w:val="20"/>
        </w:rPr>
        <w:t xml:space="preserve">, terms used and covenant levels provided for in the Credit Agreement (including all defined terms used within such terms) shall have the respective meaning assigned to such terms and the covenant levels provided for, in each case, in the Credit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in the event the Credit Agreement is terminated or such defined terms are no longer used in the Credit Agreement, the respective meaning assigned to such terms immediately preceding such termination or non-usage shall be used for purposes of this Agreement and (ii) if, after the Ninth Amendment Date, the defined term “Change of Control” or the covenant set forth in Section 6.03(c) of the Credit Agreement (or any of the defined terms used in connection with such covenant) is amended, modified or waived, then for all purposes of this Agreement </w:t>
      </w:r>
      <w:r>
        <w:rPr>
          <w:rFonts w:ascii="Times New Roman" w:hAnsi="Times New Roman"/>
          <w:sz w:val="20"/>
          <w:u w:val="single"/>
        </w:rPr>
        <w:t>clause (o)</w:t>
      </w:r>
      <w:r>
        <w:rPr>
          <w:rFonts w:ascii="Times New Roman" w:hAnsi="Times New Roman"/>
          <w:sz w:val="20"/>
        </w:rPr>
        <w:t xml:space="preserve"> shall similarly be amended, modified or waived, upon the Seller’s delivery of (A) a notice of such an amendment to the Credit Agreement (which notice shall enclose a copy of such amendment to the Credit Agreement) to the Administrator and each Purchaser not later than 30 days after the effectiveness of such amendment and (B) a certification that each of the following conditions were satisfied at the time of such Credit Agreement amendment: (x) the Majority Purchasers (without giving effect to the proviso in the definition of “Majority Purchasers”) or their Affiliates and the Administrator were a party to the Credit Agreement, (y) such amendment, modification or waiver was consummated in accordance with the terms of the Credit Agreement and (z) the Majority Purchasers (without giving effect to the proviso in the definition of “Majority Purchasers”) or their Affiliates and the Administrator consented to such amendment, modification or waiver pursuant to the Credit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p>
    <w:p>
      <w:pPr>
        <w:pStyle w:val="TextBody"/>
        <w:bidi w:val="0"/>
        <w:spacing w:before="240" w:after="0"/>
        <w:jc w:val="center"/>
        <w:rPr>
          <w:rFonts w:ascii="Times New Roman" w:hAnsi="Times New Roman"/>
          <w:sz w:val="20"/>
        </w:rPr>
      </w:pPr>
      <w:r>
        <w:rPr>
          <w:rFonts w:ascii="Times New Roman" w:hAnsi="Times New Roman"/>
          <w:sz w:val="20"/>
        </w:rPr>
        <w:t xml:space="preserve">CREDIT AND COLLECTION POLICY </w:t>
      </w:r>
    </w:p>
    <w:p>
      <w:pPr>
        <w:pStyle w:val="TextBody"/>
        <w:bidi w:val="0"/>
        <w:spacing w:before="240" w:after="0"/>
        <w:jc w:val="center"/>
        <w:rPr>
          <w:rFonts w:ascii="Times New Roman" w:hAnsi="Times New Roman"/>
          <w:sz w:val="20"/>
        </w:rPr>
      </w:pPr>
      <w:r>
        <w:rPr>
          <w:rFonts w:ascii="Times New Roman" w:hAnsi="Times New Roman"/>
          <w:sz w:val="20"/>
        </w:rPr>
        <w:t xml:space="preserve">On File With: </w:t>
      </w:r>
    </w:p>
    <w:p>
      <w:pPr>
        <w:pStyle w:val="TextBody"/>
        <w:bidi w:val="0"/>
        <w:spacing w:before="120" w:after="0"/>
        <w:jc w:val="center"/>
        <w:rPr>
          <w:rFonts w:ascii="Times New Roman" w:hAnsi="Times New Roman"/>
          <w:sz w:val="20"/>
        </w:rPr>
      </w:pPr>
      <w:r>
        <w:rPr>
          <w:rFonts w:ascii="Times New Roman" w:hAnsi="Times New Roman"/>
          <w:sz w:val="20"/>
        </w:rPr>
        <w:t xml:space="preserve">WESCO Receivables Corp. </w:t>
      </w:r>
    </w:p>
    <w:p>
      <w:pPr>
        <w:pStyle w:val="TextBody"/>
        <w:bidi w:val="0"/>
        <w:spacing w:before="240" w:after="0"/>
        <w:jc w:val="center"/>
        <w:rPr>
          <w:rFonts w:ascii="Times New Roman" w:hAnsi="Times New Roman"/>
          <w:sz w:val="20"/>
        </w:rPr>
      </w:pPr>
      <w:r>
        <w:rPr>
          <w:rFonts w:ascii="Times New Roman" w:hAnsi="Times New Roman"/>
          <w:sz w:val="20"/>
        </w:rPr>
        <w:t xml:space="preserve">225 West Station Square Drive, Suite 700 </w:t>
      </w:r>
    </w:p>
    <w:p>
      <w:pPr>
        <w:pStyle w:val="TextBody"/>
        <w:bidi w:val="0"/>
        <w:spacing w:before="0" w:after="0"/>
        <w:jc w:val="center"/>
        <w:rPr>
          <w:rFonts w:ascii="Times New Roman" w:hAnsi="Times New Roman"/>
          <w:sz w:val="20"/>
        </w:rPr>
      </w:pPr>
      <w:r>
        <w:rPr>
          <w:rFonts w:ascii="Times New Roman" w:hAnsi="Times New Roman"/>
          <w:sz w:val="20"/>
        </w:rPr>
        <w:t xml:space="preserve">Pittsburgh, PA 15219 </w:t>
      </w:r>
    </w:p>
    <w:p>
      <w:pPr>
        <w:pStyle w:val="TextBody"/>
        <w:bidi w:val="0"/>
        <w:spacing w:before="0" w:after="0"/>
        <w:jc w:val="center"/>
        <w:rPr>
          <w:rFonts w:ascii="Times New Roman" w:hAnsi="Times New Roman"/>
          <w:sz w:val="20"/>
        </w:rPr>
      </w:pPr>
      <w:r>
        <w:rPr>
          <w:rFonts w:ascii="Times New Roman" w:hAnsi="Times New Roman"/>
          <w:sz w:val="20"/>
        </w:rPr>
        <w:t xml:space="preserve">Attn: Treasurer </w:t>
      </w:r>
    </w:p>
    <w:p>
      <w:pPr>
        <w:pStyle w:val="TextBody"/>
        <w:bidi w:val="0"/>
        <w:spacing w:before="0" w:after="0"/>
        <w:jc w:val="center"/>
        <w:rPr>
          <w:rFonts w:ascii="Times New Roman" w:hAnsi="Times New Roman"/>
          <w:sz w:val="20"/>
        </w:rPr>
      </w:pPr>
      <w:r>
        <w:rPr>
          <w:rFonts w:ascii="Times New Roman" w:hAnsi="Times New Roman"/>
          <w:sz w:val="20"/>
        </w:rPr>
        <w:t xml:space="preserve">Telephone: (412) 454-2374 </w:t>
      </w:r>
    </w:p>
    <w:p>
      <w:pPr>
        <w:pStyle w:val="TextBody"/>
        <w:bidi w:val="0"/>
        <w:spacing w:before="0" w:after="0"/>
        <w:jc w:val="center"/>
        <w:rPr>
          <w:rFonts w:ascii="Times New Roman" w:hAnsi="Times New Roman"/>
          <w:sz w:val="20"/>
        </w:rPr>
      </w:pPr>
      <w:r>
        <w:rPr>
          <w:rFonts w:ascii="Times New Roman" w:hAnsi="Times New Roman"/>
          <w:sz w:val="20"/>
        </w:rPr>
        <w:t xml:space="preserve">Facsimile: (412) 454-2515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II </w:t>
      </w:r>
    </w:p>
    <w:p>
      <w:pPr>
        <w:pStyle w:val="TextBody"/>
        <w:bidi w:val="0"/>
        <w:spacing w:before="240" w:after="0"/>
        <w:jc w:val="center"/>
        <w:rPr>
          <w:rFonts w:ascii="Times New Roman" w:hAnsi="Times New Roman"/>
          <w:sz w:val="20"/>
        </w:rPr>
      </w:pPr>
      <w:r>
        <w:rPr>
          <w:rFonts w:ascii="Times New Roman" w:hAnsi="Times New Roman"/>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III </w:t>
      </w:r>
    </w:p>
    <w:p>
      <w:pPr>
        <w:pStyle w:val="TextBody"/>
        <w:bidi w:val="0"/>
        <w:spacing w:before="240" w:after="0"/>
        <w:jc w:val="center"/>
        <w:rPr>
          <w:rFonts w:ascii="Times New Roman" w:hAnsi="Times New Roman"/>
          <w:sz w:val="20"/>
        </w:rPr>
      </w:pPr>
      <w:r>
        <w:rPr>
          <w:rFonts w:ascii="Times New Roman" w:hAnsi="Times New Roman"/>
          <w:sz w:val="20"/>
        </w:rPr>
        <w:t xml:space="preserve">TRADE NAMES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IV </w:t>
      </w:r>
    </w:p>
    <w:p>
      <w:pPr>
        <w:pStyle w:val="TextBody"/>
        <w:bidi w:val="0"/>
        <w:spacing w:before="240" w:after="0"/>
        <w:jc w:val="center"/>
        <w:rPr>
          <w:rFonts w:ascii="Times New Roman" w:hAnsi="Times New Roman"/>
          <w:sz w:val="20"/>
        </w:rPr>
      </w:pPr>
      <w:r>
        <w:rPr>
          <w:rFonts w:ascii="Times New Roman" w:hAnsi="Times New Roman"/>
          <w:sz w:val="20"/>
        </w:rPr>
        <w:t xml:space="preserve">NOTICE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WESCO RECEIVABLES CORP., </w:t>
      </w:r>
    </w:p>
    <w:p>
      <w:pPr>
        <w:pStyle w:val="TextBody"/>
        <w:bidi w:val="0"/>
        <w:spacing w:before="0" w:after="0"/>
        <w:jc w:val="left"/>
        <w:rPr>
          <w:rFonts w:ascii="Times New Roman" w:hAnsi="Times New Roman"/>
          <w:sz w:val="20"/>
        </w:rPr>
      </w:pPr>
      <w:r>
        <w:rPr>
          <w:rFonts w:ascii="Times New Roman" w:hAnsi="Times New Roman"/>
          <w:sz w:val="20"/>
        </w:rPr>
        <w:t xml:space="preserve">as Seller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225 West Station Square Drive </w:t>
      </w:r>
    </w:p>
    <w:p>
      <w:pPr>
        <w:pStyle w:val="TextBody"/>
        <w:bidi w:val="0"/>
        <w:spacing w:before="0" w:after="0"/>
        <w:jc w:val="left"/>
        <w:rPr>
          <w:rFonts w:ascii="Times New Roman" w:hAnsi="Times New Roman"/>
          <w:sz w:val="20"/>
        </w:rPr>
      </w:pPr>
      <w:r>
        <w:rPr>
          <w:rFonts w:ascii="Times New Roman" w:hAnsi="Times New Roman"/>
          <w:sz w:val="20"/>
        </w:rPr>
        <w:t xml:space="preserve">Suite 700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15219 </w:t>
      </w:r>
    </w:p>
    <w:p>
      <w:pPr>
        <w:pStyle w:val="TextBody"/>
        <w:bidi w:val="0"/>
        <w:spacing w:before="0" w:after="0"/>
        <w:jc w:val="left"/>
        <w:rPr>
          <w:rFonts w:ascii="Times New Roman" w:hAnsi="Times New Roman"/>
          <w:sz w:val="20"/>
        </w:rPr>
      </w:pPr>
      <w:r>
        <w:rPr>
          <w:rFonts w:ascii="Times New Roman" w:hAnsi="Times New Roman"/>
          <w:sz w:val="20"/>
        </w:rPr>
        <w:t xml:space="preserve">Attention: Treasurer </w:t>
      </w:r>
    </w:p>
    <w:p>
      <w:pPr>
        <w:pStyle w:val="TextBody"/>
        <w:bidi w:val="0"/>
        <w:spacing w:before="0" w:after="0"/>
        <w:jc w:val="left"/>
        <w:rPr>
          <w:rFonts w:ascii="Times New Roman" w:hAnsi="Times New Roman"/>
          <w:sz w:val="20"/>
        </w:rPr>
      </w:pPr>
      <w:r>
        <w:rPr>
          <w:rFonts w:ascii="Times New Roman" w:hAnsi="Times New Roman"/>
          <w:sz w:val="20"/>
        </w:rPr>
        <w:t xml:space="preserve">Telephone: (412) 454-2374 </w:t>
      </w:r>
    </w:p>
    <w:p>
      <w:pPr>
        <w:pStyle w:val="TextBody"/>
        <w:bidi w:val="0"/>
        <w:spacing w:before="0" w:after="0"/>
        <w:jc w:val="left"/>
        <w:rPr>
          <w:rFonts w:ascii="Times New Roman" w:hAnsi="Times New Roman"/>
          <w:sz w:val="20"/>
        </w:rPr>
      </w:pPr>
      <w:r>
        <w:rPr>
          <w:rFonts w:ascii="Times New Roman" w:hAnsi="Times New Roman"/>
          <w:sz w:val="20"/>
        </w:rPr>
        <w:t xml:space="preserve">Facsimile: (412) 222-7427 </w:t>
      </w:r>
    </w:p>
    <w:p>
      <w:pPr>
        <w:pStyle w:val="TextBody"/>
        <w:bidi w:val="0"/>
        <w:spacing w:before="240" w:after="0"/>
        <w:jc w:val="left"/>
        <w:rPr>
          <w:rFonts w:ascii="Times New Roman" w:hAnsi="Times New Roman"/>
          <w:sz w:val="20"/>
        </w:rPr>
      </w:pPr>
      <w:r>
        <w:rPr>
          <w:rFonts w:ascii="Times New Roman" w:hAnsi="Times New Roman"/>
          <w:sz w:val="20"/>
        </w:rPr>
        <w:t xml:space="preserve">WESCO DISTRIBUTION, INC., </w:t>
      </w:r>
    </w:p>
    <w:p>
      <w:pPr>
        <w:pStyle w:val="TextBody"/>
        <w:bidi w:val="0"/>
        <w:spacing w:before="0" w:after="0"/>
        <w:jc w:val="left"/>
        <w:rPr>
          <w:rFonts w:ascii="Times New Roman" w:hAnsi="Times New Roman"/>
          <w:sz w:val="20"/>
        </w:rPr>
      </w:pPr>
      <w:r>
        <w:rPr>
          <w:rFonts w:ascii="Times New Roman" w:hAnsi="Times New Roman"/>
          <w:sz w:val="20"/>
        </w:rPr>
        <w:t xml:space="preserve">as Servicer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225 West Station Square Drive </w:t>
      </w:r>
    </w:p>
    <w:p>
      <w:pPr>
        <w:pStyle w:val="TextBody"/>
        <w:bidi w:val="0"/>
        <w:spacing w:before="0" w:after="0"/>
        <w:jc w:val="left"/>
        <w:rPr>
          <w:rFonts w:ascii="Times New Roman" w:hAnsi="Times New Roman"/>
          <w:sz w:val="20"/>
        </w:rPr>
      </w:pPr>
      <w:r>
        <w:rPr>
          <w:rFonts w:ascii="Times New Roman" w:hAnsi="Times New Roman"/>
          <w:sz w:val="20"/>
        </w:rPr>
        <w:t xml:space="preserve">Suite 700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15219 </w:t>
      </w:r>
    </w:p>
    <w:p>
      <w:pPr>
        <w:pStyle w:val="TextBody"/>
        <w:bidi w:val="0"/>
        <w:spacing w:before="0" w:after="0"/>
        <w:jc w:val="left"/>
        <w:rPr>
          <w:rFonts w:ascii="Times New Roman" w:hAnsi="Times New Roman"/>
          <w:sz w:val="20"/>
        </w:rPr>
      </w:pPr>
      <w:r>
        <w:rPr>
          <w:rFonts w:ascii="Times New Roman" w:hAnsi="Times New Roman"/>
          <w:sz w:val="20"/>
        </w:rPr>
        <w:t xml:space="preserve">Attention: Treasurer </w:t>
      </w:r>
    </w:p>
    <w:p>
      <w:pPr>
        <w:pStyle w:val="TextBody"/>
        <w:bidi w:val="0"/>
        <w:spacing w:before="0" w:after="0"/>
        <w:jc w:val="left"/>
        <w:rPr>
          <w:rFonts w:ascii="Times New Roman" w:hAnsi="Times New Roman"/>
          <w:sz w:val="20"/>
        </w:rPr>
      </w:pPr>
      <w:r>
        <w:rPr>
          <w:rFonts w:ascii="Times New Roman" w:hAnsi="Times New Roman"/>
          <w:sz w:val="20"/>
        </w:rPr>
        <w:t xml:space="preserve">Telephone: (412) 454-2374 </w:t>
      </w:r>
    </w:p>
    <w:p>
      <w:pPr>
        <w:pStyle w:val="TextBody"/>
        <w:bidi w:val="0"/>
        <w:spacing w:before="0" w:after="0"/>
        <w:jc w:val="left"/>
        <w:rPr>
          <w:rFonts w:ascii="Times New Roman" w:hAnsi="Times New Roman"/>
          <w:sz w:val="20"/>
        </w:rPr>
      </w:pPr>
      <w:r>
        <w:rPr>
          <w:rFonts w:ascii="Times New Roman" w:hAnsi="Times New Roman"/>
          <w:sz w:val="20"/>
        </w:rPr>
        <w:t xml:space="preserve">Facsimile: (412) 222-7427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Administrator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The Tower at PNC Plaza </w:t>
      </w:r>
    </w:p>
    <w:p>
      <w:pPr>
        <w:pStyle w:val="TextBody"/>
        <w:bidi w:val="0"/>
        <w:spacing w:before="0" w:after="0"/>
        <w:jc w:val="left"/>
        <w:rPr>
          <w:rFonts w:ascii="Times New Roman" w:hAnsi="Times New Roman"/>
          <w:sz w:val="20"/>
        </w:rPr>
      </w:pPr>
      <w:r>
        <w:rPr>
          <w:rFonts w:ascii="Times New Roman" w:hAnsi="Times New Roman"/>
          <w:sz w:val="20"/>
        </w:rPr>
        <w:t xml:space="preserve">300 Fifth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 </w:t>
      </w:r>
    </w:p>
    <w:p>
      <w:pPr>
        <w:pStyle w:val="TextBody"/>
        <w:bidi w:val="0"/>
        <w:spacing w:before="0" w:after="0"/>
        <w:jc w:val="left"/>
        <w:rPr>
          <w:rFonts w:ascii="Times New Roman" w:hAnsi="Times New Roman"/>
          <w:sz w:val="20"/>
        </w:rPr>
      </w:pPr>
      <w:r>
        <w:rPr>
          <w:rFonts w:ascii="Times New Roman" w:hAnsi="Times New Roman"/>
          <w:sz w:val="20"/>
        </w:rPr>
        <w:t xml:space="preserve">Attention: Tony Stahley </w:t>
      </w:r>
    </w:p>
    <w:p>
      <w:pPr>
        <w:pStyle w:val="TextBody"/>
        <w:bidi w:val="0"/>
        <w:spacing w:before="0" w:after="0"/>
        <w:jc w:val="left"/>
        <w:rPr>
          <w:rFonts w:ascii="Times New Roman" w:hAnsi="Times New Roman"/>
          <w:sz w:val="20"/>
        </w:rPr>
      </w:pPr>
      <w:r>
        <w:rPr>
          <w:rFonts w:ascii="Times New Roman" w:hAnsi="Times New Roman"/>
          <w:sz w:val="20"/>
        </w:rPr>
        <w:t xml:space="preserve">Telephone No.: (412) 768-2266 </w:t>
      </w:r>
    </w:p>
    <w:p>
      <w:pPr>
        <w:pStyle w:val="TextBody"/>
        <w:bidi w:val="0"/>
        <w:spacing w:before="0" w:after="0"/>
        <w:jc w:val="left"/>
        <w:rPr>
          <w:rFonts w:ascii="Times New Roman" w:hAnsi="Times New Roman"/>
          <w:sz w:val="20"/>
        </w:rPr>
      </w:pPr>
      <w:r>
        <w:rPr>
          <w:rFonts w:ascii="Times New Roman" w:hAnsi="Times New Roman"/>
          <w:sz w:val="20"/>
        </w:rPr>
        <w:t xml:space="preserve">Facsimile No.: (412) 803-7142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Purchaser Agent for PNC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The Tower at PNC Plaza </w:t>
      </w:r>
    </w:p>
    <w:p>
      <w:pPr>
        <w:pStyle w:val="TextBody"/>
        <w:bidi w:val="0"/>
        <w:spacing w:before="0" w:after="0"/>
        <w:jc w:val="left"/>
        <w:rPr>
          <w:rFonts w:ascii="Times New Roman" w:hAnsi="Times New Roman"/>
          <w:sz w:val="20"/>
        </w:rPr>
      </w:pPr>
      <w:r>
        <w:rPr>
          <w:rFonts w:ascii="Times New Roman" w:hAnsi="Times New Roman"/>
          <w:sz w:val="20"/>
        </w:rPr>
        <w:t xml:space="preserve">300 Fifth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 </w:t>
      </w:r>
    </w:p>
    <w:p>
      <w:pPr>
        <w:pStyle w:val="TextBody"/>
        <w:bidi w:val="0"/>
        <w:spacing w:before="0" w:after="0"/>
        <w:jc w:val="left"/>
        <w:rPr>
          <w:rFonts w:ascii="Times New Roman" w:hAnsi="Times New Roman"/>
          <w:sz w:val="20"/>
        </w:rPr>
      </w:pPr>
      <w:r>
        <w:rPr>
          <w:rFonts w:ascii="Times New Roman" w:hAnsi="Times New Roman"/>
          <w:sz w:val="20"/>
        </w:rPr>
        <w:t xml:space="preserve">Attention: Tony Stahley </w:t>
      </w:r>
    </w:p>
    <w:p>
      <w:pPr>
        <w:pStyle w:val="TextBody"/>
        <w:bidi w:val="0"/>
        <w:spacing w:before="0" w:after="0"/>
        <w:jc w:val="left"/>
        <w:rPr>
          <w:rFonts w:ascii="Times New Roman" w:hAnsi="Times New Roman"/>
          <w:sz w:val="20"/>
        </w:rPr>
      </w:pPr>
      <w:r>
        <w:rPr>
          <w:rFonts w:ascii="Times New Roman" w:hAnsi="Times New Roman"/>
          <w:sz w:val="20"/>
        </w:rPr>
        <w:t xml:space="preserve">Telephone No.: (412) 768-2266 </w:t>
      </w:r>
    </w:p>
    <w:p>
      <w:pPr>
        <w:pStyle w:val="TextBody"/>
        <w:bidi w:val="0"/>
        <w:spacing w:before="0" w:after="0"/>
        <w:jc w:val="left"/>
        <w:rPr>
          <w:rFonts w:ascii="Times New Roman" w:hAnsi="Times New Roman"/>
          <w:sz w:val="20"/>
        </w:rPr>
      </w:pPr>
      <w:r>
        <w:rPr>
          <w:rFonts w:ascii="Times New Roman" w:hAnsi="Times New Roman"/>
          <w:sz w:val="20"/>
        </w:rPr>
        <w:t xml:space="preserve">Facsimile No.: (412) 803-7142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PNC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The Tower at PNC Plaza </w:t>
      </w:r>
    </w:p>
    <w:p>
      <w:pPr>
        <w:pStyle w:val="TextBody"/>
        <w:bidi w:val="0"/>
        <w:spacing w:before="0" w:after="0"/>
        <w:jc w:val="left"/>
        <w:rPr>
          <w:rFonts w:ascii="Times New Roman" w:hAnsi="Times New Roman"/>
          <w:sz w:val="20"/>
        </w:rPr>
      </w:pPr>
      <w:r>
        <w:rPr>
          <w:rFonts w:ascii="Times New Roman" w:hAnsi="Times New Roman"/>
          <w:sz w:val="20"/>
        </w:rPr>
        <w:t xml:space="preserve">300 Fifth Avenue, 11th Floor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 </w:t>
      </w:r>
    </w:p>
    <w:p>
      <w:pPr>
        <w:pStyle w:val="TextBody"/>
        <w:bidi w:val="0"/>
        <w:spacing w:before="0" w:after="0"/>
        <w:jc w:val="left"/>
        <w:rPr>
          <w:rFonts w:ascii="Times New Roman" w:hAnsi="Times New Roman"/>
          <w:sz w:val="20"/>
        </w:rPr>
      </w:pPr>
      <w:r>
        <w:rPr>
          <w:rFonts w:ascii="Times New Roman" w:hAnsi="Times New Roman"/>
          <w:sz w:val="20"/>
        </w:rPr>
        <w:t xml:space="preserve">Attention: Tony Stahley </w:t>
      </w:r>
    </w:p>
    <w:p>
      <w:pPr>
        <w:pStyle w:val="TextBody"/>
        <w:bidi w:val="0"/>
        <w:spacing w:before="0" w:after="0"/>
        <w:jc w:val="left"/>
        <w:rPr>
          <w:rFonts w:ascii="Times New Roman" w:hAnsi="Times New Roman"/>
          <w:sz w:val="20"/>
        </w:rPr>
      </w:pPr>
      <w:r>
        <w:rPr>
          <w:rFonts w:ascii="Times New Roman" w:hAnsi="Times New Roman"/>
          <w:sz w:val="20"/>
        </w:rPr>
        <w:t xml:space="preserve">Telephone No.: (412) 768-2266 </w:t>
      </w:r>
    </w:p>
    <w:p>
      <w:pPr>
        <w:pStyle w:val="TextBody"/>
        <w:bidi w:val="0"/>
        <w:spacing w:before="0" w:after="0"/>
        <w:jc w:val="left"/>
        <w:rPr>
          <w:rFonts w:ascii="Times New Roman" w:hAnsi="Times New Roman"/>
          <w:sz w:val="20"/>
        </w:rPr>
      </w:pPr>
      <w:r>
        <w:rPr>
          <w:rFonts w:ascii="Times New Roman" w:hAnsi="Times New Roman"/>
          <w:sz w:val="20"/>
        </w:rPr>
        <w:t xml:space="preserve">Facsimile No.: (412) 803-7142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WELLS FARGO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Wells Fargo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1100 Abernathy Rd NE </w:t>
      </w:r>
    </w:p>
    <w:p>
      <w:pPr>
        <w:pStyle w:val="TextBody"/>
        <w:bidi w:val="0"/>
        <w:spacing w:before="0" w:after="0"/>
        <w:jc w:val="left"/>
        <w:rPr>
          <w:rFonts w:ascii="Times New Roman" w:hAnsi="Times New Roman"/>
          <w:sz w:val="20"/>
        </w:rPr>
      </w:pPr>
      <w:r>
        <w:rPr>
          <w:rFonts w:ascii="Times New Roman" w:hAnsi="Times New Roman"/>
          <w:sz w:val="20"/>
        </w:rPr>
        <w:t xml:space="preserve">Suite 1400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30328 </w:t>
      </w:r>
    </w:p>
    <w:p>
      <w:pPr>
        <w:pStyle w:val="TextBody"/>
        <w:bidi w:val="0"/>
        <w:spacing w:before="0" w:after="0"/>
        <w:jc w:val="left"/>
        <w:rPr>
          <w:rFonts w:ascii="Times New Roman" w:hAnsi="Times New Roman"/>
          <w:sz w:val="20"/>
        </w:rPr>
      </w:pPr>
      <w:r>
        <w:rPr>
          <w:rFonts w:ascii="Times New Roman" w:hAnsi="Times New Roman"/>
          <w:sz w:val="20"/>
        </w:rPr>
        <w:t xml:space="preserve">Attention: Charles Liles </w:t>
      </w:r>
    </w:p>
    <w:p>
      <w:pPr>
        <w:pStyle w:val="TextBody"/>
        <w:bidi w:val="0"/>
        <w:spacing w:before="0" w:after="0"/>
        <w:jc w:val="left"/>
        <w:rPr>
          <w:rFonts w:ascii="Times New Roman" w:hAnsi="Times New Roman"/>
          <w:sz w:val="20"/>
        </w:rPr>
      </w:pPr>
      <w:r>
        <w:rPr>
          <w:rFonts w:ascii="Times New Roman" w:hAnsi="Times New Roman"/>
          <w:sz w:val="20"/>
        </w:rPr>
        <w:t xml:space="preserve">Telephone: (770) 508-2132 </w:t>
      </w:r>
    </w:p>
    <w:p>
      <w:pPr>
        <w:pStyle w:val="TextBody"/>
        <w:bidi w:val="0"/>
        <w:spacing w:before="240" w:after="0"/>
        <w:jc w:val="left"/>
        <w:rPr>
          <w:rFonts w:ascii="Times New Roman" w:hAnsi="Times New Roman"/>
          <w:sz w:val="20"/>
        </w:rPr>
      </w:pPr>
      <w:r>
        <w:rPr>
          <w:rFonts w:ascii="Times New Roman" w:hAnsi="Times New Roman"/>
          <w:sz w:val="20"/>
        </w:rPr>
        <w:t xml:space="preserve">FIFTH THIRD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Fifth Third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Fifth Third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38 Fountain Square Plaza </w:t>
      </w:r>
    </w:p>
    <w:p>
      <w:pPr>
        <w:pStyle w:val="TextBody"/>
        <w:bidi w:val="0"/>
        <w:spacing w:before="0" w:after="0"/>
        <w:jc w:val="left"/>
        <w:rPr>
          <w:rFonts w:ascii="Times New Roman" w:hAnsi="Times New Roman"/>
          <w:sz w:val="20"/>
        </w:rPr>
      </w:pPr>
      <w:r>
        <w:rPr>
          <w:rFonts w:ascii="Times New Roman" w:hAnsi="Times New Roman"/>
          <w:sz w:val="20"/>
        </w:rPr>
        <w:t xml:space="preserve">Cincinnati, OH 45202 </w:t>
      </w:r>
    </w:p>
    <w:p>
      <w:pPr>
        <w:pStyle w:val="TextBody"/>
        <w:bidi w:val="0"/>
        <w:spacing w:before="0" w:after="0"/>
        <w:jc w:val="left"/>
        <w:rPr>
          <w:rFonts w:ascii="Times New Roman" w:hAnsi="Times New Roman"/>
          <w:sz w:val="20"/>
        </w:rPr>
      </w:pPr>
      <w:r>
        <w:rPr>
          <w:rFonts w:ascii="Times New Roman" w:hAnsi="Times New Roman"/>
          <w:sz w:val="20"/>
        </w:rPr>
        <w:t xml:space="preserve">Attention: Pawan Churiwal </w:t>
      </w:r>
    </w:p>
    <w:p>
      <w:pPr>
        <w:pStyle w:val="TextBody"/>
        <w:bidi w:val="0"/>
        <w:spacing w:before="0" w:after="0"/>
        <w:jc w:val="left"/>
        <w:rPr>
          <w:rFonts w:ascii="Times New Roman" w:hAnsi="Times New Roman"/>
          <w:sz w:val="20"/>
        </w:rPr>
      </w:pPr>
      <w:r>
        <w:rPr>
          <w:rFonts w:ascii="Times New Roman" w:hAnsi="Times New Roman"/>
          <w:sz w:val="20"/>
        </w:rPr>
        <w:t xml:space="preserve">Telephone No.: +1 (404) 789-3121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FIFTH THIRD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Purchaser Agent for Fifth Third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38 Fountain Square Plaza </w:t>
      </w:r>
    </w:p>
    <w:p>
      <w:pPr>
        <w:pStyle w:val="TextBody"/>
        <w:bidi w:val="0"/>
        <w:spacing w:before="0" w:after="0"/>
        <w:jc w:val="left"/>
        <w:rPr>
          <w:rFonts w:ascii="Times New Roman" w:hAnsi="Times New Roman"/>
          <w:sz w:val="20"/>
        </w:rPr>
      </w:pPr>
      <w:r>
        <w:rPr>
          <w:rFonts w:ascii="Times New Roman" w:hAnsi="Times New Roman"/>
          <w:sz w:val="20"/>
        </w:rPr>
        <w:t xml:space="preserve">Cincinnati, Ohio 45263 </w:t>
      </w:r>
    </w:p>
    <w:p>
      <w:pPr>
        <w:pStyle w:val="TextBody"/>
        <w:bidi w:val="0"/>
        <w:spacing w:before="0" w:after="0"/>
        <w:jc w:val="left"/>
        <w:rPr>
          <w:rFonts w:ascii="Times New Roman" w:hAnsi="Times New Roman"/>
          <w:sz w:val="20"/>
        </w:rPr>
      </w:pPr>
      <w:r>
        <w:rPr>
          <w:rFonts w:ascii="Times New Roman" w:hAnsi="Times New Roman"/>
          <w:sz w:val="20"/>
        </w:rPr>
        <w:t xml:space="preserve">Attention: Matt Glahn </w:t>
      </w:r>
    </w:p>
    <w:p>
      <w:pPr>
        <w:pStyle w:val="TextBody"/>
        <w:bidi w:val="0"/>
        <w:spacing w:before="0" w:after="0"/>
        <w:jc w:val="left"/>
        <w:rPr>
          <w:rFonts w:ascii="Times New Roman" w:hAnsi="Times New Roman"/>
          <w:sz w:val="20"/>
        </w:rPr>
      </w:pPr>
      <w:r>
        <w:rPr>
          <w:rFonts w:ascii="Times New Roman" w:hAnsi="Times New Roman"/>
          <w:sz w:val="20"/>
        </w:rPr>
        <w:t xml:space="preserve">Telephone No.: (513) 534-4661 </w:t>
      </w:r>
    </w:p>
    <w:p>
      <w:pPr>
        <w:pStyle w:val="TextBody"/>
        <w:bidi w:val="0"/>
        <w:spacing w:before="0" w:after="0"/>
        <w:jc w:val="left"/>
        <w:rPr>
          <w:rFonts w:ascii="Times New Roman" w:hAnsi="Times New Roman"/>
          <w:sz w:val="20"/>
        </w:rPr>
      </w:pPr>
      <w:r>
        <w:rPr>
          <w:rFonts w:ascii="Times New Roman" w:hAnsi="Times New Roman"/>
          <w:sz w:val="20"/>
        </w:rPr>
        <w:t xml:space="preserve">Facsimile No.: (513) 534-0319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LIBERTY STREET FUNDING LLC, </w:t>
      </w:r>
    </w:p>
    <w:p>
      <w:pPr>
        <w:pStyle w:val="TextBody"/>
        <w:bidi w:val="0"/>
        <w:spacing w:before="0" w:after="0"/>
        <w:jc w:val="left"/>
        <w:rPr>
          <w:rFonts w:ascii="Times New Roman" w:hAnsi="Times New Roman"/>
          <w:sz w:val="20"/>
        </w:rPr>
      </w:pPr>
      <w:r>
        <w:rPr>
          <w:rFonts w:ascii="Times New Roman" w:hAnsi="Times New Roman"/>
          <w:sz w:val="20"/>
        </w:rPr>
        <w:t xml:space="preserve">as a Conduit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c/o Global Securitization Services, LLC </w:t>
      </w:r>
    </w:p>
    <w:p>
      <w:pPr>
        <w:pStyle w:val="TextBody"/>
        <w:bidi w:val="0"/>
        <w:spacing w:before="0" w:after="0"/>
        <w:jc w:val="left"/>
        <w:rPr>
          <w:rFonts w:ascii="Times New Roman" w:hAnsi="Times New Roman"/>
          <w:sz w:val="20"/>
        </w:rPr>
      </w:pPr>
      <w:r>
        <w:rPr>
          <w:rFonts w:ascii="Times New Roman" w:hAnsi="Times New Roman"/>
          <w:sz w:val="20"/>
        </w:rPr>
        <w:t xml:space="preserve">68 South Service Road, Suite 120 </w:t>
      </w:r>
    </w:p>
    <w:p>
      <w:pPr>
        <w:pStyle w:val="TextBody"/>
        <w:bidi w:val="0"/>
        <w:spacing w:before="0" w:after="0"/>
        <w:jc w:val="left"/>
        <w:rPr>
          <w:rFonts w:ascii="Times New Roman" w:hAnsi="Times New Roman"/>
          <w:sz w:val="20"/>
        </w:rPr>
      </w:pPr>
      <w:r>
        <w:rPr>
          <w:rFonts w:ascii="Times New Roman" w:hAnsi="Times New Roman"/>
          <w:sz w:val="20"/>
        </w:rPr>
        <w:t xml:space="preserve">Melville, NY 11747 </w:t>
      </w:r>
    </w:p>
    <w:p>
      <w:pPr>
        <w:pStyle w:val="TextBody"/>
        <w:bidi w:val="0"/>
        <w:spacing w:before="0" w:after="0"/>
        <w:jc w:val="left"/>
        <w:rPr>
          <w:rFonts w:ascii="Times New Roman" w:hAnsi="Times New Roman"/>
          <w:sz w:val="20"/>
        </w:rPr>
      </w:pPr>
      <w:r>
        <w:rPr>
          <w:rFonts w:ascii="Times New Roman" w:hAnsi="Times New Roman"/>
          <w:sz w:val="20"/>
        </w:rPr>
        <w:t xml:space="preserve">Attn: Kevin Corrigan, Senior Vice President </w:t>
      </w:r>
    </w:p>
    <w:p>
      <w:pPr>
        <w:pStyle w:val="TextBody"/>
        <w:bidi w:val="0"/>
        <w:spacing w:before="0" w:after="0"/>
        <w:jc w:val="left"/>
        <w:rPr>
          <w:rFonts w:ascii="Times New Roman" w:hAnsi="Times New Roman"/>
          <w:sz w:val="20"/>
        </w:rPr>
      </w:pPr>
      <w:r>
        <w:rPr>
          <w:rFonts w:ascii="Times New Roman" w:hAnsi="Times New Roman"/>
          <w:sz w:val="20"/>
        </w:rPr>
        <w:t xml:space="preserve">Office: (631) 587-4700 </w:t>
      </w:r>
    </w:p>
    <w:p>
      <w:pPr>
        <w:pStyle w:val="TextBody"/>
        <w:bidi w:val="0"/>
        <w:spacing w:before="0" w:after="0"/>
        <w:jc w:val="left"/>
        <w:rPr>
          <w:rFonts w:ascii="Times New Roman" w:hAnsi="Times New Roman"/>
          <w:sz w:val="20"/>
        </w:rPr>
      </w:pPr>
      <w:r>
        <w:rPr>
          <w:rFonts w:ascii="Times New Roman" w:hAnsi="Times New Roman"/>
          <w:sz w:val="20"/>
        </w:rPr>
        <w:t xml:space="preserve">Mobile: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The Bank of Nova Scotia </w:t>
      </w:r>
    </w:p>
    <w:p>
      <w:pPr>
        <w:pStyle w:val="TextBody"/>
        <w:bidi w:val="0"/>
        <w:spacing w:before="0" w:after="0"/>
        <w:jc w:val="left"/>
        <w:rPr>
          <w:rFonts w:ascii="Times New Roman" w:hAnsi="Times New Roman"/>
          <w:sz w:val="20"/>
        </w:rPr>
      </w:pPr>
      <w:r>
        <w:rPr>
          <w:rFonts w:ascii="Times New Roman" w:hAnsi="Times New Roman"/>
          <w:sz w:val="20"/>
        </w:rPr>
        <w:t xml:space="preserve">250 Vesey Street, 23rd Floor, New York, NY 10281 </w:t>
      </w:r>
    </w:p>
    <w:p>
      <w:pPr>
        <w:pStyle w:val="TextBody"/>
        <w:bidi w:val="0"/>
        <w:spacing w:before="0" w:after="0"/>
        <w:jc w:val="left"/>
        <w:rPr>
          <w:rFonts w:ascii="Times New Roman" w:hAnsi="Times New Roman"/>
          <w:sz w:val="20"/>
        </w:rPr>
      </w:pPr>
      <w:r>
        <w:rPr>
          <w:rFonts w:ascii="Times New Roman" w:hAnsi="Times New Roman"/>
          <w:sz w:val="20"/>
        </w:rPr>
        <w:t xml:space="preserve">Attn: Darren Ward </w:t>
      </w:r>
    </w:p>
    <w:p>
      <w:pPr>
        <w:pStyle w:val="TextBody"/>
        <w:bidi w:val="0"/>
        <w:spacing w:before="0" w:after="0"/>
        <w:jc w:val="left"/>
        <w:rPr>
          <w:rFonts w:ascii="Times New Roman" w:hAnsi="Times New Roman"/>
          <w:sz w:val="20"/>
        </w:rPr>
      </w:pPr>
      <w:r>
        <w:rPr>
          <w:rFonts w:ascii="Times New Roman" w:hAnsi="Times New Roman"/>
          <w:sz w:val="20"/>
        </w:rPr>
        <w:t xml:space="preserve">Tel: 1-212-255-5264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THE BANK OF NOVA SCOTIA, </w:t>
      </w:r>
    </w:p>
    <w:p>
      <w:pPr>
        <w:pStyle w:val="TextBody"/>
        <w:bidi w:val="0"/>
        <w:spacing w:before="0" w:after="0"/>
        <w:jc w:val="left"/>
        <w:rPr>
          <w:rFonts w:ascii="Times New Roman" w:hAnsi="Times New Roman"/>
          <w:sz w:val="20"/>
        </w:rPr>
      </w:pPr>
      <w:r>
        <w:rPr>
          <w:rFonts w:ascii="Times New Roman" w:hAnsi="Times New Roman"/>
          <w:sz w:val="20"/>
        </w:rPr>
        <w:t xml:space="preserve">as Purchaser Agent for Liberty Street Funding LLC and 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40 Temperance St, 4th Floor </w:t>
      </w:r>
    </w:p>
    <w:p>
      <w:pPr>
        <w:pStyle w:val="TextBody"/>
        <w:bidi w:val="0"/>
        <w:spacing w:before="0" w:after="0"/>
        <w:jc w:val="left"/>
        <w:rPr>
          <w:rFonts w:ascii="Times New Roman" w:hAnsi="Times New Roman"/>
          <w:sz w:val="20"/>
        </w:rPr>
      </w:pPr>
      <w:r>
        <w:rPr>
          <w:rFonts w:ascii="Times New Roman" w:hAnsi="Times New Roman"/>
          <w:sz w:val="20"/>
        </w:rPr>
        <w:t xml:space="preserve">Toronto, ON Canada M5H 0B4 </w:t>
      </w:r>
    </w:p>
    <w:p>
      <w:pPr>
        <w:pStyle w:val="TextBody"/>
        <w:bidi w:val="0"/>
        <w:spacing w:before="0" w:after="0"/>
        <w:jc w:val="left"/>
        <w:rPr>
          <w:rFonts w:ascii="Times New Roman" w:hAnsi="Times New Roman"/>
          <w:sz w:val="20"/>
        </w:rPr>
      </w:pPr>
      <w:r>
        <w:rPr>
          <w:rFonts w:ascii="Times New Roman" w:hAnsi="Times New Roman"/>
          <w:sz w:val="20"/>
        </w:rPr>
        <w:t xml:space="preserve">Attn: Elie Silver </w:t>
      </w:r>
    </w:p>
    <w:p>
      <w:pPr>
        <w:pStyle w:val="TextBody"/>
        <w:bidi w:val="0"/>
        <w:spacing w:before="0" w:after="0"/>
        <w:jc w:val="left"/>
        <w:rPr>
          <w:rFonts w:ascii="Times New Roman" w:hAnsi="Times New Roman"/>
          <w:sz w:val="20"/>
        </w:rPr>
      </w:pPr>
      <w:r>
        <w:rPr>
          <w:rFonts w:ascii="Times New Roman" w:hAnsi="Times New Roman"/>
          <w:sz w:val="20"/>
        </w:rPr>
        <w:t xml:space="preserve">Tel: 416-866-5682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The Bank of Nova Scotia </w:t>
      </w:r>
    </w:p>
    <w:p>
      <w:pPr>
        <w:pStyle w:val="TextBody"/>
        <w:bidi w:val="0"/>
        <w:spacing w:before="0" w:after="0"/>
        <w:jc w:val="left"/>
        <w:rPr>
          <w:rFonts w:ascii="Times New Roman" w:hAnsi="Times New Roman"/>
          <w:sz w:val="20"/>
        </w:rPr>
      </w:pPr>
      <w:r>
        <w:rPr>
          <w:rFonts w:ascii="Times New Roman" w:hAnsi="Times New Roman"/>
          <w:sz w:val="20"/>
        </w:rPr>
        <w:t xml:space="preserve">250 Vesey Street, 23rd Floor, New York, NY 10281 </w:t>
      </w:r>
    </w:p>
    <w:p>
      <w:pPr>
        <w:pStyle w:val="TextBody"/>
        <w:bidi w:val="0"/>
        <w:spacing w:before="0" w:after="0"/>
        <w:jc w:val="left"/>
        <w:rPr>
          <w:rFonts w:ascii="Times New Roman" w:hAnsi="Times New Roman"/>
          <w:sz w:val="20"/>
        </w:rPr>
      </w:pPr>
      <w:r>
        <w:rPr>
          <w:rFonts w:ascii="Times New Roman" w:hAnsi="Times New Roman"/>
          <w:sz w:val="20"/>
        </w:rPr>
        <w:t xml:space="preserve">Attn: Darren Ward </w:t>
      </w:r>
    </w:p>
    <w:p>
      <w:pPr>
        <w:pStyle w:val="TextBody"/>
        <w:bidi w:val="0"/>
        <w:spacing w:before="0" w:after="0"/>
        <w:jc w:val="left"/>
        <w:rPr>
          <w:rFonts w:ascii="Times New Roman" w:hAnsi="Times New Roman"/>
          <w:sz w:val="20"/>
        </w:rPr>
      </w:pPr>
      <w:r>
        <w:rPr>
          <w:rFonts w:ascii="Times New Roman" w:hAnsi="Times New Roman"/>
          <w:sz w:val="20"/>
        </w:rPr>
        <w:t xml:space="preserve">Tel: 1-212-255-5264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RELIANT TRUST, </w:t>
      </w:r>
    </w:p>
    <w:p>
      <w:pPr>
        <w:pStyle w:val="TextBody"/>
        <w:bidi w:val="0"/>
        <w:spacing w:before="0" w:after="0"/>
        <w:jc w:val="left"/>
        <w:rPr>
          <w:rFonts w:ascii="Times New Roman" w:hAnsi="Times New Roman"/>
          <w:sz w:val="20"/>
        </w:rPr>
      </w:pPr>
      <w:r>
        <w:rPr>
          <w:rFonts w:ascii="Times New Roman" w:hAnsi="Times New Roman"/>
          <w:sz w:val="20"/>
        </w:rPr>
        <w:t xml:space="preserve">as a Conduit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130 Adelaide Street West </w:t>
      </w:r>
    </w:p>
    <w:p>
      <w:pPr>
        <w:pStyle w:val="TextBody"/>
        <w:bidi w:val="0"/>
        <w:spacing w:before="0" w:after="0"/>
        <w:jc w:val="left"/>
        <w:rPr>
          <w:rFonts w:ascii="Times New Roman" w:hAnsi="Times New Roman"/>
          <w:sz w:val="20"/>
        </w:rPr>
      </w:pPr>
      <w:r>
        <w:rPr>
          <w:rFonts w:ascii="Times New Roman" w:hAnsi="Times New Roman"/>
          <w:sz w:val="20"/>
        </w:rPr>
        <w:t xml:space="preserve">12th Floor </w:t>
      </w:r>
    </w:p>
    <w:p>
      <w:pPr>
        <w:pStyle w:val="TextBody"/>
        <w:bidi w:val="0"/>
        <w:spacing w:before="0" w:after="0"/>
        <w:jc w:val="left"/>
        <w:rPr>
          <w:rFonts w:ascii="Times New Roman" w:hAnsi="Times New Roman"/>
          <w:sz w:val="20"/>
        </w:rPr>
      </w:pPr>
      <w:r>
        <w:rPr>
          <w:rFonts w:ascii="Times New Roman" w:hAnsi="Times New Roman"/>
          <w:sz w:val="20"/>
        </w:rPr>
        <w:t xml:space="preserve">Toronto, ON, M5H 3P5 </w:t>
      </w:r>
    </w:p>
    <w:p>
      <w:pPr>
        <w:pStyle w:val="TextBody"/>
        <w:bidi w:val="0"/>
        <w:spacing w:before="0" w:after="0"/>
        <w:jc w:val="left"/>
        <w:rPr>
          <w:rFonts w:ascii="Times New Roman" w:hAnsi="Times New Roman"/>
          <w:sz w:val="20"/>
        </w:rPr>
      </w:pPr>
      <w:r>
        <w:rPr>
          <w:rFonts w:ascii="Times New Roman" w:hAnsi="Times New Roman"/>
          <w:sz w:val="20"/>
        </w:rPr>
        <w:t xml:space="preserve">Attention: ASG Asset Securitization </w:t>
      </w:r>
    </w:p>
    <w:p>
      <w:pPr>
        <w:pStyle w:val="TextBody"/>
        <w:bidi w:val="0"/>
        <w:spacing w:before="0" w:after="0"/>
        <w:jc w:val="left"/>
        <w:rPr>
          <w:rFonts w:ascii="Times New Roman" w:hAnsi="Times New Roman"/>
          <w:sz w:val="20"/>
        </w:rPr>
      </w:pPr>
      <w:r>
        <w:rPr>
          <w:rFonts w:ascii="Times New Roman" w:hAnsi="Times New Roman"/>
          <w:sz w:val="20"/>
        </w:rPr>
        <w:t xml:space="preserve">Telephone No.: (416) 307-6035 </w:t>
      </w:r>
    </w:p>
    <w:p>
      <w:pPr>
        <w:pStyle w:val="TextBody"/>
        <w:bidi w:val="0"/>
        <w:spacing w:before="240" w:after="0"/>
        <w:jc w:val="left"/>
        <w:rPr>
          <w:rFonts w:ascii="Times New Roman" w:hAnsi="Times New Roman"/>
          <w:sz w:val="20"/>
        </w:rPr>
      </w:pPr>
      <w:r>
        <w:rPr>
          <w:rFonts w:ascii="Times New Roman" w:hAnsi="Times New Roman"/>
          <w:sz w:val="20"/>
        </w:rPr>
        <w:t xml:space="preserve">GTA FUNDING LLC, </w:t>
      </w:r>
    </w:p>
    <w:p>
      <w:pPr>
        <w:pStyle w:val="TextBody"/>
        <w:bidi w:val="0"/>
        <w:spacing w:before="0" w:after="0"/>
        <w:jc w:val="left"/>
        <w:rPr>
          <w:rFonts w:ascii="Times New Roman" w:hAnsi="Times New Roman"/>
          <w:sz w:val="20"/>
        </w:rPr>
      </w:pPr>
      <w:r>
        <w:rPr>
          <w:rFonts w:ascii="Times New Roman" w:hAnsi="Times New Roman"/>
          <w:sz w:val="20"/>
        </w:rPr>
        <w:t xml:space="preserve">as a Conduit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GTA Funding LLC </w:t>
      </w:r>
    </w:p>
    <w:p>
      <w:pPr>
        <w:pStyle w:val="TextBody"/>
        <w:bidi w:val="0"/>
        <w:spacing w:before="0" w:after="0"/>
        <w:jc w:val="left"/>
        <w:rPr>
          <w:rFonts w:ascii="Times New Roman" w:hAnsi="Times New Roman"/>
          <w:sz w:val="20"/>
        </w:rPr>
      </w:pPr>
      <w:r>
        <w:rPr>
          <w:rFonts w:ascii="Times New Roman" w:hAnsi="Times New Roman"/>
          <w:sz w:val="20"/>
        </w:rPr>
        <w:t xml:space="preserve">68 South Service Road, Suite 120 </w:t>
      </w:r>
    </w:p>
    <w:p>
      <w:pPr>
        <w:pStyle w:val="TextBody"/>
        <w:bidi w:val="0"/>
        <w:spacing w:before="0" w:after="0"/>
        <w:jc w:val="left"/>
        <w:rPr>
          <w:rFonts w:ascii="Times New Roman" w:hAnsi="Times New Roman"/>
          <w:sz w:val="20"/>
        </w:rPr>
      </w:pPr>
      <w:r>
        <w:rPr>
          <w:rFonts w:ascii="Times New Roman" w:hAnsi="Times New Roman"/>
          <w:sz w:val="20"/>
        </w:rPr>
        <w:t xml:space="preserve">Melville, NY 11747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THE TORONTO-DOMINION BANK, </w:t>
      </w:r>
    </w:p>
    <w:p>
      <w:pPr>
        <w:pStyle w:val="TextBody"/>
        <w:bidi w:val="0"/>
        <w:spacing w:before="0" w:after="0"/>
        <w:jc w:val="left"/>
        <w:rPr>
          <w:rFonts w:ascii="Times New Roman" w:hAnsi="Times New Roman"/>
          <w:sz w:val="20"/>
        </w:rPr>
      </w:pPr>
      <w:r>
        <w:rPr>
          <w:rFonts w:ascii="Times New Roman" w:hAnsi="Times New Roman"/>
          <w:sz w:val="20"/>
        </w:rPr>
        <w:t xml:space="preserve">as Purchaser Agent for GTA Funding LLC and Reliant Trust and 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130 Adelaide Street West </w:t>
      </w:r>
    </w:p>
    <w:p>
      <w:pPr>
        <w:pStyle w:val="TextBody"/>
        <w:bidi w:val="0"/>
        <w:spacing w:before="0" w:after="0"/>
        <w:jc w:val="left"/>
        <w:rPr>
          <w:rFonts w:ascii="Times New Roman" w:hAnsi="Times New Roman"/>
          <w:sz w:val="20"/>
        </w:rPr>
      </w:pPr>
      <w:r>
        <w:rPr>
          <w:rFonts w:ascii="Times New Roman" w:hAnsi="Times New Roman"/>
          <w:sz w:val="20"/>
        </w:rPr>
        <w:t xml:space="preserve">12th Floor </w:t>
      </w:r>
    </w:p>
    <w:p>
      <w:pPr>
        <w:pStyle w:val="TextBody"/>
        <w:bidi w:val="0"/>
        <w:spacing w:before="0" w:after="0"/>
        <w:jc w:val="left"/>
        <w:rPr>
          <w:rFonts w:ascii="Times New Roman" w:hAnsi="Times New Roman"/>
          <w:sz w:val="20"/>
        </w:rPr>
      </w:pPr>
      <w:r>
        <w:rPr>
          <w:rFonts w:ascii="Times New Roman" w:hAnsi="Times New Roman"/>
          <w:sz w:val="20"/>
        </w:rPr>
        <w:t xml:space="preserve">Toronto, ON, M5H 3P5 </w:t>
      </w:r>
    </w:p>
    <w:p>
      <w:pPr>
        <w:pStyle w:val="TextBody"/>
        <w:bidi w:val="0"/>
        <w:spacing w:before="0" w:after="0"/>
        <w:jc w:val="left"/>
        <w:rPr>
          <w:rFonts w:ascii="Times New Roman" w:hAnsi="Times New Roman"/>
          <w:sz w:val="20"/>
        </w:rPr>
      </w:pPr>
      <w:r>
        <w:rPr>
          <w:rFonts w:ascii="Times New Roman" w:hAnsi="Times New Roman"/>
          <w:sz w:val="20"/>
        </w:rPr>
        <w:t xml:space="preserve">Attention: ASG Asset Securitization </w:t>
      </w:r>
    </w:p>
    <w:p>
      <w:pPr>
        <w:pStyle w:val="TextBody"/>
        <w:bidi w:val="0"/>
        <w:spacing w:before="0" w:after="0"/>
        <w:jc w:val="left"/>
        <w:rPr>
          <w:rFonts w:ascii="Times New Roman" w:hAnsi="Times New Roman"/>
          <w:sz w:val="20"/>
        </w:rPr>
      </w:pPr>
      <w:r>
        <w:rPr>
          <w:rFonts w:ascii="Times New Roman" w:hAnsi="Times New Roman"/>
          <w:sz w:val="20"/>
        </w:rPr>
        <w:t xml:space="preserve">Telephone No.: (416) 307-6035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BANK OF AMERICA,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Purchaser Agent for Bank of America,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Bank of America,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NC2-109-02-02 </w:t>
      </w:r>
    </w:p>
    <w:p>
      <w:pPr>
        <w:pStyle w:val="TextBody"/>
        <w:bidi w:val="0"/>
        <w:spacing w:before="0" w:after="0"/>
        <w:jc w:val="left"/>
        <w:rPr>
          <w:rFonts w:ascii="Times New Roman" w:hAnsi="Times New Roman"/>
          <w:sz w:val="20"/>
        </w:rPr>
      </w:pPr>
      <w:r>
        <w:rPr>
          <w:rFonts w:ascii="Times New Roman" w:hAnsi="Times New Roman"/>
          <w:sz w:val="20"/>
        </w:rPr>
        <w:t xml:space="preserve">13510 Ballantyne Corporate Place </w:t>
      </w:r>
    </w:p>
    <w:p>
      <w:pPr>
        <w:pStyle w:val="TextBody"/>
        <w:bidi w:val="0"/>
        <w:spacing w:before="0" w:after="0"/>
        <w:jc w:val="left"/>
        <w:rPr>
          <w:rFonts w:ascii="Times New Roman" w:hAnsi="Times New Roman"/>
          <w:sz w:val="20"/>
        </w:rPr>
      </w:pPr>
      <w:r>
        <w:rPr>
          <w:rFonts w:ascii="Times New Roman" w:hAnsi="Times New Roman"/>
          <w:sz w:val="20"/>
        </w:rPr>
        <w:t xml:space="preserve">Charlotte, NC 28277 </w:t>
      </w:r>
    </w:p>
    <w:p>
      <w:pPr>
        <w:pStyle w:val="TextBody"/>
        <w:bidi w:val="0"/>
        <w:spacing w:before="0" w:after="0"/>
        <w:jc w:val="left"/>
        <w:rPr>
          <w:rFonts w:ascii="Times New Roman" w:hAnsi="Times New Roman"/>
          <w:sz w:val="20"/>
        </w:rPr>
      </w:pPr>
      <w:r>
        <w:rPr>
          <w:rFonts w:ascii="Times New Roman" w:hAnsi="Times New Roman"/>
          <w:sz w:val="20"/>
        </w:rPr>
        <w:t xml:space="preserve">Attention: Willem Van Beek / Chris Hayes </w:t>
      </w:r>
    </w:p>
    <w:p>
      <w:pPr>
        <w:pStyle w:val="TextBody"/>
        <w:bidi w:val="0"/>
        <w:spacing w:before="0" w:after="0"/>
        <w:jc w:val="left"/>
        <w:rPr>
          <w:rFonts w:ascii="Times New Roman" w:hAnsi="Times New Roman"/>
          <w:sz w:val="20"/>
        </w:rPr>
      </w:pPr>
      <w:r>
        <w:rPr>
          <w:rFonts w:ascii="Times New Roman" w:hAnsi="Times New Roman"/>
          <w:sz w:val="20"/>
        </w:rPr>
        <w:t xml:space="preserve">Telephone No.: (980) 683-4585 </w:t>
      </w:r>
    </w:p>
    <w:p>
      <w:pPr>
        <w:pStyle w:val="TextBody"/>
        <w:bidi w:val="0"/>
        <w:spacing w:before="0" w:after="0"/>
        <w:jc w:val="left"/>
        <w:rPr>
          <w:rFonts w:ascii="Times New Roman" w:hAnsi="Times New Roman"/>
          <w:sz w:val="20"/>
        </w:rPr>
      </w:pPr>
      <w:r>
        <w:rPr>
          <w:rFonts w:ascii="Times New Roman" w:hAnsi="Times New Roman"/>
          <w:sz w:val="20"/>
        </w:rPr>
        <w:t xml:space="preserve">Facsimile No.: (704) 409-0588 </w:t>
      </w:r>
    </w:p>
    <w:p>
      <w:pPr>
        <w:pStyle w:val="TextBody"/>
        <w:bidi w:val="0"/>
        <w:spacing w:before="0" w:after="0"/>
        <w:jc w:val="left"/>
        <w:rPr>
          <w:rFonts w:ascii="Times New Roman" w:hAnsi="Times New Roman"/>
          <w:sz w:val="20"/>
        </w:rPr>
      </w:pPr>
      <w:r>
        <w:rPr>
          <w:rFonts w:ascii="Times New Roman" w:hAnsi="Times New Roman"/>
          <w:sz w:val="20"/>
        </w:rPr>
        <w:t xml:space="preserve">Email address: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MACRO TRUST </w:t>
      </w:r>
    </w:p>
    <w:p>
      <w:pPr>
        <w:pStyle w:val="TextBody"/>
        <w:bidi w:val="0"/>
        <w:spacing w:before="0" w:after="0"/>
        <w:jc w:val="left"/>
        <w:rPr>
          <w:rFonts w:ascii="Times New Roman" w:hAnsi="Times New Roman"/>
          <w:sz w:val="20"/>
        </w:rPr>
      </w:pPr>
      <w:r>
        <w:rPr>
          <w:rFonts w:ascii="Times New Roman" w:hAnsi="Times New Roman"/>
          <w:sz w:val="20"/>
        </w:rPr>
        <w:t xml:space="preserve">as a Conduit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161 Bay Street </w:t>
      </w:r>
    </w:p>
    <w:p>
      <w:pPr>
        <w:pStyle w:val="TextBody"/>
        <w:bidi w:val="0"/>
        <w:spacing w:before="0" w:after="0"/>
        <w:jc w:val="left"/>
        <w:rPr>
          <w:rFonts w:ascii="Times New Roman" w:hAnsi="Times New Roman"/>
          <w:sz w:val="20"/>
        </w:rPr>
      </w:pPr>
      <w:r>
        <w:rPr>
          <w:rFonts w:ascii="Times New Roman" w:hAnsi="Times New Roman"/>
          <w:sz w:val="20"/>
        </w:rPr>
        <w:t xml:space="preserve">9th Floor </w:t>
      </w:r>
    </w:p>
    <w:p>
      <w:pPr>
        <w:pStyle w:val="TextBody"/>
        <w:bidi w:val="0"/>
        <w:spacing w:before="0" w:after="0"/>
        <w:jc w:val="left"/>
        <w:rPr>
          <w:rFonts w:ascii="Times New Roman" w:hAnsi="Times New Roman"/>
          <w:sz w:val="20"/>
        </w:rPr>
      </w:pPr>
      <w:r>
        <w:rPr>
          <w:rFonts w:ascii="Times New Roman" w:hAnsi="Times New Roman"/>
          <w:sz w:val="20"/>
        </w:rPr>
        <w:t xml:space="preserve">Toronto, ON M5J 2S8 </w:t>
      </w:r>
    </w:p>
    <w:p>
      <w:pPr>
        <w:pStyle w:val="TextBody"/>
        <w:bidi w:val="0"/>
        <w:spacing w:before="0" w:after="0"/>
        <w:jc w:val="left"/>
        <w:rPr>
          <w:rFonts w:ascii="Times New Roman" w:hAnsi="Times New Roman"/>
          <w:sz w:val="20"/>
        </w:rPr>
      </w:pPr>
      <w:r>
        <w:rPr>
          <w:rFonts w:ascii="Times New Roman" w:hAnsi="Times New Roman"/>
          <w:sz w:val="20"/>
        </w:rPr>
        <w:t xml:space="preserve">Attention: CIBC Conduit Management Team, Angela Chin </w:t>
      </w:r>
    </w:p>
    <w:p>
      <w:pPr>
        <w:pStyle w:val="TextBody"/>
        <w:bidi w:val="0"/>
        <w:spacing w:before="24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BAY SQUARE FUNDING LLC, </w:t>
      </w:r>
    </w:p>
    <w:p>
      <w:pPr>
        <w:pStyle w:val="TextBody"/>
        <w:bidi w:val="0"/>
        <w:spacing w:before="0" w:after="0"/>
        <w:jc w:val="left"/>
        <w:rPr>
          <w:rFonts w:ascii="Times New Roman" w:hAnsi="Times New Roman"/>
          <w:sz w:val="20"/>
        </w:rPr>
      </w:pPr>
      <w:r>
        <w:rPr>
          <w:rFonts w:ascii="Times New Roman" w:hAnsi="Times New Roman"/>
          <w:sz w:val="20"/>
        </w:rPr>
        <w:t xml:space="preserve">as a Conduit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Bay Square Funding LLC </w:t>
      </w:r>
    </w:p>
    <w:p>
      <w:pPr>
        <w:pStyle w:val="TextBody"/>
        <w:bidi w:val="0"/>
        <w:spacing w:before="0" w:after="0"/>
        <w:jc w:val="left"/>
        <w:rPr>
          <w:rFonts w:ascii="Times New Roman" w:hAnsi="Times New Roman"/>
          <w:sz w:val="20"/>
        </w:rPr>
      </w:pPr>
      <w:r>
        <w:rPr>
          <w:rFonts w:ascii="Times New Roman" w:hAnsi="Times New Roman"/>
          <w:sz w:val="20"/>
        </w:rPr>
        <w:t xml:space="preserve">c/o Global Securitization Services, LLC </w:t>
      </w:r>
    </w:p>
    <w:p>
      <w:pPr>
        <w:pStyle w:val="TextBody"/>
        <w:bidi w:val="0"/>
        <w:spacing w:before="0" w:after="0"/>
        <w:jc w:val="left"/>
        <w:rPr>
          <w:rFonts w:ascii="Times New Roman" w:hAnsi="Times New Roman"/>
          <w:sz w:val="20"/>
        </w:rPr>
      </w:pPr>
      <w:r>
        <w:rPr>
          <w:rFonts w:ascii="Times New Roman" w:hAnsi="Times New Roman"/>
          <w:sz w:val="20"/>
        </w:rPr>
        <w:t xml:space="preserve">68 South Service Road, Suite 120 </w:t>
      </w:r>
    </w:p>
    <w:p>
      <w:pPr>
        <w:pStyle w:val="TextBody"/>
        <w:bidi w:val="0"/>
        <w:spacing w:before="0" w:after="0"/>
        <w:jc w:val="left"/>
        <w:rPr>
          <w:rFonts w:ascii="Times New Roman" w:hAnsi="Times New Roman"/>
          <w:sz w:val="20"/>
        </w:rPr>
      </w:pPr>
      <w:r>
        <w:rPr>
          <w:rFonts w:ascii="Times New Roman" w:hAnsi="Times New Roman"/>
          <w:sz w:val="20"/>
        </w:rPr>
        <w:t xml:space="preserve">Melville, NY 11747 </w:t>
      </w:r>
    </w:p>
    <w:p>
      <w:pPr>
        <w:pStyle w:val="TextBody"/>
        <w:bidi w:val="0"/>
        <w:spacing w:before="0" w:after="0"/>
        <w:jc w:val="left"/>
        <w:rPr>
          <w:rFonts w:ascii="Times New Roman" w:hAnsi="Times New Roman"/>
          <w:sz w:val="20"/>
        </w:rPr>
      </w:pPr>
      <w:r>
        <w:rPr>
          <w:rFonts w:ascii="Times New Roman" w:hAnsi="Times New Roman"/>
          <w:sz w:val="20"/>
        </w:rPr>
        <w:t xml:space="preserve">Attention: Kevin J. Corrigan </w:t>
      </w:r>
    </w:p>
    <w:p>
      <w:pPr>
        <w:pStyle w:val="TextBody"/>
        <w:bidi w:val="0"/>
        <w:spacing w:before="0" w:after="0"/>
        <w:jc w:val="left"/>
        <w:rPr>
          <w:rFonts w:ascii="Times New Roman" w:hAnsi="Times New Roman"/>
          <w:sz w:val="20"/>
        </w:rPr>
      </w:pPr>
      <w:r>
        <w:rPr>
          <w:rFonts w:ascii="Times New Roman" w:hAnsi="Times New Roman"/>
          <w:sz w:val="20"/>
        </w:rPr>
        <w:t xml:space="preserve">Telephone: 212-295-2757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Canadian Imperial Bank of Commerce </w:t>
      </w:r>
    </w:p>
    <w:p>
      <w:pPr>
        <w:pStyle w:val="TextBody"/>
        <w:bidi w:val="0"/>
        <w:spacing w:before="0" w:after="0"/>
        <w:jc w:val="left"/>
        <w:rPr>
          <w:rFonts w:ascii="Times New Roman" w:hAnsi="Times New Roman"/>
          <w:sz w:val="20"/>
        </w:rPr>
      </w:pPr>
      <w:r>
        <w:rPr>
          <w:rFonts w:ascii="Times New Roman" w:hAnsi="Times New Roman"/>
          <w:sz w:val="20"/>
        </w:rPr>
        <w:t xml:space="preserve">300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0" w:after="0"/>
        <w:jc w:val="left"/>
        <w:rPr>
          <w:rFonts w:ascii="Times New Roman" w:hAnsi="Times New Roman"/>
          <w:sz w:val="20"/>
        </w:rPr>
      </w:pPr>
      <w:r>
        <w:rPr>
          <w:rFonts w:ascii="Times New Roman" w:hAnsi="Times New Roman"/>
          <w:sz w:val="20"/>
        </w:rPr>
        <w:t xml:space="preserve">Attn: Securitization &amp; Structured Products </w:t>
      </w:r>
    </w:p>
    <w:p>
      <w:pPr>
        <w:pStyle w:val="TextBody"/>
        <w:bidi w:val="0"/>
        <w:spacing w:before="0" w:after="0"/>
        <w:jc w:val="left"/>
        <w:rPr>
          <w:rFonts w:ascii="Times New Roman" w:hAnsi="Times New Roman"/>
          <w:sz w:val="20"/>
        </w:rPr>
      </w:pPr>
      <w:r>
        <w:rPr>
          <w:rFonts w:ascii="Times New Roman" w:hAnsi="Times New Roman"/>
          <w:sz w:val="20"/>
        </w:rPr>
        <w:t xml:space="preserve">Administration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CANADIAN IMPERIAL BANK OF COMMERCE, </w:t>
      </w:r>
    </w:p>
    <w:p>
      <w:pPr>
        <w:pStyle w:val="TextBody"/>
        <w:bidi w:val="0"/>
        <w:spacing w:before="0" w:after="0"/>
        <w:jc w:val="left"/>
        <w:rPr>
          <w:rFonts w:ascii="Times New Roman" w:hAnsi="Times New Roman"/>
          <w:sz w:val="20"/>
        </w:rPr>
      </w:pPr>
      <w:r>
        <w:rPr>
          <w:rFonts w:ascii="Times New Roman" w:hAnsi="Times New Roman"/>
          <w:sz w:val="20"/>
        </w:rPr>
        <w:t xml:space="preserve">as Purchaser Agent for Bay Square Funding LLC, Bay Cube Funding LLC and Macro Trust and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300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0" w:after="0"/>
        <w:jc w:val="left"/>
        <w:rPr>
          <w:rFonts w:ascii="Times New Roman" w:hAnsi="Times New Roman"/>
          <w:sz w:val="20"/>
        </w:rPr>
      </w:pPr>
      <w:r>
        <w:rPr>
          <w:rFonts w:ascii="Times New Roman" w:hAnsi="Times New Roman"/>
          <w:sz w:val="20"/>
        </w:rPr>
        <w:t xml:space="preserve">Attn: Securitization &amp; Structured Products </w:t>
      </w:r>
    </w:p>
    <w:p>
      <w:pPr>
        <w:pStyle w:val="TextBody"/>
        <w:bidi w:val="0"/>
        <w:spacing w:before="0" w:after="0"/>
        <w:jc w:val="left"/>
        <w:rPr>
          <w:rFonts w:ascii="Times New Roman" w:hAnsi="Times New Roman"/>
          <w:sz w:val="20"/>
        </w:rPr>
      </w:pPr>
      <w:r>
        <w:rPr>
          <w:rFonts w:ascii="Times New Roman" w:hAnsi="Times New Roman"/>
          <w:sz w:val="20"/>
        </w:rPr>
        <w:t xml:space="preserve">Administration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Canadian Imperial Bank of Commerce </w:t>
      </w:r>
    </w:p>
    <w:p>
      <w:pPr>
        <w:pStyle w:val="TextBody"/>
        <w:bidi w:val="0"/>
        <w:spacing w:before="0" w:after="0"/>
        <w:jc w:val="left"/>
        <w:rPr>
          <w:rFonts w:ascii="Times New Roman" w:hAnsi="Times New Roman"/>
          <w:sz w:val="20"/>
        </w:rPr>
      </w:pPr>
      <w:r>
        <w:rPr>
          <w:rFonts w:ascii="Times New Roman" w:hAnsi="Times New Roman"/>
          <w:sz w:val="20"/>
        </w:rPr>
        <w:t xml:space="preserve">161 Bay Street, 9th Floor </w:t>
      </w:r>
    </w:p>
    <w:p>
      <w:pPr>
        <w:pStyle w:val="TextBody"/>
        <w:bidi w:val="0"/>
        <w:spacing w:before="0" w:after="0"/>
        <w:jc w:val="left"/>
        <w:rPr>
          <w:rFonts w:ascii="Times New Roman" w:hAnsi="Times New Roman"/>
          <w:sz w:val="20"/>
        </w:rPr>
      </w:pPr>
      <w:r>
        <w:rPr>
          <w:rFonts w:ascii="Times New Roman" w:hAnsi="Times New Roman"/>
          <w:sz w:val="20"/>
        </w:rPr>
        <w:t xml:space="preserve">Toronto, Ontario M5J S28 </w:t>
      </w:r>
    </w:p>
    <w:p>
      <w:pPr>
        <w:pStyle w:val="TextBody"/>
        <w:bidi w:val="0"/>
        <w:spacing w:before="0" w:after="0"/>
        <w:jc w:val="left"/>
        <w:rPr>
          <w:rFonts w:ascii="Times New Roman" w:hAnsi="Times New Roman"/>
          <w:sz w:val="20"/>
        </w:rPr>
      </w:pPr>
      <w:r>
        <w:rPr>
          <w:rFonts w:ascii="Times New Roman" w:hAnsi="Times New Roman"/>
          <w:sz w:val="20"/>
        </w:rPr>
        <w:t xml:space="preserve">Canada </w:t>
      </w:r>
    </w:p>
    <w:p>
      <w:pPr>
        <w:pStyle w:val="TextBody"/>
        <w:bidi w:val="0"/>
        <w:spacing w:before="0" w:after="0"/>
        <w:jc w:val="left"/>
        <w:rPr>
          <w:rFonts w:ascii="Times New Roman" w:hAnsi="Times New Roman"/>
          <w:sz w:val="20"/>
        </w:rPr>
      </w:pPr>
      <w:r>
        <w:rPr>
          <w:rFonts w:ascii="Times New Roman" w:hAnsi="Times New Roman"/>
          <w:sz w:val="20"/>
        </w:rPr>
        <w:t xml:space="preserve">Attn: Securitization &amp; Structured Products </w:t>
      </w:r>
    </w:p>
    <w:p>
      <w:pPr>
        <w:pStyle w:val="TextBody"/>
        <w:bidi w:val="0"/>
        <w:spacing w:before="0" w:after="0"/>
        <w:jc w:val="left"/>
        <w:rPr>
          <w:rFonts w:ascii="Times New Roman" w:hAnsi="Times New Roman"/>
          <w:sz w:val="20"/>
        </w:rPr>
      </w:pPr>
      <w:r>
        <w:rPr>
          <w:rFonts w:ascii="Times New Roman" w:hAnsi="Times New Roman"/>
          <w:sz w:val="20"/>
        </w:rPr>
        <w:t xml:space="preserve">Administration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BAY CUBE FUNDING LLC, </w:t>
      </w:r>
    </w:p>
    <w:p>
      <w:pPr>
        <w:pStyle w:val="TextBody"/>
        <w:bidi w:val="0"/>
        <w:spacing w:before="0" w:after="0"/>
        <w:jc w:val="left"/>
        <w:rPr>
          <w:rFonts w:ascii="Times New Roman" w:hAnsi="Times New Roman"/>
          <w:sz w:val="20"/>
        </w:rPr>
      </w:pPr>
      <w:r>
        <w:rPr>
          <w:rFonts w:ascii="Times New Roman" w:hAnsi="Times New Roman"/>
          <w:sz w:val="20"/>
        </w:rPr>
        <w:t xml:space="preserve">as a Conduit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Bay Cube Funding LLC </w:t>
      </w:r>
    </w:p>
    <w:p>
      <w:pPr>
        <w:pStyle w:val="TextBody"/>
        <w:bidi w:val="0"/>
        <w:spacing w:before="0" w:after="0"/>
        <w:jc w:val="left"/>
        <w:rPr>
          <w:rFonts w:ascii="Times New Roman" w:hAnsi="Times New Roman"/>
          <w:sz w:val="20"/>
        </w:rPr>
      </w:pPr>
      <w:r>
        <w:rPr>
          <w:rFonts w:ascii="Times New Roman" w:hAnsi="Times New Roman"/>
          <w:sz w:val="20"/>
        </w:rPr>
        <w:t xml:space="preserve">c/o Global Securitization Services, LLC </w:t>
      </w:r>
    </w:p>
    <w:p>
      <w:pPr>
        <w:pStyle w:val="TextBody"/>
        <w:bidi w:val="0"/>
        <w:spacing w:before="0" w:after="0"/>
        <w:jc w:val="left"/>
        <w:rPr>
          <w:rFonts w:ascii="Times New Roman" w:hAnsi="Times New Roman"/>
          <w:sz w:val="20"/>
        </w:rPr>
      </w:pPr>
      <w:r>
        <w:rPr>
          <w:rFonts w:ascii="Times New Roman" w:hAnsi="Times New Roman"/>
          <w:sz w:val="20"/>
        </w:rPr>
        <w:t xml:space="preserve">68 South Service Road, Suite 120 </w:t>
      </w:r>
    </w:p>
    <w:p>
      <w:pPr>
        <w:pStyle w:val="TextBody"/>
        <w:bidi w:val="0"/>
        <w:spacing w:before="0" w:after="0"/>
        <w:jc w:val="left"/>
        <w:rPr>
          <w:rFonts w:ascii="Times New Roman" w:hAnsi="Times New Roman"/>
          <w:sz w:val="20"/>
        </w:rPr>
      </w:pPr>
      <w:r>
        <w:rPr>
          <w:rFonts w:ascii="Times New Roman" w:hAnsi="Times New Roman"/>
          <w:sz w:val="20"/>
        </w:rPr>
        <w:t xml:space="preserve">Melville, NY 11747 </w:t>
      </w:r>
    </w:p>
    <w:p>
      <w:pPr>
        <w:pStyle w:val="TextBody"/>
        <w:bidi w:val="0"/>
        <w:spacing w:before="0" w:after="0"/>
        <w:jc w:val="left"/>
        <w:rPr>
          <w:rFonts w:ascii="Times New Roman" w:hAnsi="Times New Roman"/>
          <w:sz w:val="20"/>
        </w:rPr>
      </w:pPr>
      <w:r>
        <w:rPr>
          <w:rFonts w:ascii="Times New Roman" w:hAnsi="Times New Roman"/>
          <w:sz w:val="20"/>
        </w:rPr>
        <w:t xml:space="preserve">Attention: Kevin J. Corrigan </w:t>
      </w:r>
    </w:p>
    <w:p>
      <w:pPr>
        <w:pStyle w:val="TextBody"/>
        <w:bidi w:val="0"/>
        <w:spacing w:before="0" w:after="0"/>
        <w:jc w:val="left"/>
        <w:rPr>
          <w:rFonts w:ascii="Times New Roman" w:hAnsi="Times New Roman"/>
          <w:sz w:val="20"/>
        </w:rPr>
      </w:pPr>
      <w:r>
        <w:rPr>
          <w:rFonts w:ascii="Times New Roman" w:hAnsi="Times New Roman"/>
          <w:sz w:val="20"/>
        </w:rPr>
        <w:t xml:space="preserve">Telephone: 212-295-2757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Canadian Imperial Bank of Commerce </w:t>
      </w:r>
    </w:p>
    <w:p>
      <w:pPr>
        <w:pStyle w:val="TextBody"/>
        <w:bidi w:val="0"/>
        <w:spacing w:before="0" w:after="0"/>
        <w:jc w:val="left"/>
        <w:rPr>
          <w:rFonts w:ascii="Times New Roman" w:hAnsi="Times New Roman"/>
          <w:sz w:val="20"/>
        </w:rPr>
      </w:pPr>
      <w:r>
        <w:rPr>
          <w:rFonts w:ascii="Times New Roman" w:hAnsi="Times New Roman"/>
          <w:sz w:val="20"/>
        </w:rPr>
        <w:t xml:space="preserve">300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0" w:after="0"/>
        <w:jc w:val="left"/>
        <w:rPr>
          <w:rFonts w:ascii="Times New Roman" w:hAnsi="Times New Roman"/>
          <w:sz w:val="20"/>
        </w:rPr>
      </w:pPr>
      <w:r>
        <w:rPr>
          <w:rFonts w:ascii="Times New Roman" w:hAnsi="Times New Roman"/>
          <w:sz w:val="20"/>
        </w:rPr>
        <w:t xml:space="preserve">Attn: Securitization &amp; Structured Products </w:t>
      </w:r>
    </w:p>
    <w:p>
      <w:pPr>
        <w:pStyle w:val="TextBody"/>
        <w:bidi w:val="0"/>
        <w:spacing w:before="0" w:after="0"/>
        <w:jc w:val="left"/>
        <w:rPr>
          <w:rFonts w:ascii="Times New Roman" w:hAnsi="Times New Roman"/>
          <w:sz w:val="20"/>
        </w:rPr>
      </w:pPr>
      <w:r>
        <w:rPr>
          <w:rFonts w:ascii="Times New Roman" w:hAnsi="Times New Roman"/>
          <w:sz w:val="20"/>
        </w:rPr>
        <w:t xml:space="preserve">Administration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HSBC SECURITIES USA INC., </w:t>
      </w:r>
    </w:p>
    <w:p>
      <w:pPr>
        <w:pStyle w:val="TextBody"/>
        <w:bidi w:val="0"/>
        <w:spacing w:before="0" w:after="0"/>
        <w:jc w:val="left"/>
        <w:rPr>
          <w:rFonts w:ascii="Times New Roman" w:hAnsi="Times New Roman"/>
          <w:sz w:val="20"/>
        </w:rPr>
      </w:pPr>
      <w:r>
        <w:rPr>
          <w:rFonts w:ascii="Times New Roman" w:hAnsi="Times New Roman"/>
          <w:sz w:val="20"/>
        </w:rPr>
        <w:t xml:space="preserve">as Purchaser Agent for HSBC Bank USA,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66 Hudson Boulevard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Nicholas Walach </w:t>
      </w:r>
    </w:p>
    <w:p>
      <w:pPr>
        <w:pStyle w:val="TextBody"/>
        <w:bidi w:val="0"/>
        <w:spacing w:before="240" w:after="0"/>
        <w:jc w:val="left"/>
        <w:rPr>
          <w:rFonts w:ascii="Times New Roman" w:hAnsi="Times New Roman"/>
          <w:sz w:val="20"/>
        </w:rPr>
      </w:pPr>
      <w:r>
        <w:rPr>
          <w:rFonts w:ascii="Times New Roman" w:hAnsi="Times New Roman"/>
          <w:sz w:val="20"/>
        </w:rPr>
        <w:t xml:space="preserve">HSBC BANK USA,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120" w:after="0"/>
        <w:jc w:val="left"/>
        <w:rPr>
          <w:rFonts w:ascii="Times New Roman" w:hAnsi="Times New Roman"/>
          <w:sz w:val="20"/>
        </w:rPr>
      </w:pPr>
      <w:r>
        <w:rPr>
          <w:rFonts w:ascii="Times New Roman" w:hAnsi="Times New Roman"/>
          <w:sz w:val="20"/>
        </w:rPr>
        <w:t xml:space="preserve">66 Hudson Boulevard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Sean Moskal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IV-10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V </w:t>
      </w:r>
    </w:p>
    <w:p>
      <w:pPr>
        <w:pStyle w:val="TextBody"/>
        <w:bidi w:val="0"/>
        <w:spacing w:before="240" w:after="0"/>
        <w:jc w:val="center"/>
        <w:rPr>
          <w:rFonts w:ascii="Times New Roman" w:hAnsi="Times New Roman"/>
          <w:sz w:val="20"/>
        </w:rPr>
      </w:pPr>
      <w:r>
        <w:rPr>
          <w:rFonts w:ascii="Times New Roman" w:hAnsi="Times New Roman"/>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V-1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VI </w:t>
      </w:r>
    </w:p>
    <w:p>
      <w:pPr>
        <w:pStyle w:val="TextBody"/>
        <w:bidi w:val="0"/>
        <w:spacing w:before="240" w:after="0"/>
        <w:jc w:val="center"/>
        <w:rPr>
          <w:rFonts w:ascii="Times New Roman" w:hAnsi="Times New Roman"/>
          <w:sz w:val="20"/>
        </w:rPr>
      </w:pPr>
      <w:r>
        <w:rPr>
          <w:rFonts w:ascii="Times New Roman" w:hAnsi="Times New Roman"/>
          <w:sz w:val="20"/>
        </w:rPr>
        <w:t xml:space="preserve">COMMITMENTS </w:t>
      </w:r>
    </w:p>
    <w:p>
      <w:pPr>
        <w:pStyle w:val="TextBody"/>
        <w:bidi w:val="0"/>
        <w:spacing w:before="24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PNC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Commitment: $410,000,000 </w:t>
      </w:r>
    </w:p>
    <w:p>
      <w:pPr>
        <w:pStyle w:val="TextBody"/>
        <w:bidi w:val="0"/>
        <w:spacing w:before="240" w:after="0"/>
        <w:jc w:val="left"/>
        <w:rPr>
          <w:rFonts w:ascii="Times New Roman" w:hAnsi="Times New Roman"/>
          <w:sz w:val="20"/>
        </w:rPr>
      </w:pPr>
      <w:r>
        <w:rPr>
          <w:rFonts w:ascii="Times New Roman" w:hAnsi="Times New Roman"/>
          <w:sz w:val="20"/>
        </w:rPr>
        <w:t xml:space="preserve">FIFTH THIRD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Fifth Third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Commitment: $225,000,000 </w:t>
      </w:r>
    </w:p>
    <w:p>
      <w:pPr>
        <w:pStyle w:val="TextBody"/>
        <w:bidi w:val="0"/>
        <w:spacing w:before="240" w:after="0"/>
        <w:jc w:val="left"/>
        <w:rPr>
          <w:rFonts w:ascii="Times New Roman" w:hAnsi="Times New Roman"/>
          <w:sz w:val="20"/>
        </w:rPr>
      </w:pPr>
      <w:r>
        <w:rPr>
          <w:rFonts w:ascii="Times New Roman" w:hAnsi="Times New Roman"/>
          <w:sz w:val="20"/>
        </w:rPr>
        <w:t xml:space="preserve">WELLS FARGO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Wells Fargo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Commitment: $265,000,000 </w:t>
      </w:r>
    </w:p>
    <w:p>
      <w:pPr>
        <w:pStyle w:val="TextBody"/>
        <w:bidi w:val="0"/>
        <w:spacing w:before="240" w:after="0"/>
        <w:jc w:val="left"/>
        <w:rPr>
          <w:rFonts w:ascii="Times New Roman" w:hAnsi="Times New Roman"/>
          <w:sz w:val="20"/>
        </w:rPr>
      </w:pPr>
      <w:r>
        <w:rPr>
          <w:rFonts w:ascii="Times New Roman" w:hAnsi="Times New Roman"/>
          <w:sz w:val="20"/>
        </w:rPr>
        <w:t xml:space="preserve">THE BANK OF NOVA SCOTIA,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Commitment: $215,000,000 </w:t>
      </w:r>
    </w:p>
    <w:p>
      <w:pPr>
        <w:pStyle w:val="TextBody"/>
        <w:bidi w:val="0"/>
        <w:spacing w:before="240" w:after="0"/>
        <w:jc w:val="left"/>
        <w:rPr>
          <w:rFonts w:ascii="Times New Roman" w:hAnsi="Times New Roman"/>
          <w:sz w:val="20"/>
        </w:rPr>
      </w:pPr>
      <w:r>
        <w:rPr>
          <w:rFonts w:ascii="Times New Roman" w:hAnsi="Times New Roman"/>
          <w:sz w:val="20"/>
        </w:rPr>
        <w:t xml:space="preserve">THE TORONTO-DOMINION BANK,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Commitment: $215,000,000 </w:t>
      </w:r>
    </w:p>
    <w:p>
      <w:pPr>
        <w:pStyle w:val="TextBody"/>
        <w:bidi w:val="0"/>
        <w:spacing w:before="240" w:after="0"/>
        <w:jc w:val="left"/>
        <w:rPr>
          <w:rFonts w:ascii="Times New Roman" w:hAnsi="Times New Roman"/>
          <w:sz w:val="20"/>
        </w:rPr>
      </w:pPr>
      <w:r>
        <w:rPr>
          <w:rFonts w:ascii="Times New Roman" w:hAnsi="Times New Roman"/>
          <w:sz w:val="20"/>
        </w:rPr>
        <w:t xml:space="preserve">CANADIAN IMPERIAL BANK OF COMMERCE,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Canadian Imperial Bank of Commerce </w:t>
      </w:r>
    </w:p>
    <w:p>
      <w:pPr>
        <w:pStyle w:val="TextBody"/>
        <w:bidi w:val="0"/>
        <w:spacing w:before="0" w:after="0"/>
        <w:jc w:val="left"/>
        <w:rPr>
          <w:rFonts w:ascii="Times New Roman" w:hAnsi="Times New Roman"/>
          <w:sz w:val="20"/>
        </w:rPr>
      </w:pPr>
      <w:r>
        <w:rPr>
          <w:rFonts w:ascii="Times New Roman" w:hAnsi="Times New Roman"/>
          <w:sz w:val="20"/>
        </w:rPr>
        <w:t xml:space="preserve">Commitment: $120,000,000 </w:t>
      </w:r>
    </w:p>
    <w:p>
      <w:pPr>
        <w:pStyle w:val="TextBody"/>
        <w:bidi w:val="0"/>
        <w:spacing w:before="240" w:after="0"/>
        <w:jc w:val="left"/>
        <w:rPr>
          <w:rFonts w:ascii="Times New Roman" w:hAnsi="Times New Roman"/>
          <w:sz w:val="20"/>
        </w:rPr>
      </w:pPr>
      <w:r>
        <w:rPr>
          <w:rFonts w:ascii="Times New Roman" w:hAnsi="Times New Roman"/>
          <w:sz w:val="20"/>
        </w:rPr>
        <w:t xml:space="preserve">BANK OF AMERICA,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Bank of America,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Commitment: $225,000,000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VI-1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HSBC BANK USA,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Commitment: $75,000,000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VI-2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VII </w:t>
      </w:r>
    </w:p>
    <w:p>
      <w:pPr>
        <w:pStyle w:val="TextBody"/>
        <w:bidi w:val="0"/>
        <w:spacing w:before="240" w:after="0"/>
        <w:jc w:val="center"/>
        <w:rPr>
          <w:rFonts w:ascii="Times New Roman" w:hAnsi="Times New Roman"/>
          <w:sz w:val="20"/>
        </w:rPr>
      </w:pPr>
      <w:r>
        <w:rPr>
          <w:rFonts w:ascii="Times New Roman" w:hAnsi="Times New Roman"/>
          <w:sz w:val="20"/>
        </w:rPr>
        <w:t xml:space="preserve">SCHEDULED COMMITMENT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PNC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Scheduled Commitment Termination Date: September 17, 2029 </w:t>
      </w:r>
    </w:p>
    <w:p>
      <w:pPr>
        <w:pStyle w:val="TextBody"/>
        <w:bidi w:val="0"/>
        <w:spacing w:before="240" w:after="0"/>
        <w:jc w:val="left"/>
        <w:rPr>
          <w:rFonts w:ascii="Times New Roman" w:hAnsi="Times New Roman"/>
          <w:sz w:val="20"/>
        </w:rPr>
      </w:pPr>
      <w:r>
        <w:rPr>
          <w:rFonts w:ascii="Times New Roman" w:hAnsi="Times New Roman"/>
          <w:sz w:val="20"/>
        </w:rPr>
        <w:t xml:space="preserve">FIFTH THIRD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Fifth Third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Scheduled Commitment Termination Date: September 17, 2029 </w:t>
      </w:r>
    </w:p>
    <w:p>
      <w:pPr>
        <w:pStyle w:val="TextBody"/>
        <w:bidi w:val="0"/>
        <w:spacing w:before="240" w:after="0"/>
        <w:jc w:val="left"/>
        <w:rPr>
          <w:rFonts w:ascii="Times New Roman" w:hAnsi="Times New Roman"/>
          <w:sz w:val="20"/>
        </w:rPr>
      </w:pPr>
      <w:r>
        <w:rPr>
          <w:rFonts w:ascii="Times New Roman" w:hAnsi="Times New Roman"/>
          <w:sz w:val="20"/>
        </w:rPr>
        <w:t xml:space="preserve">WELLS FARGO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Wells Fargo Bank,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Scheduled Commitment Termination Date: September 17, 2029 </w:t>
      </w:r>
    </w:p>
    <w:p>
      <w:pPr>
        <w:pStyle w:val="TextBody"/>
        <w:bidi w:val="0"/>
        <w:spacing w:before="240" w:after="0"/>
        <w:jc w:val="left"/>
        <w:rPr>
          <w:rFonts w:ascii="Times New Roman" w:hAnsi="Times New Roman"/>
          <w:sz w:val="20"/>
        </w:rPr>
      </w:pPr>
      <w:r>
        <w:rPr>
          <w:rFonts w:ascii="Times New Roman" w:hAnsi="Times New Roman"/>
          <w:sz w:val="20"/>
        </w:rPr>
        <w:t xml:space="preserve">THE BANK OF NOVA SCOTIA,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Scheduled Commitment Termination Date: September 17, 2029 </w:t>
      </w:r>
    </w:p>
    <w:p>
      <w:pPr>
        <w:pStyle w:val="TextBody"/>
        <w:bidi w:val="0"/>
        <w:spacing w:before="240" w:after="0"/>
        <w:jc w:val="left"/>
        <w:rPr>
          <w:rFonts w:ascii="Times New Roman" w:hAnsi="Times New Roman"/>
          <w:sz w:val="20"/>
        </w:rPr>
      </w:pPr>
      <w:r>
        <w:rPr>
          <w:rFonts w:ascii="Times New Roman" w:hAnsi="Times New Roman"/>
          <w:sz w:val="20"/>
        </w:rPr>
        <w:t xml:space="preserve">THE TORONTO-DOMINION BANK,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Scheduled Commitment Termination Date: September 17, 2029 </w:t>
      </w:r>
    </w:p>
    <w:p>
      <w:pPr>
        <w:pStyle w:val="TextBody"/>
        <w:bidi w:val="0"/>
        <w:spacing w:before="240" w:after="0"/>
        <w:jc w:val="left"/>
        <w:rPr>
          <w:rFonts w:ascii="Times New Roman" w:hAnsi="Times New Roman"/>
          <w:sz w:val="20"/>
        </w:rPr>
      </w:pPr>
      <w:r>
        <w:rPr>
          <w:rFonts w:ascii="Times New Roman" w:hAnsi="Times New Roman"/>
          <w:sz w:val="20"/>
        </w:rPr>
        <w:t xml:space="preserve">BANK OF AMERICA,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for Bank of America, National Association </w:t>
      </w:r>
    </w:p>
    <w:p>
      <w:pPr>
        <w:pStyle w:val="TextBody"/>
        <w:bidi w:val="0"/>
        <w:spacing w:before="240" w:after="0"/>
        <w:jc w:val="left"/>
        <w:rPr>
          <w:rFonts w:ascii="Times New Roman" w:hAnsi="Times New Roman"/>
          <w:sz w:val="20"/>
        </w:rPr>
      </w:pPr>
      <w:r>
        <w:rPr>
          <w:rFonts w:ascii="Times New Roman" w:hAnsi="Times New Roman"/>
          <w:sz w:val="20"/>
        </w:rPr>
        <w:t xml:space="preserve">Scheduled Commitment Termination Date: September 17, 2029 </w:t>
      </w:r>
    </w:p>
    <w:p>
      <w:pPr>
        <w:pStyle w:val="TextBody"/>
        <w:bidi w:val="0"/>
        <w:spacing w:before="240" w:after="0"/>
        <w:jc w:val="left"/>
        <w:rPr>
          <w:rFonts w:ascii="Times New Roman" w:hAnsi="Times New Roman"/>
          <w:sz w:val="20"/>
        </w:rPr>
      </w:pPr>
      <w:r>
        <w:rPr>
          <w:rFonts w:ascii="Times New Roman" w:hAnsi="Times New Roman"/>
          <w:sz w:val="20"/>
        </w:rPr>
        <w:t xml:space="preserve">CANADIAN IMPERIAL BANK OF COMMERCE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Scheduled Commitment Termination Date: September 17, 2029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VII-1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HSBC BANK USA,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a Committed Purchaser </w:t>
      </w:r>
    </w:p>
    <w:p>
      <w:pPr>
        <w:pStyle w:val="TextBody"/>
        <w:bidi w:val="0"/>
        <w:spacing w:before="240" w:after="0"/>
        <w:jc w:val="left"/>
        <w:rPr>
          <w:rFonts w:ascii="Times New Roman" w:hAnsi="Times New Roman"/>
          <w:sz w:val="20"/>
        </w:rPr>
      </w:pPr>
      <w:r>
        <w:rPr>
          <w:rFonts w:ascii="Times New Roman" w:hAnsi="Times New Roman"/>
          <w:sz w:val="20"/>
        </w:rPr>
        <w:t xml:space="preserve">Scheduled Commitment Termination Date: September 17, 2029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VII-2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VIII </w:t>
      </w:r>
    </w:p>
    <w:p>
      <w:pPr>
        <w:pStyle w:val="TextBody"/>
        <w:bidi w:val="0"/>
        <w:spacing w:before="240" w:after="0"/>
        <w:jc w:val="center"/>
        <w:rPr>
          <w:rFonts w:ascii="Times New Roman" w:hAnsi="Times New Roman"/>
          <w:sz w:val="20"/>
        </w:rPr>
      </w:pPr>
      <w:r>
        <w:rPr>
          <w:rFonts w:ascii="Times New Roman" w:hAnsi="Times New Roman"/>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VIII-1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IX </w:t>
      </w:r>
    </w:p>
    <w:p>
      <w:pPr>
        <w:pStyle w:val="TextBody"/>
        <w:bidi w:val="0"/>
        <w:spacing w:before="240" w:after="0"/>
        <w:jc w:val="center"/>
        <w:rPr>
          <w:rFonts w:ascii="Times New Roman" w:hAnsi="Times New Roman"/>
          <w:sz w:val="20"/>
        </w:rPr>
      </w:pPr>
      <w:r>
        <w:rPr>
          <w:rFonts w:ascii="Times New Roman" w:hAnsi="Times New Roman"/>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IX-1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X </w:t>
      </w:r>
    </w:p>
    <w:p>
      <w:pPr>
        <w:pStyle w:val="TextBody"/>
        <w:bidi w:val="0"/>
        <w:spacing w:before="240" w:after="0"/>
        <w:jc w:val="center"/>
        <w:rPr>
          <w:rFonts w:ascii="Times New Roman" w:hAnsi="Times New Roman"/>
          <w:sz w:val="20"/>
        </w:rPr>
      </w:pPr>
      <w:r>
        <w:rPr>
          <w:rFonts w:ascii="Times New Roman" w:hAnsi="Times New Roman"/>
          <w:sz w:val="20"/>
        </w:rPr>
        <w:t xml:space="preserve">EXCLUDED RECEIVABLES </w:t>
      </w:r>
    </w:p>
    <w:p>
      <w:pPr>
        <w:pStyle w:val="TextBody"/>
        <w:bidi w:val="0"/>
        <w:spacing w:before="240" w:after="0"/>
        <w:jc w:val="left"/>
        <w:rPr/>
      </w:pPr>
      <w:r>
        <w:rPr/>
        <w:t>“</w:t>
      </w:r>
      <w:r>
        <w:rPr>
          <w:rFonts w:ascii="Times New Roman" w:hAnsi="Times New Roman"/>
          <w:sz w:val="20"/>
          <w:u w:val="single"/>
        </w:rPr>
        <w:t>Excluded Receivable</w:t>
      </w:r>
      <w:r>
        <w:rPr>
          <w:rFonts w:ascii="Times New Roman" w:hAnsi="Times New Roman"/>
          <w:sz w:val="20"/>
        </w:rPr>
        <w:t xml:space="preserve">” means any Receivable (without giving effect to the exclusion of “Excluded Receivables” from the definition thereof): </w:t>
      </w:r>
    </w:p>
    <w:p>
      <w:pPr>
        <w:pStyle w:val="TextBody"/>
        <w:bidi w:val="0"/>
        <w:spacing w:before="120" w:after="0"/>
        <w:jc w:val="left"/>
        <w:rPr>
          <w:rFonts w:ascii="Times New Roman" w:hAnsi="Times New Roman"/>
          <w:sz w:val="20"/>
        </w:rPr>
      </w:pPr>
      <w:r>
        <w:rPr>
          <w:rFonts w:ascii="Times New Roman" w:hAnsi="Times New Roman"/>
          <w:sz w:val="20"/>
        </w:rPr>
        <w:t xml:space="preserve">(i) that both (i) is owed by an Obligor not a resident of the United States and (ii) is denominated in a currency other than U.S. dollars, </w:t>
      </w:r>
    </w:p>
    <w:p>
      <w:pPr>
        <w:pStyle w:val="TextBody"/>
        <w:bidi w:val="0"/>
        <w:spacing w:before="240" w:after="0"/>
        <w:jc w:val="left"/>
        <w:rPr>
          <w:rFonts w:ascii="Times New Roman" w:hAnsi="Times New Roman"/>
          <w:sz w:val="20"/>
        </w:rPr>
      </w:pPr>
      <w:r>
        <w:rPr>
          <w:rFonts w:ascii="Times New Roman" w:hAnsi="Times New Roman"/>
          <w:sz w:val="20"/>
        </w:rPr>
        <w:t xml:space="preserve">(ii) the Obligor of which is Siemens AG or any Subsidiary thereof, </w:t>
      </w:r>
    </w:p>
    <w:p>
      <w:pPr>
        <w:pStyle w:val="TextBody"/>
        <w:bidi w:val="0"/>
        <w:spacing w:before="240" w:after="0"/>
        <w:jc w:val="left"/>
        <w:rPr>
          <w:rFonts w:ascii="Times New Roman" w:hAnsi="Times New Roman"/>
          <w:sz w:val="20"/>
        </w:rPr>
      </w:pPr>
      <w:r>
        <w:rPr>
          <w:rFonts w:ascii="Times New Roman" w:hAnsi="Times New Roman"/>
          <w:sz w:val="20"/>
        </w:rPr>
        <w:t xml:space="preserve">(iii) [reserved], </w:t>
      </w:r>
    </w:p>
    <w:p>
      <w:pPr>
        <w:pStyle w:val="TextBody"/>
        <w:bidi w:val="0"/>
        <w:spacing w:before="240" w:after="0"/>
        <w:jc w:val="left"/>
        <w:rPr>
          <w:rFonts w:ascii="Times New Roman" w:hAnsi="Times New Roman"/>
          <w:sz w:val="20"/>
        </w:rPr>
      </w:pPr>
      <w:r>
        <w:rPr>
          <w:rFonts w:ascii="Times New Roman" w:hAnsi="Times New Roman"/>
          <w:sz w:val="20"/>
        </w:rPr>
        <w:t xml:space="preserve">(iv) the Obligor of which is Mondelez International Inc. or any Subsidiary thereof, </w:t>
      </w:r>
    </w:p>
    <w:p>
      <w:pPr>
        <w:pStyle w:val="TextBody"/>
        <w:bidi w:val="0"/>
        <w:spacing w:before="240" w:after="0"/>
        <w:jc w:val="left"/>
        <w:rPr>
          <w:rFonts w:ascii="Times New Roman" w:hAnsi="Times New Roman"/>
          <w:sz w:val="20"/>
        </w:rPr>
      </w:pPr>
      <w:r>
        <w:rPr>
          <w:rFonts w:ascii="Times New Roman" w:hAnsi="Times New Roman"/>
          <w:sz w:val="20"/>
        </w:rPr>
        <w:t xml:space="preserve">(v) the Obligor of which is Evoqua Water Technologies LLC or any Subsidiary thereof and such Receivable was originated on or after September 26, 2019, </w:t>
      </w:r>
    </w:p>
    <w:p>
      <w:pPr>
        <w:pStyle w:val="TextBody"/>
        <w:bidi w:val="0"/>
        <w:spacing w:before="240" w:after="0"/>
        <w:jc w:val="left"/>
        <w:rPr>
          <w:rFonts w:ascii="Times New Roman" w:hAnsi="Times New Roman"/>
          <w:sz w:val="20"/>
        </w:rPr>
      </w:pPr>
      <w:r>
        <w:rPr>
          <w:rFonts w:ascii="Times New Roman" w:hAnsi="Times New Roman"/>
          <w:sz w:val="20"/>
        </w:rPr>
        <w:t xml:space="preserve">(vi) that is originated by any Originator that is joining the Sale Agreement on the date hereof and the Obligor of which is (a) Stanley Black &amp; Decker, Inc. (or any Subsidiary thereof), or (b) Electrical Components International Inc. (or any Subsidiary thereof), </w:t>
      </w:r>
    </w:p>
    <w:p>
      <w:pPr>
        <w:pStyle w:val="TextBody"/>
        <w:bidi w:val="0"/>
        <w:spacing w:before="240" w:after="0"/>
        <w:jc w:val="left"/>
        <w:rPr>
          <w:rFonts w:ascii="Times New Roman" w:hAnsi="Times New Roman"/>
          <w:sz w:val="20"/>
        </w:rPr>
      </w:pPr>
      <w:r>
        <w:rPr>
          <w:rFonts w:ascii="Times New Roman" w:hAnsi="Times New Roman"/>
          <w:sz w:val="20"/>
        </w:rPr>
        <w:t xml:space="preserve">(vii) [reserved], </w:t>
      </w:r>
    </w:p>
    <w:p>
      <w:pPr>
        <w:pStyle w:val="TextBody"/>
        <w:bidi w:val="0"/>
        <w:spacing w:before="240" w:after="0"/>
        <w:jc w:val="left"/>
        <w:rPr>
          <w:rFonts w:ascii="Times New Roman" w:hAnsi="Times New Roman"/>
          <w:sz w:val="20"/>
        </w:rPr>
      </w:pPr>
      <w:r>
        <w:rPr>
          <w:rFonts w:ascii="Times New Roman" w:hAnsi="Times New Roman"/>
          <w:sz w:val="20"/>
        </w:rPr>
        <w:t xml:space="preserve">(viii) [reserved], or </w:t>
      </w:r>
    </w:p>
    <w:p>
      <w:pPr>
        <w:pStyle w:val="TextBody"/>
        <w:bidi w:val="0"/>
        <w:spacing w:before="240" w:after="0"/>
        <w:jc w:val="left"/>
        <w:rPr>
          <w:rFonts w:ascii="Times New Roman" w:hAnsi="Times New Roman"/>
          <w:sz w:val="20"/>
        </w:rPr>
      </w:pPr>
      <w:r>
        <w:rPr>
          <w:rFonts w:ascii="Times New Roman" w:hAnsi="Times New Roman"/>
          <w:sz w:val="20"/>
        </w:rPr>
        <w:t xml:space="preserve">(ix) that is originated by Rahi Systems Inc and the Obligor of which is PayPal Inc. or any Subsidiary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X-1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XI </w:t>
      </w:r>
    </w:p>
    <w:p>
      <w:pPr>
        <w:pStyle w:val="TextBody"/>
        <w:bidi w:val="0"/>
        <w:spacing w:before="240" w:after="0"/>
        <w:jc w:val="center"/>
        <w:rPr>
          <w:rFonts w:ascii="Times New Roman" w:hAnsi="Times New Roman"/>
          <w:sz w:val="20"/>
        </w:rPr>
      </w:pPr>
      <w:r>
        <w:rPr>
          <w:rFonts w:ascii="Times New Roman" w:hAnsi="Times New Roman"/>
          <w:sz w:val="20"/>
        </w:rPr>
        <w:t xml:space="preserve">CLOSING MEMORANDUM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XI-1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to Fifth Amended And Restated Receivables Purchase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FORM OF INFORMATION PACKAGE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B </w:t>
      </w:r>
    </w:p>
    <w:p>
      <w:pPr>
        <w:pStyle w:val="TextBody"/>
        <w:bidi w:val="0"/>
        <w:spacing w:before="240" w:after="0"/>
        <w:jc w:val="center"/>
        <w:rPr>
          <w:rFonts w:ascii="Times New Roman" w:hAnsi="Times New Roman"/>
          <w:sz w:val="20"/>
        </w:rPr>
      </w:pPr>
      <w:r>
        <w:rPr>
          <w:rFonts w:ascii="Times New Roman" w:hAnsi="Times New Roman"/>
          <w:sz w:val="20"/>
        </w:rPr>
        <w:t xml:space="preserve">to Fifth Amended And Restated Receivables Purchase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FORM OF PURCHASE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B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ANNEX B </w:t>
      </w:r>
    </w:p>
    <w:p>
      <w:pPr>
        <w:pStyle w:val="TextBody"/>
        <w:bidi w:val="0"/>
        <w:spacing w:before="0" w:after="0"/>
        <w:jc w:val="center"/>
        <w:rPr>
          <w:rFonts w:ascii="Times New Roman" w:hAnsi="Times New Roman"/>
          <w:sz w:val="20"/>
        </w:rPr>
      </w:pPr>
      <w:r>
        <w:rPr>
          <w:rFonts w:ascii="Times New Roman" w:hAnsi="Times New Roman"/>
          <w:sz w:val="20"/>
        </w:rPr>
        <w:t xml:space="preserve">FORM OF PURCHASE NOTICE </w:t>
      </w:r>
    </w:p>
    <w:p>
      <w:pPr>
        <w:pStyle w:val="TextBody"/>
        <w:bidi w:val="0"/>
        <w:spacing w:before="120" w:after="0"/>
        <w:jc w:val="center"/>
        <w:rPr>
          <w:rFonts w:ascii="Times New Roman" w:hAnsi="Times New Roman"/>
          <w:sz w:val="20"/>
        </w:rPr>
      </w:pPr>
      <w:r>
        <w:rPr>
          <w:rFonts w:ascii="Times New Roman" w:hAnsi="Times New Roman"/>
          <w:sz w:val="20"/>
        </w:rPr>
        <w:t xml:space="preserve">_______ ___, 20__ </w:t>
      </w:r>
    </w:p>
    <w:p>
      <w:pPr>
        <w:pStyle w:val="TextBody"/>
        <w:bidi w:val="0"/>
        <w:spacing w:before="240" w:after="0"/>
        <w:jc w:val="left"/>
        <w:rPr>
          <w:rFonts w:ascii="Times New Roman" w:hAnsi="Times New Roman"/>
          <w:sz w:val="20"/>
        </w:rPr>
      </w:pPr>
      <w:r>
        <w:rPr>
          <w:rFonts w:ascii="Times New Roman" w:hAnsi="Times New Roman"/>
          <w:sz w:val="20"/>
        </w:rPr>
        <w:t xml:space="preserve">PNC Bank,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Three PNC Plaza </w:t>
      </w:r>
    </w:p>
    <w:p>
      <w:pPr>
        <w:pStyle w:val="TextBody"/>
        <w:bidi w:val="0"/>
        <w:spacing w:before="0" w:after="0"/>
        <w:jc w:val="left"/>
        <w:rPr>
          <w:rFonts w:ascii="Times New Roman" w:hAnsi="Times New Roman"/>
          <w:sz w:val="20"/>
        </w:rPr>
      </w:pPr>
      <w:r>
        <w:rPr>
          <w:rFonts w:ascii="Times New Roman" w:hAnsi="Times New Roman"/>
          <w:sz w:val="20"/>
        </w:rPr>
        <w:t xml:space="preserve">225 Fifth Avenue </w:t>
      </w:r>
    </w:p>
    <w:p>
      <w:pPr>
        <w:pStyle w:val="TextBody"/>
        <w:bidi w:val="0"/>
        <w:spacing w:before="0" w:after="0"/>
        <w:jc w:val="left"/>
        <w:rPr>
          <w:rFonts w:ascii="Times New Roman" w:hAnsi="Times New Roman"/>
          <w:sz w:val="20"/>
        </w:rPr>
      </w:pPr>
      <w:r>
        <w:rPr>
          <w:rFonts w:ascii="Times New Roman" w:hAnsi="Times New Roman"/>
          <w:sz w:val="20"/>
        </w:rPr>
        <w:t xml:space="preserve">Pittsburgh, PA 15222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hereby made to the Fifth Amended and Restated Receivables Purchase Agreement, dated as of June 22, 2020 (as heretofore amended or supplemented, the “</w:t>
      </w:r>
      <w:r>
        <w:rPr>
          <w:rFonts w:ascii="Times New Roman" w:hAnsi="Times New Roman"/>
          <w:sz w:val="20"/>
          <w:u w:val="single"/>
        </w:rPr>
        <w:t>Receivables Purchase Agreement</w:t>
      </w:r>
      <w:r>
        <w:rPr>
          <w:rFonts w:ascii="Times New Roman" w:hAnsi="Times New Roman"/>
          <w:sz w:val="20"/>
        </w:rPr>
        <w:t>”), among WESCO Receivables Corp. (“</w:t>
      </w:r>
      <w:r>
        <w:rPr>
          <w:rFonts w:ascii="Times New Roman" w:hAnsi="Times New Roman"/>
          <w:sz w:val="20"/>
          <w:u w:val="single"/>
        </w:rPr>
        <w:t>Seller</w:t>
      </w:r>
      <w:r>
        <w:rPr>
          <w:rFonts w:ascii="Times New Roman" w:hAnsi="Times New Roman"/>
          <w:sz w:val="20"/>
        </w:rPr>
        <w:t>”), WESCO Distribution, Inc., as Servicer, PNC Bank, National Association (the “</w:t>
      </w:r>
      <w:r>
        <w:rPr>
          <w:rFonts w:ascii="Times New Roman" w:hAnsi="Times New Roman"/>
          <w:sz w:val="20"/>
          <w:u w:val="single"/>
        </w:rPr>
        <w:t>Administrator</w:t>
      </w:r>
      <w:r>
        <w:rPr>
          <w:rFonts w:ascii="Times New Roman" w:hAnsi="Times New Roman"/>
          <w:sz w:val="20"/>
        </w:rPr>
        <w:t xml:space="preserve">”), PNC Capital Markets LLC, as Structuring Agent, and the various Purchaser Groups party thereto. Capitalized terms used in this Purchase Notice and not otherwise defined herein shall have the meanings assigned thereto in the Receivables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letter constitutes a Purchase Notice pursuant to </w:t>
      </w:r>
      <w:r>
        <w:rPr>
          <w:rFonts w:ascii="Times New Roman" w:hAnsi="Times New Roman"/>
          <w:sz w:val="20"/>
          <w:u w:val="single"/>
        </w:rPr>
        <w:t>Section 1.2(a)</w:t>
      </w:r>
      <w:r>
        <w:rPr>
          <w:rFonts w:ascii="Times New Roman" w:hAnsi="Times New Roman"/>
          <w:sz w:val="20"/>
        </w:rPr>
        <w:t xml:space="preserve"> of the Receivables Purchase Agreement. Seller desires to sell an undivided variable interest in a pool of receivables on _______ ___, 20__, for a purchase price of $________. The Aggregate Investment after such purchase shall be $__________. </w:t>
      </w:r>
    </w:p>
    <w:p>
      <w:pPr>
        <w:pStyle w:val="TextBody"/>
        <w:bidi w:val="0"/>
        <w:spacing w:before="240" w:after="0"/>
        <w:jc w:val="left"/>
        <w:rPr>
          <w:rFonts w:ascii="Times New Roman" w:hAnsi="Times New Roman"/>
          <w:sz w:val="20"/>
        </w:rPr>
      </w:pPr>
      <w:r>
        <w:rPr>
          <w:rFonts w:ascii="Times New Roman" w:hAnsi="Times New Roman"/>
          <w:sz w:val="20"/>
        </w:rPr>
        <w:t xml:space="preserve">Seller hereby represents and warrants as of the date hereof, and as of the date of Purchase, as follows: </w:t>
      </w:r>
    </w:p>
    <w:p>
      <w:pPr>
        <w:pStyle w:val="TextBody"/>
        <w:bidi w:val="0"/>
        <w:spacing w:before="240" w:after="0"/>
        <w:jc w:val="left"/>
        <w:rPr>
          <w:rFonts w:ascii="Times New Roman" w:hAnsi="Times New Roman"/>
          <w:sz w:val="20"/>
        </w:rPr>
      </w:pPr>
      <w:r>
        <w:rPr>
          <w:rFonts w:ascii="Times New Roman" w:hAnsi="Times New Roman"/>
          <w:sz w:val="20"/>
        </w:rPr>
        <w:t xml:space="preserve">(i) the representations and warranties contained in </w:t>
      </w:r>
      <w:r>
        <w:rPr>
          <w:rFonts w:ascii="Times New Roman" w:hAnsi="Times New Roman"/>
          <w:sz w:val="20"/>
          <w:u w:val="single"/>
        </w:rPr>
        <w:t>Exhibit III</w:t>
      </w:r>
      <w:r>
        <w:rPr>
          <w:rFonts w:ascii="Times New Roman" w:hAnsi="Times New Roman"/>
          <w:sz w:val="20"/>
        </w:rPr>
        <w:t xml:space="preserve"> of the Receivables Purchase Agreement are correct in all material respects on and as of such dates as though made on and as of such dates and shall be deemed to have been made on such dates; </w:t>
      </w:r>
      <w:r>
        <w:rPr>
          <w:rFonts w:ascii="Times New Roman" w:hAnsi="Times New Roman"/>
          <w:sz w:val="20"/>
          <w:u w:val="single"/>
        </w:rPr>
        <w:t>provided</w:t>
      </w:r>
      <w:r>
        <w:rPr>
          <w:rFonts w:ascii="Times New Roman" w:hAnsi="Times New Roman"/>
          <w:sz w:val="20"/>
        </w:rPr>
        <w:t xml:space="preserve"> that if such representation and warranty relates solely to an earlier date, such representation and warranty was correct in all material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(ii) no Termination Event or Unmatured Termination Event has occurred and is continuing, or would result from such purchase; </w:t>
      </w:r>
    </w:p>
    <w:p>
      <w:pPr>
        <w:pStyle w:val="TextBody"/>
        <w:bidi w:val="0"/>
        <w:spacing w:before="240" w:after="0"/>
        <w:jc w:val="left"/>
        <w:rPr>
          <w:rFonts w:ascii="Times New Roman" w:hAnsi="Times New Roman"/>
          <w:sz w:val="20"/>
        </w:rPr>
      </w:pPr>
      <w:r>
        <w:rPr>
          <w:rFonts w:ascii="Times New Roman" w:hAnsi="Times New Roman"/>
          <w:sz w:val="20"/>
        </w:rPr>
        <w:t xml:space="preserve">(iii) after giving effect to the purchase proposed hereby, the Purchased Interest will not exceed 100%, no Purchaser’s Investment will exceed its Commitment and the Aggregate Investment will not exceed the Purchase Limit; and </w:t>
      </w:r>
    </w:p>
    <w:p>
      <w:pPr>
        <w:pStyle w:val="TextBody"/>
        <w:bidi w:val="0"/>
        <w:spacing w:before="240" w:after="0"/>
        <w:jc w:val="left"/>
        <w:rPr>
          <w:rFonts w:ascii="Times New Roman" w:hAnsi="Times New Roman"/>
          <w:sz w:val="20"/>
        </w:rPr>
      </w:pPr>
      <w:r>
        <w:rPr>
          <w:rFonts w:ascii="Times New Roman" w:hAnsi="Times New Roman"/>
          <w:sz w:val="20"/>
        </w:rPr>
        <w:t xml:space="preserve">(iv) the Facility Termination Date shall not have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B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caused this Purchase Notice to be executed by its duly authorized officer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76"/>
        <w:gridCol w:w="143"/>
        <w:gridCol w:w="2463"/>
      </w:tblGrid>
      <w:tr>
        <w:trPr/>
        <w:tc>
          <w:tcPr>
            <w:tcW w:w="147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WESCO RECEIVABLES CORP.</w:t>
            </w:r>
          </w:p>
        </w:tc>
      </w:tr>
      <w:tr>
        <w:trPr>
          <w:trHeight w:val="240" w:hRule="atLeast"/>
        </w:trPr>
        <w:tc>
          <w:tcPr>
            <w:tcW w:w="1476" w:type="dxa"/>
            <w:tcBorders/>
            <w:vAlign w:val="center"/>
          </w:tcPr>
          <w:p>
            <w:pPr>
              <w:pStyle w:val="TableContents"/>
              <w:bidi w:val="0"/>
              <w:spacing w:before="0" w:after="283"/>
              <w:jc w:val="left"/>
              <w:rPr>
                <w:sz w:val="4"/>
                <w:szCs w:val="4"/>
              </w:rPr>
            </w:pPr>
            <w:r>
              <w:rPr>
                <w:sz w:val="4"/>
                <w:szCs w:val="4"/>
              </w:rPr>
            </w:r>
          </w:p>
        </w:tc>
        <w:tc>
          <w:tcPr>
            <w:tcW w:w="2606" w:type="dxa"/>
            <w:gridSpan w:val="2"/>
            <w:tcBorders/>
            <w:vAlign w:val="center"/>
          </w:tcPr>
          <w:p>
            <w:pPr>
              <w:pStyle w:val="TableContents"/>
              <w:bidi w:val="0"/>
              <w:spacing w:before="0" w:after="283"/>
              <w:jc w:val="left"/>
              <w:rPr>
                <w:sz w:val="4"/>
                <w:szCs w:val="4"/>
              </w:rPr>
            </w:pPr>
            <w:r>
              <w:rPr>
                <w:sz w:val="4"/>
                <w:szCs w:val="4"/>
              </w:rPr>
            </w:r>
          </w:p>
        </w:tc>
      </w:tr>
      <w:tr>
        <w:trPr/>
        <w:tc>
          <w:tcPr>
            <w:tcW w:w="1476" w:type="dxa"/>
            <w:tcBorders/>
          </w:tcPr>
          <w:p>
            <w:pPr>
              <w:pStyle w:val="TableContents"/>
              <w:bidi w:val="0"/>
              <w:spacing w:before="0" w:after="283"/>
              <w:jc w:val="left"/>
              <w:rPr/>
            </w:pPr>
            <w:r>
              <w:rPr/>
              <w:t>By:</w:t>
            </w:r>
          </w:p>
        </w:tc>
        <w:tc>
          <w:tcPr>
            <w:tcW w:w="143" w:type="dxa"/>
            <w:tcBorders>
              <w:bottom w:val="single" w:sz="2" w:space="0" w:color="000000"/>
            </w:tcBorders>
            <w:tcMar>
              <w:bottom w:w="28" w:type="dxa"/>
            </w:tcMar>
            <w:vAlign w:val="bottom"/>
          </w:tcPr>
          <w:p>
            <w:pPr>
              <w:pStyle w:val="TableContents"/>
              <w:bidi w:val="0"/>
              <w:spacing w:before="0" w:after="283"/>
              <w:jc w:val="left"/>
              <w:rPr/>
            </w:pPr>
            <w:r>
              <w:rPr/>
              <w:t> </w:t>
            </w:r>
          </w:p>
        </w:tc>
        <w:tc>
          <w:tcPr>
            <w:tcW w:w="2463" w:type="dxa"/>
            <w:tcBorders>
              <w:bottom w:val="single" w:sz="2" w:space="0" w:color="000000"/>
            </w:tcBorders>
            <w:tcMar>
              <w:bottom w:w="28" w:type="dxa"/>
            </w:tcMar>
          </w:tcPr>
          <w:p>
            <w:pPr>
              <w:pStyle w:val="TableContents"/>
              <w:bidi w:val="0"/>
              <w:spacing w:before="0" w:after="283"/>
              <w:jc w:val="left"/>
              <w:rPr/>
            </w:pPr>
            <w:r>
              <w:rPr/>
              <w:t> </w:t>
            </w:r>
          </w:p>
        </w:tc>
      </w:tr>
      <w:tr>
        <w:trPr/>
        <w:tc>
          <w:tcPr>
            <w:tcW w:w="1476" w:type="dxa"/>
            <w:tcBorders/>
          </w:tcPr>
          <w:p>
            <w:pPr>
              <w:pStyle w:val="TableContents"/>
              <w:bidi w:val="0"/>
              <w:spacing w:before="0" w:after="283"/>
              <w:jc w:val="left"/>
              <w:rPr/>
            </w:pPr>
            <w:r>
              <w:rPr/>
              <w:t>Name:</w:t>
            </w:r>
          </w:p>
        </w:tc>
        <w:tc>
          <w:tcPr>
            <w:tcW w:w="143" w:type="dxa"/>
            <w:tcBorders>
              <w:bottom w:val="single" w:sz="2" w:space="0" w:color="000000"/>
            </w:tcBorders>
            <w:tcMar>
              <w:bottom w:w="28" w:type="dxa"/>
            </w:tcMar>
            <w:vAlign w:val="bottom"/>
          </w:tcPr>
          <w:p>
            <w:pPr>
              <w:pStyle w:val="TableContents"/>
              <w:bidi w:val="0"/>
              <w:spacing w:before="0" w:after="283"/>
              <w:jc w:val="left"/>
              <w:rPr/>
            </w:pPr>
            <w:r>
              <w:rPr/>
              <w:t> </w:t>
            </w:r>
          </w:p>
        </w:tc>
        <w:tc>
          <w:tcPr>
            <w:tcW w:w="2463" w:type="dxa"/>
            <w:tcBorders>
              <w:bottom w:val="single" w:sz="2" w:space="0" w:color="000000"/>
            </w:tcBorders>
            <w:tcMar>
              <w:bottom w:w="28" w:type="dxa"/>
            </w:tcMar>
          </w:tcPr>
          <w:p>
            <w:pPr>
              <w:pStyle w:val="TableContents"/>
              <w:bidi w:val="0"/>
              <w:spacing w:before="0" w:after="283"/>
              <w:jc w:val="left"/>
              <w:rPr/>
            </w:pPr>
            <w:r>
              <w:rPr/>
              <w:t> </w:t>
            </w:r>
          </w:p>
        </w:tc>
      </w:tr>
      <w:tr>
        <w:trPr/>
        <w:tc>
          <w:tcPr>
            <w:tcW w:w="1476" w:type="dxa"/>
            <w:tcBorders/>
          </w:tcPr>
          <w:p>
            <w:pPr>
              <w:pStyle w:val="TableContents"/>
              <w:bidi w:val="0"/>
              <w:spacing w:before="0" w:after="283"/>
              <w:jc w:val="left"/>
              <w:rPr/>
            </w:pPr>
            <w:r>
              <w:rPr/>
              <w:t>Title:</w:t>
            </w:r>
          </w:p>
        </w:tc>
        <w:tc>
          <w:tcPr>
            <w:tcW w:w="143" w:type="dxa"/>
            <w:tcBorders>
              <w:bottom w:val="single" w:sz="2" w:space="0" w:color="000000"/>
            </w:tcBorders>
            <w:tcMar>
              <w:bottom w:w="28" w:type="dxa"/>
            </w:tcMar>
            <w:vAlign w:val="bottom"/>
          </w:tcPr>
          <w:p>
            <w:pPr>
              <w:pStyle w:val="TableContents"/>
              <w:bidi w:val="0"/>
              <w:spacing w:before="0" w:after="283"/>
              <w:jc w:val="left"/>
              <w:rPr/>
            </w:pPr>
            <w:r>
              <w:rPr/>
              <w:t> </w:t>
            </w:r>
          </w:p>
        </w:tc>
        <w:tc>
          <w:tcPr>
            <w:tcW w:w="246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B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C </w:t>
      </w:r>
    </w:p>
    <w:p>
      <w:pPr>
        <w:pStyle w:val="TextBody"/>
        <w:bidi w:val="0"/>
        <w:spacing w:before="120" w:after="0"/>
        <w:jc w:val="center"/>
        <w:rPr>
          <w:rFonts w:ascii="Times New Roman" w:hAnsi="Times New Roman"/>
          <w:sz w:val="20"/>
        </w:rPr>
      </w:pPr>
      <w:r>
        <w:rPr>
          <w:rFonts w:ascii="Times New Roman" w:hAnsi="Times New Roman"/>
          <w:sz w:val="20"/>
        </w:rPr>
        <w:t xml:space="preserve">FORM OF DAILY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46"/>
        <w:gridCol w:w="333"/>
        <w:gridCol w:w="221"/>
        <w:gridCol w:w="1047"/>
        <w:gridCol w:w="158"/>
      </w:tblGrid>
      <w:tr>
        <w:trPr/>
        <w:tc>
          <w:tcPr>
            <w:tcW w:w="8446"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A/R of Originators at prior month end</w:t>
            </w:r>
          </w:p>
        </w:tc>
        <w:tc>
          <w:tcPr>
            <w:tcW w:w="33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x,xxx,xxx</w:t>
            </w:r>
          </w:p>
        </w:tc>
        <w:tc>
          <w:tcPr>
            <w:tcW w:w="158" w:type="dxa"/>
            <w:tcBorders/>
            <w:shd w:fill="CCEEFF" w:val="clear"/>
            <w:vAlign w:val="bottom"/>
          </w:tcPr>
          <w:p>
            <w:pPr>
              <w:pStyle w:val="TableContents"/>
              <w:bidi w:val="0"/>
              <w:spacing w:before="0" w:after="283"/>
              <w:jc w:val="left"/>
              <w:rPr/>
            </w:pPr>
            <w:r>
              <w:rPr/>
              <w:t> </w:t>
            </w:r>
          </w:p>
        </w:tc>
      </w:tr>
      <w:tr>
        <w:trPr/>
        <w:tc>
          <w:tcPr>
            <w:tcW w:w="8446" w:type="dxa"/>
            <w:tcBorders/>
          </w:tcPr>
          <w:p>
            <w:pPr>
              <w:pStyle w:val="TableContents"/>
              <w:bidi w:val="0"/>
              <w:spacing w:before="0" w:after="0"/>
              <w:jc w:val="left"/>
              <w:rPr>
                <w:rFonts w:ascii="Times New Roman" w:hAnsi="Times New Roman"/>
                <w:sz w:val="20"/>
              </w:rPr>
            </w:pPr>
            <w:r>
              <w:rPr>
                <w:rFonts w:ascii="Times New Roman" w:hAnsi="Times New Roman"/>
                <w:sz w:val="20"/>
              </w:rPr>
              <w:t>+ Originator sales since prior month end</w:t>
            </w:r>
          </w:p>
        </w:tc>
        <w:tc>
          <w:tcPr>
            <w:tcW w:w="33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47" w:type="dxa"/>
            <w:tcBorders/>
            <w:vAlign w:val="bottom"/>
          </w:tcPr>
          <w:p>
            <w:pPr>
              <w:pStyle w:val="TableContents"/>
              <w:bidi w:val="0"/>
              <w:spacing w:before="0" w:after="283"/>
              <w:jc w:val="right"/>
              <w:rPr/>
            </w:pPr>
            <w:r>
              <w:rPr/>
              <w:t>x,xxx,xxx</w:t>
            </w:r>
          </w:p>
        </w:tc>
        <w:tc>
          <w:tcPr>
            <w:tcW w:w="158" w:type="dxa"/>
            <w:tcBorders/>
            <w:vAlign w:val="bottom"/>
          </w:tcPr>
          <w:p>
            <w:pPr>
              <w:pStyle w:val="TableContents"/>
              <w:bidi w:val="0"/>
              <w:spacing w:before="0" w:after="283"/>
              <w:jc w:val="left"/>
              <w:rPr/>
            </w:pPr>
            <w:r>
              <w:rPr/>
              <w:t> </w:t>
            </w:r>
          </w:p>
        </w:tc>
      </w:tr>
      <w:tr>
        <w:trPr/>
        <w:tc>
          <w:tcPr>
            <w:tcW w:w="8446"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 Originator collections since prior month end</w:t>
            </w:r>
          </w:p>
        </w:tc>
        <w:tc>
          <w:tcPr>
            <w:tcW w:w="33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u w:val="single"/>
              </w:rPr>
            </w:pPr>
            <w:r>
              <w:rPr>
                <w:u w:val="single"/>
              </w:rPr>
              <w:t>($</w:t>
            </w:r>
          </w:p>
        </w:tc>
        <w:tc>
          <w:tcPr>
            <w:tcW w:w="1047" w:type="dxa"/>
            <w:tcBorders/>
            <w:shd w:fill="CCEEFF" w:val="clear"/>
            <w:vAlign w:val="bottom"/>
          </w:tcPr>
          <w:p>
            <w:pPr>
              <w:pStyle w:val="TableContents"/>
              <w:bidi w:val="0"/>
              <w:spacing w:before="0" w:after="283"/>
              <w:jc w:val="right"/>
              <w:rPr>
                <w:u w:val="single"/>
              </w:rPr>
            </w:pPr>
            <w:r>
              <w:rPr>
                <w:u w:val="single"/>
              </w:rPr>
              <w:t>x,xxx,xxx</w:t>
            </w:r>
          </w:p>
        </w:tc>
        <w:tc>
          <w:tcPr>
            <w:tcW w:w="158" w:type="dxa"/>
            <w:tcBorders/>
            <w:shd w:fill="CCEEFF" w:val="clear"/>
            <w:vAlign w:val="bottom"/>
          </w:tcPr>
          <w:p>
            <w:pPr>
              <w:pStyle w:val="TableContents"/>
              <w:bidi w:val="0"/>
              <w:spacing w:before="0" w:after="283"/>
              <w:jc w:val="left"/>
              <w:rPr/>
            </w:pPr>
            <w:r>
              <w:rPr/>
              <w:t>) </w:t>
            </w:r>
          </w:p>
        </w:tc>
      </w:tr>
      <w:tr>
        <w:trPr/>
        <w:tc>
          <w:tcPr>
            <w:tcW w:w="8446" w:type="dxa"/>
            <w:tcBorders/>
          </w:tcPr>
          <w:p>
            <w:pPr>
              <w:pStyle w:val="TableContents"/>
              <w:bidi w:val="0"/>
              <w:spacing w:before="0" w:after="0"/>
              <w:jc w:val="left"/>
              <w:rPr>
                <w:rFonts w:ascii="Times New Roman" w:hAnsi="Times New Roman"/>
                <w:sz w:val="20"/>
              </w:rPr>
            </w:pPr>
            <w:r>
              <w:rPr>
                <w:rFonts w:ascii="Times New Roman" w:hAnsi="Times New Roman"/>
                <w:sz w:val="20"/>
              </w:rPr>
              <w:t>Gross A/R of Originators</w:t>
            </w:r>
          </w:p>
        </w:tc>
        <w:tc>
          <w:tcPr>
            <w:tcW w:w="33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47" w:type="dxa"/>
            <w:tcBorders/>
            <w:vAlign w:val="bottom"/>
          </w:tcPr>
          <w:p>
            <w:pPr>
              <w:pStyle w:val="TableContents"/>
              <w:bidi w:val="0"/>
              <w:spacing w:before="0" w:after="283"/>
              <w:jc w:val="right"/>
              <w:rPr/>
            </w:pPr>
            <w:r>
              <w:rPr/>
              <w:t>x,xxx,xxx</w:t>
            </w:r>
          </w:p>
        </w:tc>
        <w:tc>
          <w:tcPr>
            <w:tcW w:w="158" w:type="dxa"/>
            <w:tcBorders/>
            <w:vAlign w:val="bottom"/>
          </w:tcPr>
          <w:p>
            <w:pPr>
              <w:pStyle w:val="TableContents"/>
              <w:bidi w:val="0"/>
              <w:spacing w:before="0" w:after="283"/>
              <w:jc w:val="left"/>
              <w:rPr/>
            </w:pPr>
            <w:r>
              <w:rPr/>
              <w:t> </w:t>
            </w:r>
          </w:p>
        </w:tc>
      </w:tr>
      <w:tr>
        <w:trPr/>
        <w:tc>
          <w:tcPr>
            <w:tcW w:w="8446"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 Advance Rate Proxy from Prior Month End</w:t>
            </w:r>
          </w:p>
        </w:tc>
        <w:tc>
          <w:tcPr>
            <w:tcW w:w="333"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u w:val="single"/>
              </w:rPr>
            </w:pPr>
            <w:r>
              <w:rPr>
                <w:u w:val="single"/>
              </w:rPr>
              <w:t>($</w:t>
            </w:r>
          </w:p>
        </w:tc>
        <w:tc>
          <w:tcPr>
            <w:tcW w:w="1047" w:type="dxa"/>
            <w:tcBorders/>
            <w:shd w:fill="CCEEFF" w:val="clear"/>
            <w:vAlign w:val="bottom"/>
          </w:tcPr>
          <w:p>
            <w:pPr>
              <w:pStyle w:val="TableContents"/>
              <w:bidi w:val="0"/>
              <w:spacing w:before="0" w:after="283"/>
              <w:jc w:val="right"/>
              <w:rPr>
                <w:u w:val="single"/>
              </w:rPr>
            </w:pPr>
            <w:r>
              <w:rPr>
                <w:u w:val="single"/>
              </w:rPr>
              <w:t>x,xxx,xxx</w:t>
            </w:r>
          </w:p>
        </w:tc>
        <w:tc>
          <w:tcPr>
            <w:tcW w:w="158" w:type="dxa"/>
            <w:tcBorders/>
            <w:shd w:fill="CCEEFF" w:val="clear"/>
            <w:vAlign w:val="bottom"/>
          </w:tcPr>
          <w:p>
            <w:pPr>
              <w:pStyle w:val="TableContents"/>
              <w:bidi w:val="0"/>
              <w:spacing w:before="0" w:after="283"/>
              <w:jc w:val="left"/>
              <w:rPr/>
            </w:pPr>
            <w:r>
              <w:rPr/>
              <w:t>) </w:t>
            </w:r>
          </w:p>
        </w:tc>
      </w:tr>
      <w:tr>
        <w:trPr/>
        <w:tc>
          <w:tcPr>
            <w:tcW w:w="8446" w:type="dxa"/>
            <w:tcBorders/>
          </w:tcPr>
          <w:p>
            <w:pPr>
              <w:pStyle w:val="TableContents"/>
              <w:bidi w:val="0"/>
              <w:spacing w:before="0" w:after="0"/>
              <w:jc w:val="left"/>
              <w:rPr>
                <w:rFonts w:ascii="Times New Roman" w:hAnsi="Times New Roman"/>
                <w:sz w:val="20"/>
              </w:rPr>
            </w:pPr>
            <w:r>
              <w:rPr>
                <w:rFonts w:ascii="Times New Roman" w:hAnsi="Times New Roman"/>
                <w:sz w:val="20"/>
              </w:rPr>
              <w:t>= Maximum Aggregate Investment</w:t>
            </w:r>
          </w:p>
        </w:tc>
        <w:tc>
          <w:tcPr>
            <w:tcW w:w="333"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047" w:type="dxa"/>
            <w:tcBorders/>
            <w:vAlign w:val="bottom"/>
          </w:tcPr>
          <w:p>
            <w:pPr>
              <w:pStyle w:val="TableContents"/>
              <w:bidi w:val="0"/>
              <w:spacing w:before="0" w:after="283"/>
              <w:jc w:val="right"/>
              <w:rPr/>
            </w:pPr>
            <w:r>
              <w:rPr/>
              <w:t>x,xxx,xxx</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16"/>
        <w:gridCol w:w="251"/>
        <w:gridCol w:w="140"/>
        <w:gridCol w:w="1019"/>
        <w:gridCol w:w="279"/>
      </w:tblGrid>
      <w:tr>
        <w:trPr/>
        <w:tc>
          <w:tcPr>
            <w:tcW w:w="8516"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Aggregate Investment</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x,xxx,xxx</w:t>
            </w:r>
          </w:p>
        </w:tc>
        <w:tc>
          <w:tcPr>
            <w:tcW w:w="279" w:type="dxa"/>
            <w:tcBorders/>
            <w:shd w:fill="CCEEFF" w:val="clear"/>
            <w:vAlign w:val="bottom"/>
          </w:tcPr>
          <w:p>
            <w:pPr>
              <w:pStyle w:val="TableContents"/>
              <w:bidi w:val="0"/>
              <w:spacing w:before="0" w:after="283"/>
              <w:jc w:val="left"/>
              <w:rPr/>
            </w:pPr>
            <w:r>
              <w:rPr/>
              <w:t> </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Total Reserves Proxy</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x,xxx,xxx</w:t>
            </w:r>
          </w:p>
        </w:tc>
        <w:tc>
          <w:tcPr>
            <w:tcW w:w="279" w:type="dxa"/>
            <w:tcBorders/>
            <w:vAlign w:val="bottom"/>
          </w:tcPr>
          <w:p>
            <w:pPr>
              <w:pStyle w:val="TableContents"/>
              <w:bidi w:val="0"/>
              <w:spacing w:before="0" w:after="283"/>
              <w:jc w:val="left"/>
              <w:rPr/>
            </w:pPr>
            <w:r>
              <w:rPr/>
              <w:t> </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A/R of Originators</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x,xxx,xxx</w:t>
            </w:r>
          </w:p>
        </w:tc>
        <w:tc>
          <w:tcPr>
            <w:tcW w:w="279" w:type="dxa"/>
            <w:tcBorders/>
            <w:shd w:fill="CCEEFF" w:val="clear"/>
            <w:vAlign w:val="bottom"/>
          </w:tcPr>
          <w:p>
            <w:pPr>
              <w:pStyle w:val="TableContents"/>
              <w:bidi w:val="0"/>
              <w:spacing w:before="0" w:after="283"/>
              <w:jc w:val="left"/>
              <w:rPr/>
            </w:pPr>
            <w:r>
              <w:rPr/>
              <w:t> </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Ineligible A/R (proxied from Prior Month End)</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x,xxx,xxx</w:t>
            </w:r>
          </w:p>
        </w:tc>
        <w:tc>
          <w:tcPr>
            <w:tcW w:w="279" w:type="dxa"/>
            <w:tcBorders/>
            <w:vAlign w:val="bottom"/>
          </w:tcPr>
          <w:p>
            <w:pPr>
              <w:pStyle w:val="TableContents"/>
              <w:bidi w:val="0"/>
              <w:spacing w:before="0" w:after="283"/>
              <w:jc w:val="left"/>
              <w:rPr/>
            </w:pPr>
            <w:r>
              <w:rPr/>
              <w:t> </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Excess Concentrations (proxied from Prior Month End)</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x,xxx,xxx</w:t>
            </w:r>
          </w:p>
        </w:tc>
        <w:tc>
          <w:tcPr>
            <w:tcW w:w="279" w:type="dxa"/>
            <w:tcBorders/>
            <w:shd w:fill="CCEEFF" w:val="clear"/>
            <w:vAlign w:val="bottom"/>
          </w:tcPr>
          <w:p>
            <w:pPr>
              <w:pStyle w:val="TableContents"/>
              <w:bidi w:val="0"/>
              <w:spacing w:before="0" w:after="283"/>
              <w:jc w:val="left"/>
              <w:rPr/>
            </w:pPr>
            <w:r>
              <w:rPr/>
              <w:t> </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Net Receivables Pool Balance</w:t>
            </w:r>
          </w:p>
        </w:tc>
        <w:tc>
          <w:tcPr>
            <w:tcW w:w="2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x,xxx,xxx</w:t>
            </w:r>
          </w:p>
        </w:tc>
        <w:tc>
          <w:tcPr>
            <w:tcW w:w="279" w:type="dxa"/>
            <w:tcBorders/>
            <w:vAlign w:val="bottom"/>
          </w:tcPr>
          <w:p>
            <w:pPr>
              <w:pStyle w:val="TableContents"/>
              <w:bidi w:val="0"/>
              <w:spacing w:before="0" w:after="283"/>
              <w:jc w:val="left"/>
              <w:rPr/>
            </w:pPr>
            <w:r>
              <w:rPr/>
              <w:t> </w:t>
            </w:r>
          </w:p>
        </w:tc>
      </w:tr>
      <w:tr>
        <w:trPr>
          <w:trHeight w:val="240" w:hRule="atLeast"/>
        </w:trPr>
        <w:tc>
          <w:tcPr>
            <w:tcW w:w="8516" w:type="dxa"/>
            <w:tcBorders/>
            <w:vAlign w:val="center"/>
          </w:tcPr>
          <w:p>
            <w:pPr>
              <w:pStyle w:val="TableContents"/>
              <w:bidi w:val="0"/>
              <w:spacing w:before="0" w:after="283"/>
              <w:jc w:val="left"/>
              <w:rPr>
                <w:sz w:val="4"/>
                <w:szCs w:val="4"/>
              </w:rPr>
            </w:pPr>
            <w:r>
              <w:rPr>
                <w:sz w:val="4"/>
                <w:szCs w:val="4"/>
              </w:rPr>
            </w:r>
          </w:p>
        </w:tc>
        <w:tc>
          <w:tcPr>
            <w:tcW w:w="1689" w:type="dxa"/>
            <w:gridSpan w:val="4"/>
            <w:tcBorders/>
            <w:vAlign w:val="center"/>
          </w:tcPr>
          <w:p>
            <w:pPr>
              <w:pStyle w:val="TableContents"/>
              <w:bidi w:val="0"/>
              <w:spacing w:before="0" w:after="283"/>
              <w:jc w:val="left"/>
              <w:rPr>
                <w:sz w:val="4"/>
                <w:szCs w:val="4"/>
              </w:rPr>
            </w:pPr>
            <w:r>
              <w:rPr>
                <w:sz w:val="4"/>
                <w:szCs w:val="4"/>
              </w:rPr>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Purchased Interest</w:t>
            </w:r>
          </w:p>
        </w:tc>
        <w:tc>
          <w:tcPr>
            <w:tcW w:w="2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xx</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D </w:t>
      </w:r>
    </w:p>
    <w:p>
      <w:pPr>
        <w:pStyle w:val="TextBody"/>
        <w:bidi w:val="0"/>
        <w:spacing w:before="120" w:after="0"/>
        <w:jc w:val="center"/>
        <w:rPr>
          <w:rFonts w:ascii="Times New Roman" w:hAnsi="Times New Roman"/>
          <w:sz w:val="20"/>
        </w:rPr>
      </w:pPr>
      <w:r>
        <w:rPr>
          <w:rFonts w:ascii="Times New Roman" w:hAnsi="Times New Roman"/>
          <w:sz w:val="20"/>
        </w:rPr>
        <w:t xml:space="preserve">to Fifth Amended And Restated Receivables Purchase Agreement </w:t>
      </w:r>
    </w:p>
    <w:p>
      <w:pPr>
        <w:pStyle w:val="TextBody"/>
        <w:bidi w:val="0"/>
        <w:spacing w:before="120" w:after="0"/>
        <w:jc w:val="center"/>
        <w:rPr>
          <w:rFonts w:ascii="Times New Roman" w:hAnsi="Times New Roman"/>
          <w:sz w:val="20"/>
        </w:rPr>
      </w:pPr>
      <w:r>
        <w:rPr>
          <w:rFonts w:ascii="Times New Roman" w:hAnsi="Times New Roman"/>
          <w:sz w:val="20"/>
        </w:rPr>
        <w:t xml:space="preserve">FORM OF ASSUMPTION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D </w:t>
      </w:r>
    </w:p>
    <w:p>
      <w:pPr>
        <w:pStyle w:val="TextBody"/>
        <w:bidi w:val="0"/>
        <w:spacing w:before="240" w:after="0"/>
        <w:jc w:val="center"/>
        <w:rPr>
          <w:rFonts w:ascii="Times New Roman" w:hAnsi="Times New Roman"/>
          <w:sz w:val="24"/>
        </w:rPr>
      </w:pPr>
      <w:r>
        <w:rPr>
          <w:rFonts w:ascii="Times New Roman" w:hAnsi="Times New Roman"/>
          <w:sz w:val="24"/>
        </w:rPr>
        <w:t xml:space="preserve">FORM OF ASSUMPTION AGREEMENT </w:t>
      </w:r>
    </w:p>
    <w:p>
      <w:pPr>
        <w:pStyle w:val="TextBody"/>
        <w:bidi w:val="0"/>
        <w:spacing w:before="240" w:after="0"/>
        <w:jc w:val="left"/>
        <w:rPr>
          <w:rFonts w:ascii="Times New Roman" w:hAnsi="Times New Roman"/>
          <w:sz w:val="20"/>
        </w:rPr>
      </w:pPr>
      <w:r>
        <w:rPr>
          <w:rFonts w:ascii="Times New Roman" w:hAnsi="Times New Roman"/>
          <w:sz w:val="20"/>
        </w:rPr>
        <w:t>THIS ASSUMPTION AGREEMENT (this “</w:t>
      </w:r>
      <w:r>
        <w:rPr>
          <w:rFonts w:ascii="Times New Roman" w:hAnsi="Times New Roman"/>
          <w:sz w:val="20"/>
          <w:u w:val="single"/>
        </w:rPr>
        <w:t>Agreement</w:t>
      </w:r>
      <w:r>
        <w:rPr>
          <w:rFonts w:ascii="Times New Roman" w:hAnsi="Times New Roman"/>
          <w:sz w:val="20"/>
        </w:rPr>
        <w:t xml:space="preserve">”), dated as of [______ __, ____], is among WESCO RECEIVABLES CORP. (the “Seller”), [________], as purchaser (the “[_____]Conduit Purchaser”), [________], as the related committed purchaser (the “[______] Related Committed Purchaser” and together with the Conduit Purchaser, the “[_____] Purchasers”), and [________], as agent for the Purchasers (the “[______] Purchaser Agent” and together with the Purchasers, the “[_______] Purchaser Group”). </w:t>
      </w:r>
    </w:p>
    <w:p>
      <w:pPr>
        <w:pStyle w:val="TextBody"/>
        <w:bidi w:val="0"/>
        <w:spacing w:before="480" w:after="0"/>
        <w:jc w:val="center"/>
        <w:rPr>
          <w:rFonts w:ascii="Times New Roman" w:hAnsi="Times New Roman"/>
          <w:sz w:val="20"/>
        </w:rPr>
      </w:pPr>
      <w:r>
        <w:rPr>
          <w:rFonts w:ascii="Times New Roman" w:hAnsi="Times New Roman"/>
          <w:sz w:val="20"/>
        </w:rPr>
        <w:t xml:space="preserve">BACKGROUND </w:t>
      </w:r>
    </w:p>
    <w:p>
      <w:pPr>
        <w:pStyle w:val="TextBody"/>
        <w:bidi w:val="0"/>
        <w:spacing w:before="240" w:after="0"/>
        <w:jc w:val="left"/>
        <w:rPr>
          <w:rFonts w:ascii="Times New Roman" w:hAnsi="Times New Roman"/>
          <w:sz w:val="20"/>
        </w:rPr>
      </w:pPr>
      <w:r>
        <w:rPr>
          <w:rFonts w:ascii="Times New Roman" w:hAnsi="Times New Roman"/>
          <w:sz w:val="20"/>
        </w:rPr>
        <w:t xml:space="preserve">The Seller and various others are parties to a certain Fifth Amended and Restated Receivables Purchase Agreement dated as of June 22, 2020 (as amended through the date hereof, the “Receivables Purchase Agreement”). Capitalized terms used and not otherwise defined herein have the respective meaning assigned to such terms in the Receivables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hereto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This letter constitutes an Assumption Agreement pursuant to </w:t>
      </w:r>
      <w:r>
        <w:rPr>
          <w:rFonts w:ascii="Times New Roman" w:hAnsi="Times New Roman"/>
          <w:sz w:val="20"/>
          <w:u w:val="single"/>
        </w:rPr>
        <w:t>Section 1.2(e)</w:t>
      </w:r>
      <w:r>
        <w:rPr>
          <w:rFonts w:ascii="Times New Roman" w:hAnsi="Times New Roman"/>
          <w:sz w:val="20"/>
        </w:rPr>
        <w:t xml:space="preserve"> of the Receivables Purchase Agreement. The Seller desires [the [_____] Purchasers] [the [______] Related Committed Purchaser] to [become Purchasers under] [increase its existing Commitment under] the Receivables Purchase Agreement and upon the terms and subject to the conditions set forth in the Receivables Purchase Agreement, the [________] Purchasers agree to [become Purchasers thereunder] [increase its Commitment in an amount equal to the amount set forth as the “Commitment” under the signature of the [______] Related Committed Purchaser hereto]. </w:t>
      </w:r>
    </w:p>
    <w:p>
      <w:pPr>
        <w:pStyle w:val="TextBody"/>
        <w:bidi w:val="0"/>
        <w:spacing w:before="240" w:after="0"/>
        <w:jc w:val="left"/>
        <w:rPr>
          <w:rFonts w:ascii="Times New Roman" w:hAnsi="Times New Roman"/>
          <w:sz w:val="20"/>
        </w:rPr>
      </w:pPr>
      <w:r>
        <w:rPr>
          <w:rFonts w:ascii="Times New Roman" w:hAnsi="Times New Roman"/>
          <w:sz w:val="20"/>
        </w:rPr>
        <w:t xml:space="preserve">Seller hereby represents and warrants to the [________] Purchasers as of the date hereof,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contained in </w:t>
      </w:r>
      <w:r>
        <w:rPr>
          <w:rFonts w:ascii="Times New Roman" w:hAnsi="Times New Roman"/>
          <w:sz w:val="20"/>
          <w:u w:val="single"/>
        </w:rPr>
        <w:t>Exhibit III</w:t>
      </w:r>
      <w:r>
        <w:rPr>
          <w:rFonts w:ascii="Times New Roman" w:hAnsi="Times New Roman"/>
          <w:sz w:val="20"/>
        </w:rPr>
        <w:t xml:space="preserve"> of the Receivables Purchase Agreement are correct in all material respects on and as of such dates as though made on and as of such dates and shall be deemed to have been made on such dates; </w:t>
      </w:r>
      <w:r>
        <w:rPr>
          <w:rFonts w:ascii="Times New Roman" w:hAnsi="Times New Roman"/>
          <w:sz w:val="20"/>
          <w:u w:val="single"/>
        </w:rPr>
        <w:t>provided</w:t>
      </w:r>
      <w:r>
        <w:rPr>
          <w:rFonts w:ascii="Times New Roman" w:hAnsi="Times New Roman"/>
          <w:sz w:val="20"/>
        </w:rPr>
        <w:t xml:space="preserve"> that if such representation and warranty relates solely to an earlier date, such representation and warranty was correct in all material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(ii) no Termination Event or Unmatured Termination Event has occurred and is continuing, or would result from such purchase; and </w:t>
      </w:r>
    </w:p>
    <w:p>
      <w:pPr>
        <w:pStyle w:val="TextBody"/>
        <w:bidi w:val="0"/>
        <w:spacing w:before="240" w:after="0"/>
        <w:jc w:val="left"/>
        <w:rPr>
          <w:rFonts w:ascii="Times New Roman" w:hAnsi="Times New Roman"/>
          <w:sz w:val="20"/>
        </w:rPr>
      </w:pPr>
      <w:r>
        <w:rPr>
          <w:rFonts w:ascii="Times New Roman" w:hAnsi="Times New Roman"/>
          <w:sz w:val="20"/>
        </w:rPr>
        <w:t xml:space="preserve">(iii) the Facility Termination Date shall not have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2. Upon execution and delivery of this Assumption Agreement by the Seller and each member of the [______] Purchaser Group, satisfaction of the other conditions to assignment specified in </w:t>
      </w:r>
      <w:r>
        <w:rPr>
          <w:rFonts w:ascii="Times New Roman" w:hAnsi="Times New Roman"/>
          <w:sz w:val="20"/>
          <w:u w:val="single"/>
        </w:rPr>
        <w:t>Section 1.2(e)</w:t>
      </w:r>
      <w:r>
        <w:rPr>
          <w:rFonts w:ascii="Times New Roman" w:hAnsi="Times New Roman"/>
          <w:sz w:val="20"/>
        </w:rPr>
        <w:t xml:space="preserve"> of the Receivables Purchase Agreement (including the consent of the Administrator and each of the other Purchasers party thereto) and receipt by the Administrator of counterparts of this Agreement (whether by facsimile or otherwise) executed 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parties hereto, [the [_____] Purchasers shall become a party to, and have the rights and obligations of Purchasers under, the Receivables Purchase Agreement] [the [______] Related Committed Purchaser shall increase its Commitment in the amount set forth as the “Commitment” under the signature of the [______] Related Committed Purchaser,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 Each party hereto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Notes issued by such Conduit Purchaser are paid in full. The covenant contained in this paragraph shall survive any termination of the Receivables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THIS AGREEMENT SHALL BE GOVERNED BY THE INTERNAL LAWS OF THE STATE OF NEW YORK. This Agreement may not be amended, supplemented or waived except pursuant to a writing signed by the party to be charged. This Agreement may be executed in counterparts, and by the different parties on different counterparts, each of which shall constitute an original, but all together shall constitute one and the same agreement. </w:t>
      </w:r>
    </w:p>
    <w:p>
      <w:pPr>
        <w:pStyle w:val="TextBody"/>
        <w:bidi w:val="0"/>
        <w:spacing w:before="240" w:after="0"/>
        <w:jc w:val="center"/>
        <w:rPr>
          <w:rFonts w:ascii="Times New Roman" w:hAnsi="Times New Roman"/>
          <w:sz w:val="20"/>
        </w:rPr>
      </w:pPr>
      <w:r>
        <w:rPr>
          <w:rFonts w:ascii="Times New Roman" w:hAnsi="Times New Roman"/>
          <w:sz w:val="20"/>
        </w:rPr>
        <w:t xml:space="preserve">(continued on following page)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by their duly authorized officers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6"/>
        <w:gridCol w:w="60"/>
        <w:gridCol w:w="1488"/>
        <w:gridCol w:w="60"/>
        <w:gridCol w:w="2108"/>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[___________], as a Conduit Purchaser</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88" w:type="dxa"/>
            <w:tcBorders/>
          </w:tcPr>
          <w:p>
            <w:pPr>
              <w:pStyle w:val="TableContents"/>
              <w:bidi w:val="0"/>
              <w:spacing w:before="0" w:after="283"/>
              <w:jc w:val="left"/>
              <w:rPr/>
            </w:pPr>
            <w:r>
              <w:rPr/>
              <w:t>Name Printed: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08"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367"/>
        <w:gridCol w:w="61"/>
        <w:gridCol w:w="561"/>
        <w:gridCol w:w="61"/>
        <w:gridCol w:w="3032"/>
      </w:tblGrid>
      <w:tr>
        <w:trPr/>
        <w:tc>
          <w:tcPr>
            <w:tcW w:w="36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61" w:type="dxa"/>
            <w:tcBorders/>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032"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366"/>
        <w:gridCol w:w="60"/>
        <w:gridCol w:w="1488"/>
        <w:gridCol w:w="60"/>
        <w:gridCol w:w="2108"/>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[Address]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[___________], as a Related Committed Purchaser</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88" w:type="dxa"/>
            <w:tcBorders/>
          </w:tcPr>
          <w:p>
            <w:pPr>
              <w:pStyle w:val="TableContents"/>
              <w:bidi w:val="0"/>
              <w:spacing w:before="0" w:after="283"/>
              <w:jc w:val="left"/>
              <w:rPr/>
            </w:pPr>
            <w:r>
              <w:rPr/>
              <w:t>Name Printed: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08"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367"/>
        <w:gridCol w:w="61"/>
        <w:gridCol w:w="561"/>
        <w:gridCol w:w="61"/>
        <w:gridCol w:w="3032"/>
      </w:tblGrid>
      <w:tr>
        <w:trPr/>
        <w:tc>
          <w:tcPr>
            <w:tcW w:w="36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61" w:type="dxa"/>
            <w:tcBorders/>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032"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399"/>
        <w:gridCol w:w="67"/>
        <w:gridCol w:w="1643"/>
        <w:gridCol w:w="67"/>
        <w:gridCol w:w="1906"/>
      </w:tblGrid>
      <w:tr>
        <w:trPr/>
        <w:tc>
          <w:tcPr>
            <w:tcW w:w="3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[Address]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[Commitment]</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[_____________], as Purchaser Agent for [_________]</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4"/>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361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99"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643" w:type="dxa"/>
            <w:tcBorders/>
          </w:tcPr>
          <w:p>
            <w:pPr>
              <w:pStyle w:val="TableContents"/>
              <w:bidi w:val="0"/>
              <w:spacing w:before="0" w:after="283"/>
              <w:jc w:val="left"/>
              <w:rPr/>
            </w:pPr>
            <w:r>
              <w:rPr/>
              <w:t>Name Printed:</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1906"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right"/>
        <w:tblInd w:w="0" w:type="dxa"/>
        <w:tblLayout w:type="fixed"/>
        <w:tblCellMar>
          <w:top w:w="0" w:type="dxa"/>
          <w:left w:w="0" w:type="dxa"/>
          <w:bottom w:w="0" w:type="dxa"/>
          <w:right w:w="0" w:type="dxa"/>
        </w:tblCellMar>
      </w:tblPr>
      <w:tblGrid>
        <w:gridCol w:w="367"/>
        <w:gridCol w:w="61"/>
        <w:gridCol w:w="561"/>
        <w:gridCol w:w="61"/>
        <w:gridCol w:w="3032"/>
      </w:tblGrid>
      <w:tr>
        <w:trPr/>
        <w:tc>
          <w:tcPr>
            <w:tcW w:w="36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32" w:type="dxa"/>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61" w:type="dxa"/>
            <w:tcBorders/>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03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[Address]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D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6"/>
        <w:gridCol w:w="60"/>
        <w:gridCol w:w="1553"/>
        <w:gridCol w:w="60"/>
        <w:gridCol w:w="2043"/>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WESCO RECEIVABLES CORP., as Seller</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3" w:type="dxa"/>
            <w:tcBorders/>
          </w:tcPr>
          <w:p>
            <w:pPr>
              <w:pStyle w:val="TableContents"/>
              <w:bidi w:val="0"/>
              <w:spacing w:before="0" w:after="283"/>
              <w:jc w:val="left"/>
              <w:rPr/>
            </w:pPr>
            <w:r>
              <w:rPr/>
              <w:t>Name Printed: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043"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left"/>
        <w:tblInd w:w="0" w:type="dxa"/>
        <w:tblLayout w:type="fixed"/>
        <w:tblCellMar>
          <w:top w:w="0" w:type="dxa"/>
          <w:left w:w="0" w:type="dxa"/>
          <w:bottom w:w="0" w:type="dxa"/>
          <w:right w:w="0" w:type="dxa"/>
        </w:tblCellMar>
      </w:tblPr>
      <w:tblGrid>
        <w:gridCol w:w="367"/>
        <w:gridCol w:w="61"/>
        <w:gridCol w:w="598"/>
        <w:gridCol w:w="61"/>
        <w:gridCol w:w="2995"/>
      </w:tblGrid>
      <w:tr>
        <w:trPr/>
        <w:tc>
          <w:tcPr>
            <w:tcW w:w="36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995"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left"/>
        <w:tblInd w:w="0" w:type="dxa"/>
        <w:tblLayout w:type="fixed"/>
        <w:tblCellMar>
          <w:top w:w="0" w:type="dxa"/>
          <w:left w:w="0" w:type="dxa"/>
          <w:bottom w:w="0" w:type="dxa"/>
          <w:right w:w="0" w:type="dxa"/>
        </w:tblCellMar>
      </w:tblPr>
      <w:tblGrid>
        <w:gridCol w:w="366"/>
        <w:gridCol w:w="60"/>
        <w:gridCol w:w="1553"/>
        <w:gridCol w:w="60"/>
        <w:gridCol w:w="2043"/>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Consented and Agreed:</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PNC BANK, NATIONAL ASSOCIATION, as Administrator</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3" w:type="dxa"/>
            <w:tcBorders/>
          </w:tcPr>
          <w:p>
            <w:pPr>
              <w:pStyle w:val="TableContents"/>
              <w:bidi w:val="0"/>
              <w:spacing w:before="0" w:after="283"/>
              <w:jc w:val="left"/>
              <w:rPr/>
            </w:pPr>
            <w:r>
              <w:rPr/>
              <w:t>Name Printed: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043"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left"/>
        <w:tblInd w:w="0" w:type="dxa"/>
        <w:tblLayout w:type="fixed"/>
        <w:tblCellMar>
          <w:top w:w="0" w:type="dxa"/>
          <w:left w:w="0" w:type="dxa"/>
          <w:bottom w:w="0" w:type="dxa"/>
          <w:right w:w="0" w:type="dxa"/>
        </w:tblCellMar>
      </w:tblPr>
      <w:tblGrid>
        <w:gridCol w:w="825"/>
        <w:gridCol w:w="126"/>
        <w:gridCol w:w="757"/>
        <w:gridCol w:w="75"/>
        <w:gridCol w:w="2299"/>
      </w:tblGrid>
      <w:tr>
        <w:trPr/>
        <w:tc>
          <w:tcPr>
            <w:tcW w:w="82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r>
      <w:tr>
        <w:trPr/>
        <w:tc>
          <w:tcPr>
            <w:tcW w:w="825" w:type="dxa"/>
            <w:tcBorders/>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57" w:type="dxa"/>
            <w:tcBorders/>
          </w:tcPr>
          <w:p>
            <w:pPr>
              <w:pStyle w:val="TableContents"/>
              <w:bidi w:val="0"/>
              <w:spacing w:before="0" w:after="283"/>
              <w:jc w:val="left"/>
              <w:rPr/>
            </w:pPr>
            <w:r>
              <w:rPr/>
              <w:t>Title:</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2299"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Consented and Agreed:</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[THE PURCHASERS]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E </w:t>
      </w:r>
    </w:p>
    <w:p>
      <w:pPr>
        <w:pStyle w:val="TextBody"/>
        <w:bidi w:val="0"/>
        <w:spacing w:before="120" w:after="0"/>
        <w:jc w:val="center"/>
        <w:rPr>
          <w:rFonts w:ascii="Times New Roman" w:hAnsi="Times New Roman"/>
          <w:sz w:val="20"/>
        </w:rPr>
      </w:pPr>
      <w:r>
        <w:rPr>
          <w:rFonts w:ascii="Times New Roman" w:hAnsi="Times New Roman"/>
          <w:sz w:val="20"/>
        </w:rPr>
        <w:t xml:space="preserve">to Fifth Amended And Restated Receivables Purchase Agreement </w:t>
      </w:r>
    </w:p>
    <w:p>
      <w:pPr>
        <w:pStyle w:val="TextBody"/>
        <w:bidi w:val="0"/>
        <w:spacing w:before="120" w:after="0"/>
        <w:jc w:val="center"/>
        <w:rPr>
          <w:rFonts w:ascii="Times New Roman" w:hAnsi="Times New Roman"/>
          <w:sz w:val="20"/>
        </w:rPr>
      </w:pPr>
      <w:r>
        <w:rPr>
          <w:rFonts w:ascii="Times New Roman" w:hAnsi="Times New Roman"/>
          <w:sz w:val="20"/>
        </w:rPr>
        <w:t xml:space="preserve">FORM OF TRANSFER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E </w:t>
      </w:r>
    </w:p>
    <w:p>
      <w:pPr>
        <w:pStyle w:val="TextBody"/>
        <w:bidi w:val="0"/>
        <w:spacing w:before="240" w:after="0"/>
        <w:jc w:val="center"/>
        <w:rPr>
          <w:rFonts w:ascii="Times New Roman" w:hAnsi="Times New Roman"/>
          <w:i/>
          <w:sz w:val="20"/>
        </w:rPr>
      </w:pPr>
      <w:r>
        <w:rPr>
          <w:rFonts w:ascii="Times New Roman" w:hAnsi="Times New Roman"/>
          <w:i/>
          <w:sz w:val="20"/>
        </w:rPr>
        <w:t xml:space="preserve">Form of Transfer Supplement </w:t>
      </w:r>
    </w:p>
    <w:p>
      <w:pPr>
        <w:pStyle w:val="TextBody"/>
        <w:bidi w:val="0"/>
        <w:spacing w:before="0" w:after="0"/>
        <w:jc w:val="center"/>
        <w:rPr>
          <w:rFonts w:ascii="Times New Roman" w:hAnsi="Times New Roman"/>
          <w:i/>
          <w:sz w:val="20"/>
        </w:rPr>
      </w:pPr>
      <w:r>
        <w:rPr>
          <w:rFonts w:ascii="Times New Roman" w:hAnsi="Times New Roman"/>
          <w:i/>
          <w:sz w:val="20"/>
        </w:rPr>
        <w:t xml:space="preserve">with respect to </w:t>
      </w:r>
    </w:p>
    <w:p>
      <w:pPr>
        <w:pStyle w:val="TextBody"/>
        <w:bidi w:val="0"/>
        <w:spacing w:before="0" w:after="0"/>
        <w:jc w:val="center"/>
        <w:rPr>
          <w:rFonts w:ascii="Times New Roman" w:hAnsi="Times New Roman"/>
          <w:i/>
          <w:sz w:val="20"/>
        </w:rPr>
      </w:pPr>
      <w:r>
        <w:rPr>
          <w:rFonts w:ascii="Times New Roman" w:hAnsi="Times New Roman"/>
          <w:i/>
          <w:sz w:val="20"/>
        </w:rPr>
        <w:t xml:space="preserve">WESCO Receivables Corp. </w:t>
      </w:r>
    </w:p>
    <w:p>
      <w:pPr>
        <w:pStyle w:val="TextBody"/>
        <w:bidi w:val="0"/>
        <w:spacing w:before="0" w:after="0"/>
        <w:jc w:val="center"/>
        <w:rPr>
          <w:rFonts w:ascii="Times New Roman" w:hAnsi="Times New Roman"/>
          <w:i/>
          <w:sz w:val="20"/>
        </w:rPr>
      </w:pPr>
      <w:r>
        <w:rPr>
          <w:rFonts w:ascii="Times New Roman" w:hAnsi="Times New Roman"/>
          <w:i/>
          <w:sz w:val="20"/>
        </w:rPr>
        <w:t xml:space="preserve">Receivables Purchase Agreement </w:t>
      </w:r>
    </w:p>
    <w:p>
      <w:pPr>
        <w:pStyle w:val="TextBody"/>
        <w:bidi w:val="0"/>
        <w:spacing w:before="120" w:after="0"/>
        <w:jc w:val="center"/>
        <w:rPr>
          <w:rFonts w:ascii="Times New Roman" w:hAnsi="Times New Roman"/>
          <w:sz w:val="20"/>
        </w:rPr>
      </w:pPr>
      <w:r>
        <w:rPr>
          <w:rFonts w:ascii="Times New Roman" w:hAnsi="Times New Roman"/>
          <w:sz w:val="20"/>
        </w:rPr>
        <w:t xml:space="preserve">[_______ __, ______]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25"/>
        <w:gridCol w:w="289"/>
        <w:gridCol w:w="140"/>
        <w:gridCol w:w="1222"/>
        <w:gridCol w:w="63"/>
      </w:tblGrid>
      <w:tr>
        <w:trPr/>
        <w:tc>
          <w:tcPr>
            <w:tcW w:w="522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 assigned:</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_________</w:t>
            </w:r>
          </w:p>
        </w:tc>
        <w:tc>
          <w:tcPr>
            <w:tcW w:w="63" w:type="dxa"/>
            <w:tcBorders/>
            <w:shd w:fill="CCEEFF" w:val="clear"/>
            <w:vAlign w:val="bottom"/>
          </w:tcPr>
          <w:p>
            <w:pPr>
              <w:pStyle w:val="TableContents"/>
              <w:bidi w:val="0"/>
              <w:spacing w:before="0" w:after="283"/>
              <w:jc w:val="left"/>
              <w:rPr/>
            </w:pPr>
            <w:r>
              <w:rPr/>
              <w:t> </w:t>
            </w:r>
          </w:p>
        </w:tc>
      </w:tr>
      <w:tr>
        <w:trPr/>
        <w:tc>
          <w:tcPr>
            <w:tcW w:w="5225" w:type="dxa"/>
            <w:tcBorders/>
          </w:tcPr>
          <w:p>
            <w:pPr>
              <w:pStyle w:val="TableContents"/>
              <w:bidi w:val="0"/>
              <w:spacing w:before="0" w:after="0"/>
              <w:jc w:val="left"/>
              <w:rPr>
                <w:rFonts w:ascii="Times New Roman" w:hAnsi="Times New Roman"/>
                <w:sz w:val="20"/>
              </w:rPr>
            </w:pPr>
            <w:r>
              <w:rPr>
                <w:rFonts w:ascii="Times New Roman" w:hAnsi="Times New Roman"/>
                <w:sz w:val="20"/>
              </w:rPr>
              <w:t>Assignor’s remaining Commitment:</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_________</w:t>
            </w:r>
          </w:p>
        </w:tc>
        <w:tc>
          <w:tcPr>
            <w:tcW w:w="63" w:type="dxa"/>
            <w:tcBorders/>
            <w:vAlign w:val="bottom"/>
          </w:tcPr>
          <w:p>
            <w:pPr>
              <w:pStyle w:val="TableContents"/>
              <w:bidi w:val="0"/>
              <w:spacing w:before="0" w:after="283"/>
              <w:jc w:val="left"/>
              <w:rPr/>
            </w:pPr>
            <w:r>
              <w:rPr/>
              <w:t> </w:t>
            </w:r>
          </w:p>
        </w:tc>
      </w:tr>
      <w:tr>
        <w:trPr/>
        <w:tc>
          <w:tcPr>
            <w:tcW w:w="5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allocable to Commitment assigned:</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_________</w:t>
            </w:r>
          </w:p>
        </w:tc>
        <w:tc>
          <w:tcPr>
            <w:tcW w:w="63" w:type="dxa"/>
            <w:tcBorders/>
            <w:shd w:fill="CCEEFF" w:val="clear"/>
            <w:vAlign w:val="bottom"/>
          </w:tcPr>
          <w:p>
            <w:pPr>
              <w:pStyle w:val="TableContents"/>
              <w:bidi w:val="0"/>
              <w:spacing w:before="0" w:after="283"/>
              <w:jc w:val="left"/>
              <w:rPr/>
            </w:pPr>
            <w:r>
              <w:rPr/>
              <w:t> </w:t>
            </w:r>
          </w:p>
        </w:tc>
      </w:tr>
      <w:tr>
        <w:trPr/>
        <w:tc>
          <w:tcPr>
            <w:tcW w:w="5225" w:type="dxa"/>
            <w:tcBorders/>
          </w:tcPr>
          <w:p>
            <w:pPr>
              <w:pStyle w:val="TableContents"/>
              <w:bidi w:val="0"/>
              <w:spacing w:before="0" w:after="0"/>
              <w:jc w:val="left"/>
              <w:rPr>
                <w:rFonts w:ascii="Times New Roman" w:hAnsi="Times New Roman"/>
                <w:sz w:val="20"/>
              </w:rPr>
            </w:pPr>
            <w:r>
              <w:rPr>
                <w:rFonts w:ascii="Times New Roman" w:hAnsi="Times New Roman"/>
                <w:sz w:val="20"/>
              </w:rPr>
              <w:t>Investment assigned:]1</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Assignor’s remaining Investment:</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_________</w:t>
            </w:r>
          </w:p>
        </w:tc>
        <w:tc>
          <w:tcPr>
            <w:tcW w:w="63" w:type="dxa"/>
            <w:tcBorders/>
            <w:shd w:fill="CCEEFF" w:val="clear"/>
            <w:vAlign w:val="bottom"/>
          </w:tcPr>
          <w:p>
            <w:pPr>
              <w:pStyle w:val="TableContents"/>
              <w:bidi w:val="0"/>
              <w:spacing w:before="0" w:after="283"/>
              <w:jc w:val="left"/>
              <w:rPr/>
            </w:pPr>
            <w:r>
              <w:rPr/>
              <w:t> </w:t>
            </w:r>
          </w:p>
        </w:tc>
      </w:tr>
      <w:tr>
        <w:trPr/>
        <w:tc>
          <w:tcPr>
            <w:tcW w:w="5225" w:type="dxa"/>
            <w:tcBorders/>
          </w:tcPr>
          <w:p>
            <w:pPr>
              <w:pStyle w:val="TableContents"/>
              <w:bidi w:val="0"/>
              <w:spacing w:before="0" w:after="0"/>
              <w:jc w:val="left"/>
              <w:rPr>
                <w:rFonts w:ascii="Times New Roman" w:hAnsi="Times New Roman"/>
                <w:sz w:val="20"/>
              </w:rPr>
            </w:pPr>
            <w:r>
              <w:rPr>
                <w:rFonts w:ascii="Times New Roman" w:hAnsi="Times New Roman"/>
                <w:sz w:val="20"/>
              </w:rPr>
              <w:t>Discount (if any) allocable to Investment assigned:</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_________</w:t>
            </w:r>
          </w:p>
        </w:tc>
        <w:tc>
          <w:tcPr>
            <w:tcW w:w="63" w:type="dxa"/>
            <w:tcBorders/>
            <w:vAlign w:val="bottom"/>
          </w:tcPr>
          <w:p>
            <w:pPr>
              <w:pStyle w:val="TableContents"/>
              <w:bidi w:val="0"/>
              <w:spacing w:before="0" w:after="283"/>
              <w:jc w:val="left"/>
              <w:rPr/>
            </w:pPr>
            <w:r>
              <w:rPr/>
              <w:t> </w:t>
            </w:r>
          </w:p>
        </w:tc>
      </w:tr>
      <w:tr>
        <w:trPr/>
        <w:tc>
          <w:tcPr>
            <w:tcW w:w="52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(if any) allocable to Assignor’s remaining Investment:</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_________</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Effective Date of this Transfer Supplement: [__________] </w:t>
      </w:r>
    </w:p>
    <w:p>
      <w:pPr>
        <w:pStyle w:val="TextBody"/>
        <w:bidi w:val="0"/>
        <w:spacing w:before="240" w:after="0"/>
        <w:jc w:val="left"/>
        <w:rPr>
          <w:rFonts w:ascii="Times New Roman" w:hAnsi="Times New Roman"/>
          <w:sz w:val="20"/>
        </w:rPr>
      </w:pPr>
      <w:r>
        <w:rPr>
          <w:rFonts w:ascii="Times New Roman" w:hAnsi="Times New Roman"/>
          <w:sz w:val="20"/>
        </w:rPr>
        <w:t>Upon execution and delivery of this Transfer Supplement by transferee and transferor and the satisfaction of the other conditions to assignment specified in [</w:t>
      </w:r>
      <w:r>
        <w:rPr>
          <w:rFonts w:ascii="Times New Roman" w:hAnsi="Times New Roman"/>
          <w:sz w:val="20"/>
          <w:u w:val="single"/>
        </w:rPr>
        <w:t>Section 6.3(c)</w:t>
      </w:r>
      <w:r>
        <w:rPr>
          <w:rFonts w:ascii="Times New Roman" w:hAnsi="Times New Roman"/>
          <w:sz w:val="20"/>
        </w:rPr>
        <w:t>] [</w:t>
      </w:r>
      <w:r>
        <w:rPr>
          <w:rFonts w:ascii="Times New Roman" w:hAnsi="Times New Roman"/>
          <w:sz w:val="20"/>
          <w:u w:val="single"/>
        </w:rPr>
        <w:t>Section 6.3(e)</w:t>
      </w:r>
      <w:r>
        <w:rPr>
          <w:rFonts w:ascii="Times New Roman" w:hAnsi="Times New Roman"/>
          <w:sz w:val="20"/>
        </w:rPr>
        <w:t xml:space="preserve">] of the Receivables Purchase Agreement, from and after the effective date specified above, the transferee shall become a party to, and have the rights and obligations of a [Conduit Purchaser] [Related Committed Purchaser] under, the Fifth Amended and Restated Receivables Purchase Agreement dated as of June 22, 2020 (as amended through the date hereof, the “Receivables Purchase Agreement”), among WESCO Receivables Corp., WESCO Distribution, Inc. and various other parties.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Bracketed language is only applicable to assignments by Related Committed Purchasers pursuant to </w:t>
            </w:r>
            <w:r>
              <w:rPr>
                <w:rFonts w:ascii="Times New Roman" w:hAnsi="Times New Roman"/>
                <w:sz w:val="20"/>
                <w:u w:val="single"/>
              </w:rPr>
              <w:t>Section 6.3(c)</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ASSIGNOR: [_________], as a [Related Committed Purchaser </w:t>
      </w:r>
    </w:p>
    <w:p>
      <w:pPr>
        <w:pStyle w:val="TextBody"/>
        <w:bidi w:val="0"/>
        <w:spacing w:before="0" w:after="0"/>
        <w:jc w:val="left"/>
        <w:rPr>
          <w:rFonts w:ascii="Times New Roman" w:hAnsi="Times New Roman"/>
          <w:sz w:val="20"/>
        </w:rPr>
      </w:pPr>
      <w:r>
        <w:rPr>
          <w:rFonts w:ascii="Times New Roman" w:hAnsi="Times New Roman"/>
          <w:sz w:val="20"/>
        </w:rPr>
        <w:t xml:space="preserve">for [_______]] [Conduit Purchaser]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2"/>
        <w:gridCol w:w="61"/>
        <w:gridCol w:w="722"/>
        <w:gridCol w:w="61"/>
        <w:gridCol w:w="2856"/>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22" w:type="dxa"/>
            <w:tcBorders/>
          </w:tcPr>
          <w:p>
            <w:pPr>
              <w:pStyle w:val="TableContents"/>
              <w:bidi w:val="0"/>
              <w:spacing w:before="0" w:after="283"/>
              <w:jc w:val="left"/>
              <w:rPr/>
            </w:pPr>
            <w:r>
              <w:rPr/>
              <w:t>Name: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56" w:type="dxa"/>
            <w:tcBorders>
              <w:bottom w:val="single" w:sz="2" w:space="0" w:color="000000"/>
            </w:tcBorders>
            <w:tcMar>
              <w:bottom w:w="28" w:type="dxa"/>
            </w:tcMar>
          </w:tcPr>
          <w:p>
            <w:pPr>
              <w:pStyle w:val="TableContents"/>
              <w:bidi w:val="0"/>
              <w:spacing w:before="0" w:after="283"/>
              <w:jc w:val="left"/>
              <w:rPr/>
            </w:pPr>
            <w:r>
              <w:rPr/>
              <w:t> </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22" w:type="dxa"/>
            <w:tcBorders/>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56"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ASSIGNEE: [_________], as a [Related Committed Purchaser </w:t>
      </w:r>
    </w:p>
    <w:p>
      <w:pPr>
        <w:pStyle w:val="TextBody"/>
        <w:bidi w:val="0"/>
        <w:spacing w:before="0" w:after="0"/>
        <w:jc w:val="left"/>
        <w:rPr>
          <w:rFonts w:ascii="Times New Roman" w:hAnsi="Times New Roman"/>
          <w:sz w:val="20"/>
        </w:rPr>
      </w:pPr>
      <w:r>
        <w:rPr>
          <w:rFonts w:ascii="Times New Roman" w:hAnsi="Times New Roman"/>
          <w:sz w:val="20"/>
        </w:rPr>
        <w:t xml:space="preserve">for [_______]] [Conduit Purchaser]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2"/>
        <w:gridCol w:w="61"/>
        <w:gridCol w:w="722"/>
        <w:gridCol w:w="61"/>
        <w:gridCol w:w="2856"/>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22" w:type="dxa"/>
            <w:tcBorders/>
          </w:tcPr>
          <w:p>
            <w:pPr>
              <w:pStyle w:val="TableContents"/>
              <w:bidi w:val="0"/>
              <w:spacing w:before="0" w:after="283"/>
              <w:jc w:val="left"/>
              <w:rPr/>
            </w:pPr>
            <w:r>
              <w:rPr/>
              <w:t>Name: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56" w:type="dxa"/>
            <w:tcBorders>
              <w:bottom w:val="single" w:sz="2" w:space="0" w:color="000000"/>
            </w:tcBorders>
            <w:tcMar>
              <w:bottom w:w="28" w:type="dxa"/>
            </w:tcMar>
          </w:tcPr>
          <w:p>
            <w:pPr>
              <w:pStyle w:val="TableContents"/>
              <w:bidi w:val="0"/>
              <w:spacing w:before="0" w:after="283"/>
              <w:jc w:val="left"/>
              <w:rPr/>
            </w:pPr>
            <w:r>
              <w:rPr/>
              <w:t> </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22" w:type="dxa"/>
            <w:tcBorders/>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56"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[Address] </w:t>
      </w:r>
    </w:p>
    <w:p>
      <w:pPr>
        <w:pStyle w:val="TextBody"/>
        <w:bidi w:val="0"/>
        <w:spacing w:before="0" w:after="0"/>
        <w:jc w:val="left"/>
        <w:rPr>
          <w:rFonts w:ascii="Times New Roman" w:hAnsi="Times New Roman"/>
          <w:sz w:val="20"/>
        </w:rPr>
      </w:pPr>
      <w:r>
        <w:rPr>
          <w:rFonts w:ascii="Times New Roman" w:hAnsi="Times New Roman"/>
          <w:sz w:val="20"/>
        </w:rPr>
        <w:t xml:space="preserve">[Commitment Assigned]2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Bracketed language is only applicable to assignments by Related Committed Purchasers pursuant to </w:t>
            </w:r>
            <w:r>
              <w:rPr>
                <w:rFonts w:ascii="Times New Roman" w:hAnsi="Times New Roman"/>
                <w:sz w:val="20"/>
                <w:u w:val="single"/>
              </w:rPr>
              <w:t>Section 6.3(c)</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[___________], </w:t>
      </w:r>
    </w:p>
    <w:p>
      <w:pPr>
        <w:pStyle w:val="TextBody"/>
        <w:bidi w:val="0"/>
        <w:spacing w:before="0" w:after="0"/>
        <w:jc w:val="left"/>
        <w:rPr>
          <w:rFonts w:ascii="Times New Roman" w:hAnsi="Times New Roman"/>
          <w:sz w:val="20"/>
        </w:rPr>
      </w:pPr>
      <w:r>
        <w:rPr>
          <w:rFonts w:ascii="Times New Roman" w:hAnsi="Times New Roman"/>
          <w:sz w:val="20"/>
        </w:rPr>
        <w:t xml:space="preserve">as Purchaser Agent for the </w:t>
      </w:r>
    </w:p>
    <w:p>
      <w:pPr>
        <w:pStyle w:val="TextBody"/>
        <w:bidi w:val="0"/>
        <w:spacing w:before="0" w:after="0"/>
        <w:jc w:val="left"/>
        <w:rPr>
          <w:rFonts w:ascii="Times New Roman" w:hAnsi="Times New Roman"/>
          <w:sz w:val="20"/>
        </w:rPr>
      </w:pPr>
      <w:r>
        <w:rPr>
          <w:rFonts w:ascii="Times New Roman" w:hAnsi="Times New Roman"/>
          <w:sz w:val="20"/>
        </w:rPr>
        <w:t xml:space="preserve">[______] Purchaser Group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2"/>
        <w:gridCol w:w="61"/>
        <w:gridCol w:w="722"/>
        <w:gridCol w:w="61"/>
        <w:gridCol w:w="2856"/>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22" w:type="dxa"/>
            <w:tcBorders/>
          </w:tcPr>
          <w:p>
            <w:pPr>
              <w:pStyle w:val="TableContents"/>
              <w:bidi w:val="0"/>
              <w:spacing w:before="0" w:after="283"/>
              <w:jc w:val="left"/>
              <w:rPr/>
            </w:pPr>
            <w:r>
              <w:rPr/>
              <w:t>Name: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56" w:type="dxa"/>
            <w:tcBorders>
              <w:bottom w:val="single" w:sz="2" w:space="0" w:color="000000"/>
            </w:tcBorders>
            <w:tcMar>
              <w:bottom w:w="28" w:type="dxa"/>
            </w:tcMar>
          </w:tcPr>
          <w:p>
            <w:pPr>
              <w:pStyle w:val="TableContents"/>
              <w:bidi w:val="0"/>
              <w:spacing w:before="0" w:after="283"/>
              <w:jc w:val="left"/>
              <w:rPr/>
            </w:pPr>
            <w:r>
              <w:rPr/>
              <w:t> </w:t>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22" w:type="dxa"/>
            <w:tcBorders/>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56"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Exhibit B-1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TO AMENDMENT 10, DATED AS OF SEPTEMBER 17, 2026 </w:t>
      </w:r>
    </w:p>
    <w:p>
      <w:pPr>
        <w:pStyle w:val="TextBody"/>
        <w:bidi w:val="0"/>
        <w:spacing w:before="240" w:after="0"/>
        <w:jc w:val="center"/>
        <w:rPr>
          <w:rFonts w:ascii="Times New Roman" w:hAnsi="Times New Roman"/>
          <w:b/>
          <w:sz w:val="20"/>
        </w:rPr>
      </w:pPr>
      <w:r>
        <w:rPr>
          <w:rFonts w:ascii="Times New Roman" w:hAnsi="Times New Roman"/>
          <w:b/>
          <w:sz w:val="20"/>
        </w:rPr>
        <w:t xml:space="preserve">CLOSING CHECKLIST </w:t>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RENEWAL AND UPSIZE TO </w:t>
      </w:r>
    </w:p>
    <w:p>
      <w:pPr>
        <w:pStyle w:val="TextBody"/>
        <w:bidi w:val="0"/>
        <w:spacing w:before="0" w:after="0"/>
        <w:jc w:val="center"/>
        <w:rPr>
          <w:rFonts w:ascii="Times New Roman" w:hAnsi="Times New Roman"/>
          <w:b/>
          <w:sz w:val="20"/>
        </w:rPr>
      </w:pPr>
      <w:r>
        <w:rPr>
          <w:rFonts w:ascii="Times New Roman" w:hAnsi="Times New Roman"/>
          <w:b/>
          <w:sz w:val="20"/>
        </w:rPr>
        <w:t xml:space="preserve">FIFTH AMENDED AND RESTATED RECEIVABLES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WESCO RECEIVABLES CORP., </w:t>
      </w:r>
    </w:p>
    <w:p>
      <w:pPr>
        <w:pStyle w:val="TextBody"/>
        <w:bidi w:val="0"/>
        <w:spacing w:before="0" w:after="0"/>
        <w:jc w:val="center"/>
        <w:rPr>
          <w:rFonts w:ascii="Times New Roman" w:hAnsi="Times New Roman"/>
          <w:b/>
          <w:sz w:val="20"/>
        </w:rPr>
      </w:pPr>
      <w:r>
        <w:rPr>
          <w:rFonts w:ascii="Times New Roman" w:hAnsi="Times New Roman"/>
          <w:b/>
          <w:sz w:val="20"/>
        </w:rPr>
        <w:t xml:space="preserve">AS SELLER </w:t>
      </w:r>
    </w:p>
    <w:p>
      <w:pPr>
        <w:pStyle w:val="TextBody"/>
        <w:bidi w:val="0"/>
        <w:spacing w:before="240" w:after="0"/>
        <w:jc w:val="center"/>
        <w:rPr>
          <w:rFonts w:ascii="Times New Roman" w:hAnsi="Times New Roman"/>
          <w:b/>
          <w:sz w:val="20"/>
        </w:rPr>
      </w:pPr>
      <w:r>
        <w:rPr>
          <w:rFonts w:ascii="Times New Roman" w:hAnsi="Times New Roman"/>
          <w:b/>
          <w:sz w:val="20"/>
        </w:rPr>
        <w:t xml:space="preserve">WESCO DISTRIBUTION, INC., </w:t>
      </w:r>
    </w:p>
    <w:p>
      <w:pPr>
        <w:pStyle w:val="TextBody"/>
        <w:bidi w:val="0"/>
        <w:spacing w:before="0" w:after="0"/>
        <w:jc w:val="center"/>
        <w:rPr>
          <w:rFonts w:ascii="Times New Roman" w:hAnsi="Times New Roman"/>
          <w:b/>
          <w:sz w:val="20"/>
        </w:rPr>
      </w:pPr>
      <w:r>
        <w:rPr>
          <w:rFonts w:ascii="Times New Roman" w:hAnsi="Times New Roman"/>
          <w:b/>
          <w:sz w:val="20"/>
        </w:rPr>
        <w:t xml:space="preserve">AS SERVICER </w:t>
      </w:r>
    </w:p>
    <w:p>
      <w:pPr>
        <w:pStyle w:val="TextBody"/>
        <w:bidi w:val="0"/>
        <w:spacing w:before="240" w:after="0"/>
        <w:jc w:val="center"/>
        <w:rPr>
          <w:rFonts w:ascii="Times New Roman" w:hAnsi="Times New Roman"/>
          <w:b/>
          <w:sz w:val="20"/>
        </w:rPr>
      </w:pPr>
      <w:r>
        <w:rPr>
          <w:rFonts w:ascii="Times New Roman" w:hAnsi="Times New Roman"/>
          <w:b/>
          <w:sz w:val="20"/>
        </w:rPr>
        <w:t xml:space="preserve">PNC BANK,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AS ADMINISTRATOR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VARIOUS CONDUIT PURCHASERS, RELATED COMMITTED PURCHASERS </w:t>
      </w:r>
    </w:p>
    <w:p>
      <w:pPr>
        <w:pStyle w:val="TextBody"/>
        <w:bidi w:val="0"/>
        <w:spacing w:before="0" w:after="0"/>
        <w:jc w:val="center"/>
        <w:rPr>
          <w:rFonts w:ascii="Times New Roman" w:hAnsi="Times New Roman"/>
          <w:b/>
          <w:sz w:val="20"/>
        </w:rPr>
      </w:pPr>
      <w:r>
        <w:rPr>
          <w:rFonts w:ascii="Times New Roman" w:hAnsi="Times New Roman"/>
          <w:b/>
          <w:sz w:val="20"/>
        </w:rPr>
        <w:t xml:space="preserve">AND PURCHASER AGENTS FROM TIME TO TIME PARTY THERETO </w:t>
      </w:r>
    </w:p>
    <w:p>
      <w:pPr>
        <w:pStyle w:val="TextBody"/>
        <w:bidi w:val="0"/>
        <w:spacing w:before="240" w:after="0"/>
        <w:jc w:val="center"/>
        <w:rPr>
          <w:rFonts w:ascii="Times New Roman" w:hAnsi="Times New Roman"/>
          <w:b/>
          <w:sz w:val="20"/>
        </w:rPr>
      </w:pPr>
      <w:r>
        <w:rPr>
          <w:rFonts w:ascii="Times New Roman" w:hAnsi="Times New Roman"/>
          <w:b/>
          <w:sz w:val="20"/>
        </w:rPr>
        <w:t xml:space="preserve">FOR SEPTEMBER 17, 2026 CLOSING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Abbreviations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3"/>
        <w:gridCol w:w="120"/>
        <w:gridCol w:w="8092"/>
      </w:tblGrid>
      <w:tr>
        <w:trPr/>
        <w:tc>
          <w:tcPr>
            <w:tcW w:w="19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92" w:type="dxa"/>
            <w:tcBorders/>
            <w:vAlign w:val="center"/>
          </w:tcPr>
          <w:p>
            <w:pPr>
              <w:pStyle w:val="TableContents"/>
              <w:bidi w:val="0"/>
              <w:spacing w:before="0" w:after="283"/>
              <w:jc w:val="left"/>
              <w:rPr>
                <w:sz w:val="4"/>
                <w:szCs w:val="4"/>
              </w:rPr>
            </w:pPr>
            <w:r>
              <w:rPr>
                <w:sz w:val="4"/>
                <w:szCs w:val="4"/>
              </w:rPr>
            </w:r>
          </w:p>
        </w:tc>
      </w:tr>
      <w:tr>
        <w:trPr/>
        <w:tc>
          <w:tcPr>
            <w:tcW w:w="1993" w:type="dxa"/>
            <w:tcBorders/>
          </w:tcPr>
          <w:p>
            <w:pPr>
              <w:pStyle w:val="TableContents"/>
              <w:bidi w:val="0"/>
              <w:spacing w:before="0" w:after="283"/>
              <w:jc w:val="left"/>
              <w:rPr/>
            </w:pPr>
            <w:r>
              <w:rPr/>
              <w:t>Administrator</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PNC</w:t>
            </w:r>
          </w:p>
        </w:tc>
      </w:tr>
      <w:tr>
        <w:trPr/>
        <w:tc>
          <w:tcPr>
            <w:tcW w:w="1993" w:type="dxa"/>
            <w:tcBorders/>
          </w:tcPr>
          <w:p>
            <w:pPr>
              <w:pStyle w:val="TableContents"/>
              <w:bidi w:val="0"/>
              <w:spacing w:before="0" w:after="283"/>
              <w:jc w:val="left"/>
              <w:rPr/>
            </w:pPr>
            <w:r>
              <w:rPr/>
              <w:t>Bank of America</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Bank of America, National Association</w:t>
            </w:r>
          </w:p>
        </w:tc>
      </w:tr>
      <w:tr>
        <w:trPr/>
        <w:tc>
          <w:tcPr>
            <w:tcW w:w="1993" w:type="dxa"/>
            <w:tcBorders/>
          </w:tcPr>
          <w:p>
            <w:pPr>
              <w:pStyle w:val="TableContents"/>
              <w:bidi w:val="0"/>
              <w:spacing w:before="0" w:after="283"/>
              <w:jc w:val="left"/>
              <w:rPr/>
            </w:pPr>
            <w:r>
              <w:rPr/>
              <w:t>Bay Cube</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Bay Cube Funding LLC</w:t>
            </w:r>
          </w:p>
        </w:tc>
      </w:tr>
      <w:tr>
        <w:trPr/>
        <w:tc>
          <w:tcPr>
            <w:tcW w:w="1993" w:type="dxa"/>
            <w:tcBorders/>
          </w:tcPr>
          <w:p>
            <w:pPr>
              <w:pStyle w:val="TableContents"/>
              <w:bidi w:val="0"/>
              <w:spacing w:before="0" w:after="283"/>
              <w:jc w:val="left"/>
              <w:rPr/>
            </w:pPr>
            <w:r>
              <w:rPr/>
              <w:t>Bay Square</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Bay Square Funding LLC</w:t>
            </w:r>
          </w:p>
        </w:tc>
      </w:tr>
      <w:tr>
        <w:trPr/>
        <w:tc>
          <w:tcPr>
            <w:tcW w:w="1993" w:type="dxa"/>
            <w:tcBorders/>
          </w:tcPr>
          <w:p>
            <w:pPr>
              <w:pStyle w:val="TableContents"/>
              <w:bidi w:val="0"/>
              <w:spacing w:before="0" w:after="283"/>
              <w:jc w:val="left"/>
              <w:rPr/>
            </w:pPr>
            <w:r>
              <w:rPr/>
              <w:t>CIBC</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Canadian Imperial Bank of Commerce</w:t>
            </w:r>
          </w:p>
        </w:tc>
      </w:tr>
      <w:tr>
        <w:trPr/>
        <w:tc>
          <w:tcPr>
            <w:tcW w:w="1993" w:type="dxa"/>
            <w:tcBorders/>
          </w:tcPr>
          <w:p>
            <w:pPr>
              <w:pStyle w:val="TableContents"/>
              <w:bidi w:val="0"/>
              <w:spacing w:before="0" w:after="283"/>
              <w:jc w:val="left"/>
              <w:rPr/>
            </w:pPr>
            <w:r>
              <w:rPr/>
              <w:t>Company</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WESCO Receivables Corp.</w:t>
            </w:r>
          </w:p>
        </w:tc>
      </w:tr>
      <w:tr>
        <w:trPr/>
        <w:tc>
          <w:tcPr>
            <w:tcW w:w="1993" w:type="dxa"/>
            <w:tcBorders/>
          </w:tcPr>
          <w:p>
            <w:pPr>
              <w:pStyle w:val="TableContents"/>
              <w:bidi w:val="0"/>
              <w:spacing w:before="0" w:after="283"/>
              <w:jc w:val="left"/>
              <w:rPr/>
            </w:pPr>
            <w:r>
              <w:rPr/>
              <w:t>Committed Purchasers</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Bank of America; CIBC; Fifth Third; HSBC Bank; PNC; Scotiabank; TD Bank; and Wells Fargo</w:t>
            </w:r>
          </w:p>
        </w:tc>
      </w:tr>
      <w:tr>
        <w:trPr/>
        <w:tc>
          <w:tcPr>
            <w:tcW w:w="1993" w:type="dxa"/>
            <w:tcBorders/>
          </w:tcPr>
          <w:p>
            <w:pPr>
              <w:pStyle w:val="TableContents"/>
              <w:bidi w:val="0"/>
              <w:spacing w:before="0" w:after="283"/>
              <w:jc w:val="left"/>
              <w:rPr/>
            </w:pPr>
            <w:r>
              <w:rPr/>
              <w:t>Conduit Purchasers</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Bay Cube, Bay Square; GTA; Liberty Street; Macro and Reliant</w:t>
            </w:r>
          </w:p>
        </w:tc>
      </w:tr>
      <w:tr>
        <w:trPr/>
        <w:tc>
          <w:tcPr>
            <w:tcW w:w="1993" w:type="dxa"/>
            <w:tcBorders/>
          </w:tcPr>
          <w:p>
            <w:pPr>
              <w:pStyle w:val="TableContents"/>
              <w:bidi w:val="0"/>
              <w:spacing w:before="0" w:after="283"/>
              <w:jc w:val="left"/>
              <w:rPr/>
            </w:pPr>
            <w:r>
              <w:rPr/>
              <w:t>Fifth Third</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Fifth Third Bank, National Association</w:t>
            </w:r>
          </w:p>
        </w:tc>
      </w:tr>
      <w:tr>
        <w:trPr/>
        <w:tc>
          <w:tcPr>
            <w:tcW w:w="1993" w:type="dxa"/>
            <w:tcBorders/>
          </w:tcPr>
          <w:p>
            <w:pPr>
              <w:pStyle w:val="TableContents"/>
              <w:bidi w:val="0"/>
              <w:spacing w:before="0" w:after="283"/>
              <w:jc w:val="left"/>
              <w:rPr/>
            </w:pPr>
            <w:r>
              <w:rPr/>
              <w:t>GTA</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GTA Funding LLC</w:t>
            </w:r>
          </w:p>
        </w:tc>
      </w:tr>
      <w:tr>
        <w:trPr/>
        <w:tc>
          <w:tcPr>
            <w:tcW w:w="1993" w:type="dxa"/>
            <w:tcBorders/>
          </w:tcPr>
          <w:p>
            <w:pPr>
              <w:pStyle w:val="TableContents"/>
              <w:bidi w:val="0"/>
              <w:spacing w:before="0" w:after="283"/>
              <w:jc w:val="left"/>
              <w:rPr/>
            </w:pPr>
            <w:r>
              <w:rPr/>
              <w:t>HSBC Bank</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HSBC Bank USA, National Association</w:t>
            </w:r>
          </w:p>
        </w:tc>
      </w:tr>
      <w:tr>
        <w:trPr/>
        <w:tc>
          <w:tcPr>
            <w:tcW w:w="1993" w:type="dxa"/>
            <w:tcBorders/>
          </w:tcPr>
          <w:p>
            <w:pPr>
              <w:pStyle w:val="TableContents"/>
              <w:bidi w:val="0"/>
              <w:spacing w:before="0" w:after="283"/>
              <w:jc w:val="left"/>
              <w:rPr/>
            </w:pPr>
            <w:r>
              <w:rPr/>
              <w:t>HSBC Securities</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HSBC Securities USA Inc.</w:t>
            </w:r>
          </w:p>
        </w:tc>
      </w:tr>
      <w:tr>
        <w:trPr/>
        <w:tc>
          <w:tcPr>
            <w:tcW w:w="1993" w:type="dxa"/>
            <w:tcBorders/>
          </w:tcPr>
          <w:p>
            <w:pPr>
              <w:pStyle w:val="TableContents"/>
              <w:bidi w:val="0"/>
              <w:spacing w:before="0" w:after="283"/>
              <w:jc w:val="left"/>
              <w:rPr/>
            </w:pPr>
            <w:r>
              <w:rPr/>
              <w:t>JD</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Jones Day, as counsel to the Servicer and the Company</w:t>
            </w:r>
          </w:p>
        </w:tc>
      </w:tr>
      <w:tr>
        <w:trPr/>
        <w:tc>
          <w:tcPr>
            <w:tcW w:w="1993" w:type="dxa"/>
            <w:tcBorders/>
          </w:tcPr>
          <w:p>
            <w:pPr>
              <w:pStyle w:val="TableContents"/>
              <w:bidi w:val="0"/>
              <w:spacing w:before="0" w:after="283"/>
              <w:jc w:val="left"/>
              <w:rPr/>
            </w:pPr>
            <w:r>
              <w:rPr/>
              <w:t>JPMorgan</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JPMorgan Chase Bank, N.A.</w:t>
            </w:r>
          </w:p>
        </w:tc>
      </w:tr>
      <w:tr>
        <w:trPr/>
        <w:tc>
          <w:tcPr>
            <w:tcW w:w="1993" w:type="dxa"/>
            <w:tcBorders/>
          </w:tcPr>
          <w:p>
            <w:pPr>
              <w:pStyle w:val="TableContents"/>
              <w:bidi w:val="0"/>
              <w:spacing w:before="0" w:after="283"/>
              <w:jc w:val="left"/>
              <w:rPr/>
            </w:pPr>
            <w:r>
              <w:rPr/>
              <w:t>Liberty Street</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Liberty Street Funding LLC</w:t>
            </w:r>
          </w:p>
        </w:tc>
      </w:tr>
      <w:tr>
        <w:trPr/>
        <w:tc>
          <w:tcPr>
            <w:tcW w:w="1993" w:type="dxa"/>
            <w:tcBorders/>
          </w:tcPr>
          <w:p>
            <w:pPr>
              <w:pStyle w:val="TableContents"/>
              <w:bidi w:val="0"/>
              <w:spacing w:before="0" w:after="283"/>
              <w:jc w:val="left"/>
              <w:rPr/>
            </w:pPr>
            <w:r>
              <w:rPr/>
              <w:t>Lock-Box Banks</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Bank of America; JPMorgan; PNC and Wells Fargo</w:t>
            </w:r>
          </w:p>
        </w:tc>
      </w:tr>
      <w:tr>
        <w:trPr/>
        <w:tc>
          <w:tcPr>
            <w:tcW w:w="1993" w:type="dxa"/>
            <w:tcBorders/>
          </w:tcPr>
          <w:p>
            <w:pPr>
              <w:pStyle w:val="TableContents"/>
              <w:bidi w:val="0"/>
              <w:spacing w:before="0" w:after="283"/>
              <w:jc w:val="left"/>
              <w:rPr/>
            </w:pPr>
            <w:r>
              <w:rPr/>
              <w:t>Macro</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Macro Trust</w:t>
            </w:r>
          </w:p>
        </w:tc>
      </w:tr>
      <w:tr>
        <w:trPr/>
        <w:tc>
          <w:tcPr>
            <w:tcW w:w="1993" w:type="dxa"/>
            <w:tcBorders/>
          </w:tcPr>
          <w:p>
            <w:pPr>
              <w:pStyle w:val="TableContents"/>
              <w:bidi w:val="0"/>
              <w:spacing w:before="0" w:after="283"/>
              <w:jc w:val="left"/>
              <w:rPr/>
            </w:pPr>
            <w:r>
              <w:rPr/>
              <w:t>MB</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Mayer Brown LLP</w:t>
            </w:r>
          </w:p>
        </w:tc>
      </w:tr>
      <w:tr>
        <w:trPr/>
        <w:tc>
          <w:tcPr>
            <w:tcW w:w="1993" w:type="dxa"/>
            <w:tcBorders/>
          </w:tcPr>
          <w:p>
            <w:pPr>
              <w:pStyle w:val="TableContents"/>
              <w:bidi w:val="0"/>
              <w:spacing w:before="0" w:after="283"/>
              <w:jc w:val="left"/>
              <w:rPr/>
            </w:pPr>
            <w:r>
              <w:rPr/>
              <w:t>MO Counsel</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Lewis Brisbois Bisgaard &amp; Smith LLP</w:t>
            </w:r>
          </w:p>
        </w:tc>
      </w:tr>
      <w:tr>
        <w:trPr/>
        <w:tc>
          <w:tcPr>
            <w:tcW w:w="1993" w:type="dxa"/>
            <w:tcBorders/>
          </w:tcPr>
          <w:p>
            <w:pPr>
              <w:pStyle w:val="TableContents"/>
              <w:bidi w:val="0"/>
              <w:spacing w:before="0" w:after="283"/>
              <w:jc w:val="left"/>
              <w:rPr/>
            </w:pPr>
            <w:r>
              <w:rPr/>
              <w:t>Originators</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Accu-Tech Corporation; Anixter Inc.; Anixter Power Solutions Inc.; Ascent, LLC; Calvert Wire &amp; Cable Corporation; Carlton-Bates Company; Communications Supply Corporation; Hi-Line Utility Supply Company, LLC; Hill Country Electric Supply, L.P.; Rahi Systems Inc; TVC Communications, L.L.C.; WESCO Distribution, Inc.; WESCO Services, LLC and XpressConnect Supply, LLC</w:t>
            </w:r>
          </w:p>
        </w:tc>
      </w:tr>
      <w:tr>
        <w:trPr/>
        <w:tc>
          <w:tcPr>
            <w:tcW w:w="1993" w:type="dxa"/>
            <w:tcBorders/>
          </w:tcPr>
          <w:p>
            <w:pPr>
              <w:pStyle w:val="TableContents"/>
              <w:bidi w:val="0"/>
              <w:spacing w:before="0" w:after="283"/>
              <w:jc w:val="left"/>
              <w:rPr/>
            </w:pPr>
            <w:r>
              <w:rPr/>
              <w:t>PNC</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PNC Bank, National Association</w:t>
            </w:r>
          </w:p>
        </w:tc>
      </w:tr>
      <w:tr>
        <w:trPr/>
        <w:tc>
          <w:tcPr>
            <w:tcW w:w="1993" w:type="dxa"/>
            <w:tcBorders/>
          </w:tcPr>
          <w:p>
            <w:pPr>
              <w:pStyle w:val="TableContents"/>
              <w:bidi w:val="0"/>
              <w:spacing w:before="0" w:after="283"/>
              <w:jc w:val="left"/>
              <w:rPr/>
            </w:pPr>
            <w:r>
              <w:rPr/>
              <w:t>Purchaser Agents</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Bank of America; CIBC; Fifth Third; HSBC Securities; PNC; Scotiabank; TD Bank; and Wells Fargo</w:t>
            </w:r>
          </w:p>
        </w:tc>
      </w:tr>
      <w:tr>
        <w:trPr/>
        <w:tc>
          <w:tcPr>
            <w:tcW w:w="1993" w:type="dxa"/>
            <w:tcBorders/>
          </w:tcPr>
          <w:p>
            <w:pPr>
              <w:pStyle w:val="TableContents"/>
              <w:bidi w:val="0"/>
              <w:spacing w:before="0" w:after="283"/>
              <w:jc w:val="left"/>
              <w:rPr/>
            </w:pPr>
            <w:r>
              <w:rPr/>
              <w:t>Reliant</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Reliant Trust</w:t>
            </w:r>
          </w:p>
        </w:tc>
      </w:tr>
      <w:tr>
        <w:trPr/>
        <w:tc>
          <w:tcPr>
            <w:tcW w:w="1993" w:type="dxa"/>
            <w:tcBorders/>
          </w:tcPr>
          <w:p>
            <w:pPr>
              <w:pStyle w:val="TableContents"/>
              <w:bidi w:val="0"/>
              <w:spacing w:before="0" w:after="283"/>
              <w:jc w:val="left"/>
              <w:rPr/>
            </w:pPr>
            <w:r>
              <w:rPr/>
              <w:t>Scotiabank</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The Bank of Nova Scotia</w:t>
            </w:r>
          </w:p>
        </w:tc>
      </w:tr>
      <w:tr>
        <w:trPr/>
        <w:tc>
          <w:tcPr>
            <w:tcW w:w="1993" w:type="dxa"/>
            <w:tcBorders/>
          </w:tcPr>
          <w:p>
            <w:pPr>
              <w:pStyle w:val="TableContents"/>
              <w:bidi w:val="0"/>
              <w:spacing w:before="0" w:after="283"/>
              <w:jc w:val="left"/>
              <w:rPr/>
            </w:pPr>
            <w:r>
              <w:rPr/>
              <w:t>Servicer</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WESCO Distribution, Inc.</w:t>
            </w:r>
          </w:p>
        </w:tc>
      </w:tr>
      <w:tr>
        <w:trPr/>
        <w:tc>
          <w:tcPr>
            <w:tcW w:w="1993" w:type="dxa"/>
            <w:tcBorders/>
          </w:tcPr>
          <w:p>
            <w:pPr>
              <w:pStyle w:val="TableContents"/>
              <w:bidi w:val="0"/>
              <w:spacing w:before="0" w:after="283"/>
              <w:jc w:val="left"/>
              <w:rPr/>
            </w:pPr>
            <w:r>
              <w:rPr/>
              <w:t>Structuring Agent</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PNC Capital Markets LLC</w:t>
            </w:r>
          </w:p>
        </w:tc>
      </w:tr>
      <w:tr>
        <w:trPr/>
        <w:tc>
          <w:tcPr>
            <w:tcW w:w="1993" w:type="dxa"/>
            <w:tcBorders/>
          </w:tcPr>
          <w:p>
            <w:pPr>
              <w:pStyle w:val="TableContents"/>
              <w:bidi w:val="0"/>
              <w:spacing w:before="0" w:after="283"/>
              <w:jc w:val="left"/>
              <w:rPr/>
            </w:pPr>
            <w:r>
              <w:rPr/>
              <w:t>TD Bank</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The Toronto-Dominion Bank</w:t>
            </w:r>
          </w:p>
        </w:tc>
      </w:tr>
      <w:tr>
        <w:trPr/>
        <w:tc>
          <w:tcPr>
            <w:tcW w:w="1993" w:type="dxa"/>
            <w:tcBorders/>
          </w:tcPr>
          <w:p>
            <w:pPr>
              <w:pStyle w:val="TableContents"/>
              <w:bidi w:val="0"/>
              <w:spacing w:before="0" w:after="283"/>
              <w:jc w:val="left"/>
              <w:rPr/>
            </w:pPr>
            <w:r>
              <w:rPr/>
              <w:t>Wells Fargo</w:t>
            </w:r>
          </w:p>
        </w:tc>
        <w:tc>
          <w:tcPr>
            <w:tcW w:w="120" w:type="dxa"/>
            <w:tcBorders/>
            <w:vAlign w:val="bottom"/>
          </w:tcPr>
          <w:p>
            <w:pPr>
              <w:pStyle w:val="TableContents"/>
              <w:bidi w:val="0"/>
              <w:spacing w:before="0" w:after="283"/>
              <w:jc w:val="left"/>
              <w:rPr/>
            </w:pPr>
            <w:r>
              <w:rPr/>
              <w:t>  </w:t>
            </w:r>
          </w:p>
        </w:tc>
        <w:tc>
          <w:tcPr>
            <w:tcW w:w="8092" w:type="dxa"/>
            <w:tcBorders/>
          </w:tcPr>
          <w:p>
            <w:pPr>
              <w:pStyle w:val="TableContents"/>
              <w:bidi w:val="0"/>
              <w:spacing w:before="0" w:after="283"/>
              <w:jc w:val="left"/>
              <w:rPr/>
            </w:pPr>
            <w:r>
              <w:rPr/>
              <w:t>Wells Fargo Bank, National Association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MAIN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Tenth Amendment to Fifth Amended and Restated Receivables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 A to the Tenth Amendment to Fifth Amended and Restated Receivables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Fifth Amendment to Second Amended and Restated Purchase and Sale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 A to Fifth Amendment to Second Amended and Restated Purchase and Sale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Fourteenth Amended and Restated Purchaser Group Fee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Seventeenth Amendment to Lock-Box Schedule Letter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B.</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DOCUMENTATION AS TO AUTHORITY, INCUMBENCY AND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Secretary’s Certificate of Servicer as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of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Incumbency and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Secretary’s Certificate of Company as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of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Incumbency and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 Standing Certificate for the Servicer from the Secretary of State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 Standing Certificate for the Company from the Secretary of State of the State of Delaware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C.</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LEGAL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Opinion of Counsel to Servicer and Company Re: General Corporate, Enforceability matters no-conflicts with organizational documents, material agreements, New York and Federal law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357</Pages>
  <Words>180057</Words>
  <Characters>963958</Characters>
  <CharactersWithSpaces>1145002</CharactersWithSpaces>
  <Paragraphs>6616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EX-10.2</dc:title>
</cp:coreProperties>
</file>