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NAGARAJAN SUNDARAM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225 WEST STATION SQUARE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15219-1122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WESCO INTERNATIONAL INC</w:t>
              </w:r>
            </w:hyperlink>
            <w:r>
              <w:rPr/>
              <w:t xml:space="preserve"> [ </w:t>
            </w:r>
            <w:r>
              <w:rPr>
                <w:rFonts w:ascii="Times;serif" w:hAnsi="Times;serif"/>
                <w:color w:val="0000FF"/>
                <w:sz w:val="24"/>
                <w:shd w:fill="FFFFFF" w:val="clear"/>
              </w:rPr>
              <w:t>WCC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01"/>
        <w:gridCol w:w="773"/>
        <w:gridCol w:w="598"/>
        <w:gridCol w:w="338"/>
        <w:gridCol w:w="1042"/>
        <w:gridCol w:w="426"/>
        <w:gridCol w:w="832"/>
        <w:gridCol w:w="1334"/>
        <w:gridCol w:w="962"/>
        <w:gridCol w:w="90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10.4709</w:t>
            </w:r>
            <w:r>
              <w:rPr>
                <w:rFonts w:ascii="Times;serif" w:hAnsi="Times;serif"/>
                <w:color w:val="008000"/>
                <w:position w:val="7"/>
                <w:sz w:val="16"/>
                <w:sz w:val="20"/>
                <w:shd w:fill="FFFFFF" w:val="clear"/>
              </w:rPr>
              <w:t>(1)</w:t>
            </w:r>
            <w:r>
              <w:rPr/>
              <w:t xml:space="preserve"> </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7,244.4316</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22.617</w:t>
            </w:r>
            <w:r>
              <w:rPr>
                <w:rFonts w:ascii="Times;serif" w:hAnsi="Times;serif"/>
                <w:color w:val="008000"/>
                <w:position w:val="7"/>
                <w:sz w:val="16"/>
                <w:sz w:val="20"/>
                <w:shd w:fill="FFFFFF" w:val="clear"/>
              </w:rPr>
              <w:t>(2)</w:t>
            </w:r>
            <w:r>
              <w:rPr/>
              <w:t xml:space="preserve"> </w:t>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345.43</w:t>
            </w:r>
            <w:r>
              <w:rPr/>
              <w:t xml:space="preserve"> </w:t>
            </w:r>
          </w:p>
        </w:tc>
        <w:tc>
          <w:tcPr>
            <w:tcW w:w="13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7,267.0486</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("DERs") in connection with the Issuer's quarterly dividend and accrued to the Reporting Person on restricted stock units ("RSUs") held by the Reporting Person. Each DER is the economic equivalent of one share of Issuer's common stock and vests on the same schedule as the underlying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deferred share units ("DSUs") credited to the Reporting Person's deferred compensation account pursuant to the Issuer's Deferred Compensation Plan for Non-Employee Directors (the "Plan"). Each DSU is the economic equivalent of one share of Issuer's common stock and is eligible for distribution in the form of Issuer's common stock based on the schedule elected by the Reporting Person in accordance with the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Michele Nelson,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98509" TargetMode="External"/><Relationship Id="rId5" Type="http://schemas.openxmlformats.org/officeDocument/2006/relationships/hyperlink" Target="http://www.sec.gov/cgi-bin/browse-edgar?action=getcompany&amp;CIK=00009290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686</Words>
  <Characters>3758</Characters>
  <CharactersWithSpaces>4378</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