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4"/>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210185</wp:posOffset>
            </wp:positionH>
            <wp:positionV relativeFrom="page">
              <wp:posOffset>482600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210185</wp:posOffset>
            </wp:positionH>
            <wp:positionV relativeFrom="page">
              <wp:posOffset>497205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56" w:lineRule="exact"/>
        <w:rPr>
          <w:sz w:val="24"/>
          <w:szCs w:val="24"/>
          <w:color w:val="auto"/>
        </w:rPr>
      </w:pPr>
    </w:p>
    <w:p>
      <w:pPr>
        <w:jc w:val="center"/>
        <w:ind w:right="-724"/>
        <w:spacing w:after="0"/>
        <w:rPr>
          <w:sz w:val="20"/>
          <w:szCs w:val="20"/>
          <w:color w:val="auto"/>
        </w:rPr>
      </w:pPr>
      <w:r>
        <w:rPr>
          <w:rFonts w:ascii="Arial" w:cs="Arial" w:eastAsia="Arial" w:hAnsi="Arial"/>
          <w:sz w:val="19"/>
          <w:szCs w:val="19"/>
          <w:b w:val="1"/>
          <w:bCs w:val="1"/>
          <w:color w:val="auto"/>
        </w:rPr>
        <w:t>SECURITIES AND EXCHANGE COMMISSION</w:t>
      </w:r>
    </w:p>
    <w:p>
      <w:pPr>
        <w:spacing w:after="0" w:line="56" w:lineRule="exact"/>
        <w:rPr>
          <w:sz w:val="24"/>
          <w:szCs w:val="24"/>
          <w:color w:val="auto"/>
        </w:rPr>
      </w:pPr>
    </w:p>
    <w:p>
      <w:pPr>
        <w:jc w:val="center"/>
        <w:ind w:right="-724"/>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309" w:lineRule="exact"/>
        <w:rPr>
          <w:sz w:val="24"/>
          <w:szCs w:val="24"/>
          <w:color w:val="auto"/>
        </w:rPr>
      </w:pPr>
    </w:p>
    <w:p>
      <w:pPr>
        <w:ind w:left="5025"/>
        <w:spacing w:after="0"/>
        <w:rPr>
          <w:sz w:val="20"/>
          <w:szCs w:val="20"/>
          <w:color w:val="auto"/>
        </w:rPr>
      </w:pPr>
      <w:r>
        <w:rPr>
          <w:rFonts w:ascii="Arial" w:cs="Arial" w:eastAsia="Arial" w:hAnsi="Arial"/>
          <w:sz w:val="29"/>
          <w:szCs w:val="29"/>
          <w:b w:val="1"/>
          <w:bCs w:val="1"/>
          <w:color w:val="auto"/>
        </w:rPr>
        <w:t>FORM 8-K</w:t>
      </w:r>
    </w:p>
    <w:p>
      <w:pPr>
        <w:spacing w:after="0" w:line="294" w:lineRule="exact"/>
        <w:rPr>
          <w:sz w:val="24"/>
          <w:szCs w:val="24"/>
          <w:color w:val="auto"/>
        </w:rPr>
      </w:pPr>
    </w:p>
    <w:p>
      <w:pPr>
        <w:ind w:left="4985"/>
        <w:spacing w:after="0"/>
        <w:rPr>
          <w:sz w:val="20"/>
          <w:szCs w:val="20"/>
          <w:color w:val="auto"/>
        </w:rPr>
      </w:pPr>
      <w:r>
        <w:rPr>
          <w:rFonts w:ascii="Arial" w:cs="Arial" w:eastAsia="Arial" w:hAnsi="Arial"/>
          <w:sz w:val="16"/>
          <w:szCs w:val="16"/>
          <w:b w:val="1"/>
          <w:bCs w:val="1"/>
          <w:color w:val="auto"/>
        </w:rPr>
        <w:t>CURRENT REPORT</w:t>
      </w:r>
    </w:p>
    <w:p>
      <w:pPr>
        <w:spacing w:after="0" w:line="269" w:lineRule="exact"/>
        <w:rPr>
          <w:sz w:val="24"/>
          <w:szCs w:val="24"/>
          <w:color w:val="auto"/>
        </w:rPr>
      </w:pPr>
    </w:p>
    <w:p>
      <w:pPr>
        <w:ind w:left="3285"/>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99" w:lineRule="exact"/>
        <w:rPr>
          <w:sz w:val="24"/>
          <w:szCs w:val="24"/>
          <w:color w:val="auto"/>
        </w:rPr>
      </w:pPr>
    </w:p>
    <w:p>
      <w:pPr>
        <w:ind w:left="3565"/>
        <w:spacing w:after="0"/>
        <w:rPr>
          <w:sz w:val="20"/>
          <w:szCs w:val="20"/>
          <w:color w:val="auto"/>
        </w:rPr>
      </w:pPr>
      <w:r>
        <w:rPr>
          <w:rFonts w:ascii="Arial" w:cs="Arial" w:eastAsia="Arial" w:hAnsi="Arial"/>
          <w:sz w:val="16"/>
          <w:szCs w:val="16"/>
          <w:color w:val="auto"/>
        </w:rPr>
        <w:t>Date of Report (Date of earliest event reported) September 24, 2015</w:t>
      </w:r>
    </w:p>
    <w:p>
      <w:pPr>
        <w:spacing w:after="0" w:line="269" w:lineRule="exact"/>
        <w:rPr>
          <w:sz w:val="24"/>
          <w:szCs w:val="24"/>
          <w:color w:val="auto"/>
        </w:rPr>
      </w:pPr>
    </w:p>
    <w:p>
      <w:pPr>
        <w:jc w:val="center"/>
        <w:ind w:right="-724"/>
        <w:spacing w:after="0"/>
        <w:rPr>
          <w:sz w:val="20"/>
          <w:szCs w:val="20"/>
          <w:color w:val="auto"/>
        </w:rPr>
      </w:pPr>
      <w:r>
        <w:rPr>
          <w:rFonts w:ascii="Arial" w:cs="Arial" w:eastAsia="Arial" w:hAnsi="Arial"/>
          <w:sz w:val="29"/>
          <w:szCs w:val="29"/>
          <w:b w:val="1"/>
          <w:bCs w:val="1"/>
          <w:color w:val="auto"/>
        </w:rPr>
        <w:t>WESCO International, Inc.</w:t>
      </w:r>
    </w:p>
    <w:p>
      <w:pPr>
        <w:spacing w:after="0" w:line="68" w:lineRule="exact"/>
        <w:rPr>
          <w:sz w:val="24"/>
          <w:szCs w:val="24"/>
          <w:color w:val="auto"/>
        </w:rPr>
      </w:pPr>
    </w:p>
    <w:p>
      <w:pPr>
        <w:ind w:left="4405"/>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74" w:lineRule="exact"/>
        <w:rPr>
          <w:sz w:val="24"/>
          <w:szCs w:val="24"/>
          <w:color w:val="auto"/>
        </w:rPr>
      </w:pPr>
    </w:p>
    <w:tbl>
      <w:tblPr>
        <w:tblLayout w:type="fixed"/>
        <w:tblInd w:w="1365" w:type="dxa"/>
        <w:tblCellMar>
          <w:top w:w="0" w:type="dxa"/>
          <w:left w:w="0" w:type="dxa"/>
          <w:bottom w:w="0" w:type="dxa"/>
          <w:right w:w="0" w:type="dxa"/>
        </w:tblCellMar>
      </w:tblPr>
      <w:tr>
        <w:trPr>
          <w:trHeight w:val="183"/>
        </w:trPr>
        <w:tc>
          <w:tcPr>
            <w:tcW w:w="242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Delaware</w:t>
            </w:r>
          </w:p>
        </w:tc>
        <w:tc>
          <w:tcPr>
            <w:tcW w:w="4140" w:type="dxa"/>
            <w:vAlign w:val="bottom"/>
            <w:vMerge w:val="restart"/>
          </w:tcPr>
          <w:p>
            <w:pPr>
              <w:jc w:val="right"/>
              <w:ind w:right="1846"/>
              <w:spacing w:after="0"/>
              <w:rPr>
                <w:sz w:val="20"/>
                <w:szCs w:val="20"/>
                <w:color w:val="auto"/>
              </w:rPr>
            </w:pPr>
            <w:r>
              <w:rPr>
                <w:rFonts w:ascii="Arial" w:cs="Arial" w:eastAsia="Arial" w:hAnsi="Arial"/>
                <w:sz w:val="16"/>
                <w:szCs w:val="16"/>
                <w:b w:val="1"/>
                <w:bCs w:val="1"/>
                <w:color w:val="auto"/>
              </w:rPr>
              <w:t>001-14989</w:t>
            </w:r>
          </w:p>
        </w:tc>
        <w:tc>
          <w:tcPr>
            <w:tcW w:w="1500" w:type="dxa"/>
            <w:vAlign w:val="bottom"/>
          </w:tcPr>
          <w:p>
            <w:pPr>
              <w:jc w:val="right"/>
              <w:ind w:right="109"/>
              <w:spacing w:after="0"/>
              <w:rPr>
                <w:sz w:val="20"/>
                <w:szCs w:val="20"/>
                <w:color w:val="auto"/>
              </w:rPr>
            </w:pPr>
            <w:r>
              <w:rPr>
                <w:rFonts w:ascii="Arial" w:cs="Arial" w:eastAsia="Arial" w:hAnsi="Arial"/>
                <w:sz w:val="14"/>
                <w:szCs w:val="14"/>
                <w:b w:val="1"/>
                <w:bCs w:val="1"/>
                <w:color w:val="auto"/>
              </w:rPr>
              <w:t>25-1723342</w:t>
            </w:r>
          </w:p>
        </w:tc>
        <w:tc>
          <w:tcPr>
            <w:tcW w:w="0" w:type="dxa"/>
            <w:vAlign w:val="bottom"/>
          </w:tcPr>
          <w:p>
            <w:pPr>
              <w:spacing w:after="0"/>
              <w:rPr>
                <w:sz w:val="1"/>
                <w:szCs w:val="1"/>
                <w:color w:val="auto"/>
              </w:rPr>
            </w:pPr>
          </w:p>
        </w:tc>
      </w:tr>
      <w:tr>
        <w:trPr>
          <w:trHeight w:val="179"/>
        </w:trPr>
        <w:tc>
          <w:tcPr>
            <w:tcW w:w="2420" w:type="dxa"/>
            <w:vAlign w:val="bottom"/>
          </w:tcPr>
          <w:p>
            <w:pPr>
              <w:jc w:val="center"/>
              <w:ind w:right="89"/>
              <w:spacing w:after="0"/>
              <w:rPr>
                <w:sz w:val="20"/>
                <w:szCs w:val="20"/>
                <w:color w:val="auto"/>
              </w:rPr>
            </w:pPr>
            <w:r>
              <w:rPr>
                <w:rFonts w:ascii="Arial" w:cs="Arial" w:eastAsia="Arial" w:hAnsi="Arial"/>
                <w:sz w:val="14"/>
                <w:szCs w:val="14"/>
                <w:color w:val="auto"/>
                <w:w w:val="94"/>
              </w:rPr>
              <w:t>(State or other jurisdiction of</w:t>
            </w:r>
          </w:p>
        </w:tc>
        <w:tc>
          <w:tcPr>
            <w:tcW w:w="4140" w:type="dxa"/>
            <w:vAlign w:val="bottom"/>
            <w:vMerge w:val="continue"/>
          </w:tcPr>
          <w:p>
            <w:pPr>
              <w:spacing w:after="0"/>
              <w:rPr>
                <w:sz w:val="15"/>
                <w:szCs w:val="15"/>
                <w:color w:val="auto"/>
              </w:rPr>
            </w:pPr>
          </w:p>
        </w:tc>
        <w:tc>
          <w:tcPr>
            <w:tcW w:w="1500" w:type="dxa"/>
            <w:vAlign w:val="bottom"/>
          </w:tcPr>
          <w:p>
            <w:pPr>
              <w:jc w:val="center"/>
              <w:ind w:left="369"/>
              <w:spacing w:after="0"/>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1"/>
        </w:trPr>
        <w:tc>
          <w:tcPr>
            <w:tcW w:w="2420" w:type="dxa"/>
            <w:vAlign w:val="bottom"/>
          </w:tcPr>
          <w:p>
            <w:pPr>
              <w:jc w:val="center"/>
              <w:ind w:right="89"/>
              <w:spacing w:after="0"/>
              <w:rPr>
                <w:sz w:val="20"/>
                <w:szCs w:val="20"/>
                <w:color w:val="auto"/>
              </w:rPr>
            </w:pPr>
            <w:r>
              <w:rPr>
                <w:rFonts w:ascii="Arial" w:cs="Arial" w:eastAsia="Arial" w:hAnsi="Arial"/>
                <w:sz w:val="14"/>
                <w:szCs w:val="14"/>
                <w:color w:val="auto"/>
                <w:w w:val="95"/>
              </w:rPr>
              <w:t>incorporation)</w:t>
            </w:r>
          </w:p>
        </w:tc>
        <w:tc>
          <w:tcPr>
            <w:tcW w:w="4140" w:type="dxa"/>
            <w:vAlign w:val="bottom"/>
          </w:tcPr>
          <w:p>
            <w:pPr>
              <w:jc w:val="center"/>
              <w:ind w:right="326"/>
              <w:spacing w:after="0"/>
              <w:rPr>
                <w:sz w:val="20"/>
                <w:szCs w:val="20"/>
                <w:color w:val="auto"/>
              </w:rPr>
            </w:pPr>
            <w:r>
              <w:rPr>
                <w:rFonts w:ascii="Arial" w:cs="Arial" w:eastAsia="Arial" w:hAnsi="Arial"/>
                <w:sz w:val="14"/>
                <w:szCs w:val="14"/>
                <w:color w:val="auto"/>
                <w:w w:val="94"/>
              </w:rPr>
              <w:t>(Commission File Number)</w:t>
            </w:r>
          </w:p>
        </w:tc>
        <w:tc>
          <w:tcPr>
            <w:tcW w:w="1500" w:type="dxa"/>
            <w:vAlign w:val="bottom"/>
          </w:tcPr>
          <w:p>
            <w:pPr>
              <w:jc w:val="center"/>
              <w:ind w:left="369"/>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75"/>
        </w:trPr>
        <w:tc>
          <w:tcPr>
            <w:tcW w:w="242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225 West Station Square Drive</w:t>
            </w: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42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Suite 700</w:t>
            </w:r>
          </w:p>
        </w:tc>
        <w:tc>
          <w:tcPr>
            <w:tcW w:w="4140" w:type="dxa"/>
            <w:vAlign w:val="bottom"/>
          </w:tcPr>
          <w:p>
            <w:pPr>
              <w:spacing w:after="0"/>
              <w:rPr>
                <w:sz w:val="15"/>
                <w:szCs w:val="15"/>
                <w:color w:val="auto"/>
              </w:rPr>
            </w:pPr>
          </w:p>
        </w:tc>
        <w:tc>
          <w:tcPr>
            <w:tcW w:w="1500" w:type="dxa"/>
            <w:vAlign w:val="bottom"/>
          </w:tcPr>
          <w:p>
            <w:pPr>
              <w:jc w:val="right"/>
              <w:ind w:right="269"/>
              <w:spacing w:after="0"/>
              <w:rPr>
                <w:sz w:val="20"/>
                <w:szCs w:val="20"/>
                <w:color w:val="auto"/>
              </w:rPr>
            </w:pPr>
            <w:r>
              <w:rPr>
                <w:rFonts w:ascii="Arial" w:cs="Arial" w:eastAsia="Arial" w:hAnsi="Arial"/>
                <w:sz w:val="14"/>
                <w:szCs w:val="14"/>
                <w:b w:val="1"/>
                <w:bCs w:val="1"/>
                <w:color w:val="auto"/>
              </w:rPr>
              <w:t>15219</w:t>
            </w:r>
          </w:p>
        </w:tc>
        <w:tc>
          <w:tcPr>
            <w:tcW w:w="0" w:type="dxa"/>
            <w:vAlign w:val="bottom"/>
          </w:tcPr>
          <w:p>
            <w:pPr>
              <w:spacing w:after="0"/>
              <w:rPr>
                <w:sz w:val="1"/>
                <w:szCs w:val="1"/>
                <w:color w:val="auto"/>
              </w:rPr>
            </w:pPr>
          </w:p>
        </w:tc>
      </w:tr>
      <w:tr>
        <w:trPr>
          <w:trHeight w:val="183"/>
        </w:trPr>
        <w:tc>
          <w:tcPr>
            <w:tcW w:w="242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Pittsburgh, Pennsylvania</w:t>
            </w:r>
          </w:p>
        </w:tc>
        <w:tc>
          <w:tcPr>
            <w:tcW w:w="4140" w:type="dxa"/>
            <w:vAlign w:val="bottom"/>
          </w:tcPr>
          <w:p>
            <w:pPr>
              <w:spacing w:after="0"/>
              <w:rPr>
                <w:sz w:val="15"/>
                <w:szCs w:val="15"/>
                <w:color w:val="auto"/>
              </w:rPr>
            </w:pPr>
          </w:p>
        </w:tc>
        <w:tc>
          <w:tcPr>
            <w:tcW w:w="1500" w:type="dxa"/>
            <w:vAlign w:val="bottom"/>
          </w:tcPr>
          <w:p>
            <w:pPr>
              <w:jc w:val="center"/>
              <w:ind w:left="38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1"/>
        </w:trPr>
        <w:tc>
          <w:tcPr>
            <w:tcW w:w="2420" w:type="dxa"/>
            <w:vAlign w:val="bottom"/>
          </w:tcPr>
          <w:p>
            <w:pPr>
              <w:jc w:val="center"/>
              <w:ind w:right="89"/>
              <w:spacing w:after="0"/>
              <w:rPr>
                <w:sz w:val="20"/>
                <w:szCs w:val="20"/>
                <w:color w:val="auto"/>
              </w:rPr>
            </w:pPr>
            <w:r>
              <w:rPr>
                <w:rFonts w:ascii="Arial" w:cs="Arial" w:eastAsia="Arial" w:hAnsi="Arial"/>
                <w:sz w:val="14"/>
                <w:szCs w:val="14"/>
                <w:color w:val="auto"/>
                <w:w w:val="94"/>
              </w:rPr>
              <w:t>(Address of principal executive offices)</w:t>
            </w:r>
          </w:p>
        </w:tc>
        <w:tc>
          <w:tcPr>
            <w:tcW w:w="4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2420" w:type="dxa"/>
            <w:vAlign w:val="bottom"/>
          </w:tcPr>
          <w:p>
            <w:pPr>
              <w:spacing w:after="0"/>
              <w:rPr>
                <w:sz w:val="24"/>
                <w:szCs w:val="24"/>
                <w:color w:val="auto"/>
              </w:rPr>
            </w:pPr>
          </w:p>
        </w:tc>
        <w:tc>
          <w:tcPr>
            <w:tcW w:w="4140" w:type="dxa"/>
            <w:vAlign w:val="bottom"/>
          </w:tcPr>
          <w:p>
            <w:pPr>
              <w:jc w:val="center"/>
              <w:ind w:right="206"/>
              <w:spacing w:after="0"/>
              <w:rPr>
                <w:sz w:val="20"/>
                <w:szCs w:val="20"/>
                <w:color w:val="auto"/>
              </w:rPr>
            </w:pPr>
            <w:r>
              <w:rPr>
                <w:rFonts w:ascii="Arial" w:cs="Arial" w:eastAsia="Arial" w:hAnsi="Arial"/>
                <w:sz w:val="14"/>
                <w:szCs w:val="14"/>
                <w:b w:val="1"/>
                <w:bCs w:val="1"/>
                <w:color w:val="auto"/>
                <w:w w:val="93"/>
              </w:rPr>
              <w:t>(412) 454-2200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4140" w:type="dxa"/>
            <w:vAlign w:val="bottom"/>
          </w:tcPr>
          <w:p>
            <w:pPr>
              <w:jc w:val="center"/>
              <w:ind w:right="206"/>
              <w:spacing w:after="0"/>
              <w:rPr>
                <w:sz w:val="20"/>
                <w:szCs w:val="20"/>
                <w:color w:val="auto"/>
              </w:rPr>
            </w:pPr>
            <w:r>
              <w:rPr>
                <w:rFonts w:ascii="Arial" w:cs="Arial" w:eastAsia="Arial" w:hAnsi="Arial"/>
                <w:sz w:val="14"/>
                <w:szCs w:val="14"/>
                <w:color w:val="auto"/>
                <w:w w:val="91"/>
              </w:rPr>
              <w:t>(Registrant's telephone number, including area code)</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2420" w:type="dxa"/>
            <w:vAlign w:val="bottom"/>
          </w:tcPr>
          <w:p>
            <w:pPr>
              <w:spacing w:after="0"/>
              <w:rPr>
                <w:sz w:val="24"/>
                <w:szCs w:val="24"/>
                <w:color w:val="auto"/>
              </w:rPr>
            </w:pPr>
          </w:p>
        </w:tc>
        <w:tc>
          <w:tcPr>
            <w:tcW w:w="4140" w:type="dxa"/>
            <w:vAlign w:val="bottom"/>
          </w:tcPr>
          <w:p>
            <w:pPr>
              <w:jc w:val="center"/>
              <w:ind w:right="206"/>
              <w:spacing w:after="0"/>
              <w:rPr>
                <w:sz w:val="20"/>
                <w:szCs w:val="20"/>
                <w:color w:val="auto"/>
              </w:rPr>
            </w:pPr>
            <w:r>
              <w:rPr>
                <w:rFonts w:ascii="Arial" w:cs="Arial" w:eastAsia="Arial" w:hAnsi="Arial"/>
                <w:sz w:val="16"/>
                <w:szCs w:val="16"/>
                <w:b w:val="1"/>
                <w:bCs w:val="1"/>
                <w:color w:val="auto"/>
                <w:w w:val="89"/>
              </w:rPr>
              <w:t>Not applicable.</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140" w:type="dxa"/>
            <w:vAlign w:val="bottom"/>
          </w:tcPr>
          <w:p>
            <w:pPr>
              <w:jc w:val="center"/>
              <w:ind w:right="186"/>
              <w:spacing w:after="0"/>
              <w:rPr>
                <w:sz w:val="20"/>
                <w:szCs w:val="20"/>
                <w:color w:val="auto"/>
              </w:rPr>
            </w:pPr>
            <w:r>
              <w:rPr>
                <w:rFonts w:ascii="Arial" w:cs="Arial" w:eastAsia="Arial" w:hAnsi="Arial"/>
                <w:sz w:val="14"/>
                <w:szCs w:val="14"/>
                <w:color w:val="auto"/>
                <w:w w:val="91"/>
              </w:rPr>
              <w:t>(Former name or former address, if changed since last report)</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5"/>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85" w:hanging="85"/>
        <w:spacing w:after="0"/>
        <w:tabs>
          <w:tab w:leader="none" w:pos="85"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268" w:lineRule="exact"/>
        <w:rPr>
          <w:rFonts w:ascii="Arial" w:cs="Arial" w:eastAsia="Arial" w:hAnsi="Arial"/>
          <w:sz w:val="16"/>
          <w:szCs w:val="16"/>
          <w:color w:val="auto"/>
        </w:rPr>
      </w:pPr>
    </w:p>
    <w:p>
      <w:pPr>
        <w:ind w:left="85" w:hanging="85"/>
        <w:spacing w:after="0"/>
        <w:tabs>
          <w:tab w:leader="none" w:pos="85"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268" w:lineRule="exact"/>
        <w:rPr>
          <w:rFonts w:ascii="Arial" w:cs="Arial" w:eastAsia="Arial" w:hAnsi="Arial"/>
          <w:sz w:val="16"/>
          <w:szCs w:val="16"/>
          <w:color w:val="auto"/>
        </w:rPr>
      </w:pPr>
    </w:p>
    <w:p>
      <w:pPr>
        <w:ind w:left="85" w:hanging="85"/>
        <w:spacing w:after="0"/>
        <w:tabs>
          <w:tab w:leader="none" w:pos="85"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268" w:lineRule="exact"/>
        <w:rPr>
          <w:rFonts w:ascii="Arial" w:cs="Arial" w:eastAsia="Arial" w:hAnsi="Arial"/>
          <w:sz w:val="16"/>
          <w:szCs w:val="16"/>
          <w:color w:val="auto"/>
        </w:rPr>
      </w:pPr>
    </w:p>
    <w:p>
      <w:pPr>
        <w:ind w:left="85" w:hanging="85"/>
        <w:spacing w:after="0"/>
        <w:tabs>
          <w:tab w:leader="none" w:pos="85"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60325</wp:posOffset>
            </wp:positionH>
            <wp:positionV relativeFrom="paragraph">
              <wp:posOffset>95250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110490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705"/>
          </w:cols>
          <w:pgMar w:left="235" w:top="1187" w:right="9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Amended and Restated Credit Agreement</w:t>
      </w:r>
    </w:p>
    <w:p>
      <w:pPr>
        <w:spacing w:after="0" w:line="201" w:lineRule="exact"/>
        <w:rPr>
          <w:sz w:val="20"/>
          <w:szCs w:val="20"/>
          <w:color w:val="auto"/>
        </w:rPr>
      </w:pPr>
    </w:p>
    <w:p>
      <w:pPr>
        <w:ind w:right="40" w:firstLine="393"/>
        <w:spacing w:after="0" w:line="288" w:lineRule="auto"/>
        <w:rPr>
          <w:sz w:val="20"/>
          <w:szCs w:val="20"/>
          <w:color w:val="auto"/>
        </w:rPr>
      </w:pPr>
      <w:r>
        <w:rPr>
          <w:rFonts w:ascii="Arial" w:cs="Arial" w:eastAsia="Arial" w:hAnsi="Arial"/>
          <w:sz w:val="14"/>
          <w:szCs w:val="14"/>
          <w:color w:val="auto"/>
        </w:rPr>
        <w:t>On September 24, 2015, WESCO International, Inc. (the “Company”), WESCO Distribution, Inc. (“WESCO Distribution”) and certain other subsidiaries of the Company entered into a US$600 million revolving credit facility (the “Revolving Credit Facility”), which contains a letter of credit sub-facility of up to US$125 million, pursuant to the terms and conditions of a Second Amended and Restated Credit Agreement, dated as of September 24, 2015 (the “Credit Agreement”) among WESCO Distribution, the other U.S. borrowers party thereto (collectively, the “U.S. Borrowers”), WESCO Distribution Canada LP (“WESCO Canada”), the other Canadian borrowers party thereto (collectively,</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“Canadian Borrowers”), the Company, the joint bookrunners and joint lead arrangers party thereto, the lenders party thereto, JPMorgan Chase Bank, N.A., as Administrative Agent, and JPMorgan Chase Bank, N.A., Toronto Branch, as Canadian Administrative Agent. The Revolving Credit Facility contains an accordion feature allowing WESCO Distribution to request increases to the borrowing commitments under the Revolving Credit Facility of up to US$200 million in the aggregate, subject to customary conditions. The Revolving Credit Facility replaces WESCO Distribution’s existing revolving credit facility entered into on December 12, 2012.</w:t>
      </w:r>
    </w:p>
    <w:p>
      <w:pPr>
        <w:spacing w:after="0" w:line="157" w:lineRule="exact"/>
        <w:rPr>
          <w:sz w:val="20"/>
          <w:szCs w:val="20"/>
          <w:color w:val="auto"/>
        </w:rPr>
      </w:pPr>
    </w:p>
    <w:p>
      <w:pPr>
        <w:ind w:firstLine="393"/>
        <w:spacing w:after="0" w:line="251" w:lineRule="auto"/>
        <w:rPr>
          <w:sz w:val="20"/>
          <w:szCs w:val="20"/>
          <w:color w:val="auto"/>
        </w:rPr>
      </w:pPr>
      <w:r>
        <w:rPr>
          <w:rFonts w:ascii="Arial" w:cs="Arial" w:eastAsia="Arial" w:hAnsi="Arial"/>
          <w:sz w:val="16"/>
          <w:szCs w:val="16"/>
          <w:color w:val="auto"/>
        </w:rPr>
        <w:t>The Revolving Credit Facility matures in September 2020 and is collateralized by (i) substantially all assets of WESCO Distribution and its subsidiaries which are party to the Credit Agreement, other than, among other things, real property and accounts receivable sold or intended to be sold pursuant to WESCO Distribution’s accounts receivable securitization facility (the “Receivables Facility”), and (ii) substantially all assets of WESCO Canada and the other Canadian Borrowers, other than, among other things, real property, in each case, subject to customary exceptions and limitations. The obligations of WESCO Distribution and the other U.S. Borrowers under the Revolving Credit Facility have been guaranteed by the Company and certain of WESCO Distribution’s subsidiaries. The obligations of WESCO Canada and the other Canadian Borrowers under the Revolving Credit Facility have been guaranteed by certain subsidiaries of WESCO Canada and the other Canadian Borrowers. The applicable interest rate for borrowings under the Revolving Credit Facility includes interest rate spreads based on available borrowing capacity that range between 1.25% and 1.75% for LIBOR-based borrowings and 0.25% and 0.75% for prime rate-based borrowings.</w:t>
      </w:r>
    </w:p>
    <w:p>
      <w:pPr>
        <w:spacing w:after="0" w:line="176" w:lineRule="exact"/>
        <w:rPr>
          <w:sz w:val="20"/>
          <w:szCs w:val="20"/>
          <w:color w:val="auto"/>
        </w:rPr>
      </w:pPr>
    </w:p>
    <w:p>
      <w:pPr>
        <w:ind w:right="180" w:firstLine="393"/>
        <w:spacing w:after="0" w:line="254" w:lineRule="auto"/>
        <w:rPr>
          <w:sz w:val="20"/>
          <w:szCs w:val="20"/>
          <w:color w:val="auto"/>
        </w:rPr>
      </w:pPr>
      <w:r>
        <w:rPr>
          <w:rFonts w:ascii="Arial" w:cs="Arial" w:eastAsia="Arial" w:hAnsi="Arial"/>
          <w:sz w:val="16"/>
          <w:szCs w:val="16"/>
          <w:color w:val="auto"/>
        </w:rPr>
        <w:t>The Credit Agreement requires compliance with conditions precedent that must be satisfied prior to any borrowing as well as ongoing compliance with certain customary affirmative and negative covenants. The Credit Agreement contains customary events of default. In addition, the Company will be subject to a limit on the ratio of the amount of the Company’s consolidated EBITDA to the Company’s fixed charges if certain excess availability thresholds are not satisfied or certain events of default exist. Upon the occurrence and during the continuance of an event of default, the commitments of the lenders may be terminated, and all outstanding obligations of the loan parties under the Revolving Credit Facility may be declared immediately due and payable.</w:t>
      </w:r>
    </w:p>
    <w:p>
      <w:pPr>
        <w:spacing w:after="0" w:line="170" w:lineRule="exact"/>
        <w:rPr>
          <w:sz w:val="20"/>
          <w:szCs w:val="20"/>
          <w:color w:val="auto"/>
        </w:rPr>
      </w:pPr>
    </w:p>
    <w:p>
      <w:pPr>
        <w:ind w:right="40" w:firstLine="393"/>
        <w:spacing w:after="0" w:line="256" w:lineRule="auto"/>
        <w:rPr>
          <w:sz w:val="20"/>
          <w:szCs w:val="20"/>
          <w:color w:val="auto"/>
        </w:rPr>
      </w:pPr>
      <w:r>
        <w:rPr>
          <w:rFonts w:ascii="Arial" w:cs="Arial" w:eastAsia="Arial" w:hAnsi="Arial"/>
          <w:sz w:val="16"/>
          <w:szCs w:val="16"/>
          <w:color w:val="auto"/>
        </w:rPr>
        <w:t>Certain of the agents and the lenders under the Credit Agreement have in the past provided, are currently providing and may in the future provide advisory and lending services to, or engage in transactions with, the Company and its subsidiaries or affiliates (including through certain subsidiaries or affiliates of such agents and lenders). The agents and the lenders have received, and may in the future receive, customary compensation from the Company and its subsidiaries or affiliates for such services and in respect of such transactions.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foregoing is a summary of the material terms and conditions of the Credit Agreement and not a complete discussion of the document. Accordingly, the foregoing is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qualified in its entirety by reference to the full text of the Credit Agreement attached to this Current Report on Form 8-K as Exhibit 10.1, which is incorporated herein by reference.</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Amended and Restated Accounts Receivable Securitization Facility</w:t>
      </w:r>
    </w:p>
    <w:p>
      <w:pPr>
        <w:spacing w:after="0" w:line="201" w:lineRule="exact"/>
        <w:rPr>
          <w:sz w:val="20"/>
          <w:szCs w:val="20"/>
          <w:color w:val="auto"/>
        </w:rPr>
      </w:pPr>
    </w:p>
    <w:p>
      <w:pPr>
        <w:ind w:right="100" w:firstLine="393"/>
        <w:spacing w:after="0" w:line="304" w:lineRule="auto"/>
        <w:rPr>
          <w:sz w:val="20"/>
          <w:szCs w:val="20"/>
          <w:color w:val="auto"/>
        </w:rPr>
      </w:pPr>
      <w:r>
        <w:rPr>
          <w:rFonts w:ascii="Arial" w:cs="Arial" w:eastAsia="Arial" w:hAnsi="Arial"/>
          <w:sz w:val="14"/>
          <w:szCs w:val="14"/>
          <w:color w:val="auto"/>
        </w:rPr>
        <w:t>On September 24, 2015, WESCO Distribution amended and restated its Receivables Facility pursuant to the terms and conditions of a Fourth Amended and Restated Receivables Purchase Agreement, dated as of September 24, 2015 (the “Receivables Purchase Agreement”), by and among WESCO Receivables Corp. (“WESCO Receivables”), WESCO Distribution, the various purchaser groups from time to time party thereto and PNC Bank, National Association, as Administrator. The Receivables Purchase Agreement amends and restates the receivables purchase agreement entered into on April 13, 2009 (the “Existing Receivables Purchase Agreement”).</w:t>
      </w:r>
    </w:p>
    <w:p>
      <w:pPr>
        <w:spacing w:after="0" w:line="137" w:lineRule="exact"/>
        <w:rPr>
          <w:sz w:val="20"/>
          <w:szCs w:val="20"/>
          <w:color w:val="auto"/>
        </w:rPr>
      </w:pPr>
    </w:p>
    <w:p>
      <w:pPr>
        <w:ind w:right="340" w:firstLine="393"/>
        <w:spacing w:after="0" w:line="260" w:lineRule="auto"/>
        <w:rPr>
          <w:sz w:val="20"/>
          <w:szCs w:val="20"/>
          <w:color w:val="auto"/>
        </w:rPr>
      </w:pPr>
      <w:r>
        <w:rPr>
          <w:rFonts w:ascii="Arial" w:cs="Arial" w:eastAsia="Arial" w:hAnsi="Arial"/>
          <w:sz w:val="16"/>
          <w:szCs w:val="16"/>
          <w:color w:val="auto"/>
        </w:rPr>
        <w:t>The Receivables Purchase Agreement increases the purchase limit under the Existing Receivables Purchase Agreement from $500 million to $550 million, with the opportunity to exercise an accordion feature which permits increases in the purchase limit of up to $100 million, extends the term of the Receivables Facility to September 24, 2018 and adds and amends</w:t>
      </w:r>
    </w:p>
    <w:p>
      <w:pPr>
        <w:sectPr>
          <w:pgSz w:w="11900" w:h="16838" w:orient="portrait"/>
          <w:cols w:equalWidth="0" w:num="1">
            <w:col w:w="11420"/>
          </w:cols>
          <w:pgMar w:left="240" w:top="742" w:right="239" w:bottom="1440" w:gutter="0" w:footer="0" w:header="0"/>
        </w:sectPr>
      </w:pPr>
    </w:p>
    <w:bookmarkStart w:id="2" w:name="page3"/>
    <w:bookmarkEnd w:id="2"/>
    <w:p>
      <w:pPr>
        <w:ind w:left="5"/>
        <w:spacing w:after="0"/>
        <w:rPr>
          <w:sz w:val="20"/>
          <w:szCs w:val="20"/>
          <w:color w:val="auto"/>
        </w:rPr>
      </w:pPr>
      <w:r>
        <w:rPr>
          <w:rFonts w:ascii="Arial" w:cs="Arial" w:eastAsia="Arial" w:hAnsi="Arial"/>
          <w:sz w:val="16"/>
          <w:szCs w:val="16"/>
          <w:color w:val="auto"/>
        </w:rPr>
        <w:t>certain defined terms. The interest rate spread and commitment fee of the Receivables Facility remains 0.95% and 0.45%, respectively.</w:t>
      </w:r>
    </w:p>
    <w:p>
      <w:pPr>
        <w:spacing w:after="0" w:line="197" w:lineRule="exact"/>
        <w:rPr>
          <w:sz w:val="20"/>
          <w:szCs w:val="20"/>
          <w:color w:val="auto"/>
        </w:rPr>
      </w:pPr>
    </w:p>
    <w:p>
      <w:pPr>
        <w:ind w:left="5" w:firstLine="572"/>
        <w:spacing w:after="0" w:line="256" w:lineRule="auto"/>
        <w:rPr>
          <w:sz w:val="20"/>
          <w:szCs w:val="20"/>
          <w:color w:val="auto"/>
        </w:rPr>
      </w:pPr>
      <w:r>
        <w:rPr>
          <w:rFonts w:ascii="Arial" w:cs="Arial" w:eastAsia="Arial" w:hAnsi="Arial"/>
          <w:sz w:val="16"/>
          <w:szCs w:val="16"/>
          <w:color w:val="auto"/>
        </w:rPr>
        <w:t>Certain of the purchasers under the Receivables Purchase Agreement have in the past provided, are currently providing and may in the future provide advisory and lending services to, or engage in transactions with, the Company and its subsidiaries or affiliates (including through certain subsidiaries or affiliates of such agents and lenders). The purchasers have received, and may in the future receive, customary compensation from the Company and its subsidiaries or affiliates for such services and in respect of such transactions.</w:t>
      </w:r>
    </w:p>
    <w:p>
      <w:pPr>
        <w:spacing w:after="0" w:line="359" w:lineRule="exact"/>
        <w:rPr>
          <w:sz w:val="20"/>
          <w:szCs w:val="20"/>
          <w:color w:val="auto"/>
        </w:rPr>
      </w:pPr>
    </w:p>
    <w:p>
      <w:pPr>
        <w:ind w:left="5" w:right="200" w:firstLine="393"/>
        <w:spacing w:after="0" w:line="260" w:lineRule="auto"/>
        <w:rPr>
          <w:sz w:val="20"/>
          <w:szCs w:val="20"/>
          <w:color w:val="auto"/>
        </w:rPr>
      </w:pPr>
      <w:r>
        <w:rPr>
          <w:rFonts w:ascii="Arial" w:cs="Arial" w:eastAsia="Arial" w:hAnsi="Arial"/>
          <w:sz w:val="16"/>
          <w:szCs w:val="16"/>
          <w:color w:val="auto"/>
        </w:rPr>
        <w:t>The foregoing is a summary of the material terms and conditions of the Receivables Purchase Agreement and not a complete discussion of the document. Accordingly, the foregoing is qualified in its entirety by reference to the full text of the Receivables Purchase Agreement attached to this Current Report on Form 8-K as Exhibit 10.2, which is incorporated herein by reference.</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189" w:lineRule="exact"/>
        <w:rPr>
          <w:sz w:val="20"/>
          <w:szCs w:val="20"/>
          <w:color w:val="auto"/>
        </w:rPr>
      </w:pPr>
    </w:p>
    <w:p>
      <w:pPr>
        <w:ind w:left="425"/>
        <w:spacing w:after="0"/>
        <w:rPr>
          <w:sz w:val="20"/>
          <w:szCs w:val="20"/>
          <w:color w:val="auto"/>
        </w:rPr>
      </w:pPr>
      <w:r>
        <w:rPr>
          <w:rFonts w:ascii="Arial" w:cs="Arial" w:eastAsia="Arial" w:hAnsi="Arial"/>
          <w:sz w:val="16"/>
          <w:szCs w:val="16"/>
          <w:color w:val="auto"/>
        </w:rPr>
        <w:t>The disclosures set forth above under Item 1.01 are hereby incorporated by reference into this Item 2.03.</w:t>
      </w:r>
    </w:p>
    <w:p>
      <w:pPr>
        <w:spacing w:after="0" w:line="229" w:lineRule="exact"/>
        <w:rPr>
          <w:sz w:val="20"/>
          <w:szCs w:val="20"/>
          <w:color w:val="auto"/>
        </w:rPr>
      </w:pPr>
    </w:p>
    <w:p>
      <w:pPr>
        <w:ind w:left="5"/>
        <w:spacing w:after="0"/>
        <w:tabs>
          <w:tab w:leader="none" w:pos="76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89" w:lineRule="exact"/>
        <w:rPr>
          <w:sz w:val="20"/>
          <w:szCs w:val="20"/>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388" w:lineRule="exact"/>
        <w:rPr>
          <w:sz w:val="20"/>
          <w:szCs w:val="20"/>
          <w:color w:val="auto"/>
        </w:rPr>
      </w:pPr>
    </w:p>
    <w:p>
      <w:pPr>
        <w:jc w:val="both"/>
        <w:ind w:left="1145" w:right="300" w:hanging="1143"/>
        <w:spacing w:after="0" w:line="285" w:lineRule="auto"/>
        <w:tabs>
          <w:tab w:leader="none" w:pos="1124" w:val="left"/>
        </w:tabs>
        <w:rPr>
          <w:sz w:val="20"/>
          <w:szCs w:val="20"/>
          <w:color w:val="auto"/>
        </w:rPr>
      </w:pPr>
      <w:r>
        <w:rPr>
          <w:rFonts w:ascii="Arial" w:cs="Arial" w:eastAsia="Arial" w:hAnsi="Arial"/>
          <w:sz w:val="16"/>
          <w:szCs w:val="16"/>
          <w:color w:val="auto"/>
        </w:rPr>
        <w:t>Exhibit 10.1</w:t>
      </w:r>
      <w:r>
        <w:rPr>
          <w:sz w:val="20"/>
          <w:szCs w:val="20"/>
          <w:color w:val="auto"/>
        </w:rPr>
        <w:tab/>
      </w:r>
      <w:r>
        <w:rPr>
          <w:rFonts w:ascii="Arial" w:cs="Arial" w:eastAsia="Arial" w:hAnsi="Arial"/>
          <w:sz w:val="15"/>
          <w:szCs w:val="15"/>
          <w:color w:val="auto"/>
        </w:rPr>
        <w:t>Second Amended and Restated Credit Agreement, dated as of September 24, 2015 among WESCO Distribution, Inc., the other U.S. Borrowers party thereto, WESCO Distribution Canada LP, the other Canadian Borrowers party thereto, WESCO International, Inc., the Lenders party thereto, JPMorgan Chase Bank, N.A., as Administrative Agent, and JPMorgan Chase Bank, N.A., Toronto Branch, as Canadian Administrative Agent</w:t>
      </w:r>
    </w:p>
    <w:p>
      <w:pPr>
        <w:spacing w:after="0" w:line="148" w:lineRule="exact"/>
        <w:rPr>
          <w:sz w:val="20"/>
          <w:szCs w:val="20"/>
          <w:color w:val="auto"/>
        </w:rPr>
      </w:pPr>
    </w:p>
    <w:p>
      <w:pPr>
        <w:ind w:left="1145" w:right="700" w:hanging="1143"/>
        <w:spacing w:after="0" w:line="305" w:lineRule="auto"/>
        <w:tabs>
          <w:tab w:leader="none" w:pos="1124" w:val="left"/>
        </w:tabs>
        <w:rPr>
          <w:sz w:val="20"/>
          <w:szCs w:val="20"/>
          <w:color w:val="auto"/>
        </w:rPr>
      </w:pPr>
      <w:r>
        <w:rPr>
          <w:rFonts w:ascii="Arial" w:cs="Arial" w:eastAsia="Arial" w:hAnsi="Arial"/>
          <w:sz w:val="16"/>
          <w:szCs w:val="16"/>
          <w:color w:val="auto"/>
        </w:rPr>
        <w:t>Exhibit 10.2</w:t>
      </w:r>
      <w:r>
        <w:rPr>
          <w:sz w:val="20"/>
          <w:szCs w:val="20"/>
          <w:color w:val="auto"/>
        </w:rPr>
        <w:tab/>
      </w:r>
      <w:r>
        <w:rPr>
          <w:rFonts w:ascii="Arial" w:cs="Arial" w:eastAsia="Arial" w:hAnsi="Arial"/>
          <w:sz w:val="15"/>
          <w:szCs w:val="15"/>
          <w:color w:val="auto"/>
        </w:rPr>
        <w:t>Fourth Amended and Restated Receivables Purchase Agreement, dated as of September 24, 2015, by and among WESCO Receivables Corp., WESCO Distribution, Inc., the various Purchaser Groups from time to time party thereto and PNC Bank, National Association, as Administrator.</w:t>
      </w:r>
    </w:p>
    <w:p>
      <w:pPr>
        <w:sectPr>
          <w:pgSz w:w="11900" w:h="16838" w:orient="portrait"/>
          <w:cols w:equalWidth="0" w:num="1">
            <w:col w:w="11445"/>
          </w:cols>
          <w:pgMar w:left="235" w:top="723" w:right="21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273" w:lineRule="exact"/>
        <w:rPr>
          <w:sz w:val="20"/>
          <w:szCs w:val="20"/>
          <w:color w:val="auto"/>
        </w:rPr>
      </w:pPr>
    </w:p>
    <w:p>
      <w:pPr>
        <w:ind w:firstLine="429"/>
        <w:spacing w:after="0" w:line="31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1600" w:type="dxa"/>
        <w:tblCellMar>
          <w:top w:w="0" w:type="dxa"/>
          <w:left w:w="0" w:type="dxa"/>
          <w:bottom w:w="0" w:type="dxa"/>
          <w:right w:w="0" w:type="dxa"/>
        </w:tblCellMar>
      </w:tblPr>
      <w:tr>
        <w:trPr>
          <w:trHeight w:val="202"/>
        </w:trPr>
        <w:tc>
          <w:tcPr>
            <w:tcW w:w="3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6"/>
                <w:szCs w:val="16"/>
                <w:color w:val="auto"/>
                <w:w w:val="91"/>
              </w:rPr>
              <w:t>WESCO International, Inc.</w:t>
            </w:r>
          </w:p>
        </w:tc>
        <w:tc>
          <w:tcPr>
            <w:tcW w:w="60" w:type="dxa"/>
            <w:vAlign w:val="bottom"/>
          </w:tcPr>
          <w:p>
            <w:pPr>
              <w:spacing w:after="0"/>
              <w:rPr>
                <w:sz w:val="17"/>
                <w:szCs w:val="17"/>
                <w:color w:val="auto"/>
              </w:rPr>
            </w:pPr>
          </w:p>
        </w:tc>
      </w:tr>
      <w:tr>
        <w:trPr>
          <w:trHeight w:val="49"/>
        </w:trPr>
        <w:tc>
          <w:tcPr>
            <w:tcW w:w="3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05"/>
        </w:trPr>
        <w:tc>
          <w:tcPr>
            <w:tcW w:w="3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6"/>
                <w:szCs w:val="16"/>
                <w:color w:val="auto"/>
                <w:w w:val="90"/>
              </w:rPr>
              <w:t>(Registrant)</w:t>
            </w:r>
          </w:p>
        </w:tc>
        <w:tc>
          <w:tcPr>
            <w:tcW w:w="60" w:type="dxa"/>
            <w:vAlign w:val="bottom"/>
          </w:tcPr>
          <w:p>
            <w:pPr>
              <w:spacing w:after="0"/>
              <w:rPr>
                <w:sz w:val="17"/>
                <w:szCs w:val="17"/>
                <w:color w:val="auto"/>
              </w:rPr>
            </w:pPr>
          </w:p>
        </w:tc>
      </w:tr>
      <w:tr>
        <w:trPr>
          <w:trHeight w:val="536"/>
        </w:trPr>
        <w:tc>
          <w:tcPr>
            <w:tcW w:w="3060" w:type="dxa"/>
            <w:vAlign w:val="bottom"/>
          </w:tcPr>
          <w:p>
            <w:pPr>
              <w:jc w:val="center"/>
              <w:spacing w:after="0"/>
              <w:rPr>
                <w:sz w:val="20"/>
                <w:szCs w:val="20"/>
                <w:color w:val="auto"/>
              </w:rPr>
            </w:pPr>
            <w:r>
              <w:rPr>
                <w:rFonts w:ascii="Arial" w:cs="Arial" w:eastAsia="Arial" w:hAnsi="Arial"/>
                <w:sz w:val="16"/>
                <w:szCs w:val="16"/>
                <w:color w:val="auto"/>
                <w:w w:val="88"/>
              </w:rPr>
              <w:t>September 28, 2015</w:t>
            </w:r>
          </w:p>
        </w:tc>
        <w:tc>
          <w:tcPr>
            <w:tcW w:w="500" w:type="dxa"/>
            <w:vAlign w:val="bottom"/>
          </w:tcPr>
          <w:p>
            <w:pPr>
              <w:ind w:left="60"/>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24"/>
                <w:szCs w:val="24"/>
                <w:color w:val="auto"/>
              </w:rPr>
            </w:pPr>
          </w:p>
        </w:tc>
        <w:tc>
          <w:tcPr>
            <w:tcW w:w="4540" w:type="dxa"/>
            <w:vAlign w:val="bottom"/>
          </w:tcPr>
          <w:p>
            <w:pPr>
              <w:jc w:val="center"/>
              <w:ind w:left="21"/>
              <w:spacing w:after="0"/>
              <w:rPr>
                <w:sz w:val="20"/>
                <w:szCs w:val="20"/>
                <w:color w:val="auto"/>
              </w:rPr>
            </w:pPr>
            <w:r>
              <w:rPr>
                <w:rFonts w:ascii="Arial" w:cs="Arial" w:eastAsia="Arial" w:hAnsi="Arial"/>
                <w:sz w:val="16"/>
                <w:szCs w:val="16"/>
                <w:color w:val="auto"/>
                <w:w w:val="87"/>
              </w:rPr>
              <w:t>/s/ Kenneth S. Parks</w:t>
            </w:r>
          </w:p>
        </w:tc>
        <w:tc>
          <w:tcPr>
            <w:tcW w:w="60" w:type="dxa"/>
            <w:vAlign w:val="bottom"/>
          </w:tcPr>
          <w:p>
            <w:pPr>
              <w:spacing w:after="0"/>
              <w:rPr>
                <w:sz w:val="24"/>
                <w:szCs w:val="24"/>
                <w:color w:val="auto"/>
              </w:rPr>
            </w:pPr>
          </w:p>
        </w:tc>
      </w:tr>
      <w:tr>
        <w:trPr>
          <w:trHeight w:val="49"/>
        </w:trPr>
        <w:tc>
          <w:tcPr>
            <w:tcW w:w="30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05"/>
        </w:trPr>
        <w:tc>
          <w:tcPr>
            <w:tcW w:w="3060" w:type="dxa"/>
            <w:vAlign w:val="bottom"/>
          </w:tcPr>
          <w:p>
            <w:pPr>
              <w:jc w:val="center"/>
              <w:spacing w:after="0"/>
              <w:rPr>
                <w:sz w:val="20"/>
                <w:szCs w:val="20"/>
                <w:color w:val="auto"/>
              </w:rPr>
            </w:pPr>
            <w:r>
              <w:rPr>
                <w:rFonts w:ascii="Arial" w:cs="Arial" w:eastAsia="Arial" w:hAnsi="Arial"/>
                <w:sz w:val="16"/>
                <w:szCs w:val="16"/>
                <w:color w:val="auto"/>
                <w:w w:val="89"/>
              </w:rPr>
              <w:t>(Date)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Pr>
          <w:p>
            <w:pPr>
              <w:jc w:val="center"/>
              <w:ind w:left="1"/>
              <w:spacing w:after="0"/>
              <w:rPr>
                <w:sz w:val="20"/>
                <w:szCs w:val="20"/>
                <w:color w:val="auto"/>
              </w:rPr>
            </w:pPr>
            <w:r>
              <w:rPr>
                <w:rFonts w:ascii="Arial" w:cs="Arial" w:eastAsia="Arial" w:hAnsi="Arial"/>
                <w:sz w:val="16"/>
                <w:szCs w:val="16"/>
                <w:color w:val="auto"/>
                <w:w w:val="88"/>
              </w:rPr>
              <w:t>Kenneth S. Parks</w:t>
            </w:r>
          </w:p>
        </w:tc>
        <w:tc>
          <w:tcPr>
            <w:tcW w:w="60" w:type="dxa"/>
            <w:vAlign w:val="bottom"/>
          </w:tcPr>
          <w:p>
            <w:pPr>
              <w:spacing w:after="0"/>
              <w:rPr>
                <w:sz w:val="17"/>
                <w:szCs w:val="17"/>
                <w:color w:val="auto"/>
              </w:rPr>
            </w:pPr>
          </w:p>
        </w:tc>
      </w:tr>
      <w:tr>
        <w:trPr>
          <w:trHeight w:val="262"/>
        </w:trPr>
        <w:tc>
          <w:tcPr>
            <w:tcW w:w="3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40" w:type="dxa"/>
            <w:vAlign w:val="bottom"/>
          </w:tcPr>
          <w:p>
            <w:pPr>
              <w:jc w:val="center"/>
              <w:ind w:left="21"/>
              <w:spacing w:after="0"/>
              <w:rPr>
                <w:sz w:val="20"/>
                <w:szCs w:val="20"/>
                <w:color w:val="auto"/>
              </w:rPr>
            </w:pPr>
            <w:r>
              <w:rPr>
                <w:rFonts w:ascii="Arial" w:cs="Arial" w:eastAsia="Arial" w:hAnsi="Arial"/>
                <w:sz w:val="16"/>
                <w:szCs w:val="16"/>
                <w:color w:val="auto"/>
                <w:w w:val="91"/>
              </w:rPr>
              <w:t>Senior Vice President and Chief Financial Officer</w:t>
            </w:r>
          </w:p>
        </w:tc>
        <w:tc>
          <w:tcPr>
            <w:tcW w:w="60" w:type="dxa"/>
            <w:vAlign w:val="bottom"/>
          </w:tcPr>
          <w:p>
            <w:pPr>
              <w:spacing w:after="0"/>
              <w:rPr>
                <w:sz w:val="22"/>
                <w:szCs w:val="22"/>
                <w:color w:val="auto"/>
              </w:rPr>
            </w:pPr>
          </w:p>
        </w:tc>
      </w:tr>
    </w:tbl>
    <w:p>
      <w:pPr>
        <w:sectPr>
          <w:pgSz w:w="11900" w:h="16838" w:orient="portrait"/>
          <w:cols w:equalWidth="0" w:num="1">
            <w:col w:w="11220"/>
          </w:cols>
          <w:pgMar w:left="240" w:top="778"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Exhibit Index</w:t>
      </w:r>
    </w:p>
    <w:p>
      <w:pPr>
        <w:spacing w:after="0" w:line="249" w:lineRule="exact"/>
        <w:rPr>
          <w:sz w:val="20"/>
          <w:szCs w:val="20"/>
          <w:color w:val="auto"/>
        </w:rPr>
      </w:pPr>
    </w:p>
    <w:p>
      <w:pPr>
        <w:jc w:val="both"/>
        <w:ind w:left="840" w:hanging="1143"/>
        <w:spacing w:after="0" w:line="285" w:lineRule="auto"/>
        <w:tabs>
          <w:tab w:leader="none" w:pos="820" w:val="left"/>
        </w:tabs>
        <w:rPr>
          <w:sz w:val="20"/>
          <w:szCs w:val="20"/>
          <w:color w:val="auto"/>
        </w:rPr>
      </w:pPr>
      <w:r>
        <w:rPr>
          <w:rFonts w:ascii="Arial" w:cs="Arial" w:eastAsia="Arial" w:hAnsi="Arial"/>
          <w:sz w:val="16"/>
          <w:szCs w:val="16"/>
          <w:color w:val="auto"/>
        </w:rPr>
        <w:t>Exhibit 10.1</w:t>
      </w:r>
      <w:r>
        <w:rPr>
          <w:sz w:val="20"/>
          <w:szCs w:val="20"/>
          <w:color w:val="auto"/>
        </w:rPr>
        <w:tab/>
      </w:r>
      <w:r>
        <w:rPr>
          <w:rFonts w:ascii="Arial" w:cs="Arial" w:eastAsia="Arial" w:hAnsi="Arial"/>
          <w:sz w:val="15"/>
          <w:szCs w:val="15"/>
          <w:color w:val="auto"/>
        </w:rPr>
        <w:t>Second Amended and Restated Credit Agreement, dated as of September 24, 2015 among WESCO Distribution, Inc., the other U.S. Borrowers party thereto, WESCO Distribution Canada LP, the other Canadian Borrowers party thereto, WESCO International, Inc., the Lenders party thereto, JPMorgan Chase Bank, N.A., as Administrative Agent, and JPMorgan Chase Bank, N.A., Toronto Branch, as Canadian Administrative Agent</w:t>
      </w:r>
    </w:p>
    <w:p>
      <w:pPr>
        <w:spacing w:after="0" w:line="148" w:lineRule="exact"/>
        <w:rPr>
          <w:sz w:val="20"/>
          <w:szCs w:val="20"/>
          <w:color w:val="auto"/>
        </w:rPr>
      </w:pPr>
    </w:p>
    <w:p>
      <w:pPr>
        <w:ind w:left="840" w:right="400" w:hanging="1143"/>
        <w:spacing w:after="0" w:line="305" w:lineRule="auto"/>
        <w:tabs>
          <w:tab w:leader="none" w:pos="820" w:val="left"/>
        </w:tabs>
        <w:rPr>
          <w:sz w:val="20"/>
          <w:szCs w:val="20"/>
          <w:color w:val="auto"/>
        </w:rPr>
      </w:pPr>
      <w:r>
        <w:rPr>
          <w:rFonts w:ascii="Arial" w:cs="Arial" w:eastAsia="Arial" w:hAnsi="Arial"/>
          <w:sz w:val="16"/>
          <w:szCs w:val="16"/>
          <w:color w:val="auto"/>
        </w:rPr>
        <w:t>Exhibit 10.2</w:t>
      </w:r>
      <w:r>
        <w:rPr>
          <w:sz w:val="20"/>
          <w:szCs w:val="20"/>
          <w:color w:val="auto"/>
        </w:rPr>
        <w:tab/>
      </w:r>
      <w:r>
        <w:rPr>
          <w:rFonts w:ascii="Arial" w:cs="Arial" w:eastAsia="Arial" w:hAnsi="Arial"/>
          <w:sz w:val="15"/>
          <w:szCs w:val="15"/>
          <w:color w:val="auto"/>
        </w:rPr>
        <w:t>Fourth Amended and Restated Receivables Purchase Agreement, dated as of September 24, 2015, by and among WESCO Receivables Corp., WESCO Distribution, Inc., the various Purchaser Groups from time to time party thereto and PNC Bank, National Association, as Administrator.</w:t>
      </w:r>
    </w:p>
    <w:p>
      <w:pPr>
        <w:sectPr>
          <w:pgSz w:w="11900" w:h="16838" w:orient="portrait"/>
          <w:cols w:equalWidth="0" w:num="1">
            <w:col w:w="10840"/>
          </w:cols>
          <w:pgMar w:left="540" w:top="742" w:right="5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72624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367665</wp:posOffset>
            </wp:positionV>
            <wp:extent cx="72624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564515</wp:posOffset>
            </wp:positionV>
            <wp:extent cx="148272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AMENDED AND RESTATED CREDIT AGREEMENT</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dated as of</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September 24, 2015</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among</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other U.S. Borrowers party hereto,</w:t>
      </w:r>
    </w:p>
    <w:p>
      <w:pPr>
        <w:spacing w:after="0" w:line="19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WESCO DISTRIBUTION CANADA LP,</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the other Canadian Borrowers party hereto,</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Other Loan Parties Party Hereto,</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Lenders Party Hereto,</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Administrative Agent, and</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JPMORGAN CHASE BANK, N.A., TORONTO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Canadian Administrative Agent</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___________________________</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J.P. MORGAN SECURITIES LLC,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MERRILL LYNCH, PIERCE, FENNER &amp; SMITH INCORPORATED,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PNC BANK, NATIONAL ASSOCIATION,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US BANK, NATIONAL ASSOCIATION, and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WELLS FARGO BANK, NATIONAL ASSOCIATION,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Joint Bookrunners and Joint Lead Arrangers</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___________________________</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BANK OF AMERICA, N.A.,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PNC BANK, NATIONAL ASSOCIATION,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US BANK, NATIONAL ASSOCIATION, and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WELLS FARGO BANK, NATIONAL ASSOCIATION,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2624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194310</wp:posOffset>
            </wp:positionV>
            <wp:extent cx="72624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0"/>
                <w:szCs w:val="20"/>
                <w:color w:val="auto"/>
              </w:rPr>
            </w:pPr>
            <w:r>
              <w:rPr>
                <w:rFonts w:ascii="Arial" w:cs="Arial" w:eastAsia="Arial" w:hAnsi="Arial"/>
                <w:sz w:val="19"/>
                <w:szCs w:val="19"/>
                <w:color w:val="auto"/>
              </w:rPr>
              <w:t>ARTICLE I.</w:t>
            </w:r>
          </w:p>
        </w:tc>
        <w:tc>
          <w:tcPr>
            <w:tcW w:w="1500" w:type="dxa"/>
            <w:vAlign w:val="bottom"/>
            <w:gridSpan w:val="2"/>
          </w:tcPr>
          <w:p>
            <w:pPr>
              <w:ind w:left="200"/>
              <w:spacing w:after="0"/>
              <w:rPr>
                <w:sz w:val="20"/>
                <w:szCs w:val="20"/>
                <w:color w:val="auto"/>
              </w:rPr>
            </w:pPr>
            <w:r>
              <w:rPr>
                <w:rFonts w:ascii="Arial" w:cs="Arial" w:eastAsia="Arial" w:hAnsi="Arial"/>
                <w:sz w:val="19"/>
                <w:szCs w:val="19"/>
                <w:color w:val="auto"/>
              </w:rPr>
              <w:t>DEFINITIONS</w:t>
            </w:r>
          </w:p>
        </w:tc>
        <w:tc>
          <w:tcPr>
            <w:tcW w:w="720" w:type="dxa"/>
            <w:vAlign w:val="bottom"/>
          </w:tcPr>
          <w:p>
            <w:pPr>
              <w:jc w:val="right"/>
              <w:ind w:right="445"/>
              <w:spacing w:after="0"/>
              <w:rPr>
                <w:sz w:val="20"/>
                <w:szCs w:val="20"/>
                <w:color w:val="auto"/>
              </w:rPr>
            </w:pPr>
            <w:r>
              <w:rPr>
                <w:rFonts w:ascii="Arial" w:cs="Arial" w:eastAsia="Arial" w:hAnsi="Arial"/>
                <w:sz w:val="19"/>
                <w:szCs w:val="19"/>
                <w:color w:val="auto"/>
              </w:rPr>
              <w:t>1</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60" w:type="dxa"/>
            <w:vAlign w:val="bottom"/>
          </w:tcPr>
          <w:p>
            <w:pPr>
              <w:spacing w:after="0"/>
              <w:rPr>
                <w:sz w:val="21"/>
                <w:szCs w:val="21"/>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1.01</w:t>
            </w:r>
          </w:p>
        </w:tc>
        <w:tc>
          <w:tcPr>
            <w:tcW w:w="1680" w:type="dxa"/>
            <w:vAlign w:val="bottom"/>
            <w:gridSpan w:val="2"/>
          </w:tcPr>
          <w:p>
            <w:pPr>
              <w:ind w:left="240"/>
              <w:spacing w:after="0"/>
              <w:rPr>
                <w:sz w:val="20"/>
                <w:szCs w:val="20"/>
                <w:color w:val="auto"/>
              </w:rPr>
            </w:pPr>
            <w:r>
              <w:rPr>
                <w:rFonts w:ascii="Arial" w:cs="Arial" w:eastAsia="Arial" w:hAnsi="Arial"/>
                <w:sz w:val="19"/>
                <w:szCs w:val="19"/>
                <w:color w:val="auto"/>
                <w:w w:val="97"/>
              </w:rPr>
              <w:t>Defined Terms  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1.02</w:t>
            </w:r>
          </w:p>
        </w:tc>
        <w:tc>
          <w:tcPr>
            <w:tcW w:w="6940" w:type="dxa"/>
            <w:vAlign w:val="bottom"/>
            <w:gridSpan w:val="5"/>
          </w:tcPr>
          <w:p>
            <w:pPr>
              <w:ind w:left="240"/>
              <w:spacing w:after="0"/>
              <w:rPr>
                <w:sz w:val="20"/>
                <w:szCs w:val="20"/>
                <w:color w:val="auto"/>
              </w:rPr>
            </w:pPr>
            <w:r>
              <w:rPr>
                <w:rFonts w:ascii="Arial" w:cs="Arial" w:eastAsia="Arial" w:hAnsi="Arial"/>
                <w:sz w:val="19"/>
                <w:szCs w:val="19"/>
                <w:color w:val="auto"/>
              </w:rPr>
              <w:t>Classification of Loans and Borrowings  50</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1.03</w:t>
            </w:r>
          </w:p>
        </w:tc>
        <w:tc>
          <w:tcPr>
            <w:tcW w:w="1680" w:type="dxa"/>
            <w:vAlign w:val="bottom"/>
            <w:gridSpan w:val="2"/>
          </w:tcPr>
          <w:p>
            <w:pPr>
              <w:ind w:left="240"/>
              <w:spacing w:after="0"/>
              <w:rPr>
                <w:sz w:val="20"/>
                <w:szCs w:val="20"/>
                <w:color w:val="auto"/>
              </w:rPr>
            </w:pPr>
            <w:r>
              <w:rPr>
                <w:rFonts w:ascii="Arial" w:cs="Arial" w:eastAsia="Arial" w:hAnsi="Arial"/>
                <w:sz w:val="19"/>
                <w:szCs w:val="19"/>
                <w:color w:val="auto"/>
              </w:rPr>
              <w:t>Terms Generally</w:t>
            </w:r>
          </w:p>
        </w:tc>
        <w:tc>
          <w:tcPr>
            <w:tcW w:w="480" w:type="dxa"/>
            <w:vAlign w:val="bottom"/>
          </w:tcPr>
          <w:p>
            <w:pPr>
              <w:jc w:val="right"/>
              <w:ind w:right="165"/>
              <w:spacing w:after="0"/>
              <w:rPr>
                <w:sz w:val="20"/>
                <w:szCs w:val="20"/>
                <w:color w:val="auto"/>
              </w:rPr>
            </w:pPr>
            <w:r>
              <w:rPr>
                <w:rFonts w:ascii="Arial" w:cs="Arial" w:eastAsia="Arial" w:hAnsi="Arial"/>
                <w:sz w:val="19"/>
                <w:szCs w:val="19"/>
                <w:color w:val="auto"/>
                <w:w w:val="94"/>
              </w:rPr>
              <w:t>50</w:t>
            </w: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1.04</w:t>
            </w:r>
          </w:p>
        </w:tc>
        <w:tc>
          <w:tcPr>
            <w:tcW w:w="3080" w:type="dxa"/>
            <w:vAlign w:val="bottom"/>
            <w:gridSpan w:val="4"/>
          </w:tcPr>
          <w:p>
            <w:pPr>
              <w:ind w:left="240"/>
              <w:spacing w:after="0"/>
              <w:rPr>
                <w:sz w:val="20"/>
                <w:szCs w:val="20"/>
                <w:color w:val="auto"/>
              </w:rPr>
            </w:pPr>
            <w:r>
              <w:rPr>
                <w:rFonts w:ascii="Arial" w:cs="Arial" w:eastAsia="Arial" w:hAnsi="Arial"/>
                <w:sz w:val="19"/>
                <w:szCs w:val="19"/>
                <w:color w:val="auto"/>
              </w:rPr>
              <w:t>Accounting Terms; GAAP  51</w:t>
            </w: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1.05</w:t>
            </w:r>
          </w:p>
        </w:tc>
        <w:tc>
          <w:tcPr>
            <w:tcW w:w="1680" w:type="dxa"/>
            <w:vAlign w:val="bottom"/>
            <w:gridSpan w:val="2"/>
          </w:tcPr>
          <w:p>
            <w:pPr>
              <w:ind w:left="240"/>
              <w:spacing w:after="0"/>
              <w:rPr>
                <w:sz w:val="20"/>
                <w:szCs w:val="20"/>
                <w:color w:val="auto"/>
              </w:rPr>
            </w:pPr>
            <w:r>
              <w:rPr>
                <w:rFonts w:ascii="Arial" w:cs="Arial" w:eastAsia="Arial" w:hAnsi="Arial"/>
                <w:sz w:val="19"/>
                <w:szCs w:val="19"/>
                <w:color w:val="auto"/>
                <w:w w:val="97"/>
              </w:rPr>
              <w:t>Currency Matters</w:t>
            </w:r>
          </w:p>
        </w:tc>
        <w:tc>
          <w:tcPr>
            <w:tcW w:w="480" w:type="dxa"/>
            <w:vAlign w:val="bottom"/>
          </w:tcPr>
          <w:p>
            <w:pPr>
              <w:jc w:val="right"/>
              <w:ind w:right="105"/>
              <w:spacing w:after="0"/>
              <w:rPr>
                <w:sz w:val="20"/>
                <w:szCs w:val="20"/>
                <w:color w:val="auto"/>
              </w:rPr>
            </w:pPr>
            <w:r>
              <w:rPr>
                <w:rFonts w:ascii="Arial" w:cs="Arial" w:eastAsia="Arial" w:hAnsi="Arial"/>
                <w:sz w:val="19"/>
                <w:szCs w:val="19"/>
                <w:color w:val="auto"/>
              </w:rPr>
              <w:t>51</w:t>
            </w: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220" w:type="dxa"/>
            <w:vAlign w:val="bottom"/>
          </w:tcPr>
          <w:p>
            <w:pPr>
              <w:spacing w:after="0"/>
              <w:rPr>
                <w:sz w:val="20"/>
                <w:szCs w:val="20"/>
                <w:color w:val="auto"/>
              </w:rPr>
            </w:pPr>
            <w:r>
              <w:rPr>
                <w:rFonts w:ascii="Arial" w:cs="Arial" w:eastAsia="Arial" w:hAnsi="Arial"/>
                <w:sz w:val="19"/>
                <w:szCs w:val="19"/>
                <w:color w:val="auto"/>
              </w:rPr>
              <w:t>ARTICLE II.</w:t>
            </w:r>
          </w:p>
        </w:tc>
        <w:tc>
          <w:tcPr>
            <w:tcW w:w="1500" w:type="dxa"/>
            <w:vAlign w:val="bottom"/>
            <w:gridSpan w:val="2"/>
          </w:tcPr>
          <w:p>
            <w:pPr>
              <w:ind w:left="200"/>
              <w:spacing w:after="0"/>
              <w:rPr>
                <w:sz w:val="20"/>
                <w:szCs w:val="20"/>
                <w:color w:val="auto"/>
              </w:rPr>
            </w:pPr>
            <w:r>
              <w:rPr>
                <w:rFonts w:ascii="Arial" w:cs="Arial" w:eastAsia="Arial" w:hAnsi="Arial"/>
                <w:sz w:val="19"/>
                <w:szCs w:val="19"/>
                <w:color w:val="auto"/>
              </w:rPr>
              <w:t>THE CREDITS</w:t>
            </w:r>
          </w:p>
        </w:tc>
        <w:tc>
          <w:tcPr>
            <w:tcW w:w="720" w:type="dxa"/>
            <w:vAlign w:val="bottom"/>
          </w:tcPr>
          <w:p>
            <w:pPr>
              <w:jc w:val="right"/>
              <w:ind w:right="325"/>
              <w:spacing w:after="0"/>
              <w:rPr>
                <w:sz w:val="20"/>
                <w:szCs w:val="20"/>
                <w:color w:val="auto"/>
              </w:rPr>
            </w:pPr>
            <w:r>
              <w:rPr>
                <w:rFonts w:ascii="Arial" w:cs="Arial" w:eastAsia="Arial" w:hAnsi="Arial"/>
                <w:sz w:val="19"/>
                <w:szCs w:val="19"/>
                <w:color w:val="auto"/>
              </w:rPr>
              <w:t>51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2.01</w:t>
            </w:r>
          </w:p>
        </w:tc>
        <w:tc>
          <w:tcPr>
            <w:tcW w:w="2160" w:type="dxa"/>
            <w:vAlign w:val="bottom"/>
            <w:gridSpan w:val="3"/>
          </w:tcPr>
          <w:p>
            <w:pPr>
              <w:ind w:left="240"/>
              <w:spacing w:after="0"/>
              <w:rPr>
                <w:sz w:val="20"/>
                <w:szCs w:val="20"/>
                <w:color w:val="auto"/>
              </w:rPr>
            </w:pPr>
            <w:r>
              <w:rPr>
                <w:rFonts w:ascii="Arial" w:cs="Arial" w:eastAsia="Arial" w:hAnsi="Arial"/>
                <w:sz w:val="19"/>
                <w:szCs w:val="19"/>
                <w:color w:val="auto"/>
                <w:w w:val="92"/>
              </w:rPr>
              <w:t>Revolving Commitments</w:t>
            </w:r>
          </w:p>
        </w:tc>
        <w:tc>
          <w:tcPr>
            <w:tcW w:w="920" w:type="dxa"/>
            <w:vAlign w:val="bottom"/>
          </w:tcPr>
          <w:p>
            <w:pPr>
              <w:jc w:val="right"/>
              <w:ind w:right="445"/>
              <w:spacing w:after="0"/>
              <w:rPr>
                <w:sz w:val="20"/>
                <w:szCs w:val="20"/>
                <w:color w:val="auto"/>
              </w:rPr>
            </w:pPr>
            <w:r>
              <w:rPr>
                <w:rFonts w:ascii="Arial" w:cs="Arial" w:eastAsia="Arial" w:hAnsi="Arial"/>
                <w:sz w:val="19"/>
                <w:szCs w:val="19"/>
                <w:color w:val="auto"/>
              </w:rPr>
              <w:t>52</w:t>
            </w: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2.02</w:t>
            </w:r>
          </w:p>
        </w:tc>
        <w:tc>
          <w:tcPr>
            <w:tcW w:w="2160" w:type="dxa"/>
            <w:vAlign w:val="bottom"/>
            <w:gridSpan w:val="3"/>
          </w:tcPr>
          <w:p>
            <w:pPr>
              <w:ind w:left="240"/>
              <w:spacing w:after="0"/>
              <w:rPr>
                <w:sz w:val="20"/>
                <w:szCs w:val="20"/>
                <w:color w:val="auto"/>
              </w:rPr>
            </w:pPr>
            <w:r>
              <w:rPr>
                <w:rFonts w:ascii="Arial" w:cs="Arial" w:eastAsia="Arial" w:hAnsi="Arial"/>
                <w:sz w:val="19"/>
                <w:szCs w:val="19"/>
                <w:color w:val="auto"/>
              </w:rPr>
              <w:t>Loans and Borrowings</w:t>
            </w:r>
          </w:p>
        </w:tc>
        <w:tc>
          <w:tcPr>
            <w:tcW w:w="920" w:type="dxa"/>
            <w:vAlign w:val="bottom"/>
          </w:tcPr>
          <w:p>
            <w:pPr>
              <w:jc w:val="right"/>
              <w:ind w:right="625"/>
              <w:spacing w:after="0"/>
              <w:rPr>
                <w:sz w:val="20"/>
                <w:szCs w:val="20"/>
                <w:color w:val="auto"/>
              </w:rPr>
            </w:pPr>
            <w:r>
              <w:rPr>
                <w:rFonts w:ascii="Arial" w:cs="Arial" w:eastAsia="Arial" w:hAnsi="Arial"/>
                <w:sz w:val="19"/>
                <w:szCs w:val="19"/>
                <w:color w:val="auto"/>
                <w:w w:val="84"/>
              </w:rPr>
              <w:t>52</w:t>
            </w: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2.03</w:t>
            </w:r>
          </w:p>
        </w:tc>
        <w:tc>
          <w:tcPr>
            <w:tcW w:w="3080" w:type="dxa"/>
            <w:vAlign w:val="bottom"/>
            <w:gridSpan w:val="4"/>
          </w:tcPr>
          <w:p>
            <w:pPr>
              <w:ind w:left="240"/>
              <w:spacing w:after="0"/>
              <w:rPr>
                <w:sz w:val="20"/>
                <w:szCs w:val="20"/>
                <w:color w:val="auto"/>
              </w:rPr>
            </w:pPr>
            <w:r>
              <w:rPr>
                <w:rFonts w:ascii="Arial" w:cs="Arial" w:eastAsia="Arial" w:hAnsi="Arial"/>
                <w:sz w:val="19"/>
                <w:szCs w:val="19"/>
                <w:color w:val="auto"/>
                <w:w w:val="95"/>
              </w:rPr>
              <w:t>Requests for Revolving Borrowings</w:t>
            </w:r>
          </w:p>
        </w:tc>
        <w:tc>
          <w:tcPr>
            <w:tcW w:w="3860" w:type="dxa"/>
            <w:vAlign w:val="bottom"/>
          </w:tcPr>
          <w:p>
            <w:pPr>
              <w:jc w:val="right"/>
              <w:ind w:right="3485"/>
              <w:spacing w:after="0"/>
              <w:rPr>
                <w:sz w:val="20"/>
                <w:szCs w:val="20"/>
                <w:color w:val="auto"/>
              </w:rPr>
            </w:pPr>
            <w:r>
              <w:rPr>
                <w:rFonts w:ascii="Arial" w:cs="Arial" w:eastAsia="Arial" w:hAnsi="Arial"/>
                <w:sz w:val="19"/>
                <w:szCs w:val="19"/>
                <w:color w:val="auto"/>
              </w:rPr>
              <w:t>53</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2.04</w:t>
            </w:r>
          </w:p>
        </w:tc>
        <w:tc>
          <w:tcPr>
            <w:tcW w:w="3080" w:type="dxa"/>
            <w:vAlign w:val="bottom"/>
            <w:gridSpan w:val="4"/>
          </w:tcPr>
          <w:p>
            <w:pPr>
              <w:ind w:left="240"/>
              <w:spacing w:after="0"/>
              <w:rPr>
                <w:sz w:val="20"/>
                <w:szCs w:val="20"/>
                <w:color w:val="auto"/>
              </w:rPr>
            </w:pPr>
            <w:r>
              <w:rPr>
                <w:rFonts w:ascii="Arial" w:cs="Arial" w:eastAsia="Arial" w:hAnsi="Arial"/>
                <w:sz w:val="19"/>
                <w:szCs w:val="19"/>
                <w:color w:val="auto"/>
              </w:rPr>
              <w:t>Protective Advances  54</w:t>
            </w: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2.05</w:t>
            </w:r>
          </w:p>
        </w:tc>
        <w:tc>
          <w:tcPr>
            <w:tcW w:w="3080" w:type="dxa"/>
            <w:vAlign w:val="bottom"/>
            <w:gridSpan w:val="4"/>
          </w:tcPr>
          <w:p>
            <w:pPr>
              <w:ind w:left="240"/>
              <w:spacing w:after="0"/>
              <w:rPr>
                <w:sz w:val="20"/>
                <w:szCs w:val="20"/>
                <w:color w:val="auto"/>
              </w:rPr>
            </w:pPr>
            <w:r>
              <w:rPr>
                <w:rFonts w:ascii="Arial" w:cs="Arial" w:eastAsia="Arial" w:hAnsi="Arial"/>
                <w:sz w:val="19"/>
                <w:szCs w:val="19"/>
                <w:color w:val="auto"/>
                <w:w w:val="93"/>
              </w:rPr>
              <w:t>Swingline Loans and Overadvances</w:t>
            </w:r>
          </w:p>
        </w:tc>
        <w:tc>
          <w:tcPr>
            <w:tcW w:w="3860" w:type="dxa"/>
            <w:vAlign w:val="bottom"/>
          </w:tcPr>
          <w:p>
            <w:pPr>
              <w:jc w:val="right"/>
              <w:ind w:right="3485"/>
              <w:spacing w:after="0"/>
              <w:rPr>
                <w:sz w:val="20"/>
                <w:szCs w:val="20"/>
                <w:color w:val="auto"/>
              </w:rPr>
            </w:pPr>
            <w:r>
              <w:rPr>
                <w:rFonts w:ascii="Arial" w:cs="Arial" w:eastAsia="Arial" w:hAnsi="Arial"/>
                <w:sz w:val="19"/>
                <w:szCs w:val="19"/>
                <w:color w:val="auto"/>
              </w:rPr>
              <w:t>55</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2.06</w:t>
            </w:r>
          </w:p>
        </w:tc>
        <w:tc>
          <w:tcPr>
            <w:tcW w:w="1680" w:type="dxa"/>
            <w:vAlign w:val="bottom"/>
            <w:gridSpan w:val="2"/>
          </w:tcPr>
          <w:p>
            <w:pPr>
              <w:ind w:left="240"/>
              <w:spacing w:after="0"/>
              <w:rPr>
                <w:sz w:val="20"/>
                <w:szCs w:val="20"/>
                <w:color w:val="auto"/>
              </w:rPr>
            </w:pPr>
            <w:r>
              <w:rPr>
                <w:rFonts w:ascii="Arial" w:cs="Arial" w:eastAsia="Arial" w:hAnsi="Arial"/>
                <w:sz w:val="19"/>
                <w:szCs w:val="19"/>
                <w:color w:val="auto"/>
              </w:rPr>
              <w:t>Letters of Credit</w:t>
            </w:r>
          </w:p>
        </w:tc>
        <w:tc>
          <w:tcPr>
            <w:tcW w:w="480" w:type="dxa"/>
            <w:vAlign w:val="bottom"/>
          </w:tcPr>
          <w:p>
            <w:pPr>
              <w:jc w:val="right"/>
              <w:ind w:right="185"/>
              <w:spacing w:after="0"/>
              <w:rPr>
                <w:sz w:val="20"/>
                <w:szCs w:val="20"/>
                <w:color w:val="auto"/>
              </w:rPr>
            </w:pPr>
            <w:r>
              <w:rPr>
                <w:rFonts w:ascii="Arial" w:cs="Arial" w:eastAsia="Arial" w:hAnsi="Arial"/>
                <w:sz w:val="19"/>
                <w:szCs w:val="19"/>
                <w:color w:val="auto"/>
                <w:w w:val="84"/>
              </w:rPr>
              <w:t>58</w:t>
            </w: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2.07</w:t>
            </w:r>
          </w:p>
        </w:tc>
        <w:tc>
          <w:tcPr>
            <w:tcW w:w="2160" w:type="dxa"/>
            <w:vAlign w:val="bottom"/>
            <w:gridSpan w:val="3"/>
          </w:tcPr>
          <w:p>
            <w:pPr>
              <w:ind w:left="240"/>
              <w:spacing w:after="0"/>
              <w:rPr>
                <w:sz w:val="20"/>
                <w:szCs w:val="20"/>
                <w:color w:val="auto"/>
              </w:rPr>
            </w:pPr>
            <w:r>
              <w:rPr>
                <w:rFonts w:ascii="Arial" w:cs="Arial" w:eastAsia="Arial" w:hAnsi="Arial"/>
                <w:sz w:val="19"/>
                <w:szCs w:val="19"/>
                <w:color w:val="auto"/>
                <w:w w:val="99"/>
              </w:rPr>
              <w:t>Funding of Borrowings</w:t>
            </w:r>
          </w:p>
        </w:tc>
        <w:tc>
          <w:tcPr>
            <w:tcW w:w="920" w:type="dxa"/>
            <w:vAlign w:val="bottom"/>
          </w:tcPr>
          <w:p>
            <w:pPr>
              <w:jc w:val="right"/>
              <w:ind w:right="585"/>
              <w:spacing w:after="0"/>
              <w:rPr>
                <w:sz w:val="20"/>
                <w:szCs w:val="20"/>
                <w:color w:val="auto"/>
              </w:rPr>
            </w:pPr>
            <w:r>
              <w:rPr>
                <w:rFonts w:ascii="Arial" w:cs="Arial" w:eastAsia="Arial" w:hAnsi="Arial"/>
                <w:sz w:val="19"/>
                <w:szCs w:val="19"/>
                <w:color w:val="auto"/>
              </w:rPr>
              <w:t>64</w:t>
            </w: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2.08</w:t>
            </w:r>
          </w:p>
        </w:tc>
        <w:tc>
          <w:tcPr>
            <w:tcW w:w="1680" w:type="dxa"/>
            <w:vAlign w:val="bottom"/>
            <w:gridSpan w:val="2"/>
          </w:tcPr>
          <w:p>
            <w:pPr>
              <w:ind w:left="240"/>
              <w:spacing w:after="0"/>
              <w:rPr>
                <w:sz w:val="20"/>
                <w:szCs w:val="20"/>
                <w:color w:val="auto"/>
              </w:rPr>
            </w:pPr>
            <w:r>
              <w:rPr>
                <w:rFonts w:ascii="Arial" w:cs="Arial" w:eastAsia="Arial" w:hAnsi="Arial"/>
                <w:sz w:val="19"/>
                <w:szCs w:val="19"/>
                <w:color w:val="auto"/>
                <w:w w:val="97"/>
              </w:rPr>
              <w:t>Interest Elections</w:t>
            </w:r>
          </w:p>
        </w:tc>
        <w:tc>
          <w:tcPr>
            <w:tcW w:w="480" w:type="dxa"/>
            <w:vAlign w:val="bottom"/>
          </w:tcPr>
          <w:p>
            <w:pPr>
              <w:jc w:val="right"/>
              <w:ind w:right="125"/>
              <w:spacing w:after="0"/>
              <w:rPr>
                <w:sz w:val="20"/>
                <w:szCs w:val="20"/>
                <w:color w:val="auto"/>
              </w:rPr>
            </w:pPr>
            <w:r>
              <w:rPr>
                <w:rFonts w:ascii="Arial" w:cs="Arial" w:eastAsia="Arial" w:hAnsi="Arial"/>
                <w:sz w:val="19"/>
                <w:szCs w:val="19"/>
                <w:color w:val="auto"/>
              </w:rPr>
              <w:t>64</w:t>
            </w: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2.09</w:t>
            </w:r>
          </w:p>
        </w:tc>
        <w:tc>
          <w:tcPr>
            <w:tcW w:w="6940" w:type="dxa"/>
            <w:vAlign w:val="bottom"/>
            <w:gridSpan w:val="5"/>
          </w:tcPr>
          <w:p>
            <w:pPr>
              <w:ind w:left="240"/>
              <w:spacing w:after="0"/>
              <w:rPr>
                <w:sz w:val="20"/>
                <w:szCs w:val="20"/>
                <w:color w:val="auto"/>
              </w:rPr>
            </w:pPr>
            <w:r>
              <w:rPr>
                <w:rFonts w:ascii="Arial" w:cs="Arial" w:eastAsia="Arial" w:hAnsi="Arial"/>
                <w:sz w:val="19"/>
                <w:szCs w:val="19"/>
                <w:color w:val="auto"/>
                <w:w w:val="93"/>
              </w:rPr>
              <w:t>Termination and Reduction of Commitments; Increase in Revolving Commitments  66</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2.10</w:t>
            </w:r>
          </w:p>
        </w:tc>
        <w:tc>
          <w:tcPr>
            <w:tcW w:w="6940" w:type="dxa"/>
            <w:vAlign w:val="bottom"/>
            <w:gridSpan w:val="5"/>
          </w:tcPr>
          <w:p>
            <w:pPr>
              <w:ind w:left="240"/>
              <w:spacing w:after="0"/>
              <w:rPr>
                <w:sz w:val="20"/>
                <w:szCs w:val="20"/>
                <w:color w:val="auto"/>
              </w:rPr>
            </w:pPr>
            <w:r>
              <w:rPr>
                <w:rFonts w:ascii="Arial" w:cs="Arial" w:eastAsia="Arial" w:hAnsi="Arial"/>
                <w:sz w:val="19"/>
                <w:szCs w:val="19"/>
                <w:color w:val="auto"/>
              </w:rPr>
              <w:t>Repayment and Amortization of Loans; Evidence of Debt  68</w:t>
            </w:r>
          </w:p>
        </w:tc>
      </w:tr>
    </w:tbl>
    <w:p>
      <w:pPr>
        <w:sectPr>
          <w:pgSz w:w="11900" w:h="16838" w:orient="portrait"/>
          <w:cols w:equalWidth="0" w:num="1">
            <w:col w:w="11440"/>
          </w:cols>
          <w:pgMar w:left="240" w:top="127" w:right="21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2.11</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w w:val="90"/>
              </w:rPr>
              <w:t>Prepayment of Loans</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70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2.12</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rPr>
              <w:t>Fees  70</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2.13</w:t>
            </w:r>
          </w:p>
        </w:tc>
        <w:tc>
          <w:tcPr>
            <w:tcW w:w="840" w:type="dxa"/>
            <w:vAlign w:val="bottom"/>
          </w:tcPr>
          <w:p>
            <w:pPr>
              <w:ind w:left="240"/>
              <w:spacing w:after="0"/>
              <w:rPr>
                <w:sz w:val="20"/>
                <w:szCs w:val="20"/>
                <w:color w:val="auto"/>
              </w:rPr>
            </w:pPr>
            <w:r>
              <w:rPr>
                <w:rFonts w:ascii="Arial" w:cs="Arial" w:eastAsia="Arial" w:hAnsi="Arial"/>
                <w:sz w:val="19"/>
                <w:szCs w:val="19"/>
                <w:color w:val="auto"/>
                <w:w w:val="91"/>
              </w:rPr>
              <w:t>Interest</w:t>
            </w:r>
          </w:p>
        </w:tc>
        <w:tc>
          <w:tcPr>
            <w:tcW w:w="720" w:type="dxa"/>
            <w:vAlign w:val="bottom"/>
            <w:gridSpan w:val="2"/>
          </w:tcPr>
          <w:p>
            <w:pPr>
              <w:jc w:val="right"/>
              <w:ind w:right="285"/>
              <w:spacing w:after="0"/>
              <w:rPr>
                <w:sz w:val="20"/>
                <w:szCs w:val="20"/>
                <w:color w:val="auto"/>
              </w:rPr>
            </w:pPr>
            <w:r>
              <w:rPr>
                <w:rFonts w:ascii="Arial" w:cs="Arial" w:eastAsia="Arial" w:hAnsi="Arial"/>
                <w:sz w:val="19"/>
                <w:szCs w:val="19"/>
                <w:color w:val="auto"/>
              </w:rPr>
              <w:t>71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2.14</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w w:val="91"/>
              </w:rPr>
              <w:t>Alternate Rate of Interest</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72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2.15</w:t>
            </w:r>
          </w:p>
        </w:tc>
        <w:tc>
          <w:tcPr>
            <w:tcW w:w="1560" w:type="dxa"/>
            <w:vAlign w:val="bottom"/>
            <w:gridSpan w:val="3"/>
          </w:tcPr>
          <w:p>
            <w:pPr>
              <w:ind w:left="240"/>
              <w:spacing w:after="0"/>
              <w:rPr>
                <w:sz w:val="20"/>
                <w:szCs w:val="20"/>
                <w:color w:val="auto"/>
              </w:rPr>
            </w:pPr>
            <w:r>
              <w:rPr>
                <w:rFonts w:ascii="Arial" w:cs="Arial" w:eastAsia="Arial" w:hAnsi="Arial"/>
                <w:sz w:val="19"/>
                <w:szCs w:val="19"/>
                <w:color w:val="auto"/>
                <w:w w:val="94"/>
              </w:rPr>
              <w:t>Increased Costs</w:t>
            </w:r>
          </w:p>
        </w:tc>
        <w:tc>
          <w:tcPr>
            <w:tcW w:w="340" w:type="dxa"/>
            <w:vAlign w:val="bottom"/>
          </w:tcPr>
          <w:p>
            <w:pPr>
              <w:jc w:val="right"/>
              <w:spacing w:after="0"/>
              <w:rPr>
                <w:sz w:val="20"/>
                <w:szCs w:val="20"/>
                <w:color w:val="auto"/>
              </w:rPr>
            </w:pPr>
            <w:r>
              <w:rPr>
                <w:rFonts w:ascii="Arial" w:cs="Arial" w:eastAsia="Arial" w:hAnsi="Arial"/>
                <w:sz w:val="19"/>
                <w:szCs w:val="19"/>
                <w:color w:val="auto"/>
              </w:rPr>
              <w:t>73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2.16</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w w:val="90"/>
              </w:rPr>
              <w:t>Break Funding Payments</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74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2.17</w:t>
            </w:r>
          </w:p>
        </w:tc>
        <w:tc>
          <w:tcPr>
            <w:tcW w:w="2780" w:type="dxa"/>
            <w:vAlign w:val="bottom"/>
            <w:gridSpan w:val="8"/>
          </w:tcPr>
          <w:p>
            <w:pPr>
              <w:ind w:left="240"/>
              <w:spacing w:after="0"/>
              <w:rPr>
                <w:sz w:val="20"/>
                <w:szCs w:val="20"/>
                <w:color w:val="auto"/>
              </w:rPr>
            </w:pPr>
            <w:r>
              <w:rPr>
                <w:rFonts w:ascii="Arial" w:cs="Arial" w:eastAsia="Arial" w:hAnsi="Arial"/>
                <w:sz w:val="19"/>
                <w:szCs w:val="19"/>
                <w:color w:val="auto"/>
                <w:w w:val="93"/>
              </w:rPr>
              <w:t>Withholding of Taxes; Gross-Up</w:t>
            </w:r>
          </w:p>
        </w:tc>
        <w:tc>
          <w:tcPr>
            <w:tcW w:w="520" w:type="dxa"/>
            <w:vAlign w:val="bottom"/>
          </w:tcPr>
          <w:p>
            <w:pPr>
              <w:jc w:val="right"/>
              <w:ind w:right="85"/>
              <w:spacing w:after="0"/>
              <w:rPr>
                <w:sz w:val="20"/>
                <w:szCs w:val="20"/>
                <w:color w:val="auto"/>
              </w:rPr>
            </w:pPr>
            <w:r>
              <w:rPr>
                <w:rFonts w:ascii="Arial" w:cs="Arial" w:eastAsia="Arial" w:hAnsi="Arial"/>
                <w:sz w:val="19"/>
                <w:szCs w:val="19"/>
                <w:color w:val="auto"/>
              </w:rPr>
              <w:t>75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2.18</w:t>
            </w:r>
          </w:p>
        </w:tc>
        <w:tc>
          <w:tcPr>
            <w:tcW w:w="7820" w:type="dxa"/>
            <w:vAlign w:val="bottom"/>
            <w:gridSpan w:val="12"/>
          </w:tcPr>
          <w:p>
            <w:pPr>
              <w:ind w:left="240"/>
              <w:spacing w:after="0"/>
              <w:rPr>
                <w:sz w:val="20"/>
                <w:szCs w:val="20"/>
                <w:color w:val="auto"/>
              </w:rPr>
            </w:pPr>
            <w:r>
              <w:rPr>
                <w:rFonts w:ascii="Arial" w:cs="Arial" w:eastAsia="Arial" w:hAnsi="Arial"/>
                <w:sz w:val="19"/>
                <w:szCs w:val="19"/>
                <w:color w:val="auto"/>
              </w:rPr>
              <w:t>Payments Generally; Allocation of Proceeds; Sharing of Set-offs  78</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2.19</w:t>
            </w:r>
          </w:p>
        </w:tc>
        <w:tc>
          <w:tcPr>
            <w:tcW w:w="4000" w:type="dxa"/>
            <w:vAlign w:val="bottom"/>
            <w:gridSpan w:val="11"/>
          </w:tcPr>
          <w:p>
            <w:pPr>
              <w:ind w:left="240"/>
              <w:spacing w:after="0"/>
              <w:rPr>
                <w:sz w:val="20"/>
                <w:szCs w:val="20"/>
                <w:color w:val="auto"/>
              </w:rPr>
            </w:pPr>
            <w:r>
              <w:rPr>
                <w:rFonts w:ascii="Arial" w:cs="Arial" w:eastAsia="Arial" w:hAnsi="Arial"/>
                <w:sz w:val="19"/>
                <w:szCs w:val="19"/>
                <w:color w:val="auto"/>
                <w:w w:val="93"/>
              </w:rPr>
              <w:t>Mitigation Obligations; Replacement of Lenders</w:t>
            </w:r>
          </w:p>
        </w:tc>
        <w:tc>
          <w:tcPr>
            <w:tcW w:w="3820" w:type="dxa"/>
            <w:vAlign w:val="bottom"/>
          </w:tcPr>
          <w:p>
            <w:pPr>
              <w:jc w:val="right"/>
              <w:ind w:right="3405"/>
              <w:spacing w:after="0"/>
              <w:rPr>
                <w:sz w:val="20"/>
                <w:szCs w:val="20"/>
                <w:color w:val="auto"/>
              </w:rPr>
            </w:pPr>
            <w:r>
              <w:rPr>
                <w:rFonts w:ascii="Arial" w:cs="Arial" w:eastAsia="Arial" w:hAnsi="Arial"/>
                <w:sz w:val="19"/>
                <w:szCs w:val="19"/>
                <w:color w:val="auto"/>
              </w:rPr>
              <w:t>81</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2.20</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rPr>
              <w:t>Defaulting Lenders</w:t>
            </w:r>
          </w:p>
        </w:tc>
        <w:tc>
          <w:tcPr>
            <w:tcW w:w="300" w:type="dxa"/>
            <w:vAlign w:val="bottom"/>
          </w:tcPr>
          <w:p>
            <w:pPr>
              <w:jc w:val="right"/>
              <w:ind w:right="5"/>
              <w:spacing w:after="0"/>
              <w:rPr>
                <w:sz w:val="20"/>
                <w:szCs w:val="20"/>
                <w:color w:val="auto"/>
              </w:rPr>
            </w:pPr>
            <w:r>
              <w:rPr>
                <w:rFonts w:ascii="Arial" w:cs="Arial" w:eastAsia="Arial" w:hAnsi="Arial"/>
                <w:sz w:val="19"/>
                <w:szCs w:val="19"/>
                <w:color w:val="auto"/>
                <w:w w:val="84"/>
              </w:rPr>
              <w:t>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2.21</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w w:val="97"/>
              </w:rPr>
              <w:t>Returned Payments</w:t>
            </w:r>
          </w:p>
        </w:tc>
        <w:tc>
          <w:tcPr>
            <w:tcW w:w="300" w:type="dxa"/>
            <w:vAlign w:val="bottom"/>
          </w:tcPr>
          <w:p>
            <w:pPr>
              <w:jc w:val="right"/>
              <w:ind w:right="5"/>
              <w:spacing w:after="0"/>
              <w:rPr>
                <w:sz w:val="20"/>
                <w:szCs w:val="20"/>
                <w:color w:val="auto"/>
              </w:rPr>
            </w:pPr>
            <w:r>
              <w:rPr>
                <w:rFonts w:ascii="Arial" w:cs="Arial" w:eastAsia="Arial" w:hAnsi="Arial"/>
                <w:sz w:val="19"/>
                <w:szCs w:val="19"/>
                <w:color w:val="auto"/>
                <w:w w:val="84"/>
              </w:rPr>
              <w:t>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2.22</w:t>
            </w:r>
          </w:p>
        </w:tc>
        <w:tc>
          <w:tcPr>
            <w:tcW w:w="3440" w:type="dxa"/>
            <w:vAlign w:val="bottom"/>
            <w:gridSpan w:val="10"/>
          </w:tcPr>
          <w:p>
            <w:pPr>
              <w:ind w:left="240"/>
              <w:spacing w:after="0"/>
              <w:rPr>
                <w:sz w:val="20"/>
                <w:szCs w:val="20"/>
                <w:color w:val="auto"/>
              </w:rPr>
            </w:pPr>
            <w:r>
              <w:rPr>
                <w:rFonts w:ascii="Arial" w:cs="Arial" w:eastAsia="Arial" w:hAnsi="Arial"/>
                <w:sz w:val="19"/>
                <w:szCs w:val="19"/>
                <w:color w:val="auto"/>
                <w:w w:val="92"/>
              </w:rPr>
              <w:t>Banking Services and Swap Agreements</w:t>
            </w:r>
          </w:p>
        </w:tc>
        <w:tc>
          <w:tcPr>
            <w:tcW w:w="560" w:type="dxa"/>
            <w:vAlign w:val="bottom"/>
          </w:tcPr>
          <w:p>
            <w:pPr>
              <w:jc w:val="right"/>
              <w:ind w:right="185"/>
              <w:spacing w:after="0"/>
              <w:rPr>
                <w:sz w:val="20"/>
                <w:szCs w:val="20"/>
                <w:color w:val="auto"/>
              </w:rPr>
            </w:pPr>
            <w:r>
              <w:rPr>
                <w:rFonts w:ascii="Arial" w:cs="Arial" w:eastAsia="Arial" w:hAnsi="Arial"/>
                <w:sz w:val="19"/>
                <w:szCs w:val="19"/>
                <w:color w:val="auto"/>
              </w:rPr>
              <w:t>83</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2.23</w:t>
            </w:r>
          </w:p>
        </w:tc>
        <w:tc>
          <w:tcPr>
            <w:tcW w:w="4000" w:type="dxa"/>
            <w:vAlign w:val="bottom"/>
            <w:gridSpan w:val="11"/>
          </w:tcPr>
          <w:p>
            <w:pPr>
              <w:ind w:left="240"/>
              <w:spacing w:after="0"/>
              <w:rPr>
                <w:sz w:val="20"/>
                <w:szCs w:val="20"/>
                <w:color w:val="auto"/>
              </w:rPr>
            </w:pPr>
            <w:r>
              <w:rPr>
                <w:rFonts w:ascii="Arial" w:cs="Arial" w:eastAsia="Arial" w:hAnsi="Arial"/>
                <w:sz w:val="19"/>
                <w:szCs w:val="19"/>
                <w:color w:val="auto"/>
                <w:w w:val="92"/>
              </w:rPr>
              <w:t>Excess Resulting From Exchange Rate Change</w:t>
            </w:r>
          </w:p>
        </w:tc>
        <w:tc>
          <w:tcPr>
            <w:tcW w:w="3820" w:type="dxa"/>
            <w:vAlign w:val="bottom"/>
          </w:tcPr>
          <w:p>
            <w:pPr>
              <w:jc w:val="right"/>
              <w:ind w:right="3505"/>
              <w:spacing w:after="0"/>
              <w:rPr>
                <w:sz w:val="20"/>
                <w:szCs w:val="20"/>
                <w:color w:val="auto"/>
              </w:rPr>
            </w:pPr>
            <w:r>
              <w:rPr>
                <w:rFonts w:ascii="Arial" w:cs="Arial" w:eastAsia="Arial" w:hAnsi="Arial"/>
                <w:sz w:val="19"/>
                <w:szCs w:val="19"/>
                <w:color w:val="auto"/>
                <w:w w:val="94"/>
              </w:rPr>
              <w:t>84</w:t>
            </w: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III.</w:t>
            </w:r>
          </w:p>
        </w:tc>
        <w:tc>
          <w:tcPr>
            <w:tcW w:w="3820" w:type="dxa"/>
            <w:vAlign w:val="bottom"/>
            <w:gridSpan w:val="10"/>
          </w:tcPr>
          <w:p>
            <w:pPr>
              <w:ind w:left="180"/>
              <w:spacing w:after="0"/>
              <w:rPr>
                <w:sz w:val="20"/>
                <w:szCs w:val="20"/>
                <w:color w:val="auto"/>
              </w:rPr>
            </w:pPr>
            <w:r>
              <w:rPr>
                <w:rFonts w:ascii="Arial" w:cs="Arial" w:eastAsia="Arial" w:hAnsi="Arial"/>
                <w:sz w:val="19"/>
                <w:szCs w:val="19"/>
                <w:color w:val="auto"/>
                <w:w w:val="99"/>
              </w:rPr>
              <w:t>REPRESENTATIONS AND WARRANTIES</w:t>
            </w:r>
          </w:p>
        </w:tc>
        <w:tc>
          <w:tcPr>
            <w:tcW w:w="700" w:type="dxa"/>
            <w:vAlign w:val="bottom"/>
            <w:gridSpan w:val="2"/>
          </w:tcPr>
          <w:p>
            <w:pPr>
              <w:jc w:val="right"/>
              <w:ind w:right="385"/>
              <w:spacing w:after="0"/>
              <w:rPr>
                <w:sz w:val="20"/>
                <w:szCs w:val="20"/>
                <w:color w:val="auto"/>
              </w:rPr>
            </w:pPr>
            <w:r>
              <w:rPr>
                <w:rFonts w:ascii="Arial" w:cs="Arial" w:eastAsia="Arial" w:hAnsi="Arial"/>
                <w:sz w:val="19"/>
                <w:szCs w:val="19"/>
                <w:color w:val="auto"/>
                <w:w w:val="94"/>
              </w:rPr>
              <w:t>85</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3.01</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w w:val="90"/>
              </w:rPr>
              <w:t>Organization; Powers</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85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3.02</w:t>
            </w:r>
          </w:p>
        </w:tc>
        <w:tc>
          <w:tcPr>
            <w:tcW w:w="2580" w:type="dxa"/>
            <w:vAlign w:val="bottom"/>
            <w:gridSpan w:val="7"/>
          </w:tcPr>
          <w:p>
            <w:pPr>
              <w:ind w:left="240"/>
              <w:spacing w:after="0"/>
              <w:rPr>
                <w:sz w:val="20"/>
                <w:szCs w:val="20"/>
                <w:color w:val="auto"/>
              </w:rPr>
            </w:pPr>
            <w:r>
              <w:rPr>
                <w:rFonts w:ascii="Arial" w:cs="Arial" w:eastAsia="Arial" w:hAnsi="Arial"/>
                <w:sz w:val="19"/>
                <w:szCs w:val="19"/>
                <w:color w:val="auto"/>
                <w:w w:val="98"/>
              </w:rPr>
              <w:t>Authorization; Enforceability</w:t>
            </w:r>
          </w:p>
        </w:tc>
        <w:tc>
          <w:tcPr>
            <w:tcW w:w="720" w:type="dxa"/>
            <w:vAlign w:val="bottom"/>
            <w:gridSpan w:val="2"/>
          </w:tcPr>
          <w:p>
            <w:pPr>
              <w:jc w:val="right"/>
              <w:ind w:right="345"/>
              <w:spacing w:after="0"/>
              <w:rPr>
                <w:sz w:val="20"/>
                <w:szCs w:val="20"/>
                <w:color w:val="auto"/>
              </w:rPr>
            </w:pPr>
            <w:r>
              <w:rPr>
                <w:rFonts w:ascii="Arial" w:cs="Arial" w:eastAsia="Arial" w:hAnsi="Arial"/>
                <w:sz w:val="19"/>
                <w:szCs w:val="19"/>
                <w:color w:val="auto"/>
              </w:rPr>
              <w:t>85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3.03</w:t>
            </w:r>
          </w:p>
        </w:tc>
        <w:tc>
          <w:tcPr>
            <w:tcW w:w="3300" w:type="dxa"/>
            <w:vAlign w:val="bottom"/>
            <w:gridSpan w:val="9"/>
          </w:tcPr>
          <w:p>
            <w:pPr>
              <w:ind w:left="240"/>
              <w:spacing w:after="0"/>
              <w:rPr>
                <w:sz w:val="20"/>
                <w:szCs w:val="20"/>
                <w:color w:val="auto"/>
              </w:rPr>
            </w:pPr>
            <w:r>
              <w:rPr>
                <w:rFonts w:ascii="Arial" w:cs="Arial" w:eastAsia="Arial" w:hAnsi="Arial"/>
                <w:sz w:val="19"/>
                <w:szCs w:val="19"/>
                <w:color w:val="auto"/>
                <w:w w:val="94"/>
              </w:rPr>
              <w:t>Governmental Approvals; No Conflicts</w:t>
            </w:r>
          </w:p>
        </w:tc>
        <w:tc>
          <w:tcPr>
            <w:tcW w:w="140" w:type="dxa"/>
            <w:vAlign w:val="bottom"/>
          </w:tcPr>
          <w:p>
            <w:pPr>
              <w:spacing w:after="0"/>
              <w:rPr>
                <w:sz w:val="24"/>
                <w:szCs w:val="24"/>
                <w:color w:val="auto"/>
              </w:rPr>
            </w:pPr>
          </w:p>
        </w:tc>
        <w:tc>
          <w:tcPr>
            <w:tcW w:w="560" w:type="dxa"/>
            <w:vAlign w:val="bottom"/>
          </w:tcPr>
          <w:p>
            <w:pPr>
              <w:jc w:val="right"/>
              <w:ind w:right="265"/>
              <w:spacing w:after="0"/>
              <w:rPr>
                <w:sz w:val="20"/>
                <w:szCs w:val="20"/>
                <w:color w:val="auto"/>
              </w:rPr>
            </w:pPr>
            <w:r>
              <w:rPr>
                <w:rFonts w:ascii="Arial" w:cs="Arial" w:eastAsia="Arial" w:hAnsi="Arial"/>
                <w:sz w:val="19"/>
                <w:szCs w:val="19"/>
                <w:color w:val="auto"/>
                <w:w w:val="84"/>
              </w:rPr>
              <w:t>85</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3.04</w:t>
            </w:r>
          </w:p>
        </w:tc>
        <w:tc>
          <w:tcPr>
            <w:tcW w:w="4000" w:type="dxa"/>
            <w:vAlign w:val="bottom"/>
            <w:gridSpan w:val="11"/>
          </w:tcPr>
          <w:p>
            <w:pPr>
              <w:ind w:left="240"/>
              <w:spacing w:after="0"/>
              <w:rPr>
                <w:sz w:val="20"/>
                <w:szCs w:val="20"/>
                <w:color w:val="auto"/>
              </w:rPr>
            </w:pPr>
            <w:r>
              <w:rPr>
                <w:rFonts w:ascii="Arial" w:cs="Arial" w:eastAsia="Arial" w:hAnsi="Arial"/>
                <w:sz w:val="19"/>
                <w:szCs w:val="19"/>
                <w:color w:val="auto"/>
                <w:w w:val="93"/>
              </w:rPr>
              <w:t>Financial Condition; No Material Adverse Effect</w:t>
            </w:r>
          </w:p>
        </w:tc>
        <w:tc>
          <w:tcPr>
            <w:tcW w:w="3820" w:type="dxa"/>
            <w:vAlign w:val="bottom"/>
          </w:tcPr>
          <w:p>
            <w:pPr>
              <w:jc w:val="right"/>
              <w:ind w:right="3365"/>
              <w:spacing w:after="0"/>
              <w:rPr>
                <w:sz w:val="20"/>
                <w:szCs w:val="20"/>
                <w:color w:val="auto"/>
              </w:rPr>
            </w:pPr>
            <w:r>
              <w:rPr>
                <w:rFonts w:ascii="Arial" w:cs="Arial" w:eastAsia="Arial" w:hAnsi="Arial"/>
                <w:sz w:val="19"/>
                <w:szCs w:val="19"/>
                <w:color w:val="auto"/>
              </w:rPr>
              <w:t>86</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3.05</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w w:val="96"/>
              </w:rPr>
              <w:t>Properties</w:t>
            </w:r>
          </w:p>
        </w:tc>
        <w:tc>
          <w:tcPr>
            <w:tcW w:w="460" w:type="dxa"/>
            <w:vAlign w:val="bottom"/>
          </w:tcPr>
          <w:p>
            <w:pPr>
              <w:jc w:val="right"/>
              <w:ind w:right="65"/>
              <w:spacing w:after="0"/>
              <w:rPr>
                <w:sz w:val="20"/>
                <w:szCs w:val="20"/>
                <w:color w:val="auto"/>
              </w:rPr>
            </w:pPr>
            <w:r>
              <w:rPr>
                <w:rFonts w:ascii="Arial" w:cs="Arial" w:eastAsia="Arial" w:hAnsi="Arial"/>
                <w:sz w:val="19"/>
                <w:szCs w:val="19"/>
                <w:color w:val="auto"/>
              </w:rPr>
              <w:t>86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3.06</w:t>
            </w:r>
          </w:p>
        </w:tc>
        <w:tc>
          <w:tcPr>
            <w:tcW w:w="3300" w:type="dxa"/>
            <w:vAlign w:val="bottom"/>
            <w:gridSpan w:val="9"/>
          </w:tcPr>
          <w:p>
            <w:pPr>
              <w:ind w:left="240"/>
              <w:spacing w:after="0"/>
              <w:rPr>
                <w:sz w:val="20"/>
                <w:szCs w:val="20"/>
                <w:color w:val="auto"/>
              </w:rPr>
            </w:pPr>
            <w:r>
              <w:rPr>
                <w:rFonts w:ascii="Arial" w:cs="Arial" w:eastAsia="Arial" w:hAnsi="Arial"/>
                <w:sz w:val="19"/>
                <w:szCs w:val="19"/>
                <w:color w:val="auto"/>
                <w:w w:val="98"/>
              </w:rPr>
              <w:t>Litigation and Environmental Matters</w:t>
            </w:r>
          </w:p>
        </w:tc>
        <w:tc>
          <w:tcPr>
            <w:tcW w:w="700" w:type="dxa"/>
            <w:vAlign w:val="bottom"/>
            <w:gridSpan w:val="2"/>
          </w:tcPr>
          <w:p>
            <w:pPr>
              <w:jc w:val="right"/>
              <w:ind w:right="405"/>
              <w:spacing w:after="0"/>
              <w:rPr>
                <w:sz w:val="20"/>
                <w:szCs w:val="20"/>
                <w:color w:val="auto"/>
              </w:rPr>
            </w:pPr>
            <w:r>
              <w:rPr>
                <w:rFonts w:ascii="Arial" w:cs="Arial" w:eastAsia="Arial" w:hAnsi="Arial"/>
                <w:sz w:val="19"/>
                <w:szCs w:val="19"/>
                <w:color w:val="auto"/>
                <w:w w:val="84"/>
              </w:rPr>
              <w:t>86</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3.07</w:t>
            </w:r>
          </w:p>
        </w:tc>
        <w:tc>
          <w:tcPr>
            <w:tcW w:w="3300" w:type="dxa"/>
            <w:vAlign w:val="bottom"/>
            <w:gridSpan w:val="9"/>
          </w:tcPr>
          <w:p>
            <w:pPr>
              <w:ind w:left="240"/>
              <w:spacing w:after="0"/>
              <w:rPr>
                <w:sz w:val="20"/>
                <w:szCs w:val="20"/>
                <w:color w:val="auto"/>
              </w:rPr>
            </w:pPr>
            <w:r>
              <w:rPr>
                <w:rFonts w:ascii="Arial" w:cs="Arial" w:eastAsia="Arial" w:hAnsi="Arial"/>
                <w:sz w:val="19"/>
                <w:szCs w:val="19"/>
                <w:color w:val="auto"/>
                <w:w w:val="91"/>
              </w:rPr>
              <w:t>Compliance with Laws and Agreements</w:t>
            </w:r>
          </w:p>
        </w:tc>
        <w:tc>
          <w:tcPr>
            <w:tcW w:w="140" w:type="dxa"/>
            <w:vAlign w:val="bottom"/>
          </w:tcPr>
          <w:p>
            <w:pPr>
              <w:spacing w:after="0"/>
              <w:rPr>
                <w:sz w:val="24"/>
                <w:szCs w:val="24"/>
                <w:color w:val="auto"/>
              </w:rPr>
            </w:pPr>
          </w:p>
        </w:tc>
        <w:tc>
          <w:tcPr>
            <w:tcW w:w="560" w:type="dxa"/>
            <w:vAlign w:val="bottom"/>
          </w:tcPr>
          <w:p>
            <w:pPr>
              <w:jc w:val="right"/>
              <w:ind w:right="225"/>
              <w:spacing w:after="0"/>
              <w:rPr>
                <w:sz w:val="20"/>
                <w:szCs w:val="20"/>
                <w:color w:val="auto"/>
              </w:rPr>
            </w:pPr>
            <w:r>
              <w:rPr>
                <w:rFonts w:ascii="Arial" w:cs="Arial" w:eastAsia="Arial" w:hAnsi="Arial"/>
                <w:sz w:val="19"/>
                <w:szCs w:val="19"/>
                <w:color w:val="auto"/>
              </w:rPr>
              <w:t>87</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3.08</w:t>
            </w:r>
          </w:p>
        </w:tc>
        <w:tc>
          <w:tcPr>
            <w:tcW w:w="2580" w:type="dxa"/>
            <w:vAlign w:val="bottom"/>
            <w:gridSpan w:val="7"/>
          </w:tcPr>
          <w:p>
            <w:pPr>
              <w:ind w:left="240"/>
              <w:spacing w:after="0"/>
              <w:rPr>
                <w:sz w:val="20"/>
                <w:szCs w:val="20"/>
                <w:color w:val="auto"/>
              </w:rPr>
            </w:pPr>
            <w:r>
              <w:rPr>
                <w:rFonts w:ascii="Arial" w:cs="Arial" w:eastAsia="Arial" w:hAnsi="Arial"/>
                <w:sz w:val="19"/>
                <w:szCs w:val="19"/>
                <w:color w:val="auto"/>
                <w:w w:val="97"/>
              </w:rPr>
              <w:t>Investment Company Status</w:t>
            </w:r>
          </w:p>
        </w:tc>
        <w:tc>
          <w:tcPr>
            <w:tcW w:w="200" w:type="dxa"/>
            <w:vAlign w:val="bottom"/>
          </w:tcPr>
          <w:p>
            <w:pPr>
              <w:jc w:val="right"/>
              <w:spacing w:after="0"/>
              <w:rPr>
                <w:sz w:val="20"/>
                <w:szCs w:val="20"/>
                <w:color w:val="auto"/>
              </w:rPr>
            </w:pPr>
            <w:r>
              <w:rPr>
                <w:rFonts w:ascii="Arial" w:cs="Arial" w:eastAsia="Arial" w:hAnsi="Arial"/>
                <w:sz w:val="19"/>
                <w:szCs w:val="19"/>
                <w:color w:val="auto"/>
                <w:w w:val="75"/>
              </w:rPr>
              <w:t>87</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3.09</w:t>
            </w:r>
          </w:p>
        </w:tc>
        <w:tc>
          <w:tcPr>
            <w:tcW w:w="840" w:type="dxa"/>
            <w:vAlign w:val="bottom"/>
          </w:tcPr>
          <w:p>
            <w:pPr>
              <w:ind w:left="240"/>
              <w:spacing w:after="0"/>
              <w:rPr>
                <w:sz w:val="20"/>
                <w:szCs w:val="20"/>
                <w:color w:val="auto"/>
              </w:rPr>
            </w:pPr>
            <w:r>
              <w:rPr>
                <w:rFonts w:ascii="Arial" w:cs="Arial" w:eastAsia="Arial" w:hAnsi="Arial"/>
                <w:sz w:val="19"/>
                <w:szCs w:val="19"/>
                <w:color w:val="auto"/>
              </w:rPr>
              <w:t>Taxes</w:t>
            </w:r>
          </w:p>
        </w:tc>
        <w:tc>
          <w:tcPr>
            <w:tcW w:w="260" w:type="dxa"/>
            <w:vAlign w:val="bottom"/>
          </w:tcPr>
          <w:p>
            <w:pPr>
              <w:jc w:val="right"/>
              <w:spacing w:after="0"/>
              <w:rPr>
                <w:sz w:val="20"/>
                <w:szCs w:val="20"/>
                <w:color w:val="auto"/>
              </w:rPr>
            </w:pPr>
            <w:r>
              <w:rPr>
                <w:rFonts w:ascii="Arial" w:cs="Arial" w:eastAsia="Arial" w:hAnsi="Arial"/>
                <w:sz w:val="19"/>
                <w:szCs w:val="19"/>
                <w:color w:val="auto"/>
                <w:w w:val="94"/>
              </w:rPr>
              <w:t>87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3.10</w:t>
            </w:r>
          </w:p>
        </w:tc>
        <w:tc>
          <w:tcPr>
            <w:tcW w:w="2780" w:type="dxa"/>
            <w:vAlign w:val="bottom"/>
            <w:gridSpan w:val="8"/>
          </w:tcPr>
          <w:p>
            <w:pPr>
              <w:ind w:left="240"/>
              <w:spacing w:after="0"/>
              <w:rPr>
                <w:sz w:val="20"/>
                <w:szCs w:val="20"/>
                <w:color w:val="auto"/>
              </w:rPr>
            </w:pPr>
            <w:r>
              <w:rPr>
                <w:rFonts w:ascii="Arial" w:cs="Arial" w:eastAsia="Arial" w:hAnsi="Arial"/>
                <w:sz w:val="19"/>
                <w:szCs w:val="19"/>
                <w:color w:val="auto"/>
                <w:w w:val="91"/>
              </w:rPr>
              <w:t>ERISA; Canadian Pension Plans</w:t>
            </w:r>
          </w:p>
        </w:tc>
        <w:tc>
          <w:tcPr>
            <w:tcW w:w="520" w:type="dxa"/>
            <w:vAlign w:val="bottom"/>
          </w:tcPr>
          <w:p>
            <w:pPr>
              <w:jc w:val="right"/>
              <w:ind w:right="105"/>
              <w:spacing w:after="0"/>
              <w:rPr>
                <w:sz w:val="20"/>
                <w:szCs w:val="20"/>
                <w:color w:val="auto"/>
              </w:rPr>
            </w:pPr>
            <w:r>
              <w:rPr>
                <w:rFonts w:ascii="Arial" w:cs="Arial" w:eastAsia="Arial" w:hAnsi="Arial"/>
                <w:sz w:val="19"/>
                <w:szCs w:val="19"/>
                <w:color w:val="auto"/>
              </w:rPr>
              <w:t>87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3.11</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w w:val="94"/>
              </w:rPr>
              <w:t>Disclosure</w:t>
            </w:r>
          </w:p>
        </w:tc>
        <w:tc>
          <w:tcPr>
            <w:tcW w:w="460" w:type="dxa"/>
            <w:vAlign w:val="bottom"/>
          </w:tcPr>
          <w:p>
            <w:pPr>
              <w:jc w:val="right"/>
              <w:ind w:right="25"/>
              <w:spacing w:after="0"/>
              <w:rPr>
                <w:sz w:val="20"/>
                <w:szCs w:val="20"/>
                <w:color w:val="auto"/>
              </w:rPr>
            </w:pPr>
            <w:r>
              <w:rPr>
                <w:rFonts w:ascii="Arial" w:cs="Arial" w:eastAsia="Arial" w:hAnsi="Arial"/>
                <w:sz w:val="19"/>
                <w:szCs w:val="19"/>
                <w:color w:val="auto"/>
              </w:rPr>
              <w:t>88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3.12</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w w:val="91"/>
              </w:rPr>
              <w:t>[Reserved]</w:t>
            </w:r>
          </w:p>
        </w:tc>
        <w:tc>
          <w:tcPr>
            <w:tcW w:w="460" w:type="dxa"/>
            <w:vAlign w:val="bottom"/>
          </w:tcPr>
          <w:p>
            <w:pPr>
              <w:jc w:val="right"/>
              <w:ind w:right="5"/>
              <w:spacing w:after="0"/>
              <w:rPr>
                <w:sz w:val="20"/>
                <w:szCs w:val="20"/>
                <w:color w:val="auto"/>
              </w:rPr>
            </w:pPr>
            <w:r>
              <w:rPr>
                <w:rFonts w:ascii="Arial" w:cs="Arial" w:eastAsia="Arial" w:hAnsi="Arial"/>
                <w:sz w:val="19"/>
                <w:szCs w:val="19"/>
                <w:color w:val="auto"/>
              </w:rPr>
              <w:t>88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3.13</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rPr>
              <w:t>Solvency</w:t>
            </w:r>
          </w:p>
        </w:tc>
        <w:tc>
          <w:tcPr>
            <w:tcW w:w="460" w:type="dxa"/>
            <w:vAlign w:val="bottom"/>
          </w:tcPr>
          <w:p>
            <w:pPr>
              <w:jc w:val="right"/>
              <w:ind w:right="145"/>
              <w:spacing w:after="0"/>
              <w:rPr>
                <w:sz w:val="20"/>
                <w:szCs w:val="20"/>
                <w:color w:val="auto"/>
              </w:rPr>
            </w:pPr>
            <w:r>
              <w:rPr>
                <w:rFonts w:ascii="Arial" w:cs="Arial" w:eastAsia="Arial" w:hAnsi="Arial"/>
                <w:sz w:val="19"/>
                <w:szCs w:val="19"/>
                <w:color w:val="auto"/>
                <w:w w:val="94"/>
              </w:rPr>
              <w:t>88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3.14</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rPr>
              <w:t>Insurance</w:t>
            </w:r>
          </w:p>
        </w:tc>
        <w:tc>
          <w:tcPr>
            <w:tcW w:w="460" w:type="dxa"/>
            <w:vAlign w:val="bottom"/>
          </w:tcPr>
          <w:p>
            <w:pPr>
              <w:jc w:val="right"/>
              <w:ind w:right="105"/>
              <w:spacing w:after="0"/>
              <w:rPr>
                <w:sz w:val="20"/>
                <w:szCs w:val="20"/>
                <w:color w:val="auto"/>
              </w:rPr>
            </w:pPr>
            <w:r>
              <w:rPr>
                <w:rFonts w:ascii="Arial" w:cs="Arial" w:eastAsia="Arial" w:hAnsi="Arial"/>
                <w:sz w:val="19"/>
                <w:szCs w:val="19"/>
                <w:color w:val="auto"/>
              </w:rPr>
              <w:t>89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3.15</w:t>
            </w:r>
          </w:p>
        </w:tc>
        <w:tc>
          <w:tcPr>
            <w:tcW w:w="2780" w:type="dxa"/>
            <w:vAlign w:val="bottom"/>
            <w:gridSpan w:val="8"/>
          </w:tcPr>
          <w:p>
            <w:pPr>
              <w:ind w:left="240"/>
              <w:spacing w:after="0"/>
              <w:rPr>
                <w:sz w:val="20"/>
                <w:szCs w:val="20"/>
                <w:color w:val="auto"/>
              </w:rPr>
            </w:pPr>
            <w:r>
              <w:rPr>
                <w:rFonts w:ascii="Arial" w:cs="Arial" w:eastAsia="Arial" w:hAnsi="Arial"/>
                <w:sz w:val="19"/>
                <w:szCs w:val="19"/>
                <w:color w:val="auto"/>
                <w:w w:val="96"/>
              </w:rPr>
              <w:t>Capitalization and Subsidiaries</w:t>
            </w:r>
          </w:p>
        </w:tc>
        <w:tc>
          <w:tcPr>
            <w:tcW w:w="520" w:type="dxa"/>
            <w:vAlign w:val="bottom"/>
          </w:tcPr>
          <w:p>
            <w:pPr>
              <w:jc w:val="right"/>
              <w:ind w:right="205"/>
              <w:spacing w:after="0"/>
              <w:rPr>
                <w:sz w:val="20"/>
                <w:szCs w:val="20"/>
                <w:color w:val="auto"/>
              </w:rPr>
            </w:pPr>
            <w:r>
              <w:rPr>
                <w:rFonts w:ascii="Arial" w:cs="Arial" w:eastAsia="Arial" w:hAnsi="Arial"/>
                <w:sz w:val="19"/>
                <w:szCs w:val="19"/>
                <w:color w:val="auto"/>
                <w:w w:val="94"/>
              </w:rPr>
              <w:t>89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3.16</w:t>
            </w:r>
          </w:p>
        </w:tc>
        <w:tc>
          <w:tcPr>
            <w:tcW w:w="2580" w:type="dxa"/>
            <w:vAlign w:val="bottom"/>
            <w:gridSpan w:val="7"/>
          </w:tcPr>
          <w:p>
            <w:pPr>
              <w:ind w:left="240"/>
              <w:spacing w:after="0"/>
              <w:rPr>
                <w:sz w:val="20"/>
                <w:szCs w:val="20"/>
                <w:color w:val="auto"/>
              </w:rPr>
            </w:pPr>
            <w:r>
              <w:rPr>
                <w:rFonts w:ascii="Arial" w:cs="Arial" w:eastAsia="Arial" w:hAnsi="Arial"/>
                <w:sz w:val="19"/>
                <w:szCs w:val="19"/>
                <w:color w:val="auto"/>
                <w:w w:val="95"/>
              </w:rPr>
              <w:t>Security Interest in Collateral</w:t>
            </w:r>
          </w:p>
        </w:tc>
        <w:tc>
          <w:tcPr>
            <w:tcW w:w="720" w:type="dxa"/>
            <w:vAlign w:val="bottom"/>
            <w:gridSpan w:val="2"/>
          </w:tcPr>
          <w:p>
            <w:pPr>
              <w:jc w:val="right"/>
              <w:ind w:right="345"/>
              <w:spacing w:after="0"/>
              <w:rPr>
                <w:sz w:val="20"/>
                <w:szCs w:val="20"/>
                <w:color w:val="auto"/>
              </w:rPr>
            </w:pPr>
            <w:r>
              <w:rPr>
                <w:rFonts w:ascii="Arial" w:cs="Arial" w:eastAsia="Arial" w:hAnsi="Arial"/>
                <w:sz w:val="19"/>
                <w:szCs w:val="19"/>
                <w:color w:val="auto"/>
              </w:rPr>
              <w:t>89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3.17</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w w:val="94"/>
              </w:rPr>
              <w:t>Employment Matters</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90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3.18</w:t>
            </w:r>
          </w:p>
        </w:tc>
        <w:tc>
          <w:tcPr>
            <w:tcW w:w="1900" w:type="dxa"/>
            <w:vAlign w:val="bottom"/>
            <w:gridSpan w:val="4"/>
          </w:tcPr>
          <w:p>
            <w:pPr>
              <w:ind w:left="240"/>
              <w:spacing w:after="0"/>
              <w:rPr>
                <w:sz w:val="20"/>
                <w:szCs w:val="20"/>
                <w:color w:val="auto"/>
              </w:rPr>
            </w:pPr>
            <w:r>
              <w:rPr>
                <w:rFonts w:ascii="Arial" w:cs="Arial" w:eastAsia="Arial" w:hAnsi="Arial"/>
                <w:sz w:val="19"/>
                <w:szCs w:val="19"/>
                <w:color w:val="auto"/>
                <w:w w:val="97"/>
              </w:rPr>
              <w:t>Common Enterprise</w:t>
            </w:r>
          </w:p>
        </w:tc>
        <w:tc>
          <w:tcPr>
            <w:tcW w:w="300" w:type="dxa"/>
            <w:vAlign w:val="bottom"/>
          </w:tcPr>
          <w:p>
            <w:pPr>
              <w:jc w:val="right"/>
              <w:spacing w:after="0"/>
              <w:rPr>
                <w:sz w:val="20"/>
                <w:szCs w:val="20"/>
                <w:color w:val="auto"/>
              </w:rPr>
            </w:pPr>
            <w:r>
              <w:rPr>
                <w:rFonts w:ascii="Arial" w:cs="Arial" w:eastAsia="Arial" w:hAnsi="Arial"/>
                <w:sz w:val="19"/>
                <w:szCs w:val="19"/>
                <w:color w:val="auto"/>
              </w:rPr>
              <w:t>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3.19</w:t>
            </w:r>
          </w:p>
        </w:tc>
        <w:tc>
          <w:tcPr>
            <w:tcW w:w="2580" w:type="dxa"/>
            <w:vAlign w:val="bottom"/>
            <w:gridSpan w:val="7"/>
          </w:tcPr>
          <w:p>
            <w:pPr>
              <w:ind w:left="240"/>
              <w:spacing w:after="0"/>
              <w:rPr>
                <w:sz w:val="20"/>
                <w:szCs w:val="20"/>
                <w:color w:val="auto"/>
              </w:rPr>
            </w:pPr>
            <w:r>
              <w:rPr>
                <w:rFonts w:ascii="Arial" w:cs="Arial" w:eastAsia="Arial" w:hAnsi="Arial"/>
                <w:sz w:val="19"/>
                <w:szCs w:val="19"/>
                <w:color w:val="auto"/>
                <w:w w:val="93"/>
              </w:rPr>
              <w:t>Ranking; Other Indebtedness</w:t>
            </w:r>
          </w:p>
        </w:tc>
        <w:tc>
          <w:tcPr>
            <w:tcW w:w="720" w:type="dxa"/>
            <w:vAlign w:val="bottom"/>
            <w:gridSpan w:val="2"/>
          </w:tcPr>
          <w:p>
            <w:pPr>
              <w:jc w:val="right"/>
              <w:ind w:right="365"/>
              <w:spacing w:after="0"/>
              <w:rPr>
                <w:sz w:val="20"/>
                <w:szCs w:val="20"/>
                <w:color w:val="auto"/>
              </w:rPr>
            </w:pPr>
            <w:r>
              <w:rPr>
                <w:rFonts w:ascii="Arial" w:cs="Arial" w:eastAsia="Arial" w:hAnsi="Arial"/>
                <w:sz w:val="19"/>
                <w:szCs w:val="19"/>
                <w:color w:val="auto"/>
              </w:rPr>
              <w:t>90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3.20</w:t>
            </w:r>
          </w:p>
        </w:tc>
        <w:tc>
          <w:tcPr>
            <w:tcW w:w="3440" w:type="dxa"/>
            <w:vAlign w:val="bottom"/>
            <w:gridSpan w:val="10"/>
          </w:tcPr>
          <w:p>
            <w:pPr>
              <w:ind w:left="240"/>
              <w:spacing w:after="0"/>
              <w:rPr>
                <w:sz w:val="20"/>
                <w:szCs w:val="20"/>
                <w:color w:val="auto"/>
              </w:rPr>
            </w:pPr>
            <w:r>
              <w:rPr>
                <w:rFonts w:ascii="Arial" w:cs="Arial" w:eastAsia="Arial" w:hAnsi="Arial"/>
                <w:sz w:val="19"/>
                <w:szCs w:val="19"/>
                <w:color w:val="auto"/>
                <w:w w:val="94"/>
              </w:rPr>
              <w:t>Anti-Corruption Laws and Sanctions  90</w:t>
            </w: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IV.</w:t>
            </w:r>
          </w:p>
        </w:tc>
        <w:tc>
          <w:tcPr>
            <w:tcW w:w="1360" w:type="dxa"/>
            <w:vAlign w:val="bottom"/>
            <w:gridSpan w:val="2"/>
          </w:tcPr>
          <w:p>
            <w:pPr>
              <w:ind w:left="180"/>
              <w:spacing w:after="0"/>
              <w:rPr>
                <w:sz w:val="20"/>
                <w:szCs w:val="20"/>
                <w:color w:val="auto"/>
              </w:rPr>
            </w:pPr>
            <w:r>
              <w:rPr>
                <w:rFonts w:ascii="Arial" w:cs="Arial" w:eastAsia="Arial" w:hAnsi="Arial"/>
                <w:sz w:val="19"/>
                <w:szCs w:val="19"/>
                <w:color w:val="auto"/>
                <w:w w:val="97"/>
              </w:rPr>
              <w:t>CONDITIONS</w:t>
            </w:r>
          </w:p>
        </w:tc>
        <w:tc>
          <w:tcPr>
            <w:tcW w:w="720" w:type="dxa"/>
            <w:vAlign w:val="bottom"/>
            <w:gridSpan w:val="2"/>
          </w:tcPr>
          <w:p>
            <w:pPr>
              <w:jc w:val="right"/>
              <w:ind w:right="245"/>
              <w:spacing w:after="0"/>
              <w:rPr>
                <w:sz w:val="20"/>
                <w:szCs w:val="20"/>
                <w:color w:val="auto"/>
              </w:rPr>
            </w:pPr>
            <w:r>
              <w:rPr>
                <w:rFonts w:ascii="Arial" w:cs="Arial" w:eastAsia="Arial" w:hAnsi="Arial"/>
                <w:sz w:val="19"/>
                <w:szCs w:val="19"/>
                <w:color w:val="auto"/>
              </w:rPr>
              <w:t>91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4.01</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w w:val="87"/>
              </w:rPr>
              <w:t>Second Restatement Date</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4.02</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rPr>
              <w:t>Each Credit Event  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V.</w:t>
            </w:r>
          </w:p>
        </w:tc>
        <w:tc>
          <w:tcPr>
            <w:tcW w:w="2720" w:type="dxa"/>
            <w:vAlign w:val="bottom"/>
            <w:gridSpan w:val="6"/>
          </w:tcPr>
          <w:p>
            <w:pPr>
              <w:ind w:left="180"/>
              <w:spacing w:after="0"/>
              <w:rPr>
                <w:sz w:val="20"/>
                <w:szCs w:val="20"/>
                <w:color w:val="auto"/>
              </w:rPr>
            </w:pPr>
            <w:r>
              <w:rPr>
                <w:rFonts w:ascii="Arial" w:cs="Arial" w:eastAsia="Arial" w:hAnsi="Arial"/>
                <w:sz w:val="19"/>
                <w:szCs w:val="19"/>
                <w:color w:val="auto"/>
              </w:rPr>
              <w:t>AFFIRMATIVE COVENANTS</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w w:val="84"/>
              </w:rPr>
              <w:t>94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5.01</w:t>
            </w:r>
          </w:p>
        </w:tc>
        <w:tc>
          <w:tcPr>
            <w:tcW w:w="7820" w:type="dxa"/>
            <w:vAlign w:val="bottom"/>
            <w:gridSpan w:val="12"/>
          </w:tcPr>
          <w:p>
            <w:pPr>
              <w:ind w:left="240"/>
              <w:spacing w:after="0"/>
              <w:rPr>
                <w:sz w:val="20"/>
                <w:szCs w:val="20"/>
                <w:color w:val="auto"/>
              </w:rPr>
            </w:pPr>
            <w:r>
              <w:rPr>
                <w:rFonts w:ascii="Arial" w:cs="Arial" w:eastAsia="Arial" w:hAnsi="Arial"/>
                <w:sz w:val="19"/>
                <w:szCs w:val="19"/>
                <w:color w:val="auto"/>
                <w:w w:val="92"/>
              </w:rPr>
              <w:t>Financial Statements; Canadian Borrowing Base; U.S. Borrowing Base and Other Information  94</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5.02</w:t>
            </w:r>
          </w:p>
        </w:tc>
        <w:tc>
          <w:tcPr>
            <w:tcW w:w="2300" w:type="dxa"/>
            <w:vAlign w:val="bottom"/>
            <w:gridSpan w:val="6"/>
          </w:tcPr>
          <w:p>
            <w:pPr>
              <w:ind w:left="240"/>
              <w:spacing w:after="0"/>
              <w:rPr>
                <w:sz w:val="20"/>
                <w:szCs w:val="20"/>
                <w:color w:val="auto"/>
              </w:rPr>
            </w:pPr>
            <w:r>
              <w:rPr>
                <w:rFonts w:ascii="Arial" w:cs="Arial" w:eastAsia="Arial" w:hAnsi="Arial"/>
                <w:sz w:val="19"/>
                <w:szCs w:val="19"/>
                <w:color w:val="auto"/>
                <w:w w:val="92"/>
              </w:rPr>
              <w:t>Notices of Material Events</w:t>
            </w:r>
          </w:p>
        </w:tc>
        <w:tc>
          <w:tcPr>
            <w:tcW w:w="480" w:type="dxa"/>
            <w:vAlign w:val="bottom"/>
            <w:gridSpan w:val="2"/>
          </w:tcPr>
          <w:p>
            <w:pPr>
              <w:jc w:val="right"/>
              <w:ind w:right="25"/>
              <w:spacing w:after="0"/>
              <w:rPr>
                <w:sz w:val="20"/>
                <w:szCs w:val="20"/>
                <w:color w:val="auto"/>
              </w:rPr>
            </w:pPr>
            <w:r>
              <w:rPr>
                <w:rFonts w:ascii="Arial" w:cs="Arial" w:eastAsia="Arial" w:hAnsi="Arial"/>
                <w:sz w:val="19"/>
                <w:szCs w:val="19"/>
                <w:color w:val="auto"/>
              </w:rPr>
              <w:t>98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5.03</w:t>
            </w:r>
          </w:p>
        </w:tc>
        <w:tc>
          <w:tcPr>
            <w:tcW w:w="2780" w:type="dxa"/>
            <w:vAlign w:val="bottom"/>
            <w:gridSpan w:val="8"/>
          </w:tcPr>
          <w:p>
            <w:pPr>
              <w:ind w:left="240"/>
              <w:spacing w:after="0"/>
              <w:rPr>
                <w:sz w:val="20"/>
                <w:szCs w:val="20"/>
                <w:color w:val="auto"/>
              </w:rPr>
            </w:pPr>
            <w:r>
              <w:rPr>
                <w:rFonts w:ascii="Arial" w:cs="Arial" w:eastAsia="Arial" w:hAnsi="Arial"/>
                <w:sz w:val="19"/>
                <w:szCs w:val="19"/>
                <w:color w:val="auto"/>
                <w:w w:val="94"/>
              </w:rPr>
              <w:t>Existence; Conduct of Business</w:t>
            </w:r>
          </w:p>
        </w:tc>
        <w:tc>
          <w:tcPr>
            <w:tcW w:w="520" w:type="dxa"/>
            <w:vAlign w:val="bottom"/>
          </w:tcPr>
          <w:p>
            <w:pPr>
              <w:jc w:val="right"/>
              <w:ind w:right="165"/>
              <w:spacing w:after="0"/>
              <w:rPr>
                <w:sz w:val="20"/>
                <w:szCs w:val="20"/>
                <w:color w:val="auto"/>
              </w:rPr>
            </w:pPr>
            <w:r>
              <w:rPr>
                <w:rFonts w:ascii="Arial" w:cs="Arial" w:eastAsia="Arial" w:hAnsi="Arial"/>
                <w:sz w:val="19"/>
                <w:szCs w:val="19"/>
                <w:color w:val="auto"/>
              </w:rPr>
              <w:t>99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5.04</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w w:val="98"/>
              </w:rPr>
              <w:t>Payment of Obligations</w:t>
            </w:r>
          </w:p>
        </w:tc>
        <w:tc>
          <w:tcPr>
            <w:tcW w:w="380" w:type="dxa"/>
            <w:vAlign w:val="bottom"/>
            <w:gridSpan w:val="2"/>
          </w:tcPr>
          <w:p>
            <w:pPr>
              <w:jc w:val="right"/>
              <w:ind w:right="65"/>
              <w:spacing w:after="0"/>
              <w:rPr>
                <w:sz w:val="20"/>
                <w:szCs w:val="20"/>
                <w:color w:val="auto"/>
              </w:rPr>
            </w:pPr>
            <w:r>
              <w:rPr>
                <w:rFonts w:ascii="Arial" w:cs="Arial" w:eastAsia="Arial" w:hAnsi="Arial"/>
                <w:sz w:val="19"/>
                <w:szCs w:val="19"/>
                <w:color w:val="auto"/>
                <w:w w:val="94"/>
              </w:rPr>
              <w:t>99</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5.05</w:t>
            </w:r>
          </w:p>
        </w:tc>
        <w:tc>
          <w:tcPr>
            <w:tcW w:w="2300" w:type="dxa"/>
            <w:vAlign w:val="bottom"/>
            <w:gridSpan w:val="6"/>
          </w:tcPr>
          <w:p>
            <w:pPr>
              <w:ind w:left="240"/>
              <w:spacing w:after="0"/>
              <w:rPr>
                <w:sz w:val="20"/>
                <w:szCs w:val="20"/>
                <w:color w:val="auto"/>
              </w:rPr>
            </w:pPr>
            <w:r>
              <w:rPr>
                <w:rFonts w:ascii="Arial" w:cs="Arial" w:eastAsia="Arial" w:hAnsi="Arial"/>
                <w:sz w:val="19"/>
                <w:szCs w:val="19"/>
                <w:color w:val="auto"/>
                <w:w w:val="91"/>
              </w:rPr>
              <w:t>Maintenance of Properties</w:t>
            </w:r>
          </w:p>
        </w:tc>
        <w:tc>
          <w:tcPr>
            <w:tcW w:w="480" w:type="dxa"/>
            <w:vAlign w:val="bottom"/>
            <w:gridSpan w:val="2"/>
          </w:tcPr>
          <w:p>
            <w:pPr>
              <w:jc w:val="right"/>
              <w:ind w:right="65"/>
              <w:spacing w:after="0"/>
              <w:rPr>
                <w:sz w:val="20"/>
                <w:szCs w:val="20"/>
                <w:color w:val="auto"/>
              </w:rPr>
            </w:pPr>
            <w:r>
              <w:rPr>
                <w:rFonts w:ascii="Arial" w:cs="Arial" w:eastAsia="Arial" w:hAnsi="Arial"/>
                <w:sz w:val="19"/>
                <w:szCs w:val="19"/>
                <w:color w:val="auto"/>
              </w:rPr>
              <w:t>99</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5.06</w:t>
            </w:r>
          </w:p>
        </w:tc>
        <w:tc>
          <w:tcPr>
            <w:tcW w:w="3300" w:type="dxa"/>
            <w:vAlign w:val="bottom"/>
            <w:gridSpan w:val="9"/>
          </w:tcPr>
          <w:p>
            <w:pPr>
              <w:ind w:left="240"/>
              <w:spacing w:after="0"/>
              <w:rPr>
                <w:sz w:val="20"/>
                <w:szCs w:val="20"/>
                <w:color w:val="auto"/>
              </w:rPr>
            </w:pPr>
            <w:r>
              <w:rPr>
                <w:rFonts w:ascii="Arial" w:cs="Arial" w:eastAsia="Arial" w:hAnsi="Arial"/>
                <w:sz w:val="19"/>
                <w:szCs w:val="19"/>
                <w:color w:val="auto"/>
                <w:w w:val="94"/>
              </w:rPr>
              <w:t>Books and Records; Inspection Rights</w:t>
            </w:r>
          </w:p>
        </w:tc>
        <w:tc>
          <w:tcPr>
            <w:tcW w:w="700" w:type="dxa"/>
            <w:vAlign w:val="bottom"/>
            <w:gridSpan w:val="2"/>
          </w:tcPr>
          <w:p>
            <w:pPr>
              <w:jc w:val="right"/>
              <w:ind w:right="365"/>
              <w:spacing w:after="0"/>
              <w:rPr>
                <w:sz w:val="20"/>
                <w:szCs w:val="20"/>
                <w:color w:val="auto"/>
              </w:rPr>
            </w:pPr>
            <w:r>
              <w:rPr>
                <w:rFonts w:ascii="Arial" w:cs="Arial" w:eastAsia="Arial" w:hAnsi="Arial"/>
                <w:sz w:val="19"/>
                <w:szCs w:val="19"/>
                <w:color w:val="auto"/>
              </w:rPr>
              <w:t>99</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5.07</w:t>
            </w:r>
          </w:p>
        </w:tc>
        <w:tc>
          <w:tcPr>
            <w:tcW w:w="2200" w:type="dxa"/>
            <w:vAlign w:val="bottom"/>
            <w:gridSpan w:val="5"/>
          </w:tcPr>
          <w:p>
            <w:pPr>
              <w:ind w:left="240"/>
              <w:spacing w:after="0"/>
              <w:rPr>
                <w:sz w:val="20"/>
                <w:szCs w:val="20"/>
                <w:color w:val="auto"/>
              </w:rPr>
            </w:pPr>
            <w:r>
              <w:rPr>
                <w:rFonts w:ascii="Arial" w:cs="Arial" w:eastAsia="Arial" w:hAnsi="Arial"/>
                <w:sz w:val="19"/>
                <w:szCs w:val="19"/>
                <w:color w:val="auto"/>
              </w:rPr>
              <w:t>Compliance with Laws</w:t>
            </w:r>
          </w:p>
        </w:tc>
        <w:tc>
          <w:tcPr>
            <w:tcW w:w="380" w:type="dxa"/>
            <w:vAlign w:val="bottom"/>
            <w:gridSpan w:val="2"/>
          </w:tcPr>
          <w:p>
            <w:pPr>
              <w:jc w:val="right"/>
              <w:ind w:right="5"/>
              <w:spacing w:after="0"/>
              <w:rPr>
                <w:sz w:val="20"/>
                <w:szCs w:val="20"/>
                <w:color w:val="auto"/>
              </w:rPr>
            </w:pPr>
            <w:r>
              <w:rPr>
                <w:rFonts w:ascii="Arial" w:cs="Arial" w:eastAsia="Arial" w:hAnsi="Arial"/>
                <w:sz w:val="19"/>
                <w:szCs w:val="19"/>
                <w:color w:val="auto"/>
                <w:w w:val="81"/>
              </w:rPr>
              <w:t>100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5.08</w:t>
            </w:r>
          </w:p>
        </w:tc>
        <w:tc>
          <w:tcPr>
            <w:tcW w:w="1560" w:type="dxa"/>
            <w:vAlign w:val="bottom"/>
            <w:gridSpan w:val="3"/>
          </w:tcPr>
          <w:p>
            <w:pPr>
              <w:ind w:left="240"/>
              <w:spacing w:after="0"/>
              <w:rPr>
                <w:sz w:val="20"/>
                <w:szCs w:val="20"/>
                <w:color w:val="auto"/>
              </w:rPr>
            </w:pPr>
            <w:r>
              <w:rPr>
                <w:rFonts w:ascii="Arial" w:cs="Arial" w:eastAsia="Arial" w:hAnsi="Arial"/>
                <w:sz w:val="19"/>
                <w:szCs w:val="19"/>
                <w:color w:val="auto"/>
                <w:w w:val="92"/>
              </w:rPr>
              <w:t>Use of Proceeds</w:t>
            </w:r>
          </w:p>
        </w:tc>
        <w:tc>
          <w:tcPr>
            <w:tcW w:w="640" w:type="dxa"/>
            <w:vAlign w:val="bottom"/>
            <w:gridSpan w:val="2"/>
          </w:tcPr>
          <w:p>
            <w:pPr>
              <w:jc w:val="right"/>
              <w:ind w:right="145"/>
              <w:spacing w:after="0"/>
              <w:rPr>
                <w:sz w:val="20"/>
                <w:szCs w:val="20"/>
                <w:color w:val="auto"/>
              </w:rPr>
            </w:pPr>
            <w:r>
              <w:rPr>
                <w:rFonts w:ascii="Arial" w:cs="Arial" w:eastAsia="Arial" w:hAnsi="Arial"/>
                <w:sz w:val="19"/>
                <w:szCs w:val="19"/>
                <w:color w:val="auto"/>
              </w:rPr>
              <w:t>100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5.09</w:t>
            </w:r>
          </w:p>
        </w:tc>
        <w:tc>
          <w:tcPr>
            <w:tcW w:w="1100" w:type="dxa"/>
            <w:vAlign w:val="bottom"/>
            <w:gridSpan w:val="2"/>
          </w:tcPr>
          <w:p>
            <w:pPr>
              <w:ind w:left="240"/>
              <w:spacing w:after="0"/>
              <w:rPr>
                <w:sz w:val="20"/>
                <w:szCs w:val="20"/>
                <w:color w:val="auto"/>
              </w:rPr>
            </w:pPr>
            <w:r>
              <w:rPr>
                <w:rFonts w:ascii="Arial" w:cs="Arial" w:eastAsia="Arial" w:hAnsi="Arial"/>
                <w:sz w:val="19"/>
                <w:szCs w:val="19"/>
                <w:color w:val="auto"/>
              </w:rPr>
              <w:t>Insurance</w:t>
            </w:r>
          </w:p>
        </w:tc>
        <w:tc>
          <w:tcPr>
            <w:tcW w:w="460" w:type="dxa"/>
            <w:vAlign w:val="bottom"/>
          </w:tcPr>
          <w:p>
            <w:pPr>
              <w:jc w:val="right"/>
              <w:ind w:right="5"/>
              <w:spacing w:after="0"/>
              <w:rPr>
                <w:sz w:val="20"/>
                <w:szCs w:val="20"/>
                <w:color w:val="auto"/>
              </w:rPr>
            </w:pPr>
            <w:r>
              <w:rPr>
                <w:rFonts w:ascii="Arial" w:cs="Arial" w:eastAsia="Arial" w:hAnsi="Arial"/>
                <w:sz w:val="19"/>
                <w:szCs w:val="19"/>
                <w:color w:val="auto"/>
              </w:rPr>
              <w:t>101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5.10</w:t>
            </w:r>
          </w:p>
        </w:tc>
        <w:tc>
          <w:tcPr>
            <w:tcW w:w="2580" w:type="dxa"/>
            <w:vAlign w:val="bottom"/>
            <w:gridSpan w:val="7"/>
          </w:tcPr>
          <w:p>
            <w:pPr>
              <w:ind w:left="240"/>
              <w:spacing w:after="0"/>
              <w:rPr>
                <w:sz w:val="20"/>
                <w:szCs w:val="20"/>
                <w:color w:val="auto"/>
              </w:rPr>
            </w:pPr>
            <w:r>
              <w:rPr>
                <w:rFonts w:ascii="Arial" w:cs="Arial" w:eastAsia="Arial" w:hAnsi="Arial"/>
                <w:sz w:val="19"/>
                <w:szCs w:val="19"/>
                <w:color w:val="auto"/>
                <w:w w:val="96"/>
              </w:rPr>
              <w:t>Casualty and Condemnation</w:t>
            </w:r>
          </w:p>
        </w:tc>
        <w:tc>
          <w:tcPr>
            <w:tcW w:w="720" w:type="dxa"/>
            <w:vAlign w:val="bottom"/>
            <w:gridSpan w:val="2"/>
          </w:tcPr>
          <w:p>
            <w:pPr>
              <w:jc w:val="right"/>
              <w:ind w:right="325"/>
              <w:spacing w:after="0"/>
              <w:rPr>
                <w:sz w:val="20"/>
                <w:szCs w:val="20"/>
                <w:color w:val="auto"/>
              </w:rPr>
            </w:pPr>
            <w:r>
              <w:rPr>
                <w:rFonts w:ascii="Arial" w:cs="Arial" w:eastAsia="Arial" w:hAnsi="Arial"/>
                <w:sz w:val="19"/>
                <w:szCs w:val="19"/>
                <w:color w:val="auto"/>
                <w:w w:val="88"/>
              </w:rPr>
              <w:t>101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5.11</w:t>
            </w:r>
          </w:p>
        </w:tc>
        <w:tc>
          <w:tcPr>
            <w:tcW w:w="2780" w:type="dxa"/>
            <w:vAlign w:val="bottom"/>
            <w:gridSpan w:val="8"/>
          </w:tcPr>
          <w:p>
            <w:pPr>
              <w:ind w:left="240"/>
              <w:spacing w:after="0"/>
              <w:rPr>
                <w:sz w:val="20"/>
                <w:szCs w:val="20"/>
                <w:color w:val="auto"/>
              </w:rPr>
            </w:pPr>
            <w:r>
              <w:rPr>
                <w:rFonts w:ascii="Arial" w:cs="Arial" w:eastAsia="Arial" w:hAnsi="Arial"/>
                <w:sz w:val="19"/>
                <w:szCs w:val="19"/>
                <w:color w:val="auto"/>
                <w:w w:val="96"/>
              </w:rPr>
              <w:t>Appraisals; Field Examinations</w:t>
            </w:r>
          </w:p>
        </w:tc>
        <w:tc>
          <w:tcPr>
            <w:tcW w:w="520" w:type="dxa"/>
            <w:vAlign w:val="bottom"/>
          </w:tcPr>
          <w:p>
            <w:pPr>
              <w:jc w:val="right"/>
              <w:ind w:right="85"/>
              <w:spacing w:after="0"/>
              <w:rPr>
                <w:sz w:val="20"/>
                <w:szCs w:val="20"/>
                <w:color w:val="auto"/>
              </w:rPr>
            </w:pPr>
            <w:r>
              <w:rPr>
                <w:rFonts w:ascii="Arial" w:cs="Arial" w:eastAsia="Arial" w:hAnsi="Arial"/>
                <w:sz w:val="19"/>
                <w:szCs w:val="19"/>
                <w:color w:val="auto"/>
              </w:rPr>
              <w:t>101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5.12</w:t>
            </w:r>
          </w:p>
        </w:tc>
        <w:tc>
          <w:tcPr>
            <w:tcW w:w="3300" w:type="dxa"/>
            <w:vAlign w:val="bottom"/>
            <w:gridSpan w:val="9"/>
          </w:tcPr>
          <w:p>
            <w:pPr>
              <w:ind w:left="240"/>
              <w:spacing w:after="0"/>
              <w:rPr>
                <w:sz w:val="20"/>
                <w:szCs w:val="20"/>
                <w:color w:val="auto"/>
              </w:rPr>
            </w:pPr>
            <w:r>
              <w:rPr>
                <w:rFonts w:ascii="Arial" w:cs="Arial" w:eastAsia="Arial" w:hAnsi="Arial"/>
                <w:sz w:val="19"/>
                <w:szCs w:val="19"/>
                <w:color w:val="auto"/>
                <w:w w:val="92"/>
              </w:rPr>
              <w:t>Depository Banks; Control Agreements</w:t>
            </w:r>
          </w:p>
        </w:tc>
        <w:tc>
          <w:tcPr>
            <w:tcW w:w="140" w:type="dxa"/>
            <w:vAlign w:val="bottom"/>
          </w:tcPr>
          <w:p>
            <w:pPr>
              <w:spacing w:after="0"/>
              <w:rPr>
                <w:sz w:val="24"/>
                <w:szCs w:val="24"/>
                <w:color w:val="auto"/>
              </w:rPr>
            </w:pPr>
          </w:p>
        </w:tc>
        <w:tc>
          <w:tcPr>
            <w:tcW w:w="560" w:type="dxa"/>
            <w:vAlign w:val="bottom"/>
          </w:tcPr>
          <w:p>
            <w:pPr>
              <w:jc w:val="right"/>
              <w:ind w:right="165"/>
              <w:spacing w:after="0"/>
              <w:rPr>
                <w:sz w:val="20"/>
                <w:szCs w:val="20"/>
                <w:color w:val="auto"/>
              </w:rPr>
            </w:pPr>
            <w:r>
              <w:rPr>
                <w:rFonts w:ascii="Arial" w:cs="Arial" w:eastAsia="Arial" w:hAnsi="Arial"/>
                <w:sz w:val="19"/>
                <w:szCs w:val="19"/>
                <w:color w:val="auto"/>
                <w:w w:val="88"/>
              </w:rPr>
              <w:t>102</w:t>
            </w:r>
          </w:p>
        </w:tc>
        <w:tc>
          <w:tcPr>
            <w:tcW w:w="382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5.13</w:t>
            </w:r>
          </w:p>
        </w:tc>
        <w:tc>
          <w:tcPr>
            <w:tcW w:w="3440" w:type="dxa"/>
            <w:vAlign w:val="bottom"/>
            <w:gridSpan w:val="10"/>
          </w:tcPr>
          <w:p>
            <w:pPr>
              <w:ind w:left="240"/>
              <w:spacing w:after="0"/>
              <w:rPr>
                <w:sz w:val="20"/>
                <w:szCs w:val="20"/>
                <w:color w:val="auto"/>
              </w:rPr>
            </w:pPr>
            <w:r>
              <w:rPr>
                <w:rFonts w:ascii="Arial" w:cs="Arial" w:eastAsia="Arial" w:hAnsi="Arial"/>
                <w:sz w:val="19"/>
                <w:szCs w:val="19"/>
                <w:color w:val="auto"/>
                <w:w w:val="92"/>
              </w:rPr>
              <w:t>Additional Collateral; Further Assurances</w:t>
            </w:r>
          </w:p>
        </w:tc>
        <w:tc>
          <w:tcPr>
            <w:tcW w:w="560" w:type="dxa"/>
            <w:vAlign w:val="bottom"/>
          </w:tcPr>
          <w:p>
            <w:pPr>
              <w:jc w:val="right"/>
              <w:ind w:right="5"/>
              <w:spacing w:after="0"/>
              <w:rPr>
                <w:sz w:val="20"/>
                <w:szCs w:val="20"/>
                <w:color w:val="auto"/>
              </w:rPr>
            </w:pPr>
            <w:r>
              <w:rPr>
                <w:rFonts w:ascii="Arial" w:cs="Arial" w:eastAsia="Arial" w:hAnsi="Arial"/>
                <w:sz w:val="19"/>
                <w:szCs w:val="19"/>
                <w:color w:val="auto"/>
              </w:rPr>
              <w:t>103</w:t>
            </w:r>
          </w:p>
        </w:tc>
        <w:tc>
          <w:tcPr>
            <w:tcW w:w="3820" w:type="dxa"/>
            <w:vAlign w:val="bottom"/>
          </w:tcPr>
          <w:p>
            <w:pPr>
              <w:spacing w:after="0"/>
              <w:rPr>
                <w:sz w:val="24"/>
                <w:szCs w:val="24"/>
                <w:color w:val="auto"/>
              </w:rPr>
            </w:pPr>
          </w:p>
        </w:tc>
      </w:tr>
    </w:tbl>
    <w:p>
      <w:pPr>
        <w:sectPr>
          <w:pgSz w:w="11900" w:h="16838" w:orient="portrait"/>
          <w:cols w:equalWidth="0" w:num="1">
            <w:col w:w="10219"/>
          </w:cols>
          <w:pgMar w:left="240" w:top="132"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5.14</w:t>
            </w:r>
          </w:p>
        </w:tc>
        <w:tc>
          <w:tcPr>
            <w:tcW w:w="2840" w:type="dxa"/>
            <w:vAlign w:val="bottom"/>
            <w:gridSpan w:val="5"/>
          </w:tcPr>
          <w:p>
            <w:pPr>
              <w:ind w:left="240"/>
              <w:spacing w:after="0"/>
              <w:rPr>
                <w:sz w:val="20"/>
                <w:szCs w:val="20"/>
                <w:color w:val="auto"/>
              </w:rPr>
            </w:pPr>
            <w:r>
              <w:rPr>
                <w:rFonts w:ascii="Arial" w:cs="Arial" w:eastAsia="Arial" w:hAnsi="Arial"/>
                <w:sz w:val="19"/>
                <w:szCs w:val="19"/>
                <w:color w:val="auto"/>
                <w:w w:val="96"/>
              </w:rPr>
              <w:t>Covenants Regarding Accounts</w:t>
            </w:r>
          </w:p>
        </w:tc>
        <w:tc>
          <w:tcPr>
            <w:tcW w:w="3900" w:type="dxa"/>
            <w:vAlign w:val="bottom"/>
          </w:tcPr>
          <w:p>
            <w:pPr>
              <w:jc w:val="right"/>
              <w:ind w:right="3525"/>
              <w:spacing w:after="0"/>
              <w:rPr>
                <w:sz w:val="20"/>
                <w:szCs w:val="20"/>
                <w:color w:val="auto"/>
              </w:rPr>
            </w:pPr>
            <w:r>
              <w:rPr>
                <w:rFonts w:ascii="Arial" w:cs="Arial" w:eastAsia="Arial" w:hAnsi="Arial"/>
                <w:sz w:val="19"/>
                <w:szCs w:val="19"/>
                <w:color w:val="auto"/>
                <w:w w:val="81"/>
              </w:rPr>
              <w:t>105</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5.15</w:t>
            </w:r>
          </w:p>
        </w:tc>
        <w:tc>
          <w:tcPr>
            <w:tcW w:w="6740" w:type="dxa"/>
            <w:vAlign w:val="bottom"/>
            <w:gridSpan w:val="6"/>
          </w:tcPr>
          <w:p>
            <w:pPr>
              <w:ind w:left="240"/>
              <w:spacing w:after="0"/>
              <w:rPr>
                <w:sz w:val="20"/>
                <w:szCs w:val="20"/>
                <w:color w:val="auto"/>
              </w:rPr>
            </w:pPr>
            <w:r>
              <w:rPr>
                <w:rFonts w:ascii="Arial" w:cs="Arial" w:eastAsia="Arial" w:hAnsi="Arial"/>
                <w:sz w:val="19"/>
                <w:szCs w:val="19"/>
                <w:color w:val="auto"/>
              </w:rPr>
              <w:t>Obligations under Term Loan Documents  106</w:t>
            </w:r>
          </w:p>
        </w:tc>
      </w:tr>
      <w:tr>
        <w:trPr>
          <w:trHeight w:val="322"/>
        </w:trPr>
        <w:tc>
          <w:tcPr>
            <w:tcW w:w="1320" w:type="dxa"/>
            <w:vAlign w:val="bottom"/>
          </w:tcPr>
          <w:p>
            <w:pPr>
              <w:spacing w:after="0"/>
              <w:rPr>
                <w:sz w:val="20"/>
                <w:szCs w:val="20"/>
                <w:color w:val="auto"/>
              </w:rPr>
            </w:pPr>
            <w:r>
              <w:rPr>
                <w:rFonts w:ascii="Arial" w:cs="Arial" w:eastAsia="Arial" w:hAnsi="Arial"/>
                <w:sz w:val="19"/>
                <w:szCs w:val="19"/>
                <w:color w:val="auto"/>
              </w:rPr>
              <w:t>ARTICLE VI.</w:t>
            </w:r>
          </w:p>
        </w:tc>
        <w:tc>
          <w:tcPr>
            <w:tcW w:w="2960" w:type="dxa"/>
            <w:vAlign w:val="bottom"/>
            <w:gridSpan w:val="5"/>
          </w:tcPr>
          <w:p>
            <w:pPr>
              <w:ind w:left="100"/>
              <w:spacing w:after="0"/>
              <w:rPr>
                <w:sz w:val="20"/>
                <w:szCs w:val="20"/>
                <w:color w:val="auto"/>
              </w:rPr>
            </w:pPr>
            <w:r>
              <w:rPr>
                <w:rFonts w:ascii="Arial" w:cs="Arial" w:eastAsia="Arial" w:hAnsi="Arial"/>
                <w:sz w:val="19"/>
                <w:szCs w:val="19"/>
                <w:color w:val="auto"/>
              </w:rPr>
              <w:t>NEGATIVE COVENANTS  106</w:t>
            </w: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6.01</w:t>
            </w:r>
          </w:p>
        </w:tc>
        <w:tc>
          <w:tcPr>
            <w:tcW w:w="1280" w:type="dxa"/>
            <w:vAlign w:val="bottom"/>
          </w:tcPr>
          <w:p>
            <w:pPr>
              <w:ind w:left="240"/>
              <w:spacing w:after="0"/>
              <w:rPr>
                <w:sz w:val="20"/>
                <w:szCs w:val="20"/>
                <w:color w:val="auto"/>
              </w:rPr>
            </w:pPr>
            <w:r>
              <w:rPr>
                <w:rFonts w:ascii="Arial" w:cs="Arial" w:eastAsia="Arial" w:hAnsi="Arial"/>
                <w:sz w:val="19"/>
                <w:szCs w:val="19"/>
                <w:color w:val="auto"/>
                <w:w w:val="89"/>
              </w:rPr>
              <w:t>Indebtedness</w:t>
            </w:r>
          </w:p>
        </w:tc>
        <w:tc>
          <w:tcPr>
            <w:tcW w:w="460" w:type="dxa"/>
            <w:vAlign w:val="bottom"/>
          </w:tcPr>
          <w:p>
            <w:pPr>
              <w:jc w:val="right"/>
              <w:spacing w:after="0"/>
              <w:rPr>
                <w:sz w:val="20"/>
                <w:szCs w:val="20"/>
                <w:color w:val="auto"/>
              </w:rPr>
            </w:pPr>
            <w:r>
              <w:rPr>
                <w:rFonts w:ascii="Arial" w:cs="Arial" w:eastAsia="Arial" w:hAnsi="Arial"/>
                <w:sz w:val="19"/>
                <w:szCs w:val="19"/>
                <w:color w:val="auto"/>
              </w:rPr>
              <w:t>106</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6.02</w:t>
            </w:r>
          </w:p>
        </w:tc>
        <w:tc>
          <w:tcPr>
            <w:tcW w:w="1280" w:type="dxa"/>
            <w:vAlign w:val="bottom"/>
          </w:tcPr>
          <w:p>
            <w:pPr>
              <w:ind w:left="240"/>
              <w:spacing w:after="0"/>
              <w:rPr>
                <w:sz w:val="20"/>
                <w:szCs w:val="20"/>
                <w:color w:val="auto"/>
              </w:rPr>
            </w:pPr>
            <w:r>
              <w:rPr>
                <w:rFonts w:ascii="Arial" w:cs="Arial" w:eastAsia="Arial" w:hAnsi="Arial"/>
                <w:sz w:val="19"/>
                <w:szCs w:val="19"/>
                <w:color w:val="auto"/>
              </w:rPr>
              <w:t>Liens  110</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6.03</w:t>
            </w:r>
          </w:p>
        </w:tc>
        <w:tc>
          <w:tcPr>
            <w:tcW w:w="2120" w:type="dxa"/>
            <w:vAlign w:val="bottom"/>
            <w:gridSpan w:val="3"/>
          </w:tcPr>
          <w:p>
            <w:pPr>
              <w:ind w:left="240"/>
              <w:spacing w:after="0"/>
              <w:rPr>
                <w:sz w:val="20"/>
                <w:szCs w:val="20"/>
                <w:color w:val="auto"/>
              </w:rPr>
            </w:pPr>
            <w:r>
              <w:rPr>
                <w:rFonts w:ascii="Arial" w:cs="Arial" w:eastAsia="Arial" w:hAnsi="Arial"/>
                <w:sz w:val="19"/>
                <w:szCs w:val="19"/>
                <w:color w:val="auto"/>
                <w:w w:val="96"/>
              </w:rPr>
              <w:t>Fundamental Changes</w:t>
            </w:r>
          </w:p>
        </w:tc>
        <w:tc>
          <w:tcPr>
            <w:tcW w:w="400" w:type="dxa"/>
            <w:vAlign w:val="bottom"/>
          </w:tcPr>
          <w:p>
            <w:pPr>
              <w:jc w:val="right"/>
              <w:ind w:right="25"/>
              <w:spacing w:after="0"/>
              <w:rPr>
                <w:sz w:val="20"/>
                <w:szCs w:val="20"/>
                <w:color w:val="auto"/>
              </w:rPr>
            </w:pPr>
            <w:r>
              <w:rPr>
                <w:rFonts w:ascii="Arial" w:cs="Arial" w:eastAsia="Arial" w:hAnsi="Arial"/>
                <w:sz w:val="19"/>
                <w:szCs w:val="19"/>
                <w:color w:val="auto"/>
                <w:w w:val="81"/>
              </w:rPr>
              <w:t>112</w:t>
            </w: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6.04</w:t>
            </w:r>
          </w:p>
        </w:tc>
        <w:tc>
          <w:tcPr>
            <w:tcW w:w="6740" w:type="dxa"/>
            <w:vAlign w:val="bottom"/>
            <w:gridSpan w:val="6"/>
          </w:tcPr>
          <w:p>
            <w:pPr>
              <w:ind w:left="240"/>
              <w:spacing w:after="0"/>
              <w:rPr>
                <w:sz w:val="20"/>
                <w:szCs w:val="20"/>
                <w:color w:val="auto"/>
              </w:rPr>
            </w:pPr>
            <w:r>
              <w:rPr>
                <w:rFonts w:ascii="Arial" w:cs="Arial" w:eastAsia="Arial" w:hAnsi="Arial"/>
                <w:sz w:val="19"/>
                <w:szCs w:val="19"/>
                <w:color w:val="auto"/>
              </w:rPr>
              <w:t>Investments, Loans, Advances, Guarantees and Acquisitions  115</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6.05</w:t>
            </w:r>
          </w:p>
        </w:tc>
        <w:tc>
          <w:tcPr>
            <w:tcW w:w="1280" w:type="dxa"/>
            <w:vAlign w:val="bottom"/>
          </w:tcPr>
          <w:p>
            <w:pPr>
              <w:ind w:left="240"/>
              <w:spacing w:after="0"/>
              <w:rPr>
                <w:sz w:val="20"/>
                <w:szCs w:val="20"/>
                <w:color w:val="auto"/>
              </w:rPr>
            </w:pPr>
            <w:r>
              <w:rPr>
                <w:rFonts w:ascii="Arial" w:cs="Arial" w:eastAsia="Arial" w:hAnsi="Arial"/>
                <w:sz w:val="19"/>
                <w:szCs w:val="19"/>
                <w:color w:val="auto"/>
              </w:rPr>
              <w:t>Asset Sales</w:t>
            </w:r>
          </w:p>
        </w:tc>
        <w:tc>
          <w:tcPr>
            <w:tcW w:w="460" w:type="dxa"/>
            <w:vAlign w:val="bottom"/>
          </w:tcPr>
          <w:p>
            <w:pPr>
              <w:jc w:val="right"/>
              <w:ind w:right="65"/>
              <w:spacing w:after="0"/>
              <w:rPr>
                <w:sz w:val="20"/>
                <w:szCs w:val="20"/>
                <w:color w:val="auto"/>
              </w:rPr>
            </w:pPr>
            <w:r>
              <w:rPr>
                <w:rFonts w:ascii="Arial" w:cs="Arial" w:eastAsia="Arial" w:hAnsi="Arial"/>
                <w:sz w:val="19"/>
                <w:szCs w:val="19"/>
                <w:color w:val="auto"/>
                <w:w w:val="88"/>
              </w:rPr>
              <w:t>117</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6.06</w:t>
            </w:r>
          </w:p>
        </w:tc>
        <w:tc>
          <w:tcPr>
            <w:tcW w:w="2840" w:type="dxa"/>
            <w:vAlign w:val="bottom"/>
            <w:gridSpan w:val="5"/>
          </w:tcPr>
          <w:p>
            <w:pPr>
              <w:ind w:left="240"/>
              <w:spacing w:after="0"/>
              <w:rPr>
                <w:sz w:val="20"/>
                <w:szCs w:val="20"/>
                <w:color w:val="auto"/>
              </w:rPr>
            </w:pPr>
            <w:r>
              <w:rPr>
                <w:rFonts w:ascii="Arial" w:cs="Arial" w:eastAsia="Arial" w:hAnsi="Arial"/>
                <w:sz w:val="19"/>
                <w:szCs w:val="19"/>
                <w:color w:val="auto"/>
                <w:w w:val="90"/>
              </w:rPr>
              <w:t>Sale and Leaseback Transactions</w:t>
            </w:r>
          </w:p>
        </w:tc>
        <w:tc>
          <w:tcPr>
            <w:tcW w:w="3900" w:type="dxa"/>
            <w:vAlign w:val="bottom"/>
          </w:tcPr>
          <w:p>
            <w:pPr>
              <w:jc w:val="right"/>
              <w:ind w:right="3425"/>
              <w:spacing w:after="0"/>
              <w:rPr>
                <w:sz w:val="20"/>
                <w:szCs w:val="20"/>
                <w:color w:val="auto"/>
              </w:rPr>
            </w:pPr>
            <w:r>
              <w:rPr>
                <w:rFonts w:ascii="Arial" w:cs="Arial" w:eastAsia="Arial" w:hAnsi="Arial"/>
                <w:sz w:val="19"/>
                <w:szCs w:val="19"/>
                <w:color w:val="auto"/>
              </w:rPr>
              <w:t>119</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6.07</w:t>
            </w:r>
          </w:p>
        </w:tc>
        <w:tc>
          <w:tcPr>
            <w:tcW w:w="1740" w:type="dxa"/>
            <w:vAlign w:val="bottom"/>
            <w:gridSpan w:val="2"/>
          </w:tcPr>
          <w:p>
            <w:pPr>
              <w:ind w:left="240"/>
              <w:spacing w:after="0"/>
              <w:rPr>
                <w:sz w:val="20"/>
                <w:szCs w:val="20"/>
                <w:color w:val="auto"/>
              </w:rPr>
            </w:pPr>
            <w:r>
              <w:rPr>
                <w:rFonts w:ascii="Arial" w:cs="Arial" w:eastAsia="Arial" w:hAnsi="Arial"/>
                <w:sz w:val="19"/>
                <w:szCs w:val="19"/>
                <w:color w:val="auto"/>
                <w:w w:val="95"/>
              </w:rPr>
              <w:t>Swap Agreements</w:t>
            </w:r>
          </w:p>
        </w:tc>
        <w:tc>
          <w:tcPr>
            <w:tcW w:w="380" w:type="dxa"/>
            <w:vAlign w:val="bottom"/>
          </w:tcPr>
          <w:p>
            <w:pPr>
              <w:jc w:val="right"/>
              <w:spacing w:after="0"/>
              <w:rPr>
                <w:sz w:val="20"/>
                <w:szCs w:val="20"/>
                <w:color w:val="auto"/>
              </w:rPr>
            </w:pPr>
            <w:r>
              <w:rPr>
                <w:rFonts w:ascii="Arial" w:cs="Arial" w:eastAsia="Arial" w:hAnsi="Arial"/>
                <w:sz w:val="19"/>
                <w:szCs w:val="19"/>
                <w:color w:val="auto"/>
              </w:rPr>
              <w:t>119</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6.08</w:t>
            </w:r>
          </w:p>
        </w:tc>
        <w:tc>
          <w:tcPr>
            <w:tcW w:w="6740" w:type="dxa"/>
            <w:vAlign w:val="bottom"/>
            <w:gridSpan w:val="6"/>
          </w:tcPr>
          <w:p>
            <w:pPr>
              <w:ind w:left="240"/>
              <w:spacing w:after="0"/>
              <w:rPr>
                <w:sz w:val="20"/>
                <w:szCs w:val="20"/>
                <w:color w:val="auto"/>
              </w:rPr>
            </w:pPr>
            <w:r>
              <w:rPr>
                <w:rFonts w:ascii="Arial" w:cs="Arial" w:eastAsia="Arial" w:hAnsi="Arial"/>
                <w:sz w:val="19"/>
                <w:szCs w:val="19"/>
                <w:color w:val="auto"/>
              </w:rPr>
              <w:t>Restricted Payments; Certain Payments of Indebtedness  119</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6.09</w:t>
            </w:r>
          </w:p>
        </w:tc>
        <w:tc>
          <w:tcPr>
            <w:tcW w:w="2520" w:type="dxa"/>
            <w:vAlign w:val="bottom"/>
            <w:gridSpan w:val="4"/>
          </w:tcPr>
          <w:p>
            <w:pPr>
              <w:ind w:left="240"/>
              <w:spacing w:after="0"/>
              <w:rPr>
                <w:sz w:val="20"/>
                <w:szCs w:val="20"/>
                <w:color w:val="auto"/>
              </w:rPr>
            </w:pPr>
            <w:r>
              <w:rPr>
                <w:rFonts w:ascii="Arial" w:cs="Arial" w:eastAsia="Arial" w:hAnsi="Arial"/>
                <w:sz w:val="19"/>
                <w:szCs w:val="19"/>
                <w:color w:val="auto"/>
              </w:rPr>
              <w:t>Transactions with Affiliates</w:t>
            </w:r>
          </w:p>
        </w:tc>
        <w:tc>
          <w:tcPr>
            <w:tcW w:w="320" w:type="dxa"/>
            <w:vAlign w:val="bottom"/>
          </w:tcPr>
          <w:p>
            <w:pPr>
              <w:jc w:val="right"/>
              <w:spacing w:after="0"/>
              <w:rPr>
                <w:sz w:val="20"/>
                <w:szCs w:val="20"/>
                <w:color w:val="auto"/>
              </w:rPr>
            </w:pPr>
            <w:r>
              <w:rPr>
                <w:rFonts w:ascii="Arial" w:cs="Arial" w:eastAsia="Arial" w:hAnsi="Arial"/>
                <w:sz w:val="19"/>
                <w:szCs w:val="19"/>
                <w:color w:val="auto"/>
                <w:w w:val="94"/>
              </w:rPr>
              <w:t>122</w:t>
            </w: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6.10</w:t>
            </w:r>
          </w:p>
        </w:tc>
        <w:tc>
          <w:tcPr>
            <w:tcW w:w="2120" w:type="dxa"/>
            <w:vAlign w:val="bottom"/>
            <w:gridSpan w:val="3"/>
          </w:tcPr>
          <w:p>
            <w:pPr>
              <w:ind w:left="240"/>
              <w:spacing w:after="0"/>
              <w:rPr>
                <w:sz w:val="20"/>
                <w:szCs w:val="20"/>
                <w:color w:val="auto"/>
              </w:rPr>
            </w:pPr>
            <w:r>
              <w:rPr>
                <w:rFonts w:ascii="Arial" w:cs="Arial" w:eastAsia="Arial" w:hAnsi="Arial"/>
                <w:sz w:val="19"/>
                <w:szCs w:val="19"/>
                <w:color w:val="auto"/>
                <w:w w:val="94"/>
              </w:rPr>
              <w:t>Restrictive Agreements</w:t>
            </w:r>
          </w:p>
        </w:tc>
        <w:tc>
          <w:tcPr>
            <w:tcW w:w="400" w:type="dxa"/>
            <w:vAlign w:val="bottom"/>
          </w:tcPr>
          <w:p>
            <w:pPr>
              <w:jc w:val="right"/>
              <w:spacing w:after="0"/>
              <w:rPr>
                <w:sz w:val="20"/>
                <w:szCs w:val="20"/>
                <w:color w:val="auto"/>
              </w:rPr>
            </w:pPr>
            <w:r>
              <w:rPr>
                <w:rFonts w:ascii="Arial" w:cs="Arial" w:eastAsia="Arial" w:hAnsi="Arial"/>
                <w:sz w:val="19"/>
                <w:szCs w:val="19"/>
                <w:color w:val="auto"/>
              </w:rPr>
              <w:t>123</w:t>
            </w: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6.11</w:t>
            </w:r>
          </w:p>
        </w:tc>
        <w:tc>
          <w:tcPr>
            <w:tcW w:w="6740" w:type="dxa"/>
            <w:vAlign w:val="bottom"/>
            <w:gridSpan w:val="6"/>
          </w:tcPr>
          <w:p>
            <w:pPr>
              <w:ind w:left="240"/>
              <w:spacing w:after="0"/>
              <w:rPr>
                <w:sz w:val="20"/>
                <w:szCs w:val="20"/>
                <w:color w:val="auto"/>
              </w:rPr>
            </w:pPr>
            <w:r>
              <w:rPr>
                <w:rFonts w:ascii="Arial" w:cs="Arial" w:eastAsia="Arial" w:hAnsi="Arial"/>
                <w:sz w:val="19"/>
                <w:szCs w:val="19"/>
                <w:color w:val="auto"/>
              </w:rPr>
              <w:t>Amendment of Material Documents  123</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6.12</w:t>
            </w:r>
          </w:p>
        </w:tc>
        <w:tc>
          <w:tcPr>
            <w:tcW w:w="2520" w:type="dxa"/>
            <w:vAlign w:val="bottom"/>
            <w:gridSpan w:val="4"/>
          </w:tcPr>
          <w:p>
            <w:pPr>
              <w:ind w:left="240"/>
              <w:spacing w:after="0"/>
              <w:rPr>
                <w:sz w:val="20"/>
                <w:szCs w:val="20"/>
                <w:color w:val="auto"/>
              </w:rPr>
            </w:pPr>
            <w:r>
              <w:rPr>
                <w:rFonts w:ascii="Arial" w:cs="Arial" w:eastAsia="Arial" w:hAnsi="Arial"/>
                <w:sz w:val="19"/>
                <w:szCs w:val="19"/>
                <w:color w:val="auto"/>
                <w:w w:val="89"/>
              </w:rPr>
              <w:t>Fixed Charge Coverage Ratio</w:t>
            </w:r>
          </w:p>
        </w:tc>
        <w:tc>
          <w:tcPr>
            <w:tcW w:w="4220" w:type="dxa"/>
            <w:vAlign w:val="bottom"/>
            <w:gridSpan w:val="2"/>
          </w:tcPr>
          <w:p>
            <w:pPr>
              <w:jc w:val="right"/>
              <w:ind w:right="3665"/>
              <w:spacing w:after="0"/>
              <w:rPr>
                <w:sz w:val="20"/>
                <w:szCs w:val="20"/>
                <w:color w:val="auto"/>
              </w:rPr>
            </w:pPr>
            <w:r>
              <w:rPr>
                <w:rFonts w:ascii="Arial" w:cs="Arial" w:eastAsia="Arial" w:hAnsi="Arial"/>
                <w:sz w:val="19"/>
                <w:szCs w:val="19"/>
                <w:color w:val="auto"/>
              </w:rPr>
              <w:t>124</w:t>
            </w: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6.13</w:t>
            </w:r>
          </w:p>
        </w:tc>
        <w:tc>
          <w:tcPr>
            <w:tcW w:w="2520" w:type="dxa"/>
            <w:vAlign w:val="bottom"/>
            <w:gridSpan w:val="4"/>
          </w:tcPr>
          <w:p>
            <w:pPr>
              <w:ind w:left="240"/>
              <w:spacing w:after="0"/>
              <w:rPr>
                <w:sz w:val="20"/>
                <w:szCs w:val="20"/>
                <w:color w:val="auto"/>
              </w:rPr>
            </w:pPr>
            <w:r>
              <w:rPr>
                <w:rFonts w:ascii="Arial" w:cs="Arial" w:eastAsia="Arial" w:hAnsi="Arial"/>
                <w:sz w:val="19"/>
                <w:szCs w:val="19"/>
                <w:color w:val="auto"/>
                <w:w w:val="98"/>
              </w:rPr>
              <w:t>Designation of Subsidiaries</w:t>
            </w:r>
          </w:p>
        </w:tc>
        <w:tc>
          <w:tcPr>
            <w:tcW w:w="320" w:type="dxa"/>
            <w:vAlign w:val="bottom"/>
          </w:tcPr>
          <w:p>
            <w:pPr>
              <w:jc w:val="right"/>
              <w:spacing w:after="0"/>
              <w:rPr>
                <w:sz w:val="20"/>
                <w:szCs w:val="20"/>
                <w:color w:val="auto"/>
              </w:rPr>
            </w:pPr>
            <w:r>
              <w:rPr>
                <w:rFonts w:ascii="Arial" w:cs="Arial" w:eastAsia="Arial" w:hAnsi="Arial"/>
                <w:sz w:val="19"/>
                <w:szCs w:val="19"/>
                <w:color w:val="auto"/>
                <w:w w:val="88"/>
              </w:rPr>
              <w:t>124</w:t>
            </w:r>
          </w:p>
        </w:tc>
        <w:tc>
          <w:tcPr>
            <w:tcW w:w="3900" w:type="dxa"/>
            <w:vAlign w:val="bottom"/>
          </w:tcPr>
          <w:p>
            <w:pPr>
              <w:spacing w:after="0"/>
              <w:rPr>
                <w:sz w:val="24"/>
                <w:szCs w:val="24"/>
                <w:color w:val="auto"/>
              </w:rPr>
            </w:pPr>
          </w:p>
        </w:tc>
      </w:tr>
      <w:tr>
        <w:trPr>
          <w:trHeight w:val="322"/>
        </w:trPr>
        <w:tc>
          <w:tcPr>
            <w:tcW w:w="1760" w:type="dxa"/>
            <w:vAlign w:val="bottom"/>
            <w:gridSpan w:val="2"/>
          </w:tcPr>
          <w:p>
            <w:pPr>
              <w:ind w:left="560"/>
              <w:spacing w:after="0"/>
              <w:rPr>
                <w:sz w:val="20"/>
                <w:szCs w:val="20"/>
                <w:color w:val="auto"/>
              </w:rPr>
            </w:pPr>
            <w:r>
              <w:rPr>
                <w:rFonts w:ascii="Arial" w:cs="Arial" w:eastAsia="Arial" w:hAnsi="Arial"/>
                <w:sz w:val="19"/>
                <w:szCs w:val="19"/>
                <w:color w:val="auto"/>
              </w:rPr>
              <w:t>Section 6.14</w:t>
            </w:r>
          </w:p>
        </w:tc>
        <w:tc>
          <w:tcPr>
            <w:tcW w:w="2840" w:type="dxa"/>
            <w:vAlign w:val="bottom"/>
            <w:gridSpan w:val="5"/>
          </w:tcPr>
          <w:p>
            <w:pPr>
              <w:ind w:left="240"/>
              <w:spacing w:after="0"/>
              <w:rPr>
                <w:sz w:val="20"/>
                <w:szCs w:val="20"/>
                <w:color w:val="auto"/>
              </w:rPr>
            </w:pPr>
            <w:r>
              <w:rPr>
                <w:rFonts w:ascii="Arial" w:cs="Arial" w:eastAsia="Arial" w:hAnsi="Arial"/>
                <w:sz w:val="19"/>
                <w:szCs w:val="19"/>
                <w:color w:val="auto"/>
                <w:w w:val="95"/>
              </w:rPr>
              <w:t>Canadian Defined Benefit Plans</w:t>
            </w:r>
          </w:p>
        </w:tc>
        <w:tc>
          <w:tcPr>
            <w:tcW w:w="3900" w:type="dxa"/>
            <w:vAlign w:val="bottom"/>
          </w:tcPr>
          <w:p>
            <w:pPr>
              <w:jc w:val="right"/>
              <w:ind w:right="3485"/>
              <w:spacing w:after="0"/>
              <w:rPr>
                <w:sz w:val="20"/>
                <w:szCs w:val="20"/>
                <w:color w:val="auto"/>
              </w:rPr>
            </w:pPr>
            <w:r>
              <w:rPr>
                <w:rFonts w:ascii="Arial" w:cs="Arial" w:eastAsia="Arial" w:hAnsi="Arial"/>
                <w:sz w:val="19"/>
                <w:szCs w:val="19"/>
                <w:color w:val="auto"/>
                <w:w w:val="94"/>
              </w:rPr>
              <w:t>125</w:t>
            </w:r>
          </w:p>
        </w:tc>
      </w:tr>
      <w:tr>
        <w:trPr>
          <w:trHeight w:val="322"/>
        </w:trPr>
        <w:tc>
          <w:tcPr>
            <w:tcW w:w="1320" w:type="dxa"/>
            <w:vAlign w:val="bottom"/>
          </w:tcPr>
          <w:p>
            <w:pPr>
              <w:spacing w:after="0"/>
              <w:rPr>
                <w:sz w:val="20"/>
                <w:szCs w:val="20"/>
                <w:color w:val="auto"/>
              </w:rPr>
            </w:pPr>
            <w:r>
              <w:rPr>
                <w:rFonts w:ascii="Arial" w:cs="Arial" w:eastAsia="Arial" w:hAnsi="Arial"/>
                <w:sz w:val="19"/>
                <w:szCs w:val="19"/>
                <w:color w:val="auto"/>
              </w:rPr>
              <w:t>ARTICLE VII.</w:t>
            </w:r>
          </w:p>
        </w:tc>
        <w:tc>
          <w:tcPr>
            <w:tcW w:w="2180" w:type="dxa"/>
            <w:vAlign w:val="bottom"/>
            <w:gridSpan w:val="3"/>
          </w:tcPr>
          <w:p>
            <w:pPr>
              <w:ind w:left="100"/>
              <w:spacing w:after="0"/>
              <w:rPr>
                <w:sz w:val="20"/>
                <w:szCs w:val="20"/>
                <w:color w:val="auto"/>
              </w:rPr>
            </w:pPr>
            <w:r>
              <w:rPr>
                <w:rFonts w:ascii="Arial" w:cs="Arial" w:eastAsia="Arial" w:hAnsi="Arial"/>
                <w:sz w:val="19"/>
                <w:szCs w:val="19"/>
                <w:color w:val="auto"/>
              </w:rPr>
              <w:t>EVENTS OF DEFAULT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125</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22"/>
        </w:trPr>
        <w:tc>
          <w:tcPr>
            <w:tcW w:w="1320" w:type="dxa"/>
            <w:vAlign w:val="bottom"/>
          </w:tcPr>
          <w:p>
            <w:pPr>
              <w:spacing w:after="0"/>
              <w:rPr>
                <w:sz w:val="20"/>
                <w:szCs w:val="20"/>
                <w:color w:val="auto"/>
              </w:rPr>
            </w:pPr>
            <w:r>
              <w:rPr>
                <w:rFonts w:ascii="Arial" w:cs="Arial" w:eastAsia="Arial" w:hAnsi="Arial"/>
                <w:sz w:val="19"/>
                <w:szCs w:val="19"/>
                <w:color w:val="auto"/>
              </w:rPr>
              <w:t>ARTICLE VIII.</w:t>
            </w:r>
          </w:p>
        </w:tc>
        <w:tc>
          <w:tcPr>
            <w:tcW w:w="7180" w:type="dxa"/>
            <w:vAlign w:val="bottom"/>
            <w:gridSpan w:val="7"/>
          </w:tcPr>
          <w:p>
            <w:pPr>
              <w:ind w:left="100"/>
              <w:spacing w:after="0"/>
              <w:rPr>
                <w:sz w:val="20"/>
                <w:szCs w:val="20"/>
                <w:color w:val="auto"/>
              </w:rPr>
            </w:pPr>
            <w:r>
              <w:rPr>
                <w:rFonts w:ascii="Arial" w:cs="Arial" w:eastAsia="Arial" w:hAnsi="Arial"/>
                <w:sz w:val="19"/>
                <w:szCs w:val="19"/>
                <w:color w:val="auto"/>
              </w:rPr>
              <w:t>THE ADMINISTRATIVE AGENT AND CANADIAN ADMINISTRATIVE AGENT  128</w:t>
            </w:r>
          </w:p>
        </w:tc>
      </w:tr>
      <w:tr>
        <w:trPr>
          <w:trHeight w:val="322"/>
        </w:trPr>
        <w:tc>
          <w:tcPr>
            <w:tcW w:w="1320" w:type="dxa"/>
            <w:vAlign w:val="bottom"/>
          </w:tcPr>
          <w:p>
            <w:pPr>
              <w:spacing w:after="0"/>
              <w:rPr>
                <w:sz w:val="20"/>
                <w:szCs w:val="20"/>
                <w:color w:val="auto"/>
              </w:rPr>
            </w:pPr>
            <w:r>
              <w:rPr>
                <w:rFonts w:ascii="Arial" w:cs="Arial" w:eastAsia="Arial" w:hAnsi="Arial"/>
                <w:sz w:val="19"/>
                <w:szCs w:val="19"/>
                <w:color w:val="auto"/>
              </w:rPr>
              <w:t>ARTICLE IX.</w:t>
            </w:r>
          </w:p>
        </w:tc>
        <w:tc>
          <w:tcPr>
            <w:tcW w:w="1720" w:type="dxa"/>
            <w:vAlign w:val="bottom"/>
            <w:gridSpan w:val="2"/>
          </w:tcPr>
          <w:p>
            <w:pPr>
              <w:ind w:left="100"/>
              <w:spacing w:after="0"/>
              <w:rPr>
                <w:sz w:val="20"/>
                <w:szCs w:val="20"/>
                <w:color w:val="auto"/>
              </w:rPr>
            </w:pPr>
            <w:r>
              <w:rPr>
                <w:rFonts w:ascii="Arial" w:cs="Arial" w:eastAsia="Arial" w:hAnsi="Arial"/>
                <w:sz w:val="19"/>
                <w:szCs w:val="19"/>
                <w:color w:val="auto"/>
                <w:w w:val="99"/>
              </w:rPr>
              <w:t>MISCELLANEOUS</w:t>
            </w:r>
          </w:p>
        </w:tc>
        <w:tc>
          <w:tcPr>
            <w:tcW w:w="460" w:type="dxa"/>
            <w:vAlign w:val="bottom"/>
          </w:tcPr>
          <w:p>
            <w:pPr>
              <w:jc w:val="right"/>
              <w:spacing w:after="0"/>
              <w:rPr>
                <w:sz w:val="20"/>
                <w:szCs w:val="20"/>
                <w:color w:val="auto"/>
              </w:rPr>
            </w:pPr>
            <w:r>
              <w:rPr>
                <w:rFonts w:ascii="Arial" w:cs="Arial" w:eastAsia="Arial" w:hAnsi="Arial"/>
                <w:sz w:val="19"/>
                <w:szCs w:val="19"/>
                <w:color w:val="auto"/>
              </w:rPr>
              <w:t>133</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9.01</w:t>
            </w:r>
          </w:p>
        </w:tc>
        <w:tc>
          <w:tcPr>
            <w:tcW w:w="940" w:type="dxa"/>
            <w:vAlign w:val="bottom"/>
          </w:tcPr>
          <w:p>
            <w:pPr>
              <w:ind w:left="200"/>
              <w:spacing w:after="0"/>
              <w:rPr>
                <w:sz w:val="20"/>
                <w:szCs w:val="20"/>
                <w:color w:val="auto"/>
              </w:rPr>
            </w:pPr>
            <w:r>
              <w:rPr>
                <w:rFonts w:ascii="Arial" w:cs="Arial" w:eastAsia="Arial" w:hAnsi="Arial"/>
                <w:sz w:val="19"/>
                <w:szCs w:val="19"/>
                <w:color w:val="auto"/>
              </w:rPr>
              <w:t>Notices</w:t>
            </w:r>
          </w:p>
        </w:tc>
        <w:tc>
          <w:tcPr>
            <w:tcW w:w="560" w:type="dxa"/>
            <w:vAlign w:val="bottom"/>
            <w:gridSpan w:val="2"/>
          </w:tcPr>
          <w:p>
            <w:pPr>
              <w:jc w:val="right"/>
              <w:ind w:right="145"/>
              <w:spacing w:after="0"/>
              <w:rPr>
                <w:sz w:val="20"/>
                <w:szCs w:val="20"/>
                <w:color w:val="auto"/>
              </w:rPr>
            </w:pPr>
            <w:r>
              <w:rPr>
                <w:rFonts w:ascii="Arial" w:cs="Arial" w:eastAsia="Arial" w:hAnsi="Arial"/>
                <w:sz w:val="19"/>
                <w:szCs w:val="19"/>
                <w:color w:val="auto"/>
                <w:w w:val="94"/>
              </w:rPr>
              <w:t>133</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9.02</w:t>
            </w:r>
          </w:p>
        </w:tc>
        <w:tc>
          <w:tcPr>
            <w:tcW w:w="2080" w:type="dxa"/>
            <w:vAlign w:val="bottom"/>
            <w:gridSpan w:val="4"/>
          </w:tcPr>
          <w:p>
            <w:pPr>
              <w:ind w:left="200"/>
              <w:spacing w:after="0"/>
              <w:rPr>
                <w:sz w:val="20"/>
                <w:szCs w:val="20"/>
                <w:color w:val="auto"/>
              </w:rPr>
            </w:pPr>
            <w:r>
              <w:rPr>
                <w:rFonts w:ascii="Arial" w:cs="Arial" w:eastAsia="Arial" w:hAnsi="Arial"/>
                <w:sz w:val="19"/>
                <w:szCs w:val="19"/>
                <w:color w:val="auto"/>
                <w:w w:val="97"/>
              </w:rPr>
              <w:t>Waivers; Amendments</w:t>
            </w:r>
          </w:p>
        </w:tc>
        <w:tc>
          <w:tcPr>
            <w:tcW w:w="420" w:type="dxa"/>
            <w:vAlign w:val="bottom"/>
          </w:tcPr>
          <w:p>
            <w:pPr>
              <w:jc w:val="right"/>
              <w:spacing w:after="0"/>
              <w:rPr>
                <w:sz w:val="20"/>
                <w:szCs w:val="20"/>
                <w:color w:val="auto"/>
              </w:rPr>
            </w:pPr>
            <w:r>
              <w:rPr>
                <w:rFonts w:ascii="Arial" w:cs="Arial" w:eastAsia="Arial" w:hAnsi="Arial"/>
                <w:sz w:val="19"/>
                <w:szCs w:val="19"/>
                <w:color w:val="auto"/>
              </w:rPr>
              <w:t>135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9.03</w:t>
            </w:r>
          </w:p>
        </w:tc>
        <w:tc>
          <w:tcPr>
            <w:tcW w:w="3200" w:type="dxa"/>
            <w:vAlign w:val="bottom"/>
            <w:gridSpan w:val="7"/>
          </w:tcPr>
          <w:p>
            <w:pPr>
              <w:ind w:left="200"/>
              <w:spacing w:after="0"/>
              <w:rPr>
                <w:sz w:val="20"/>
                <w:szCs w:val="20"/>
                <w:color w:val="auto"/>
              </w:rPr>
            </w:pPr>
            <w:r>
              <w:rPr>
                <w:rFonts w:ascii="Arial" w:cs="Arial" w:eastAsia="Arial" w:hAnsi="Arial"/>
                <w:sz w:val="19"/>
                <w:szCs w:val="19"/>
                <w:color w:val="auto"/>
                <w:w w:val="92"/>
              </w:rPr>
              <w:t>Expenses; Indemnity; Damage Waiver</w:t>
            </w:r>
          </w:p>
        </w:tc>
        <w:tc>
          <w:tcPr>
            <w:tcW w:w="1640" w:type="dxa"/>
            <w:vAlign w:val="bottom"/>
            <w:gridSpan w:val="2"/>
          </w:tcPr>
          <w:p>
            <w:pPr>
              <w:jc w:val="right"/>
              <w:ind w:right="1145"/>
              <w:spacing w:after="0"/>
              <w:rPr>
                <w:sz w:val="20"/>
                <w:szCs w:val="20"/>
                <w:color w:val="auto"/>
              </w:rPr>
            </w:pPr>
            <w:r>
              <w:rPr>
                <w:rFonts w:ascii="Arial" w:cs="Arial" w:eastAsia="Arial" w:hAnsi="Arial"/>
                <w:sz w:val="19"/>
                <w:szCs w:val="19"/>
                <w:color w:val="auto"/>
              </w:rPr>
              <w:t>137</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9.04</w:t>
            </w:r>
          </w:p>
        </w:tc>
        <w:tc>
          <w:tcPr>
            <w:tcW w:w="2080" w:type="dxa"/>
            <w:vAlign w:val="bottom"/>
            <w:gridSpan w:val="4"/>
          </w:tcPr>
          <w:p>
            <w:pPr>
              <w:ind w:left="200"/>
              <w:spacing w:after="0"/>
              <w:rPr>
                <w:sz w:val="20"/>
                <w:szCs w:val="20"/>
                <w:color w:val="auto"/>
              </w:rPr>
            </w:pPr>
            <w:r>
              <w:rPr>
                <w:rFonts w:ascii="Arial" w:cs="Arial" w:eastAsia="Arial" w:hAnsi="Arial"/>
                <w:sz w:val="19"/>
                <w:szCs w:val="19"/>
                <w:color w:val="auto"/>
                <w:w w:val="89"/>
              </w:rPr>
              <w:t>Successors and Assigns</w:t>
            </w:r>
          </w:p>
        </w:tc>
        <w:tc>
          <w:tcPr>
            <w:tcW w:w="420" w:type="dxa"/>
            <w:vAlign w:val="bottom"/>
          </w:tcPr>
          <w:p>
            <w:pPr>
              <w:jc w:val="right"/>
              <w:spacing w:after="0"/>
              <w:rPr>
                <w:sz w:val="20"/>
                <w:szCs w:val="20"/>
                <w:color w:val="auto"/>
              </w:rPr>
            </w:pPr>
            <w:r>
              <w:rPr>
                <w:rFonts w:ascii="Arial" w:cs="Arial" w:eastAsia="Arial" w:hAnsi="Arial"/>
                <w:sz w:val="19"/>
                <w:szCs w:val="19"/>
                <w:color w:val="auto"/>
              </w:rPr>
              <w:t>139</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9.05</w:t>
            </w:r>
          </w:p>
        </w:tc>
        <w:tc>
          <w:tcPr>
            <w:tcW w:w="940" w:type="dxa"/>
            <w:vAlign w:val="bottom"/>
          </w:tcPr>
          <w:p>
            <w:pPr>
              <w:ind w:left="200"/>
              <w:spacing w:after="0"/>
              <w:rPr>
                <w:sz w:val="20"/>
                <w:szCs w:val="20"/>
                <w:color w:val="auto"/>
              </w:rPr>
            </w:pPr>
            <w:r>
              <w:rPr>
                <w:rFonts w:ascii="Arial" w:cs="Arial" w:eastAsia="Arial" w:hAnsi="Arial"/>
                <w:sz w:val="19"/>
                <w:szCs w:val="19"/>
                <w:color w:val="auto"/>
              </w:rPr>
              <w:t>Survival</w:t>
            </w:r>
          </w:p>
        </w:tc>
        <w:tc>
          <w:tcPr>
            <w:tcW w:w="560" w:type="dxa"/>
            <w:vAlign w:val="bottom"/>
            <w:gridSpan w:val="2"/>
          </w:tcPr>
          <w:p>
            <w:pPr>
              <w:jc w:val="right"/>
              <w:ind w:right="85"/>
              <w:spacing w:after="0"/>
              <w:rPr>
                <w:sz w:val="20"/>
                <w:szCs w:val="20"/>
                <w:color w:val="auto"/>
              </w:rPr>
            </w:pPr>
            <w:r>
              <w:rPr>
                <w:rFonts w:ascii="Arial" w:cs="Arial" w:eastAsia="Arial" w:hAnsi="Arial"/>
                <w:sz w:val="19"/>
                <w:szCs w:val="19"/>
                <w:color w:val="auto"/>
              </w:rPr>
              <w:t>142</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9.06</w:t>
            </w:r>
          </w:p>
        </w:tc>
        <w:tc>
          <w:tcPr>
            <w:tcW w:w="3420" w:type="dxa"/>
            <w:vAlign w:val="bottom"/>
            <w:gridSpan w:val="8"/>
          </w:tcPr>
          <w:p>
            <w:pPr>
              <w:ind w:left="200"/>
              <w:spacing w:after="0"/>
              <w:rPr>
                <w:sz w:val="20"/>
                <w:szCs w:val="20"/>
                <w:color w:val="auto"/>
              </w:rPr>
            </w:pPr>
            <w:r>
              <w:rPr>
                <w:rFonts w:ascii="Arial" w:cs="Arial" w:eastAsia="Arial" w:hAnsi="Arial"/>
                <w:sz w:val="19"/>
                <w:szCs w:val="19"/>
                <w:color w:val="auto"/>
                <w:w w:val="95"/>
              </w:rPr>
              <w:t>Counterparts; Integration; Effectiveness</w:t>
            </w:r>
          </w:p>
        </w:tc>
        <w:tc>
          <w:tcPr>
            <w:tcW w:w="1420" w:type="dxa"/>
            <w:vAlign w:val="bottom"/>
          </w:tcPr>
          <w:p>
            <w:pPr>
              <w:jc w:val="right"/>
              <w:ind w:right="1025"/>
              <w:spacing w:after="0"/>
              <w:rPr>
                <w:sz w:val="20"/>
                <w:szCs w:val="20"/>
                <w:color w:val="auto"/>
              </w:rPr>
            </w:pPr>
            <w:r>
              <w:rPr>
                <w:rFonts w:ascii="Arial" w:cs="Arial" w:eastAsia="Arial" w:hAnsi="Arial"/>
                <w:sz w:val="19"/>
                <w:szCs w:val="19"/>
                <w:color w:val="auto"/>
                <w:w w:val="88"/>
              </w:rPr>
              <w:t>143</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9.07</w:t>
            </w:r>
          </w:p>
        </w:tc>
        <w:tc>
          <w:tcPr>
            <w:tcW w:w="1180" w:type="dxa"/>
            <w:vAlign w:val="bottom"/>
            <w:gridSpan w:val="2"/>
          </w:tcPr>
          <w:p>
            <w:pPr>
              <w:ind w:left="200"/>
              <w:spacing w:after="0"/>
              <w:rPr>
                <w:sz w:val="20"/>
                <w:szCs w:val="20"/>
                <w:color w:val="auto"/>
              </w:rPr>
            </w:pPr>
            <w:r>
              <w:rPr>
                <w:rFonts w:ascii="Arial" w:cs="Arial" w:eastAsia="Arial" w:hAnsi="Arial"/>
                <w:sz w:val="19"/>
                <w:szCs w:val="19"/>
                <w:color w:val="auto"/>
                <w:w w:val="97"/>
              </w:rPr>
              <w:t>Severability</w:t>
            </w:r>
          </w:p>
        </w:tc>
        <w:tc>
          <w:tcPr>
            <w:tcW w:w="900" w:type="dxa"/>
            <w:vAlign w:val="bottom"/>
            <w:gridSpan w:val="2"/>
          </w:tcPr>
          <w:p>
            <w:pPr>
              <w:jc w:val="right"/>
              <w:ind w:right="385"/>
              <w:spacing w:after="0"/>
              <w:rPr>
                <w:sz w:val="20"/>
                <w:szCs w:val="20"/>
                <w:color w:val="auto"/>
              </w:rPr>
            </w:pPr>
            <w:r>
              <w:rPr>
                <w:rFonts w:ascii="Arial" w:cs="Arial" w:eastAsia="Arial" w:hAnsi="Arial"/>
                <w:sz w:val="19"/>
                <w:szCs w:val="19"/>
                <w:color w:val="auto"/>
              </w:rPr>
              <w:t>143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9.08</w:t>
            </w:r>
          </w:p>
        </w:tc>
        <w:tc>
          <w:tcPr>
            <w:tcW w:w="1500" w:type="dxa"/>
            <w:vAlign w:val="bottom"/>
            <w:gridSpan w:val="3"/>
          </w:tcPr>
          <w:p>
            <w:pPr>
              <w:ind w:left="200"/>
              <w:spacing w:after="0"/>
              <w:rPr>
                <w:sz w:val="20"/>
                <w:szCs w:val="20"/>
                <w:color w:val="auto"/>
              </w:rPr>
            </w:pPr>
            <w:r>
              <w:rPr>
                <w:rFonts w:ascii="Arial" w:cs="Arial" w:eastAsia="Arial" w:hAnsi="Arial"/>
                <w:sz w:val="19"/>
                <w:szCs w:val="19"/>
                <w:color w:val="auto"/>
              </w:rPr>
              <w:t>Right of Setoff</w:t>
            </w:r>
          </w:p>
        </w:tc>
        <w:tc>
          <w:tcPr>
            <w:tcW w:w="580" w:type="dxa"/>
            <w:vAlign w:val="bottom"/>
          </w:tcPr>
          <w:p>
            <w:pPr>
              <w:jc w:val="right"/>
              <w:ind w:right="165"/>
              <w:spacing w:after="0"/>
              <w:rPr>
                <w:sz w:val="20"/>
                <w:szCs w:val="20"/>
                <w:color w:val="auto"/>
              </w:rPr>
            </w:pPr>
            <w:r>
              <w:rPr>
                <w:rFonts w:ascii="Arial" w:cs="Arial" w:eastAsia="Arial" w:hAnsi="Arial"/>
                <w:sz w:val="19"/>
                <w:szCs w:val="19"/>
                <w:color w:val="auto"/>
                <w:w w:val="94"/>
              </w:rPr>
              <w:t>143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9.09</w:t>
            </w:r>
          </w:p>
        </w:tc>
        <w:tc>
          <w:tcPr>
            <w:tcW w:w="4840" w:type="dxa"/>
            <w:vAlign w:val="bottom"/>
            <w:gridSpan w:val="9"/>
          </w:tcPr>
          <w:p>
            <w:pPr>
              <w:ind w:left="200"/>
              <w:spacing w:after="0"/>
              <w:rPr>
                <w:sz w:val="20"/>
                <w:szCs w:val="20"/>
                <w:color w:val="auto"/>
              </w:rPr>
            </w:pPr>
            <w:r>
              <w:rPr>
                <w:rFonts w:ascii="Arial" w:cs="Arial" w:eastAsia="Arial" w:hAnsi="Arial"/>
                <w:sz w:val="19"/>
                <w:szCs w:val="19"/>
                <w:color w:val="auto"/>
                <w:w w:val="92"/>
              </w:rPr>
              <w:t>Governing Law; Jurisdiction; Consent to Service of Process</w:t>
            </w:r>
          </w:p>
        </w:tc>
        <w:tc>
          <w:tcPr>
            <w:tcW w:w="40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9.10</w:t>
            </w:r>
          </w:p>
        </w:tc>
        <w:tc>
          <w:tcPr>
            <w:tcW w:w="2500" w:type="dxa"/>
            <w:vAlign w:val="bottom"/>
            <w:gridSpan w:val="5"/>
          </w:tcPr>
          <w:p>
            <w:pPr>
              <w:ind w:left="200"/>
              <w:spacing w:after="0"/>
              <w:rPr>
                <w:sz w:val="20"/>
                <w:szCs w:val="20"/>
                <w:color w:val="auto"/>
              </w:rPr>
            </w:pPr>
            <w:r>
              <w:rPr>
                <w:rFonts w:ascii="Arial" w:cs="Arial" w:eastAsia="Arial" w:hAnsi="Arial"/>
                <w:sz w:val="19"/>
                <w:szCs w:val="19"/>
                <w:color w:val="auto"/>
              </w:rPr>
              <w:t>WAIVER OF JURY TRIAL</w:t>
            </w:r>
          </w:p>
        </w:tc>
        <w:tc>
          <w:tcPr>
            <w:tcW w:w="700" w:type="dxa"/>
            <w:vAlign w:val="bottom"/>
            <w:gridSpan w:val="2"/>
          </w:tcPr>
          <w:p>
            <w:pPr>
              <w:jc w:val="right"/>
              <w:ind w:right="285"/>
              <w:spacing w:after="0"/>
              <w:rPr>
                <w:sz w:val="20"/>
                <w:szCs w:val="20"/>
                <w:color w:val="auto"/>
              </w:rPr>
            </w:pPr>
            <w:r>
              <w:rPr>
                <w:rFonts w:ascii="Arial" w:cs="Arial" w:eastAsia="Arial" w:hAnsi="Arial"/>
                <w:sz w:val="19"/>
                <w:szCs w:val="19"/>
                <w:color w:val="auto"/>
                <w:w w:val="94"/>
              </w:rPr>
              <w:t>144</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9.11</w:t>
            </w:r>
          </w:p>
        </w:tc>
        <w:tc>
          <w:tcPr>
            <w:tcW w:w="940" w:type="dxa"/>
            <w:vAlign w:val="bottom"/>
          </w:tcPr>
          <w:p>
            <w:pPr>
              <w:ind w:left="200"/>
              <w:spacing w:after="0"/>
              <w:rPr>
                <w:sz w:val="20"/>
                <w:szCs w:val="20"/>
                <w:color w:val="auto"/>
              </w:rPr>
            </w:pPr>
            <w:r>
              <w:rPr>
                <w:rFonts w:ascii="Arial" w:cs="Arial" w:eastAsia="Arial" w:hAnsi="Arial"/>
                <w:sz w:val="19"/>
                <w:szCs w:val="19"/>
                <w:color w:val="auto"/>
                <w:w w:val="89"/>
              </w:rPr>
              <w:t>Headings</w:t>
            </w:r>
          </w:p>
        </w:tc>
        <w:tc>
          <w:tcPr>
            <w:tcW w:w="560" w:type="dxa"/>
            <w:vAlign w:val="bottom"/>
            <w:gridSpan w:val="2"/>
          </w:tcPr>
          <w:p>
            <w:pPr>
              <w:jc w:val="right"/>
              <w:ind w:right="5"/>
              <w:spacing w:after="0"/>
              <w:rPr>
                <w:sz w:val="20"/>
                <w:szCs w:val="20"/>
                <w:color w:val="auto"/>
              </w:rPr>
            </w:pPr>
            <w:r>
              <w:rPr>
                <w:rFonts w:ascii="Arial" w:cs="Arial" w:eastAsia="Arial" w:hAnsi="Arial"/>
                <w:sz w:val="19"/>
                <w:szCs w:val="19"/>
                <w:color w:val="auto"/>
              </w:rPr>
              <w:t>145</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9.12</w:t>
            </w:r>
          </w:p>
        </w:tc>
        <w:tc>
          <w:tcPr>
            <w:tcW w:w="1500" w:type="dxa"/>
            <w:vAlign w:val="bottom"/>
            <w:gridSpan w:val="3"/>
          </w:tcPr>
          <w:p>
            <w:pPr>
              <w:ind w:left="200"/>
              <w:spacing w:after="0"/>
              <w:rPr>
                <w:sz w:val="20"/>
                <w:szCs w:val="20"/>
                <w:color w:val="auto"/>
              </w:rPr>
            </w:pPr>
            <w:r>
              <w:rPr>
                <w:rFonts w:ascii="Arial" w:cs="Arial" w:eastAsia="Arial" w:hAnsi="Arial"/>
                <w:sz w:val="19"/>
                <w:szCs w:val="19"/>
                <w:color w:val="auto"/>
              </w:rPr>
              <w:t>Confidentiality</w:t>
            </w:r>
          </w:p>
        </w:tc>
        <w:tc>
          <w:tcPr>
            <w:tcW w:w="580" w:type="dxa"/>
            <w:vAlign w:val="bottom"/>
          </w:tcPr>
          <w:p>
            <w:pPr>
              <w:jc w:val="right"/>
              <w:ind w:right="165"/>
              <w:spacing w:after="0"/>
              <w:rPr>
                <w:sz w:val="20"/>
                <w:szCs w:val="20"/>
                <w:color w:val="auto"/>
              </w:rPr>
            </w:pPr>
            <w:r>
              <w:rPr>
                <w:rFonts w:ascii="Arial" w:cs="Arial" w:eastAsia="Arial" w:hAnsi="Arial"/>
                <w:sz w:val="19"/>
                <w:szCs w:val="19"/>
                <w:color w:val="auto"/>
                <w:w w:val="94"/>
              </w:rPr>
              <w:t>145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9.13</w:t>
            </w:r>
          </w:p>
        </w:tc>
        <w:tc>
          <w:tcPr>
            <w:tcW w:w="4840" w:type="dxa"/>
            <w:vAlign w:val="bottom"/>
            <w:gridSpan w:val="9"/>
          </w:tcPr>
          <w:p>
            <w:pPr>
              <w:ind w:left="200"/>
              <w:spacing w:after="0"/>
              <w:rPr>
                <w:sz w:val="20"/>
                <w:szCs w:val="20"/>
                <w:color w:val="auto"/>
              </w:rPr>
            </w:pPr>
            <w:r>
              <w:rPr>
                <w:rFonts w:ascii="Arial" w:cs="Arial" w:eastAsia="Arial" w:hAnsi="Arial"/>
                <w:sz w:val="19"/>
                <w:szCs w:val="19"/>
                <w:color w:val="auto"/>
                <w:w w:val="99"/>
              </w:rPr>
              <w:t>Several Obligations; Nonreliance; Violation of Law  146</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9.14</w:t>
            </w:r>
          </w:p>
        </w:tc>
        <w:tc>
          <w:tcPr>
            <w:tcW w:w="2500" w:type="dxa"/>
            <w:vAlign w:val="bottom"/>
            <w:gridSpan w:val="5"/>
          </w:tcPr>
          <w:p>
            <w:pPr>
              <w:ind w:left="200"/>
              <w:spacing w:after="0"/>
              <w:rPr>
                <w:sz w:val="20"/>
                <w:szCs w:val="20"/>
                <w:color w:val="auto"/>
              </w:rPr>
            </w:pPr>
            <w:r>
              <w:rPr>
                <w:rFonts w:ascii="Arial" w:cs="Arial" w:eastAsia="Arial" w:hAnsi="Arial"/>
                <w:sz w:val="19"/>
                <w:szCs w:val="19"/>
                <w:color w:val="auto"/>
              </w:rPr>
              <w:t>USA PATRIOT Act  146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9.15</w:t>
            </w:r>
          </w:p>
        </w:tc>
        <w:tc>
          <w:tcPr>
            <w:tcW w:w="1180" w:type="dxa"/>
            <w:vAlign w:val="bottom"/>
            <w:gridSpan w:val="2"/>
          </w:tcPr>
          <w:p>
            <w:pPr>
              <w:ind w:left="200"/>
              <w:spacing w:after="0"/>
              <w:rPr>
                <w:sz w:val="20"/>
                <w:szCs w:val="20"/>
                <w:color w:val="auto"/>
              </w:rPr>
            </w:pPr>
            <w:r>
              <w:rPr>
                <w:rFonts w:ascii="Arial" w:cs="Arial" w:eastAsia="Arial" w:hAnsi="Arial"/>
                <w:sz w:val="19"/>
                <w:szCs w:val="19"/>
                <w:color w:val="auto"/>
              </w:rPr>
              <w:t>Disclosure</w:t>
            </w:r>
          </w:p>
        </w:tc>
        <w:tc>
          <w:tcPr>
            <w:tcW w:w="320" w:type="dxa"/>
            <w:vAlign w:val="bottom"/>
          </w:tcPr>
          <w:p>
            <w:pPr>
              <w:jc w:val="right"/>
              <w:spacing w:after="0"/>
              <w:rPr>
                <w:sz w:val="20"/>
                <w:szCs w:val="20"/>
                <w:color w:val="auto"/>
              </w:rPr>
            </w:pPr>
            <w:r>
              <w:rPr>
                <w:rFonts w:ascii="Arial" w:cs="Arial" w:eastAsia="Arial" w:hAnsi="Arial"/>
                <w:sz w:val="19"/>
                <w:szCs w:val="19"/>
                <w:color w:val="auto"/>
                <w:w w:val="88"/>
              </w:rPr>
              <w:t>146</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9.16</w:t>
            </w:r>
          </w:p>
        </w:tc>
        <w:tc>
          <w:tcPr>
            <w:tcW w:w="2500" w:type="dxa"/>
            <w:vAlign w:val="bottom"/>
            <w:gridSpan w:val="5"/>
          </w:tcPr>
          <w:p>
            <w:pPr>
              <w:ind w:left="200"/>
              <w:spacing w:after="0"/>
              <w:rPr>
                <w:sz w:val="20"/>
                <w:szCs w:val="20"/>
                <w:color w:val="auto"/>
              </w:rPr>
            </w:pPr>
            <w:r>
              <w:rPr>
                <w:rFonts w:ascii="Arial" w:cs="Arial" w:eastAsia="Arial" w:hAnsi="Arial"/>
                <w:sz w:val="19"/>
                <w:szCs w:val="19"/>
                <w:color w:val="auto"/>
              </w:rPr>
              <w:t>Appointment for Perfection</w:t>
            </w:r>
          </w:p>
        </w:tc>
        <w:tc>
          <w:tcPr>
            <w:tcW w:w="300" w:type="dxa"/>
            <w:vAlign w:val="bottom"/>
          </w:tcPr>
          <w:p>
            <w:pPr>
              <w:jc w:val="right"/>
              <w:spacing w:after="0"/>
              <w:rPr>
                <w:sz w:val="20"/>
                <w:szCs w:val="20"/>
                <w:color w:val="auto"/>
              </w:rPr>
            </w:pPr>
            <w:r>
              <w:rPr>
                <w:rFonts w:ascii="Arial" w:cs="Arial" w:eastAsia="Arial" w:hAnsi="Arial"/>
                <w:sz w:val="19"/>
                <w:szCs w:val="19"/>
                <w:color w:val="auto"/>
                <w:w w:val="81"/>
              </w:rPr>
              <w:t>146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9.17</w:t>
            </w:r>
          </w:p>
        </w:tc>
        <w:tc>
          <w:tcPr>
            <w:tcW w:w="2080" w:type="dxa"/>
            <w:vAlign w:val="bottom"/>
            <w:gridSpan w:val="4"/>
          </w:tcPr>
          <w:p>
            <w:pPr>
              <w:ind w:left="200"/>
              <w:spacing w:after="0"/>
              <w:rPr>
                <w:sz w:val="20"/>
                <w:szCs w:val="20"/>
                <w:color w:val="auto"/>
              </w:rPr>
            </w:pPr>
            <w:r>
              <w:rPr>
                <w:rFonts w:ascii="Arial" w:cs="Arial" w:eastAsia="Arial" w:hAnsi="Arial"/>
                <w:sz w:val="19"/>
                <w:szCs w:val="19"/>
                <w:color w:val="auto"/>
                <w:w w:val="95"/>
              </w:rPr>
              <w:t>Interest Rate Limitation</w:t>
            </w:r>
          </w:p>
        </w:tc>
        <w:tc>
          <w:tcPr>
            <w:tcW w:w="420" w:type="dxa"/>
            <w:vAlign w:val="bottom"/>
          </w:tcPr>
          <w:p>
            <w:pPr>
              <w:jc w:val="right"/>
              <w:spacing w:after="0"/>
              <w:rPr>
                <w:sz w:val="20"/>
                <w:szCs w:val="20"/>
                <w:color w:val="auto"/>
              </w:rPr>
            </w:pPr>
            <w:r>
              <w:rPr>
                <w:rFonts w:ascii="Arial" w:cs="Arial" w:eastAsia="Arial" w:hAnsi="Arial"/>
                <w:sz w:val="19"/>
                <w:szCs w:val="19"/>
                <w:color w:val="auto"/>
              </w:rPr>
              <w:t>146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9.18</w:t>
            </w:r>
          </w:p>
        </w:tc>
        <w:tc>
          <w:tcPr>
            <w:tcW w:w="2800" w:type="dxa"/>
            <w:vAlign w:val="bottom"/>
            <w:gridSpan w:val="6"/>
          </w:tcPr>
          <w:p>
            <w:pPr>
              <w:ind w:left="200"/>
              <w:spacing w:after="0"/>
              <w:rPr>
                <w:sz w:val="20"/>
                <w:szCs w:val="20"/>
                <w:color w:val="auto"/>
              </w:rPr>
            </w:pPr>
            <w:r>
              <w:rPr>
                <w:rFonts w:ascii="Arial" w:cs="Arial" w:eastAsia="Arial" w:hAnsi="Arial"/>
                <w:sz w:val="19"/>
                <w:szCs w:val="19"/>
                <w:color w:val="auto"/>
                <w:w w:val="96"/>
              </w:rPr>
              <w:t>Judgment Currency Conversion</w:t>
            </w:r>
          </w:p>
        </w:tc>
        <w:tc>
          <w:tcPr>
            <w:tcW w:w="400" w:type="dxa"/>
            <w:vAlign w:val="bottom"/>
          </w:tcPr>
          <w:p>
            <w:pPr>
              <w:jc w:val="right"/>
              <w:ind w:right="5"/>
              <w:spacing w:after="0"/>
              <w:rPr>
                <w:sz w:val="20"/>
                <w:szCs w:val="20"/>
                <w:color w:val="auto"/>
              </w:rPr>
            </w:pPr>
            <w:r>
              <w:rPr>
                <w:rFonts w:ascii="Arial" w:cs="Arial" w:eastAsia="Arial" w:hAnsi="Arial"/>
                <w:sz w:val="19"/>
                <w:szCs w:val="19"/>
                <w:color w:val="auto"/>
                <w:w w:val="88"/>
              </w:rPr>
              <w:t>146</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9.19</w:t>
            </w:r>
          </w:p>
        </w:tc>
        <w:tc>
          <w:tcPr>
            <w:tcW w:w="4840" w:type="dxa"/>
            <w:vAlign w:val="bottom"/>
            <w:gridSpan w:val="9"/>
          </w:tcPr>
          <w:p>
            <w:pPr>
              <w:ind w:left="200"/>
              <w:spacing w:after="0"/>
              <w:rPr>
                <w:sz w:val="20"/>
                <w:szCs w:val="20"/>
                <w:color w:val="auto"/>
              </w:rPr>
            </w:pPr>
            <w:r>
              <w:rPr>
                <w:rFonts w:ascii="Arial" w:cs="Arial" w:eastAsia="Arial" w:hAnsi="Arial"/>
                <w:sz w:val="19"/>
                <w:szCs w:val="19"/>
                <w:color w:val="auto"/>
              </w:rPr>
              <w:t>Canadian Anti-Money Laundering Legislation  147</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9.20</w:t>
            </w:r>
          </w:p>
        </w:tc>
        <w:tc>
          <w:tcPr>
            <w:tcW w:w="2800" w:type="dxa"/>
            <w:vAlign w:val="bottom"/>
            <w:gridSpan w:val="6"/>
          </w:tcPr>
          <w:p>
            <w:pPr>
              <w:ind w:left="200"/>
              <w:spacing w:after="0"/>
              <w:rPr>
                <w:sz w:val="20"/>
                <w:szCs w:val="20"/>
                <w:color w:val="auto"/>
              </w:rPr>
            </w:pPr>
            <w:r>
              <w:rPr>
                <w:rFonts w:ascii="Arial" w:cs="Arial" w:eastAsia="Arial" w:hAnsi="Arial"/>
                <w:sz w:val="19"/>
                <w:szCs w:val="19"/>
                <w:color w:val="auto"/>
                <w:w w:val="94"/>
              </w:rPr>
              <w:t>Lender Loss Sharing Agreement</w:t>
            </w:r>
          </w:p>
        </w:tc>
        <w:tc>
          <w:tcPr>
            <w:tcW w:w="400" w:type="dxa"/>
            <w:vAlign w:val="bottom"/>
          </w:tcPr>
          <w:p>
            <w:pPr>
              <w:jc w:val="right"/>
              <w:spacing w:after="0"/>
              <w:rPr>
                <w:sz w:val="20"/>
                <w:szCs w:val="20"/>
                <w:color w:val="auto"/>
              </w:rPr>
            </w:pPr>
            <w:r>
              <w:rPr>
                <w:rFonts w:ascii="Arial" w:cs="Arial" w:eastAsia="Arial" w:hAnsi="Arial"/>
                <w:sz w:val="19"/>
                <w:szCs w:val="19"/>
                <w:color w:val="auto"/>
              </w:rPr>
              <w:t>148</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9.21</w:t>
            </w:r>
          </w:p>
        </w:tc>
        <w:tc>
          <w:tcPr>
            <w:tcW w:w="1180" w:type="dxa"/>
            <w:vAlign w:val="bottom"/>
            <w:gridSpan w:val="2"/>
          </w:tcPr>
          <w:p>
            <w:pPr>
              <w:ind w:left="200"/>
              <w:spacing w:after="0"/>
              <w:rPr>
                <w:sz w:val="20"/>
                <w:szCs w:val="20"/>
                <w:color w:val="auto"/>
              </w:rPr>
            </w:pPr>
            <w:r>
              <w:rPr>
                <w:rFonts w:ascii="Arial" w:cs="Arial" w:eastAsia="Arial" w:hAnsi="Arial"/>
                <w:sz w:val="19"/>
                <w:szCs w:val="19"/>
                <w:color w:val="auto"/>
                <w:w w:val="89"/>
              </w:rPr>
              <w:t>Restatement</w:t>
            </w:r>
          </w:p>
        </w:tc>
        <w:tc>
          <w:tcPr>
            <w:tcW w:w="900" w:type="dxa"/>
            <w:vAlign w:val="bottom"/>
            <w:gridSpan w:val="2"/>
          </w:tcPr>
          <w:p>
            <w:pPr>
              <w:jc w:val="right"/>
              <w:ind w:right="365"/>
              <w:spacing w:after="0"/>
              <w:rPr>
                <w:sz w:val="20"/>
                <w:szCs w:val="20"/>
                <w:color w:val="auto"/>
              </w:rPr>
            </w:pPr>
            <w:r>
              <w:rPr>
                <w:rFonts w:ascii="Arial" w:cs="Arial" w:eastAsia="Arial" w:hAnsi="Arial"/>
                <w:sz w:val="19"/>
                <w:szCs w:val="19"/>
                <w:color w:val="auto"/>
              </w:rPr>
              <w:t>149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9.22</w:t>
            </w:r>
          </w:p>
        </w:tc>
        <w:tc>
          <w:tcPr>
            <w:tcW w:w="3420" w:type="dxa"/>
            <w:vAlign w:val="bottom"/>
            <w:gridSpan w:val="8"/>
          </w:tcPr>
          <w:p>
            <w:pPr>
              <w:ind w:left="200"/>
              <w:spacing w:after="0"/>
              <w:rPr>
                <w:sz w:val="20"/>
                <w:szCs w:val="20"/>
                <w:color w:val="auto"/>
              </w:rPr>
            </w:pPr>
            <w:r>
              <w:rPr>
                <w:rFonts w:ascii="Arial" w:cs="Arial" w:eastAsia="Arial" w:hAnsi="Arial"/>
                <w:sz w:val="19"/>
                <w:szCs w:val="19"/>
                <w:color w:val="auto"/>
                <w:w w:val="94"/>
              </w:rPr>
              <w:t>ABL-Term Loan Intercreditor Agreement</w:t>
            </w:r>
          </w:p>
        </w:tc>
        <w:tc>
          <w:tcPr>
            <w:tcW w:w="1420" w:type="dxa"/>
            <w:vAlign w:val="bottom"/>
          </w:tcPr>
          <w:p>
            <w:pPr>
              <w:jc w:val="right"/>
              <w:ind w:right="885"/>
              <w:spacing w:after="0"/>
              <w:rPr>
                <w:sz w:val="20"/>
                <w:szCs w:val="20"/>
                <w:color w:val="auto"/>
              </w:rPr>
            </w:pPr>
            <w:r>
              <w:rPr>
                <w:rFonts w:ascii="Arial" w:cs="Arial" w:eastAsia="Arial" w:hAnsi="Arial"/>
                <w:sz w:val="19"/>
                <w:szCs w:val="19"/>
                <w:color w:val="auto"/>
              </w:rPr>
              <w:t>150</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9.23</w:t>
            </w:r>
          </w:p>
        </w:tc>
        <w:tc>
          <w:tcPr>
            <w:tcW w:w="3420" w:type="dxa"/>
            <w:vAlign w:val="bottom"/>
            <w:gridSpan w:val="8"/>
          </w:tcPr>
          <w:p>
            <w:pPr>
              <w:ind w:left="200"/>
              <w:spacing w:after="0"/>
              <w:rPr>
                <w:sz w:val="20"/>
                <w:szCs w:val="20"/>
                <w:color w:val="auto"/>
              </w:rPr>
            </w:pPr>
            <w:r>
              <w:rPr>
                <w:rFonts w:ascii="Arial" w:cs="Arial" w:eastAsia="Arial" w:hAnsi="Arial"/>
                <w:sz w:val="19"/>
                <w:szCs w:val="19"/>
                <w:color w:val="auto"/>
                <w:w w:val="97"/>
              </w:rPr>
              <w:t>No Advisory or Fiduciary Responsibility</w:t>
            </w:r>
          </w:p>
        </w:tc>
        <w:tc>
          <w:tcPr>
            <w:tcW w:w="1420" w:type="dxa"/>
            <w:vAlign w:val="bottom"/>
          </w:tcPr>
          <w:p>
            <w:pPr>
              <w:jc w:val="right"/>
              <w:ind w:right="945"/>
              <w:spacing w:after="0"/>
              <w:rPr>
                <w:sz w:val="20"/>
                <w:szCs w:val="20"/>
                <w:color w:val="auto"/>
              </w:rPr>
            </w:pPr>
            <w:r>
              <w:rPr>
                <w:rFonts w:ascii="Arial" w:cs="Arial" w:eastAsia="Arial" w:hAnsi="Arial"/>
                <w:sz w:val="19"/>
                <w:szCs w:val="19"/>
                <w:color w:val="auto"/>
              </w:rPr>
              <w:t>150</w:t>
            </w:r>
          </w:p>
        </w:tc>
        <w:tc>
          <w:tcPr>
            <w:tcW w:w="400" w:type="dxa"/>
            <w:vAlign w:val="bottom"/>
          </w:tcPr>
          <w:p>
            <w:pPr>
              <w:spacing w:after="0"/>
              <w:rPr>
                <w:sz w:val="24"/>
                <w:szCs w:val="24"/>
                <w:color w:val="auto"/>
              </w:rPr>
            </w:pPr>
          </w:p>
        </w:tc>
      </w:tr>
      <w:tr>
        <w:trPr>
          <w:trHeight w:val="322"/>
        </w:trPr>
        <w:tc>
          <w:tcPr>
            <w:tcW w:w="1260" w:type="dxa"/>
            <w:vAlign w:val="bottom"/>
          </w:tcPr>
          <w:p>
            <w:pPr>
              <w:spacing w:after="0"/>
              <w:rPr>
                <w:sz w:val="20"/>
                <w:szCs w:val="20"/>
                <w:color w:val="auto"/>
              </w:rPr>
            </w:pPr>
            <w:r>
              <w:rPr>
                <w:rFonts w:ascii="Arial" w:cs="Arial" w:eastAsia="Arial" w:hAnsi="Arial"/>
                <w:sz w:val="19"/>
                <w:szCs w:val="19"/>
                <w:color w:val="auto"/>
              </w:rPr>
              <w:t>ARTICLE X.</w:t>
            </w:r>
          </w:p>
        </w:tc>
        <w:tc>
          <w:tcPr>
            <w:tcW w:w="1480" w:type="dxa"/>
            <w:vAlign w:val="bottom"/>
            <w:gridSpan w:val="2"/>
          </w:tcPr>
          <w:p>
            <w:pPr>
              <w:ind w:left="160"/>
              <w:spacing w:after="0"/>
              <w:rPr>
                <w:sz w:val="20"/>
                <w:szCs w:val="20"/>
                <w:color w:val="auto"/>
              </w:rPr>
            </w:pPr>
            <w:r>
              <w:rPr>
                <w:rFonts w:ascii="Arial" w:cs="Arial" w:eastAsia="Arial" w:hAnsi="Arial"/>
                <w:sz w:val="19"/>
                <w:szCs w:val="19"/>
                <w:color w:val="auto"/>
              </w:rPr>
              <w:t>[RESERVED.]</w:t>
            </w:r>
          </w:p>
        </w:tc>
        <w:tc>
          <w:tcPr>
            <w:tcW w:w="560" w:type="dxa"/>
            <w:vAlign w:val="bottom"/>
            <w:gridSpan w:val="2"/>
          </w:tcPr>
          <w:p>
            <w:pPr>
              <w:jc w:val="right"/>
              <w:ind w:right="165"/>
              <w:spacing w:after="0"/>
              <w:rPr>
                <w:sz w:val="20"/>
                <w:szCs w:val="20"/>
                <w:color w:val="auto"/>
              </w:rPr>
            </w:pPr>
            <w:r>
              <w:rPr>
                <w:rFonts w:ascii="Arial" w:cs="Arial" w:eastAsia="Arial" w:hAnsi="Arial"/>
                <w:sz w:val="19"/>
                <w:szCs w:val="19"/>
                <w:color w:val="auto"/>
                <w:w w:val="88"/>
              </w:rPr>
              <w:t>150</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260" w:type="dxa"/>
            <w:vAlign w:val="bottom"/>
          </w:tcPr>
          <w:p>
            <w:pPr>
              <w:spacing w:after="0"/>
              <w:rPr>
                <w:sz w:val="20"/>
                <w:szCs w:val="20"/>
                <w:color w:val="auto"/>
              </w:rPr>
            </w:pPr>
            <w:r>
              <w:rPr>
                <w:rFonts w:ascii="Arial" w:cs="Arial" w:eastAsia="Arial" w:hAnsi="Arial"/>
                <w:sz w:val="19"/>
                <w:szCs w:val="19"/>
                <w:color w:val="auto"/>
              </w:rPr>
              <w:t>ARTICLE XI.</w:t>
            </w:r>
          </w:p>
        </w:tc>
        <w:tc>
          <w:tcPr>
            <w:tcW w:w="3340" w:type="dxa"/>
            <w:vAlign w:val="bottom"/>
            <w:gridSpan w:val="7"/>
          </w:tcPr>
          <w:p>
            <w:pPr>
              <w:jc w:val="right"/>
              <w:spacing w:after="0"/>
              <w:rPr>
                <w:sz w:val="20"/>
                <w:szCs w:val="20"/>
                <w:color w:val="auto"/>
              </w:rPr>
            </w:pPr>
            <w:r>
              <w:rPr>
                <w:rFonts w:ascii="Arial" w:cs="Arial" w:eastAsia="Arial" w:hAnsi="Arial"/>
                <w:sz w:val="19"/>
                <w:szCs w:val="19"/>
                <w:color w:val="auto"/>
                <w:w w:val="98"/>
              </w:rPr>
              <w:t>THE BORROWER REPRESENTATIVE</w:t>
            </w:r>
          </w:p>
        </w:tc>
        <w:tc>
          <w:tcPr>
            <w:tcW w:w="620" w:type="dxa"/>
            <w:vAlign w:val="bottom"/>
            <w:gridSpan w:val="2"/>
          </w:tcPr>
          <w:p>
            <w:pPr>
              <w:jc w:val="right"/>
              <w:ind w:right="65"/>
              <w:spacing w:after="0"/>
              <w:rPr>
                <w:sz w:val="20"/>
                <w:szCs w:val="20"/>
                <w:color w:val="auto"/>
              </w:rPr>
            </w:pPr>
            <w:r>
              <w:rPr>
                <w:rFonts w:ascii="Arial" w:cs="Arial" w:eastAsia="Arial" w:hAnsi="Arial"/>
                <w:sz w:val="19"/>
                <w:szCs w:val="19"/>
                <w:color w:val="auto"/>
              </w:rPr>
              <w:t>150</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11.01</w:t>
            </w:r>
          </w:p>
        </w:tc>
        <w:tc>
          <w:tcPr>
            <w:tcW w:w="3200" w:type="dxa"/>
            <w:vAlign w:val="bottom"/>
            <w:gridSpan w:val="7"/>
          </w:tcPr>
          <w:p>
            <w:pPr>
              <w:ind w:left="200"/>
              <w:spacing w:after="0"/>
              <w:rPr>
                <w:sz w:val="20"/>
                <w:szCs w:val="20"/>
                <w:color w:val="auto"/>
              </w:rPr>
            </w:pPr>
            <w:r>
              <w:rPr>
                <w:rFonts w:ascii="Arial" w:cs="Arial" w:eastAsia="Arial" w:hAnsi="Arial"/>
                <w:sz w:val="19"/>
                <w:szCs w:val="19"/>
                <w:color w:val="auto"/>
                <w:w w:val="97"/>
              </w:rPr>
              <w:t>Appointment; Nature of Relationship</w:t>
            </w:r>
          </w:p>
        </w:tc>
        <w:tc>
          <w:tcPr>
            <w:tcW w:w="1640" w:type="dxa"/>
            <w:vAlign w:val="bottom"/>
            <w:gridSpan w:val="2"/>
          </w:tcPr>
          <w:p>
            <w:pPr>
              <w:jc w:val="right"/>
              <w:ind w:right="1225"/>
              <w:spacing w:after="0"/>
              <w:rPr>
                <w:sz w:val="20"/>
                <w:szCs w:val="20"/>
                <w:color w:val="auto"/>
              </w:rPr>
            </w:pPr>
            <w:r>
              <w:rPr>
                <w:rFonts w:ascii="Arial" w:cs="Arial" w:eastAsia="Arial" w:hAnsi="Arial"/>
                <w:sz w:val="19"/>
                <w:szCs w:val="19"/>
                <w:color w:val="auto"/>
                <w:w w:val="94"/>
              </w:rPr>
              <w:t>150</w:t>
            </w: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11.02</w:t>
            </w:r>
          </w:p>
        </w:tc>
        <w:tc>
          <w:tcPr>
            <w:tcW w:w="940" w:type="dxa"/>
            <w:vAlign w:val="bottom"/>
          </w:tcPr>
          <w:p>
            <w:pPr>
              <w:ind w:left="200"/>
              <w:spacing w:after="0"/>
              <w:rPr>
                <w:sz w:val="20"/>
                <w:szCs w:val="20"/>
                <w:color w:val="auto"/>
              </w:rPr>
            </w:pPr>
            <w:r>
              <w:rPr>
                <w:rFonts w:ascii="Arial" w:cs="Arial" w:eastAsia="Arial" w:hAnsi="Arial"/>
                <w:sz w:val="19"/>
                <w:szCs w:val="19"/>
                <w:color w:val="auto"/>
              </w:rPr>
              <w:t>Powers</w:t>
            </w:r>
          </w:p>
        </w:tc>
        <w:tc>
          <w:tcPr>
            <w:tcW w:w="560" w:type="dxa"/>
            <w:vAlign w:val="bottom"/>
            <w:gridSpan w:val="2"/>
          </w:tcPr>
          <w:p>
            <w:pPr>
              <w:jc w:val="right"/>
              <w:ind w:right="165"/>
              <w:spacing w:after="0"/>
              <w:rPr>
                <w:sz w:val="20"/>
                <w:szCs w:val="20"/>
                <w:color w:val="auto"/>
              </w:rPr>
            </w:pPr>
            <w:r>
              <w:rPr>
                <w:rFonts w:ascii="Arial" w:cs="Arial" w:eastAsia="Arial" w:hAnsi="Arial"/>
                <w:sz w:val="19"/>
                <w:szCs w:val="19"/>
                <w:color w:val="auto"/>
                <w:w w:val="88"/>
              </w:rPr>
              <w:t>151</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11.03</w:t>
            </w:r>
          </w:p>
        </w:tc>
        <w:tc>
          <w:tcPr>
            <w:tcW w:w="2080" w:type="dxa"/>
            <w:vAlign w:val="bottom"/>
            <w:gridSpan w:val="4"/>
          </w:tcPr>
          <w:p>
            <w:pPr>
              <w:ind w:left="200"/>
              <w:spacing w:after="0"/>
              <w:rPr>
                <w:sz w:val="20"/>
                <w:szCs w:val="20"/>
                <w:color w:val="auto"/>
              </w:rPr>
            </w:pPr>
            <w:r>
              <w:rPr>
                <w:rFonts w:ascii="Arial" w:cs="Arial" w:eastAsia="Arial" w:hAnsi="Arial"/>
                <w:sz w:val="19"/>
                <w:szCs w:val="19"/>
                <w:color w:val="auto"/>
                <w:w w:val="97"/>
              </w:rPr>
              <w:t>Employment of Agents</w:t>
            </w:r>
          </w:p>
        </w:tc>
        <w:tc>
          <w:tcPr>
            <w:tcW w:w="420" w:type="dxa"/>
            <w:vAlign w:val="bottom"/>
          </w:tcPr>
          <w:p>
            <w:pPr>
              <w:jc w:val="right"/>
              <w:spacing w:after="0"/>
              <w:rPr>
                <w:sz w:val="20"/>
                <w:szCs w:val="20"/>
                <w:color w:val="auto"/>
              </w:rPr>
            </w:pPr>
            <w:r>
              <w:rPr>
                <w:rFonts w:ascii="Arial" w:cs="Arial" w:eastAsia="Arial" w:hAnsi="Arial"/>
                <w:sz w:val="19"/>
                <w:szCs w:val="19"/>
                <w:color w:val="auto"/>
              </w:rPr>
              <w:t>151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11.04</w:t>
            </w:r>
          </w:p>
        </w:tc>
        <w:tc>
          <w:tcPr>
            <w:tcW w:w="940" w:type="dxa"/>
            <w:vAlign w:val="bottom"/>
          </w:tcPr>
          <w:p>
            <w:pPr>
              <w:ind w:left="200"/>
              <w:spacing w:after="0"/>
              <w:rPr>
                <w:sz w:val="20"/>
                <w:szCs w:val="20"/>
                <w:color w:val="auto"/>
              </w:rPr>
            </w:pPr>
            <w:r>
              <w:rPr>
                <w:rFonts w:ascii="Arial" w:cs="Arial" w:eastAsia="Arial" w:hAnsi="Arial"/>
                <w:sz w:val="19"/>
                <w:szCs w:val="19"/>
                <w:color w:val="auto"/>
              </w:rPr>
              <w:t>Notices</w:t>
            </w:r>
          </w:p>
        </w:tc>
        <w:tc>
          <w:tcPr>
            <w:tcW w:w="560" w:type="dxa"/>
            <w:vAlign w:val="bottom"/>
            <w:gridSpan w:val="2"/>
          </w:tcPr>
          <w:p>
            <w:pPr>
              <w:jc w:val="right"/>
              <w:ind w:right="145"/>
              <w:spacing w:after="0"/>
              <w:rPr>
                <w:sz w:val="20"/>
                <w:szCs w:val="20"/>
                <w:color w:val="auto"/>
              </w:rPr>
            </w:pPr>
            <w:r>
              <w:rPr>
                <w:rFonts w:ascii="Arial" w:cs="Arial" w:eastAsia="Arial" w:hAnsi="Arial"/>
                <w:sz w:val="19"/>
                <w:szCs w:val="19"/>
                <w:color w:val="auto"/>
                <w:w w:val="94"/>
              </w:rPr>
              <w:t>151</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11.05</w:t>
            </w:r>
          </w:p>
        </w:tc>
        <w:tc>
          <w:tcPr>
            <w:tcW w:w="3420" w:type="dxa"/>
            <w:vAlign w:val="bottom"/>
            <w:gridSpan w:val="8"/>
          </w:tcPr>
          <w:p>
            <w:pPr>
              <w:ind w:left="200"/>
              <w:spacing w:after="0"/>
              <w:rPr>
                <w:sz w:val="20"/>
                <w:szCs w:val="20"/>
                <w:color w:val="auto"/>
              </w:rPr>
            </w:pPr>
            <w:r>
              <w:rPr>
                <w:rFonts w:ascii="Arial" w:cs="Arial" w:eastAsia="Arial" w:hAnsi="Arial"/>
                <w:sz w:val="19"/>
                <w:szCs w:val="19"/>
                <w:color w:val="auto"/>
                <w:w w:val="92"/>
              </w:rPr>
              <w:t>Successor Borrower Representative  151</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2"/>
        </w:trPr>
        <w:tc>
          <w:tcPr>
            <w:tcW w:w="1800" w:type="dxa"/>
            <w:vAlign w:val="bottom"/>
            <w:gridSpan w:val="2"/>
          </w:tcPr>
          <w:p>
            <w:pPr>
              <w:ind w:left="560"/>
              <w:spacing w:after="0"/>
              <w:rPr>
                <w:sz w:val="20"/>
                <w:szCs w:val="20"/>
                <w:color w:val="auto"/>
              </w:rPr>
            </w:pPr>
            <w:r>
              <w:rPr>
                <w:rFonts w:ascii="Arial" w:cs="Arial" w:eastAsia="Arial" w:hAnsi="Arial"/>
                <w:sz w:val="19"/>
                <w:szCs w:val="19"/>
                <w:color w:val="auto"/>
              </w:rPr>
              <w:t>Section 11.06</w:t>
            </w:r>
          </w:p>
        </w:tc>
        <w:tc>
          <w:tcPr>
            <w:tcW w:w="4840" w:type="dxa"/>
            <w:vAlign w:val="bottom"/>
            <w:gridSpan w:val="9"/>
          </w:tcPr>
          <w:p>
            <w:pPr>
              <w:ind w:left="200"/>
              <w:spacing w:after="0"/>
              <w:rPr>
                <w:sz w:val="20"/>
                <w:szCs w:val="20"/>
                <w:color w:val="auto"/>
              </w:rPr>
            </w:pPr>
            <w:r>
              <w:rPr>
                <w:rFonts w:ascii="Arial" w:cs="Arial" w:eastAsia="Arial" w:hAnsi="Arial"/>
                <w:sz w:val="19"/>
                <w:szCs w:val="19"/>
                <w:color w:val="auto"/>
                <w:w w:val="94"/>
              </w:rPr>
              <w:t>Execution of Loan Documents; Borrowing Base Certificate</w:t>
            </w:r>
          </w:p>
        </w:tc>
        <w:tc>
          <w:tcPr>
            <w:tcW w:w="400" w:type="dxa"/>
            <w:vAlign w:val="bottom"/>
          </w:tcPr>
          <w:p>
            <w:pPr>
              <w:jc w:val="right"/>
              <w:spacing w:after="0"/>
              <w:rPr>
                <w:sz w:val="20"/>
                <w:szCs w:val="20"/>
                <w:color w:val="auto"/>
              </w:rPr>
            </w:pPr>
            <w:r>
              <w:rPr>
                <w:rFonts w:ascii="Arial" w:cs="Arial" w:eastAsia="Arial" w:hAnsi="Arial"/>
                <w:sz w:val="19"/>
                <w:szCs w:val="19"/>
                <w:color w:val="auto"/>
              </w:rPr>
              <w:t>151</w:t>
            </w:r>
          </w:p>
        </w:tc>
      </w:tr>
    </w:tbl>
    <w:p>
      <w:pPr>
        <w:sectPr>
          <w:pgSz w:w="11900" w:h="16838" w:orient="portrait"/>
          <w:cols w:equalWidth="0" w:num="1">
            <w:col w:w="10219"/>
          </w:cols>
          <w:pgMar w:left="240" w:top="13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00" w:type="dxa"/>
            <w:vAlign w:val="bottom"/>
          </w:tcPr>
          <w:p>
            <w:pPr>
              <w:ind w:left="560"/>
              <w:spacing w:after="0"/>
              <w:rPr>
                <w:sz w:val="20"/>
                <w:szCs w:val="20"/>
                <w:color w:val="auto"/>
              </w:rPr>
            </w:pPr>
            <w:r>
              <w:rPr>
                <w:rFonts w:ascii="Arial" w:cs="Arial" w:eastAsia="Arial" w:hAnsi="Arial"/>
                <w:sz w:val="19"/>
                <w:szCs w:val="19"/>
                <w:color w:val="auto"/>
              </w:rPr>
              <w:t>Section 11.07</w:t>
            </w:r>
          </w:p>
        </w:tc>
        <w:tc>
          <w:tcPr>
            <w:tcW w:w="1120" w:type="dxa"/>
            <w:vAlign w:val="bottom"/>
          </w:tcPr>
          <w:p>
            <w:pPr>
              <w:ind w:left="200"/>
              <w:spacing w:after="0"/>
              <w:rPr>
                <w:sz w:val="20"/>
                <w:szCs w:val="20"/>
                <w:color w:val="auto"/>
              </w:rPr>
            </w:pPr>
            <w:r>
              <w:rPr>
                <w:rFonts w:ascii="Arial" w:cs="Arial" w:eastAsia="Arial" w:hAnsi="Arial"/>
                <w:sz w:val="19"/>
                <w:szCs w:val="19"/>
                <w:color w:val="auto"/>
              </w:rPr>
              <w:t>Reporting</w:t>
            </w:r>
          </w:p>
        </w:tc>
        <w:tc>
          <w:tcPr>
            <w:tcW w:w="4520" w:type="dxa"/>
            <w:vAlign w:val="bottom"/>
          </w:tcPr>
          <w:p>
            <w:pPr>
              <w:jc w:val="right"/>
              <w:ind w:right="4105"/>
              <w:spacing w:after="0"/>
              <w:rPr>
                <w:sz w:val="20"/>
                <w:szCs w:val="20"/>
                <w:color w:val="auto"/>
              </w:rPr>
            </w:pPr>
            <w:r>
              <w:rPr>
                <w:rFonts w:ascii="Arial" w:cs="Arial" w:eastAsia="Arial" w:hAnsi="Arial"/>
                <w:sz w:val="19"/>
                <w:szCs w:val="19"/>
                <w:color w:val="auto"/>
                <w:w w:val="94"/>
              </w:rPr>
              <w:t>151</w:t>
            </w:r>
          </w:p>
        </w:tc>
      </w:tr>
      <w:tr>
        <w:trPr>
          <w:trHeight w:val="322"/>
        </w:trPr>
        <w:tc>
          <w:tcPr>
            <w:tcW w:w="7440" w:type="dxa"/>
            <w:vAlign w:val="bottom"/>
            <w:gridSpan w:val="3"/>
          </w:tcPr>
          <w:p>
            <w:pPr>
              <w:spacing w:after="0"/>
              <w:rPr>
                <w:sz w:val="20"/>
                <w:szCs w:val="20"/>
                <w:color w:val="auto"/>
              </w:rPr>
            </w:pPr>
            <w:r>
              <w:rPr>
                <w:rFonts w:ascii="Arial" w:cs="Arial" w:eastAsia="Arial" w:hAnsi="Arial"/>
                <w:sz w:val="19"/>
                <w:szCs w:val="19"/>
                <w:color w:val="auto"/>
              </w:rPr>
              <w:t>ARTICLE XII.   LIMITATIONS ON OBLIGATIONS OF CANADIAN LOAN PARTIES  151</w:t>
            </w:r>
          </w:p>
        </w:tc>
      </w:tr>
      <w:tr>
        <w:trPr>
          <w:trHeight w:val="322"/>
        </w:trPr>
        <w:tc>
          <w:tcPr>
            <w:tcW w:w="1800" w:type="dxa"/>
            <w:vAlign w:val="bottom"/>
          </w:tcPr>
          <w:p>
            <w:pPr>
              <w:ind w:left="560"/>
              <w:spacing w:after="0"/>
              <w:rPr>
                <w:sz w:val="20"/>
                <w:szCs w:val="20"/>
                <w:color w:val="auto"/>
              </w:rPr>
            </w:pPr>
            <w:r>
              <w:rPr>
                <w:rFonts w:ascii="Arial" w:cs="Arial" w:eastAsia="Arial" w:hAnsi="Arial"/>
                <w:sz w:val="19"/>
                <w:szCs w:val="19"/>
                <w:color w:val="auto"/>
              </w:rPr>
              <w:t>Section 12.01</w:t>
            </w:r>
          </w:p>
        </w:tc>
        <w:tc>
          <w:tcPr>
            <w:tcW w:w="1120" w:type="dxa"/>
            <w:vAlign w:val="bottom"/>
          </w:tcPr>
          <w:p>
            <w:pPr>
              <w:ind w:left="200"/>
              <w:spacing w:after="0"/>
              <w:rPr>
                <w:sz w:val="20"/>
                <w:szCs w:val="20"/>
                <w:color w:val="auto"/>
              </w:rPr>
            </w:pPr>
            <w:r>
              <w:rPr>
                <w:rFonts w:ascii="Arial" w:cs="Arial" w:eastAsia="Arial" w:hAnsi="Arial"/>
                <w:sz w:val="19"/>
                <w:szCs w:val="19"/>
                <w:color w:val="auto"/>
                <w:w w:val="99"/>
              </w:rPr>
              <w:t>Limitations</w:t>
            </w:r>
          </w:p>
        </w:tc>
        <w:tc>
          <w:tcPr>
            <w:tcW w:w="4520" w:type="dxa"/>
            <w:vAlign w:val="bottom"/>
          </w:tcPr>
          <w:p>
            <w:pPr>
              <w:jc w:val="right"/>
              <w:ind w:right="3985"/>
              <w:spacing w:after="0"/>
              <w:rPr>
                <w:sz w:val="20"/>
                <w:szCs w:val="20"/>
                <w:color w:val="auto"/>
              </w:rPr>
            </w:pPr>
            <w:r>
              <w:rPr>
                <w:rFonts w:ascii="Arial" w:cs="Arial" w:eastAsia="Arial" w:hAnsi="Arial"/>
                <w:sz w:val="19"/>
                <w:szCs w:val="19"/>
                <w:color w:val="auto"/>
              </w:rPr>
              <w:t>151</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SCHEDULES</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Revolving Commitment Schedule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Schedule 1.01 – Mandatory Costs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2.06 -- Existing Letters of Credit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3.06 -- Disclosed Matters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3.10 – Canadian Pension Plans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3.15 -- Capitalization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4.01 -- Second Restatement Date Collateral Access Agreements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6.01 -- Existing Indebtedness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6.02 -- Existing Liens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Schedule 6.10 -- Existing Restrictions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A --</w:t>
      </w:r>
      <w:r>
        <w:rPr>
          <w:sz w:val="20"/>
          <w:szCs w:val="20"/>
          <w:color w:val="auto"/>
        </w:rPr>
        <w:tab/>
      </w:r>
      <w:r>
        <w:rPr>
          <w:rFonts w:ascii="Arial" w:cs="Arial" w:eastAsia="Arial" w:hAnsi="Arial"/>
          <w:sz w:val="15"/>
          <w:szCs w:val="15"/>
          <w:color w:val="auto"/>
        </w:rPr>
        <w:t>Form of Assignment and Assumption</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Exhibit B --</w:t>
      </w:r>
      <w:r>
        <w:rPr>
          <w:sz w:val="20"/>
          <w:szCs w:val="20"/>
          <w:color w:val="auto"/>
        </w:rPr>
        <w:tab/>
      </w:r>
      <w:r>
        <w:rPr>
          <w:rFonts w:ascii="Arial" w:cs="Arial" w:eastAsia="Arial" w:hAnsi="Arial"/>
          <w:sz w:val="16"/>
          <w:szCs w:val="16"/>
          <w:color w:val="auto"/>
        </w:rPr>
        <w:t>Form of Borrowing Base Certificate</w:t>
      </w:r>
    </w:p>
    <w:p>
      <w:pPr>
        <w:spacing w:after="0" w:line="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Exhibit C --</w:t>
      </w:r>
      <w:r>
        <w:rPr>
          <w:sz w:val="20"/>
          <w:szCs w:val="20"/>
          <w:color w:val="auto"/>
        </w:rPr>
        <w:tab/>
      </w:r>
      <w:r>
        <w:rPr>
          <w:rFonts w:ascii="Arial" w:cs="Arial" w:eastAsia="Arial" w:hAnsi="Arial"/>
          <w:sz w:val="16"/>
          <w:szCs w:val="16"/>
          <w:color w:val="auto"/>
        </w:rPr>
        <w:t>Form of Compliance Certificate</w:t>
      </w:r>
    </w:p>
    <w:p>
      <w:pPr>
        <w:spacing w:after="0" w:line="7"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Exhibit D --</w:t>
      </w:r>
      <w:r>
        <w:rPr>
          <w:sz w:val="20"/>
          <w:szCs w:val="20"/>
          <w:color w:val="auto"/>
        </w:rPr>
        <w:tab/>
      </w:r>
      <w:r>
        <w:rPr>
          <w:rFonts w:ascii="Arial" w:cs="Arial" w:eastAsia="Arial" w:hAnsi="Arial"/>
          <w:sz w:val="15"/>
          <w:szCs w:val="15"/>
          <w:color w:val="auto"/>
        </w:rPr>
        <w:t>Form of Joinder Agreement</w:t>
      </w:r>
    </w:p>
    <w:p>
      <w:pPr>
        <w:spacing w:after="0" w:line="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Exhibit E --</w:t>
      </w:r>
      <w:r>
        <w:rPr>
          <w:sz w:val="20"/>
          <w:szCs w:val="20"/>
          <w:color w:val="auto"/>
        </w:rPr>
        <w:tab/>
      </w:r>
      <w:r>
        <w:rPr>
          <w:rFonts w:ascii="Arial" w:cs="Arial" w:eastAsia="Arial" w:hAnsi="Arial"/>
          <w:sz w:val="15"/>
          <w:szCs w:val="15"/>
          <w:color w:val="auto"/>
        </w:rPr>
        <w:t>Form of Pledge and Security Agreement (U.S. Loan Parties)</w:t>
      </w:r>
    </w:p>
    <w:p>
      <w:pPr>
        <w:spacing w:after="0" w:line="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Exhibit F-1--</w:t>
      </w:r>
      <w:r>
        <w:rPr>
          <w:sz w:val="20"/>
          <w:szCs w:val="20"/>
          <w:color w:val="auto"/>
        </w:rPr>
        <w:tab/>
      </w:r>
      <w:r>
        <w:rPr>
          <w:rFonts w:ascii="Arial" w:cs="Arial" w:eastAsia="Arial" w:hAnsi="Arial"/>
          <w:sz w:val="15"/>
          <w:szCs w:val="15"/>
          <w:color w:val="auto"/>
        </w:rPr>
        <w:t>Form of Canadian Guarantee</w:t>
      </w:r>
    </w:p>
    <w:p>
      <w:pPr>
        <w:spacing w:after="0" w:line="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Exhibit F-2--</w:t>
      </w:r>
      <w:r>
        <w:rPr>
          <w:sz w:val="20"/>
          <w:szCs w:val="20"/>
          <w:color w:val="auto"/>
        </w:rPr>
        <w:tab/>
      </w:r>
      <w:r>
        <w:rPr>
          <w:rFonts w:ascii="Arial" w:cs="Arial" w:eastAsia="Arial" w:hAnsi="Arial"/>
          <w:sz w:val="15"/>
          <w:szCs w:val="15"/>
          <w:color w:val="auto"/>
        </w:rPr>
        <w:t>Form of Canadian Cross-Border Guarantee</w:t>
      </w:r>
    </w:p>
    <w:p>
      <w:pPr>
        <w:spacing w:after="0" w:line="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Exhibit G-1--</w:t>
      </w:r>
      <w:r>
        <w:rPr>
          <w:sz w:val="20"/>
          <w:szCs w:val="20"/>
          <w:color w:val="auto"/>
        </w:rPr>
        <w:tab/>
      </w:r>
      <w:r>
        <w:rPr>
          <w:rFonts w:ascii="Arial" w:cs="Arial" w:eastAsia="Arial" w:hAnsi="Arial"/>
          <w:sz w:val="15"/>
          <w:szCs w:val="15"/>
          <w:color w:val="auto"/>
        </w:rPr>
        <w:t>Form of Canadian Pledge and Security Agreement</w:t>
      </w:r>
    </w:p>
    <w:p>
      <w:pPr>
        <w:spacing w:after="0" w:line="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Exhibit G-2--</w:t>
      </w:r>
      <w:r>
        <w:rPr>
          <w:sz w:val="20"/>
          <w:szCs w:val="20"/>
          <w:color w:val="auto"/>
        </w:rPr>
        <w:tab/>
      </w:r>
      <w:r>
        <w:rPr>
          <w:rFonts w:ascii="Arial" w:cs="Arial" w:eastAsia="Arial" w:hAnsi="Arial"/>
          <w:sz w:val="15"/>
          <w:szCs w:val="15"/>
          <w:color w:val="auto"/>
        </w:rPr>
        <w:t>Form of Canadian Cross-Border Pledge and Security Agreement</w:t>
      </w:r>
    </w:p>
    <w:p>
      <w:pPr>
        <w:spacing w:after="0" w:line="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Exhibit H--</w:t>
      </w:r>
      <w:r>
        <w:rPr>
          <w:sz w:val="20"/>
          <w:szCs w:val="20"/>
          <w:color w:val="auto"/>
        </w:rPr>
        <w:tab/>
      </w:r>
      <w:r>
        <w:rPr>
          <w:rFonts w:ascii="Arial" w:cs="Arial" w:eastAsia="Arial" w:hAnsi="Arial"/>
          <w:sz w:val="16"/>
          <w:szCs w:val="16"/>
          <w:color w:val="auto"/>
        </w:rPr>
        <w:t>Form of Note</w:t>
      </w:r>
    </w:p>
    <w:p>
      <w:pPr>
        <w:spacing w:after="0" w:line="200" w:lineRule="exact"/>
        <w:rPr>
          <w:sz w:val="20"/>
          <w:szCs w:val="20"/>
          <w:color w:val="auto"/>
        </w:rPr>
      </w:pPr>
    </w:p>
    <w:p>
      <w:pPr>
        <w:spacing w:after="0" w:line="389"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SECOND AMENDED AND RESTATED CREDIT AGREEMENT dated as of September 24, 2015 (as it may be amended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WESCO DISTRIBUTION, INC., a Delaware corporation, the other U.S. Borrowers party hereto, WESCO DISTRIBUTION CANADA LP, an Ontario limited partnership, the other Canadian Borrowers party hereto, the other Loan Parties party hereto, the Lenders party hereto, JPMORGAN CHASE BANK, N.A., as Administrative Agent, and JPMORGAN CHASE BANK, N.A., TORONTO BRANCH, as Canadian Administrative Agent.</w:t>
      </w:r>
    </w:p>
    <w:p>
      <w:pPr>
        <w:spacing w:after="0" w:line="142"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WHEREAS, the Loan Parties are parties to the Amended and Restated Credit Agreement dated as of December 12, 2012 among WESCO Distribution, Inc., as U.S. Borrower, the other U.S. Borrowers party thereto, WESCO Distribution Canada LP, as Canadian Borrower, the other Loan Parties party thereto, the lenders party thereto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JPMorgan Chase Bank, N.A., as Administrative Agent, and JPMorgan Chase Bank, N.A., Toronto Branch, as Canadian Administrative Agent, as amended by the First Amendment to Amended and Restated Credit Agreement and Consent and Waiver dated as of November 19, 2013 and the Second Amendment to Amended and Restated Credit Agreement dated as of July 17, 2014 (as so amended,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pursuant to which the Existing Lenders agreed to make certain loans and provide certain other credit accommodations to the borrowers thereunder from time to time; and</w:t>
      </w:r>
    </w:p>
    <w:p>
      <w:pPr>
        <w:spacing w:after="0" w:line="16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WHEREAS, the Loan Parties have requested that the Existing Lenders agree to further amend and restate the Existing Credit Agreement in its entirety to, among other things make certain modifications to the terms and provisions of the Existing Credit Agreement;</w:t>
      </w:r>
    </w:p>
    <w:p>
      <w:pPr>
        <w:spacing w:after="0" w:line="140"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the parties hereto hereby agree that the Existing Credit Agreement is amended and restated in its entirety by this Agreement and hereby further agree as follows:</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ARTICLE I.</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Definitions</w:t>
      </w:r>
    </w:p>
    <w:p>
      <w:pPr>
        <w:spacing w:after="0" w:line="210"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following terms have the meanings specified below:</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2029 Convertible Debentures</w:t>
      </w:r>
      <w:r>
        <w:rPr>
          <w:rFonts w:ascii="Arial" w:cs="Arial" w:eastAsia="Arial" w:hAnsi="Arial"/>
          <w:sz w:val="17"/>
          <w:szCs w:val="17"/>
          <w:color w:val="auto"/>
        </w:rPr>
        <w:t>” means the 6.0% Convertible Debentures due 2029 issued by Holdings pursuant to the 2029 Convertible Debentures Indenture.</w:t>
      </w:r>
    </w:p>
    <w:p>
      <w:pPr>
        <w:spacing w:after="0" w:line="140"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2029 Convertible Debentures Indenture</w:t>
      </w:r>
      <w:r>
        <w:rPr>
          <w:rFonts w:ascii="Arial" w:cs="Arial" w:eastAsia="Arial" w:hAnsi="Arial"/>
          <w:sz w:val="17"/>
          <w:szCs w:val="17"/>
          <w:color w:val="auto"/>
        </w:rPr>
        <w:t>” means that certain Indenture dated as of August 27, 2009 among Holdings as issuer, WESCO Distribution, Inc. as guarantor and The Bank of New York Mellon, as trustee, including any supplemental indenture executed or delivered in connection therewith, as the same may be amended, modified, waived, or supplemented from time to time.</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Priority Collateral</w:t>
      </w:r>
      <w:r>
        <w:rPr>
          <w:rFonts w:ascii="Arial" w:cs="Arial" w:eastAsia="Arial" w:hAnsi="Arial"/>
          <w:sz w:val="17"/>
          <w:szCs w:val="17"/>
          <w:color w:val="auto"/>
        </w:rPr>
        <w:t>” has the meaning assigned to such term in the ABL-Term Loan Intercreditor Agreement.</w:t>
      </w:r>
    </w:p>
    <w:p>
      <w:pPr>
        <w:spacing w:after="0" w:line="198"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ABL-Term Loan Intercreditor Agreement</w:t>
      </w:r>
      <w:r>
        <w:rPr>
          <w:rFonts w:ascii="Arial" w:cs="Arial" w:eastAsia="Arial" w:hAnsi="Arial"/>
          <w:sz w:val="17"/>
          <w:szCs w:val="17"/>
          <w:color w:val="auto"/>
        </w:rPr>
        <w:t>” means (i) that certain Intercreditor Agreement, dated as of the First Restatement Date, by and among the Administrative Agent, the Canadian Administrative Agent, the Term Loan Agent and WESCO Distribution, Inc., as the same may be amended, supplemented or otherwise modified from time to time, and (ii) any other similar Intercreditor Agreement(s) executed and delivered after the Second Restatement Date by the Administrative Agent, the Canadian Administrative Agent (if applicable), any Term Loan Agent and WESCO Distribution, Inc.</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Alternate Base Rate.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has the meaning assigned to such term in the U.S. Security Agreement.</w:t>
      </w:r>
    </w:p>
    <w:p>
      <w:pPr>
        <w:sectPr>
          <w:pgSz w:w="11900" w:h="16838" w:orient="portrait"/>
          <w:cols w:equalWidth="0" w:num="1">
            <w:col w:w="11440"/>
          </w:cols>
          <w:pgMar w:left="240" w:top="132" w:right="219" w:bottom="0" w:gutter="0" w:footer="0" w:header="0"/>
        </w:sectPr>
      </w:pPr>
    </w:p>
    <w:bookmarkStart w:id="9" w:name="page10"/>
    <w:bookmarkEnd w:id="9"/>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 Debtor</w:t>
      </w:r>
      <w:r>
        <w:rPr>
          <w:rFonts w:ascii="Arial" w:cs="Arial" w:eastAsia="Arial" w:hAnsi="Arial"/>
          <w:sz w:val="17"/>
          <w:szCs w:val="17"/>
          <w:color w:val="auto"/>
        </w:rPr>
        <w:t>” means any Person obligated on an Account.</w:t>
      </w:r>
    </w:p>
    <w:p>
      <w:pPr>
        <w:spacing w:after="0" w:line="198"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any transaction, or any series of related transactions, consummated on or after the Second Restatement Date, by which any Borrower or Loan Guarantor (i) acquires any going business or all or substantially all of the assets of any firm, corporation or limited liability company, or division thereof, whether through purchase of assets, merger or otherwise or (ii) acquires all or substantially all of the Equity Interests of any other Person.</w:t>
      </w:r>
    </w:p>
    <w:p>
      <w:pPr>
        <w:spacing w:after="0" w:line="13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Fixed Charge Coverage Ratio</w:t>
      </w:r>
      <w:r>
        <w:rPr>
          <w:rFonts w:ascii="Arial" w:cs="Arial" w:eastAsia="Arial" w:hAnsi="Arial"/>
          <w:sz w:val="17"/>
          <w:szCs w:val="17"/>
          <w:color w:val="auto"/>
        </w:rPr>
        <w:t>” means, for any period of four consecutive fiscal quarters, the ratio of (a) EBITDA for such period to (b) Adjusted Fixed Charges for such period, all calculated for Holdings and its Subsidiaries on a consolidated basis in accordance with GAAP.</w:t>
      </w:r>
    </w:p>
    <w:p>
      <w:pPr>
        <w:spacing w:after="0" w:line="140"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Fixed Charges</w:t>
      </w:r>
      <w:r>
        <w:rPr>
          <w:rFonts w:ascii="Arial" w:cs="Arial" w:eastAsia="Arial" w:hAnsi="Arial"/>
          <w:sz w:val="16"/>
          <w:szCs w:val="16"/>
          <w:color w:val="auto"/>
        </w:rPr>
        <w:t>” means, for purposes of determining whether a particular payment under Section 6.08(b)(vi) or a particular Investment (each a “</w:t>
      </w:r>
      <w:r>
        <w:rPr>
          <w:rFonts w:ascii="Arial" w:cs="Arial" w:eastAsia="Arial" w:hAnsi="Arial"/>
          <w:sz w:val="16"/>
          <w:szCs w:val="16"/>
          <w:u w:val="single" w:color="auto"/>
          <w:color w:val="auto"/>
        </w:rPr>
        <w:t>Subject Transaction</w:t>
      </w:r>
      <w:r>
        <w:rPr>
          <w:rFonts w:ascii="Arial" w:cs="Arial" w:eastAsia="Arial" w:hAnsi="Arial"/>
          <w:sz w:val="16"/>
          <w:szCs w:val="16"/>
          <w:color w:val="auto"/>
        </w:rPr>
        <w:t>”) may be made or consummated pursuant to the terms of this Agreement, with reference to any period, without duplication, cash Interest Expense for such period, plus scheduled principal payments on Indebtedness made during such period (excluding (A) any scheduled payment on Indebtedness to the extent funded with additional Indebtedness permitted under Section 6.01 and (B) principal payments in respect of (i) the Revolving Loans or (ii) Indebtedness owing under the Receivables Securitization Agreements, plus expense for taxes paid in cash for such period, plus Restricted Payments (other than Restricted Payments made by any Loan Party or any Restricted Subsidiary of a Loan Party to any Loan Party or to one or more Intermediate Holding Companies that subsequently distribute the proceeds of such Restricted Payments to one or more Loan Parties) paid in cash during such period, plus Capital Lease Obligation payments and unfinanced Capital Expenditures made in cash during such period (other than any such Capital Lease Obligation payments or Capital Expenditures to the extent that such Capital Lease Obligation payments or Capital Expenditures are made with proceeds from (A) the sale of assets not constituting ABL Priority Collateral and such sale is permitted by this Agreement, (B) sale of Equity Interests permitted by this Agreement, (C) trade-ins of machinery, equipment or motor vehicles or (D) insurance covering any loss or damage to Collateral), plus cash contributions to any Plan or any Canadian Pension Plan for such period to the extent such contributions have not been deducted in the calculation of EBITDA for such period, plus Investments made under Section 6.04(o) during such period (including without limitation, any such Investment made under Section 6.04(o) to be made in respect of the Subject Transaction), all calculated for Holdings and its Restricted Subsidiaries on a consolidated basis in accordance with GAAP.</w:t>
      </w:r>
    </w:p>
    <w:p>
      <w:pPr>
        <w:spacing w:after="0" w:line="161"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JPMorgan Chase Bank, N.A., in its capacity as administrative agent for the Lenders 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another Person that directly, or indirectly through one or more intermediaries, Controls or is Controlled by or is under common Control with the specified Person.</w:t>
      </w:r>
    </w:p>
    <w:p>
      <w:pPr>
        <w:spacing w:after="0" w:line="140"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Subordination Agreement</w:t>
      </w:r>
      <w:r>
        <w:rPr>
          <w:rFonts w:ascii="Arial" w:cs="Arial" w:eastAsia="Arial" w:hAnsi="Arial"/>
          <w:sz w:val="16"/>
          <w:szCs w:val="16"/>
          <w:color w:val="auto"/>
        </w:rPr>
        <w:t>” means the Amended and Restated Affiliate Subordination Agreement dated as of the Second Restatement Date among the Loan Parties party thereto and the Administrative Agent, as the same may be amended, supplemented or otherwise modified from time to time.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Agents</w:t>
      </w:r>
      <w:r>
        <w:rPr>
          <w:rFonts w:ascii="Arial" w:cs="Arial" w:eastAsia="Arial" w:hAnsi="Arial"/>
          <w:sz w:val="17"/>
          <w:szCs w:val="17"/>
          <w:color w:val="auto"/>
        </w:rPr>
        <w:t>” means, individually and collectively, as the context may require, the Administrative Agent and the Canadian Administrative Agent.</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Availability</w:t>
      </w:r>
      <w:r>
        <w:rPr>
          <w:rFonts w:ascii="Arial" w:cs="Arial" w:eastAsia="Arial" w:hAnsi="Arial"/>
          <w:sz w:val="17"/>
          <w:szCs w:val="17"/>
          <w:color w:val="auto"/>
        </w:rPr>
        <w:t xml:space="preserve">” means, at any time, an amount equal to (a) the lower of (i) the Aggregate Revolving Commitments and (ii) the Aggregate Borrowing Base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Revolving Exposure (calculated with respect to any Defaulting Lender, as if such Defaulting Lender had funded its Applicable Percentage of all outstanding Borrowings).</w:t>
      </w:r>
    </w:p>
    <w:p>
      <w:pPr>
        <w:spacing w:after="0" w:line="1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Availability Trigger Amount</w:t>
      </w:r>
      <w:r>
        <w:rPr>
          <w:rFonts w:ascii="Arial" w:cs="Arial" w:eastAsia="Arial" w:hAnsi="Arial"/>
          <w:sz w:val="17"/>
          <w:szCs w:val="17"/>
          <w:color w:val="auto"/>
        </w:rPr>
        <w:t>” means, at any time, the greater of (i) $48,000,000 and (ii) ten percent (10%) of the lesser at such time of (A) the Aggregate Revolving Commitments and (B) the Aggregate Borrowing Base.</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Borrowing Base</w:t>
      </w:r>
      <w:r>
        <w:rPr>
          <w:rFonts w:ascii="Arial" w:cs="Arial" w:eastAsia="Arial" w:hAnsi="Arial"/>
          <w:sz w:val="17"/>
          <w:szCs w:val="17"/>
          <w:color w:val="auto"/>
        </w:rPr>
        <w:t xml:space="preserve">” means the aggregate amount of the U.S. Borrowing Base and the Canadian Borrowing Base;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maximum amount of the Canadian Borrowing Base which may be included in the Aggregate Borrowing Base is the Canadian Sublimit.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Credit Exposure</w:t>
      </w:r>
      <w:r>
        <w:rPr>
          <w:rFonts w:ascii="Arial" w:cs="Arial" w:eastAsia="Arial" w:hAnsi="Arial"/>
          <w:sz w:val="17"/>
          <w:szCs w:val="17"/>
          <w:color w:val="auto"/>
        </w:rPr>
        <w:t>” means, at any time, the aggregate Credit Exposure of the Lenders at such time.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Commitments</w:t>
      </w:r>
      <w:r>
        <w:rPr>
          <w:rFonts w:ascii="Arial" w:cs="Arial" w:eastAsia="Arial" w:hAnsi="Arial"/>
          <w:sz w:val="17"/>
          <w:szCs w:val="17"/>
          <w:color w:val="auto"/>
        </w:rPr>
        <w:t>” means, at any time, the aggregate Revolving Commitments of the Lenders at such time.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Exposure</w:t>
      </w:r>
      <w:r>
        <w:rPr>
          <w:rFonts w:ascii="Arial" w:cs="Arial" w:eastAsia="Arial" w:hAnsi="Arial"/>
          <w:sz w:val="17"/>
          <w:szCs w:val="17"/>
          <w:color w:val="auto"/>
        </w:rPr>
        <w:t>” means, at any time, the aggregate Revolving Exposure of the Lenders at such time.</w:t>
      </w:r>
    </w:p>
    <w:p>
      <w:pPr>
        <w:spacing w:after="0" w:line="198"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Federal Funds Effective Rate in effect on such day plus ½ of 1% and (c) the Adjusted LIBO Rate for a one month Interest Period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Adjusted LIBO Rate for any day shall be based on the LIBO Rate at approximately 11:00 a.m. London time on such day, subject to the interest rate floor set forth therein.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If the Alternate Base Rate is being used as an alternate rate of interest pursuant to Section 2.14 hereof, then the Alternate Base Rate shall be the greater of clause (a) and (b) above and shall be determined without reference to clause (c) above.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AML Legislation</w:t>
      </w:r>
      <w:r>
        <w:rPr>
          <w:rFonts w:ascii="Arial" w:cs="Arial" w:eastAsia="Arial" w:hAnsi="Arial"/>
          <w:sz w:val="17"/>
          <w:szCs w:val="17"/>
          <w:color w:val="auto"/>
        </w:rPr>
        <w:t>” has the meaning assigned to such term in Section 9.19.</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all laws, rules, and regulations of any jurisdiction applicable to the Borrower or any of its Subsidiaries from time to time concerning or relating to bribery or corruption.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Commitment Fee Rate</w:t>
      </w:r>
      <w:r>
        <w:rPr>
          <w:rFonts w:ascii="Arial" w:cs="Arial" w:eastAsia="Arial" w:hAnsi="Arial"/>
          <w:sz w:val="17"/>
          <w:szCs w:val="17"/>
          <w:color w:val="auto"/>
        </w:rPr>
        <w:t>” means 0.25% per annum.</w:t>
      </w:r>
    </w:p>
    <w:p>
      <w:pPr>
        <w:spacing w:after="0" w:line="198"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the case of any Lender, with respect to Revolving Loans, LC Exposure, Swingline Loans, or Overadvances, the percentage of the Aggregate Revolving Commitments equal to such Lender’s Revolving Commitment (or, if the Revolving Commitments have terminated or expired, such Lender’s share of the Aggregate Revolving Exposure at that time), (b) in the case of any U.S. Lender, with respect to U.S. Revolving Loans, U.S. LC Exposure, U.S. Swingline Loans, or U.S. Overadvances, a percentage of the aggregate U.S. Commitments equal to such U.S. Lender’s U.S. Commitment (or, if the U.S. Commitments have terminated or expired, such U.S. Lender’s share of the aggregate U.S. Revolving Exposure at that time) and (c) in the case of any Canadian Lender, with respect to Canadian Revolving Loans, Canadian LC Exposure, Canadian Swingline Loans, or Canadian Overadvances, a percentage of the total Canadian Commitments equal to such Canadian Lender’s Canadian Commitment (or, if the Canadian Commitments have terminated or expired, such Canadian Lender’s share of the aggregate Canadian Revolving Exposure at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Section 2.20 when a Defaulting Lender shall exist, any such Defaulting Lender’s Revolving Commitment (or U.S. Commitment or Canadian Commitment, as applicable) shall be disregarded in any of such calculations.</w:t>
      </w:r>
    </w:p>
    <w:p>
      <w:pPr>
        <w:sectPr>
          <w:pgSz w:w="11900" w:h="16838" w:orient="portrait"/>
          <w:cols w:equalWidth="0" w:num="1">
            <w:col w:w="11440"/>
          </w:cols>
          <w:pgMar w:left="240" w:top="160" w:right="219" w:bottom="0" w:gutter="0" w:footer="0" w:header="0"/>
        </w:sectPr>
      </w:pPr>
    </w:p>
    <w:bookmarkStart w:id="10" w:name="page11"/>
    <w:bookmarkEnd w:id="10"/>
    <w:p>
      <w:pPr>
        <w:jc w:val="both"/>
        <w:ind w:firstLine="57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with respect to any Eurodollar Loan, CDOR Rate Loan, ABR Loan, Canadian Prime Rate Loan or LC Disbursement bearing interest at the Overnight LIBO Rate, as the case may be, the applicable rate per annum set forth below under the caption “Eurodollar Spread, CDOR Rate Spread and Overnight LIBO Spread” or “ABR Spread and Canadian Prime Rate Spread”, as the case may be, based upon Average Quarterly Availability during the most recently completed fiscal quarter of Holdings; provided that until the fifth Business Day following the Borrowers’ fiscal quarter ending December 31, 2015, the “Applicable Rate” shall be the applicable spreads set forth below for Category 1:</w:t>
      </w:r>
    </w:p>
    <w:p>
      <w:pPr>
        <w:spacing w:after="0" w:line="272" w:lineRule="exact"/>
        <w:rPr>
          <w:sz w:val="20"/>
          <w:szCs w:val="20"/>
          <w:color w:val="auto"/>
        </w:rPr>
      </w:pPr>
    </w:p>
    <w:tbl>
      <w:tblPr>
        <w:tblLayout w:type="fixed"/>
        <w:tblInd w:w="450" w:type="dxa"/>
        <w:tblCellMar>
          <w:top w:w="0" w:type="dxa"/>
          <w:left w:w="0" w:type="dxa"/>
          <w:bottom w:w="0" w:type="dxa"/>
          <w:right w:w="0" w:type="dxa"/>
        </w:tblCellMar>
      </w:tblPr>
      <w:tr>
        <w:trPr>
          <w:trHeight w:val="274"/>
        </w:trPr>
        <w:tc>
          <w:tcPr>
            <w:tcW w:w="1740" w:type="dxa"/>
            <w:vAlign w:val="bottom"/>
            <w:tcBorders>
              <w:top w:val="single" w:sz="8" w:color="00000A"/>
              <w:left w:val="single" w:sz="8" w:color="00000A"/>
              <w:right w:val="single" w:sz="8" w:color="00000A"/>
            </w:tcBorders>
            <w:gridSpan w:val="3"/>
            <w:vMerge w:val="restart"/>
            <w:shd w:val="clear" w:color="auto" w:fill="E6E6E6"/>
          </w:tcPr>
          <w:p>
            <w:pPr>
              <w:jc w:val="center"/>
              <w:ind w:right="20"/>
              <w:spacing w:after="0"/>
              <w:rPr>
                <w:sz w:val="20"/>
                <w:szCs w:val="20"/>
                <w:color w:val="auto"/>
              </w:rPr>
            </w:pPr>
            <w:r>
              <w:rPr>
                <w:rFonts w:ascii="Arial" w:cs="Arial" w:eastAsia="Arial" w:hAnsi="Arial"/>
                <w:sz w:val="17"/>
                <w:szCs w:val="17"/>
                <w:color w:val="auto"/>
                <w:w w:val="92"/>
              </w:rPr>
              <w:t>Category</w:t>
            </w:r>
          </w:p>
        </w:tc>
        <w:tc>
          <w:tcPr>
            <w:tcW w:w="300" w:type="dxa"/>
            <w:vAlign w:val="bottom"/>
            <w:tcBorders>
              <w:top w:val="single" w:sz="8" w:color="00000A"/>
            </w:tcBorders>
            <w:shd w:val="clear" w:color="auto" w:fill="E6E6E6"/>
          </w:tcPr>
          <w:p>
            <w:pPr>
              <w:spacing w:after="0"/>
              <w:rPr>
                <w:sz w:val="23"/>
                <w:szCs w:val="23"/>
                <w:color w:val="auto"/>
              </w:rPr>
            </w:pPr>
          </w:p>
        </w:tc>
        <w:tc>
          <w:tcPr>
            <w:tcW w:w="2500" w:type="dxa"/>
            <w:vAlign w:val="bottom"/>
            <w:tcBorders>
              <w:top w:val="single" w:sz="8" w:color="00000A"/>
              <w:right w:val="single" w:sz="8" w:color="00000A"/>
            </w:tcBorders>
            <w:gridSpan w:val="2"/>
            <w:vMerge w:val="restart"/>
            <w:shd w:val="clear" w:color="auto" w:fill="E6E6E6"/>
          </w:tcPr>
          <w:p>
            <w:pPr>
              <w:jc w:val="center"/>
              <w:ind w:right="340"/>
              <w:spacing w:after="0"/>
              <w:rPr>
                <w:sz w:val="20"/>
                <w:szCs w:val="20"/>
                <w:color w:val="auto"/>
              </w:rPr>
            </w:pPr>
            <w:r>
              <w:rPr>
                <w:rFonts w:ascii="Arial" w:cs="Arial" w:eastAsia="Arial" w:hAnsi="Arial"/>
                <w:sz w:val="17"/>
                <w:szCs w:val="17"/>
                <w:color w:val="auto"/>
                <w:w w:val="96"/>
              </w:rPr>
              <w:t>Average Quarterly Availability</w:t>
            </w:r>
          </w:p>
        </w:tc>
        <w:tc>
          <w:tcPr>
            <w:tcW w:w="80" w:type="dxa"/>
            <w:vAlign w:val="bottom"/>
            <w:tcBorders>
              <w:top w:val="single" w:sz="8" w:color="00000A"/>
            </w:tcBorders>
            <w:shd w:val="clear" w:color="auto" w:fill="E6E6E6"/>
          </w:tcPr>
          <w:p>
            <w:pPr>
              <w:spacing w:after="0"/>
              <w:rPr>
                <w:sz w:val="23"/>
                <w:szCs w:val="23"/>
                <w:color w:val="auto"/>
              </w:rPr>
            </w:pPr>
          </w:p>
        </w:tc>
        <w:tc>
          <w:tcPr>
            <w:tcW w:w="2740" w:type="dxa"/>
            <w:vAlign w:val="bottom"/>
            <w:tcBorders>
              <w:top w:val="single" w:sz="8" w:color="00000A"/>
            </w:tcBorders>
            <w:gridSpan w:val="3"/>
            <w:shd w:val="clear" w:color="auto" w:fill="E6E6E6"/>
          </w:tcPr>
          <w:p>
            <w:pPr>
              <w:jc w:val="center"/>
              <w:spacing w:after="0"/>
              <w:rPr>
                <w:sz w:val="20"/>
                <w:szCs w:val="20"/>
                <w:color w:val="auto"/>
              </w:rPr>
            </w:pPr>
            <w:r>
              <w:rPr>
                <w:rFonts w:ascii="Arial" w:cs="Arial" w:eastAsia="Arial" w:hAnsi="Arial"/>
                <w:sz w:val="17"/>
                <w:szCs w:val="17"/>
                <w:color w:val="auto"/>
                <w:w w:val="92"/>
              </w:rPr>
              <w:t>Eurodollar Spread, CDOR Rate Spread</w:t>
            </w:r>
          </w:p>
        </w:tc>
        <w:tc>
          <w:tcPr>
            <w:tcW w:w="100" w:type="dxa"/>
            <w:vAlign w:val="bottom"/>
            <w:tcBorders>
              <w:top w:val="single" w:sz="8" w:color="00000A"/>
              <w:right w:val="single" w:sz="8" w:color="00000A"/>
            </w:tcBorders>
            <w:shd w:val="clear" w:color="auto" w:fill="E6E6E6"/>
          </w:tcPr>
          <w:p>
            <w:pPr>
              <w:spacing w:after="0"/>
              <w:rPr>
                <w:sz w:val="23"/>
                <w:szCs w:val="23"/>
                <w:color w:val="auto"/>
              </w:rPr>
            </w:pPr>
          </w:p>
        </w:tc>
        <w:tc>
          <w:tcPr>
            <w:tcW w:w="100" w:type="dxa"/>
            <w:vAlign w:val="bottom"/>
            <w:tcBorders>
              <w:top w:val="single" w:sz="8" w:color="00000A"/>
            </w:tcBorders>
            <w:shd w:val="clear" w:color="auto" w:fill="E6E6E6"/>
          </w:tcPr>
          <w:p>
            <w:pPr>
              <w:spacing w:after="0"/>
              <w:rPr>
                <w:sz w:val="23"/>
                <w:szCs w:val="23"/>
                <w:color w:val="auto"/>
              </w:rPr>
            </w:pPr>
          </w:p>
        </w:tc>
        <w:tc>
          <w:tcPr>
            <w:tcW w:w="2480" w:type="dxa"/>
            <w:vAlign w:val="bottom"/>
            <w:tcBorders>
              <w:top w:val="single" w:sz="8" w:color="00000A"/>
              <w:right w:val="single" w:sz="8" w:color="00000A"/>
            </w:tcBorders>
            <w:gridSpan w:val="4"/>
            <w:shd w:val="clear" w:color="auto" w:fill="E6E6E6"/>
          </w:tcPr>
          <w:p>
            <w:pPr>
              <w:jc w:val="center"/>
              <w:ind w:right="140"/>
              <w:spacing w:after="0"/>
              <w:rPr>
                <w:sz w:val="20"/>
                <w:szCs w:val="20"/>
                <w:color w:val="auto"/>
              </w:rPr>
            </w:pPr>
            <w:r>
              <w:rPr>
                <w:rFonts w:ascii="Arial" w:cs="Arial" w:eastAsia="Arial" w:hAnsi="Arial"/>
                <w:sz w:val="17"/>
                <w:szCs w:val="17"/>
                <w:color w:val="auto"/>
                <w:w w:val="92"/>
              </w:rPr>
              <w:t>ABR Spread and Canadian Prime</w:t>
            </w:r>
          </w:p>
        </w:tc>
        <w:tc>
          <w:tcPr>
            <w:tcW w:w="0" w:type="dxa"/>
            <w:vAlign w:val="bottom"/>
          </w:tcPr>
          <w:p>
            <w:pPr>
              <w:spacing w:after="0"/>
              <w:rPr>
                <w:sz w:val="1"/>
                <w:szCs w:val="1"/>
                <w:color w:val="auto"/>
              </w:rPr>
            </w:pPr>
          </w:p>
        </w:tc>
      </w:tr>
      <w:tr>
        <w:trPr>
          <w:trHeight w:val="75"/>
        </w:trPr>
        <w:tc>
          <w:tcPr>
            <w:tcW w:w="1740" w:type="dxa"/>
            <w:vAlign w:val="bottom"/>
            <w:tcBorders>
              <w:top w:val="single" w:sz="8" w:color="00000A"/>
              <w:left w:val="single" w:sz="8" w:color="00000A"/>
              <w:right w:val="single" w:sz="8" w:color="00000A"/>
            </w:tcBorders>
            <w:gridSpan w:val="3"/>
            <w:vMerge w:val="continue"/>
            <w:shd w:val="clear" w:color="auto" w:fill="E6E6E6"/>
          </w:tcPr>
          <w:p>
            <w:pPr>
              <w:spacing w:after="0"/>
              <w:rPr>
                <w:sz w:val="6"/>
                <w:szCs w:val="6"/>
                <w:color w:val="auto"/>
              </w:rPr>
            </w:pPr>
          </w:p>
        </w:tc>
        <w:tc>
          <w:tcPr>
            <w:tcW w:w="300" w:type="dxa"/>
            <w:vAlign w:val="bottom"/>
            <w:tcBorders>
              <w:top w:val="single" w:sz="8" w:color="E6E6E6"/>
            </w:tcBorders>
            <w:shd w:val="clear" w:color="auto" w:fill="E6E6E6"/>
          </w:tcPr>
          <w:p>
            <w:pPr>
              <w:spacing w:after="0"/>
              <w:rPr>
                <w:sz w:val="6"/>
                <w:szCs w:val="6"/>
                <w:color w:val="auto"/>
              </w:rPr>
            </w:pPr>
          </w:p>
        </w:tc>
        <w:tc>
          <w:tcPr>
            <w:tcW w:w="2500" w:type="dxa"/>
            <w:vAlign w:val="bottom"/>
            <w:tcBorders>
              <w:top w:val="single" w:sz="8" w:color="00000A"/>
              <w:right w:val="single" w:sz="8" w:color="00000A"/>
            </w:tcBorders>
            <w:gridSpan w:val="2"/>
            <w:vMerge w:val="continue"/>
            <w:shd w:val="clear" w:color="auto" w:fill="E6E6E6"/>
          </w:tcPr>
          <w:p>
            <w:pPr>
              <w:spacing w:after="0"/>
              <w:rPr>
                <w:sz w:val="6"/>
                <w:szCs w:val="6"/>
                <w:color w:val="auto"/>
              </w:rPr>
            </w:pPr>
          </w:p>
        </w:tc>
        <w:tc>
          <w:tcPr>
            <w:tcW w:w="80" w:type="dxa"/>
            <w:vAlign w:val="bottom"/>
            <w:tcBorders>
              <w:top w:val="single" w:sz="8" w:color="E6E6E6"/>
            </w:tcBorders>
            <w:shd w:val="clear" w:color="auto" w:fill="E6E6E6"/>
          </w:tcPr>
          <w:p>
            <w:pPr>
              <w:spacing w:after="0"/>
              <w:rPr>
                <w:sz w:val="6"/>
                <w:szCs w:val="6"/>
                <w:color w:val="auto"/>
              </w:rPr>
            </w:pPr>
          </w:p>
        </w:tc>
        <w:tc>
          <w:tcPr>
            <w:tcW w:w="2740" w:type="dxa"/>
            <w:vAlign w:val="bottom"/>
            <w:tcBorders>
              <w:top w:val="single" w:sz="8" w:color="auto"/>
            </w:tcBorders>
            <w:gridSpan w:val="3"/>
            <w:vMerge w:val="restart"/>
            <w:shd w:val="clear" w:color="auto" w:fill="E6E6E6"/>
          </w:tcPr>
          <w:p>
            <w:pPr>
              <w:jc w:val="center"/>
              <w:spacing w:after="0" w:line="183" w:lineRule="exact"/>
              <w:rPr>
                <w:sz w:val="20"/>
                <w:szCs w:val="20"/>
                <w:color w:val="auto"/>
              </w:rPr>
            </w:pPr>
            <w:r>
              <w:rPr>
                <w:rFonts w:ascii="Arial" w:cs="Arial" w:eastAsia="Arial" w:hAnsi="Arial"/>
                <w:sz w:val="17"/>
                <w:szCs w:val="17"/>
                <w:color w:val="auto"/>
                <w:w w:val="94"/>
              </w:rPr>
              <w:t>and Overnight LIBO Spread</w:t>
            </w:r>
          </w:p>
        </w:tc>
        <w:tc>
          <w:tcPr>
            <w:tcW w:w="100" w:type="dxa"/>
            <w:vAlign w:val="bottom"/>
            <w:tcBorders>
              <w:top w:val="single" w:sz="8" w:color="E6E6E6"/>
              <w:right w:val="single" w:sz="8" w:color="00000A"/>
            </w:tcBorders>
            <w:vMerge w:val="restart"/>
            <w:shd w:val="clear" w:color="auto" w:fill="E6E6E6"/>
          </w:tcPr>
          <w:p>
            <w:pPr>
              <w:spacing w:after="0"/>
              <w:rPr>
                <w:sz w:val="6"/>
                <w:szCs w:val="6"/>
                <w:color w:val="auto"/>
              </w:rPr>
            </w:pPr>
          </w:p>
        </w:tc>
        <w:tc>
          <w:tcPr>
            <w:tcW w:w="100" w:type="dxa"/>
            <w:vAlign w:val="bottom"/>
            <w:tcBorders>
              <w:top w:val="single" w:sz="8" w:color="E6E6E6"/>
            </w:tcBorders>
            <w:shd w:val="clear" w:color="auto" w:fill="E6E6E6"/>
          </w:tcPr>
          <w:p>
            <w:pPr>
              <w:spacing w:after="0"/>
              <w:rPr>
                <w:sz w:val="6"/>
                <w:szCs w:val="6"/>
                <w:color w:val="auto"/>
              </w:rPr>
            </w:pPr>
          </w:p>
        </w:tc>
        <w:tc>
          <w:tcPr>
            <w:tcW w:w="760" w:type="dxa"/>
            <w:vAlign w:val="bottom"/>
            <w:tcBorders>
              <w:top w:val="single" w:sz="8" w:color="auto"/>
            </w:tcBorders>
            <w:shd w:val="clear" w:color="auto" w:fill="E6E6E6"/>
          </w:tcPr>
          <w:p>
            <w:pPr>
              <w:spacing w:after="0"/>
              <w:rPr>
                <w:sz w:val="6"/>
                <w:szCs w:val="6"/>
                <w:color w:val="auto"/>
              </w:rPr>
            </w:pPr>
          </w:p>
        </w:tc>
        <w:tc>
          <w:tcPr>
            <w:tcW w:w="1580" w:type="dxa"/>
            <w:vAlign w:val="bottom"/>
            <w:tcBorders>
              <w:top w:val="single" w:sz="8" w:color="auto"/>
            </w:tcBorders>
            <w:gridSpan w:val="2"/>
            <w:vMerge w:val="restart"/>
            <w:shd w:val="clear" w:color="auto" w:fill="E6E6E6"/>
          </w:tcPr>
          <w:p>
            <w:pPr>
              <w:jc w:val="center"/>
              <w:ind w:right="740"/>
              <w:spacing w:after="0" w:line="183" w:lineRule="exact"/>
              <w:rPr>
                <w:sz w:val="20"/>
                <w:szCs w:val="20"/>
                <w:color w:val="auto"/>
              </w:rPr>
            </w:pPr>
            <w:r>
              <w:rPr>
                <w:rFonts w:ascii="Arial" w:cs="Arial" w:eastAsia="Arial" w:hAnsi="Arial"/>
                <w:sz w:val="17"/>
                <w:szCs w:val="17"/>
                <w:color w:val="auto"/>
                <w:w w:val="87"/>
              </w:rPr>
              <w:t>Rate Spread</w:t>
            </w:r>
          </w:p>
        </w:tc>
        <w:tc>
          <w:tcPr>
            <w:tcW w:w="140" w:type="dxa"/>
            <w:vAlign w:val="bottom"/>
            <w:tcBorders>
              <w:top w:val="single" w:sz="8" w:color="E6E6E6"/>
              <w:right w:val="single" w:sz="8" w:color="00000A"/>
            </w:tcBorders>
            <w:vMerge w:val="restart"/>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E6E6E6"/>
              <w:left w:val="single" w:sz="8" w:color="00000A"/>
            </w:tcBorders>
            <w:shd w:val="clear" w:color="auto" w:fill="E6E6E6"/>
          </w:tcPr>
          <w:p>
            <w:pPr>
              <w:spacing w:after="0"/>
              <w:rPr>
                <w:sz w:val="7"/>
                <w:szCs w:val="7"/>
                <w:color w:val="auto"/>
              </w:rPr>
            </w:pPr>
          </w:p>
        </w:tc>
        <w:tc>
          <w:tcPr>
            <w:tcW w:w="640" w:type="dxa"/>
            <w:vAlign w:val="bottom"/>
            <w:tcBorders>
              <w:top w:val="single" w:sz="8" w:color="auto"/>
            </w:tcBorders>
            <w:shd w:val="clear" w:color="auto" w:fill="E6E6E6"/>
          </w:tcPr>
          <w:p>
            <w:pPr>
              <w:spacing w:after="0"/>
              <w:rPr>
                <w:sz w:val="7"/>
                <w:szCs w:val="7"/>
                <w:color w:val="auto"/>
              </w:rPr>
            </w:pPr>
          </w:p>
        </w:tc>
        <w:tc>
          <w:tcPr>
            <w:tcW w:w="560" w:type="dxa"/>
            <w:vAlign w:val="bottom"/>
            <w:tcBorders>
              <w:top w:val="single" w:sz="8" w:color="E6E6E6"/>
              <w:right w:val="single" w:sz="8" w:color="00000A"/>
            </w:tcBorders>
            <w:shd w:val="clear" w:color="auto" w:fill="E6E6E6"/>
          </w:tcPr>
          <w:p>
            <w:pPr>
              <w:spacing w:after="0"/>
              <w:rPr>
                <w:sz w:val="7"/>
                <w:szCs w:val="7"/>
                <w:color w:val="auto"/>
              </w:rPr>
            </w:pPr>
          </w:p>
        </w:tc>
        <w:tc>
          <w:tcPr>
            <w:tcW w:w="300" w:type="dxa"/>
            <w:vAlign w:val="bottom"/>
            <w:tcBorders>
              <w:top w:val="single" w:sz="8" w:color="E6E6E6"/>
            </w:tcBorders>
            <w:shd w:val="clear" w:color="auto" w:fill="E6E6E6"/>
          </w:tcPr>
          <w:p>
            <w:pPr>
              <w:spacing w:after="0"/>
              <w:rPr>
                <w:sz w:val="7"/>
                <w:szCs w:val="7"/>
                <w:color w:val="auto"/>
              </w:rPr>
            </w:pPr>
          </w:p>
        </w:tc>
        <w:tc>
          <w:tcPr>
            <w:tcW w:w="2160" w:type="dxa"/>
            <w:vAlign w:val="bottom"/>
            <w:tcBorders>
              <w:top w:val="single" w:sz="8" w:color="auto"/>
            </w:tcBorders>
            <w:shd w:val="clear" w:color="auto" w:fill="E6E6E6"/>
          </w:tcPr>
          <w:p>
            <w:pPr>
              <w:spacing w:after="0"/>
              <w:rPr>
                <w:sz w:val="7"/>
                <w:szCs w:val="7"/>
                <w:color w:val="auto"/>
              </w:rPr>
            </w:pPr>
          </w:p>
        </w:tc>
        <w:tc>
          <w:tcPr>
            <w:tcW w:w="340" w:type="dxa"/>
            <w:vAlign w:val="bottom"/>
            <w:tcBorders>
              <w:top w:val="single" w:sz="8" w:color="E6E6E6"/>
              <w:right w:val="single" w:sz="8" w:color="00000A"/>
            </w:tcBorders>
            <w:shd w:val="clear" w:color="auto" w:fill="E6E6E6"/>
          </w:tcPr>
          <w:p>
            <w:pPr>
              <w:spacing w:after="0"/>
              <w:rPr>
                <w:sz w:val="7"/>
                <w:szCs w:val="7"/>
                <w:color w:val="auto"/>
              </w:rPr>
            </w:pPr>
          </w:p>
        </w:tc>
        <w:tc>
          <w:tcPr>
            <w:tcW w:w="80" w:type="dxa"/>
            <w:vAlign w:val="bottom"/>
            <w:tcBorders>
              <w:top w:val="single" w:sz="8" w:color="E6E6E6"/>
            </w:tcBorders>
            <w:shd w:val="clear" w:color="auto" w:fill="E6E6E6"/>
          </w:tcPr>
          <w:p>
            <w:pPr>
              <w:spacing w:after="0"/>
              <w:rPr>
                <w:sz w:val="7"/>
                <w:szCs w:val="7"/>
                <w:color w:val="auto"/>
              </w:rPr>
            </w:pPr>
          </w:p>
        </w:tc>
        <w:tc>
          <w:tcPr>
            <w:tcW w:w="2740" w:type="dxa"/>
            <w:vAlign w:val="bottom"/>
            <w:tcBorders>
              <w:top w:val="single" w:sz="8" w:color="auto"/>
            </w:tcBorders>
            <w:gridSpan w:val="3"/>
            <w:vMerge w:val="continue"/>
            <w:shd w:val="clear" w:color="auto" w:fill="E6E6E6"/>
          </w:tcPr>
          <w:p>
            <w:pPr>
              <w:spacing w:after="0"/>
              <w:rPr>
                <w:sz w:val="7"/>
                <w:szCs w:val="7"/>
                <w:color w:val="auto"/>
              </w:rPr>
            </w:pPr>
          </w:p>
        </w:tc>
        <w:tc>
          <w:tcPr>
            <w:tcW w:w="100" w:type="dxa"/>
            <w:vAlign w:val="bottom"/>
            <w:tcBorders>
              <w:top w:val="single" w:sz="8" w:color="E6E6E6"/>
              <w:right w:val="single" w:sz="8" w:color="00000A"/>
            </w:tcBorders>
            <w:vMerge w:val="continue"/>
            <w:shd w:val="clear" w:color="auto" w:fill="E6E6E6"/>
          </w:tcPr>
          <w:p>
            <w:pPr>
              <w:spacing w:after="0"/>
              <w:rPr>
                <w:sz w:val="7"/>
                <w:szCs w:val="7"/>
                <w:color w:val="auto"/>
              </w:rPr>
            </w:pPr>
          </w:p>
        </w:tc>
        <w:tc>
          <w:tcPr>
            <w:tcW w:w="100" w:type="dxa"/>
            <w:vAlign w:val="bottom"/>
            <w:tcBorders>
              <w:top w:val="single" w:sz="8" w:color="E6E6E6"/>
            </w:tcBorders>
            <w:shd w:val="clear" w:color="auto" w:fill="E6E6E6"/>
          </w:tcPr>
          <w:p>
            <w:pPr>
              <w:spacing w:after="0"/>
              <w:rPr>
                <w:sz w:val="7"/>
                <w:szCs w:val="7"/>
                <w:color w:val="auto"/>
              </w:rPr>
            </w:pPr>
          </w:p>
        </w:tc>
        <w:tc>
          <w:tcPr>
            <w:tcW w:w="760" w:type="dxa"/>
            <w:vAlign w:val="bottom"/>
            <w:tcBorders>
              <w:top w:val="single" w:sz="8" w:color="E6E6E6"/>
            </w:tcBorders>
            <w:shd w:val="clear" w:color="auto" w:fill="E6E6E6"/>
          </w:tcPr>
          <w:p>
            <w:pPr>
              <w:spacing w:after="0"/>
              <w:rPr>
                <w:sz w:val="7"/>
                <w:szCs w:val="7"/>
                <w:color w:val="auto"/>
              </w:rPr>
            </w:pPr>
          </w:p>
        </w:tc>
        <w:tc>
          <w:tcPr>
            <w:tcW w:w="1580" w:type="dxa"/>
            <w:vAlign w:val="bottom"/>
            <w:tcBorders>
              <w:top w:val="single" w:sz="8" w:color="auto"/>
            </w:tcBorders>
            <w:gridSpan w:val="2"/>
            <w:vMerge w:val="continue"/>
            <w:shd w:val="clear" w:color="auto" w:fill="E6E6E6"/>
          </w:tcPr>
          <w:p>
            <w:pPr>
              <w:spacing w:after="0"/>
              <w:rPr>
                <w:sz w:val="7"/>
                <w:szCs w:val="7"/>
                <w:color w:val="auto"/>
              </w:rPr>
            </w:pPr>
          </w:p>
        </w:tc>
        <w:tc>
          <w:tcPr>
            <w:tcW w:w="140" w:type="dxa"/>
            <w:vAlign w:val="bottom"/>
            <w:tcBorders>
              <w:top w:val="single" w:sz="8" w:color="E6E6E6"/>
              <w:right w:val="single" w:sz="8" w:color="00000A"/>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40" w:type="dxa"/>
            <w:vAlign w:val="bottom"/>
            <w:tcBorders>
              <w:top w:val="single" w:sz="8" w:color="E6E6E6"/>
              <w:left w:val="single" w:sz="8" w:color="00000A"/>
              <w:bottom w:val="single" w:sz="8" w:color="00000A"/>
            </w:tcBorders>
            <w:shd w:val="clear" w:color="auto" w:fill="E6E6E6"/>
          </w:tcPr>
          <w:p>
            <w:pPr>
              <w:spacing w:after="0"/>
              <w:rPr>
                <w:sz w:val="17"/>
                <w:szCs w:val="17"/>
                <w:color w:val="auto"/>
              </w:rPr>
            </w:pPr>
          </w:p>
        </w:tc>
        <w:tc>
          <w:tcPr>
            <w:tcW w:w="640" w:type="dxa"/>
            <w:vAlign w:val="bottom"/>
            <w:tcBorders>
              <w:top w:val="single" w:sz="8" w:color="E6E6E6"/>
              <w:bottom w:val="single" w:sz="8" w:color="00000A"/>
            </w:tcBorders>
            <w:shd w:val="clear" w:color="auto" w:fill="E6E6E6"/>
          </w:tcPr>
          <w:p>
            <w:pPr>
              <w:spacing w:after="0"/>
              <w:rPr>
                <w:sz w:val="17"/>
                <w:szCs w:val="17"/>
                <w:color w:val="auto"/>
              </w:rPr>
            </w:pPr>
          </w:p>
        </w:tc>
        <w:tc>
          <w:tcPr>
            <w:tcW w:w="560" w:type="dxa"/>
            <w:vAlign w:val="bottom"/>
            <w:tcBorders>
              <w:top w:val="single" w:sz="8" w:color="E6E6E6"/>
              <w:bottom w:val="single" w:sz="8" w:color="00000A"/>
              <w:right w:val="single" w:sz="8" w:color="00000A"/>
            </w:tcBorders>
            <w:shd w:val="clear" w:color="auto" w:fill="E6E6E6"/>
          </w:tcPr>
          <w:p>
            <w:pPr>
              <w:spacing w:after="0"/>
              <w:rPr>
                <w:sz w:val="17"/>
                <w:szCs w:val="17"/>
                <w:color w:val="auto"/>
              </w:rPr>
            </w:pPr>
          </w:p>
        </w:tc>
        <w:tc>
          <w:tcPr>
            <w:tcW w:w="300" w:type="dxa"/>
            <w:vAlign w:val="bottom"/>
            <w:tcBorders>
              <w:top w:val="single" w:sz="8" w:color="E6E6E6"/>
              <w:bottom w:val="single" w:sz="8" w:color="00000A"/>
            </w:tcBorders>
            <w:shd w:val="clear" w:color="auto" w:fill="E6E6E6"/>
          </w:tcPr>
          <w:p>
            <w:pPr>
              <w:spacing w:after="0"/>
              <w:rPr>
                <w:sz w:val="17"/>
                <w:szCs w:val="17"/>
                <w:color w:val="auto"/>
              </w:rPr>
            </w:pPr>
          </w:p>
        </w:tc>
        <w:tc>
          <w:tcPr>
            <w:tcW w:w="2160" w:type="dxa"/>
            <w:vAlign w:val="bottom"/>
            <w:tcBorders>
              <w:top w:val="single" w:sz="8" w:color="E6E6E6"/>
              <w:bottom w:val="single" w:sz="8" w:color="00000A"/>
            </w:tcBorders>
            <w:shd w:val="clear" w:color="auto" w:fill="E6E6E6"/>
          </w:tcPr>
          <w:p>
            <w:pPr>
              <w:spacing w:after="0"/>
              <w:rPr>
                <w:sz w:val="17"/>
                <w:szCs w:val="17"/>
                <w:color w:val="auto"/>
              </w:rPr>
            </w:pPr>
          </w:p>
        </w:tc>
        <w:tc>
          <w:tcPr>
            <w:tcW w:w="340" w:type="dxa"/>
            <w:vAlign w:val="bottom"/>
            <w:tcBorders>
              <w:top w:val="single" w:sz="8" w:color="E6E6E6"/>
              <w:bottom w:val="single" w:sz="8" w:color="00000A"/>
              <w:right w:val="single" w:sz="8" w:color="00000A"/>
            </w:tcBorders>
            <w:shd w:val="clear" w:color="auto" w:fill="E6E6E6"/>
          </w:tcPr>
          <w:p>
            <w:pPr>
              <w:spacing w:after="0"/>
              <w:rPr>
                <w:sz w:val="17"/>
                <w:szCs w:val="17"/>
                <w:color w:val="auto"/>
              </w:rPr>
            </w:pPr>
          </w:p>
        </w:tc>
        <w:tc>
          <w:tcPr>
            <w:tcW w:w="80" w:type="dxa"/>
            <w:vAlign w:val="bottom"/>
            <w:tcBorders>
              <w:top w:val="single" w:sz="8" w:color="E6E6E6"/>
              <w:bottom w:val="single" w:sz="8" w:color="00000A"/>
            </w:tcBorders>
            <w:shd w:val="clear" w:color="auto" w:fill="E6E6E6"/>
          </w:tcPr>
          <w:p>
            <w:pPr>
              <w:spacing w:after="0"/>
              <w:rPr>
                <w:sz w:val="17"/>
                <w:szCs w:val="17"/>
                <w:color w:val="auto"/>
              </w:rPr>
            </w:pPr>
          </w:p>
        </w:tc>
        <w:tc>
          <w:tcPr>
            <w:tcW w:w="380" w:type="dxa"/>
            <w:vAlign w:val="bottom"/>
            <w:tcBorders>
              <w:top w:val="single" w:sz="8" w:color="E6E6E6"/>
              <w:bottom w:val="single" w:sz="8" w:color="00000A"/>
            </w:tcBorders>
            <w:shd w:val="clear" w:color="auto" w:fill="E6E6E6"/>
          </w:tcPr>
          <w:p>
            <w:pPr>
              <w:spacing w:after="0"/>
              <w:rPr>
                <w:sz w:val="17"/>
                <w:szCs w:val="17"/>
                <w:color w:val="auto"/>
              </w:rPr>
            </w:pPr>
          </w:p>
        </w:tc>
        <w:tc>
          <w:tcPr>
            <w:tcW w:w="1980" w:type="dxa"/>
            <w:vAlign w:val="bottom"/>
            <w:tcBorders>
              <w:top w:val="single" w:sz="8" w:color="auto"/>
              <w:bottom w:val="single" w:sz="8" w:color="00000A"/>
            </w:tcBorders>
            <w:shd w:val="clear" w:color="auto" w:fill="E6E6E6"/>
          </w:tcPr>
          <w:p>
            <w:pPr>
              <w:spacing w:after="0"/>
              <w:rPr>
                <w:sz w:val="17"/>
                <w:szCs w:val="17"/>
                <w:color w:val="auto"/>
              </w:rPr>
            </w:pPr>
          </w:p>
        </w:tc>
        <w:tc>
          <w:tcPr>
            <w:tcW w:w="380" w:type="dxa"/>
            <w:vAlign w:val="bottom"/>
            <w:tcBorders>
              <w:top w:val="single" w:sz="8" w:color="E6E6E6"/>
              <w:bottom w:val="single" w:sz="8" w:color="00000A"/>
            </w:tcBorders>
            <w:shd w:val="clear" w:color="auto" w:fill="E6E6E6"/>
          </w:tcPr>
          <w:p>
            <w:pPr>
              <w:spacing w:after="0"/>
              <w:rPr>
                <w:sz w:val="17"/>
                <w:szCs w:val="17"/>
                <w:color w:val="auto"/>
              </w:rPr>
            </w:pPr>
          </w:p>
        </w:tc>
        <w:tc>
          <w:tcPr>
            <w:tcW w:w="100" w:type="dxa"/>
            <w:vAlign w:val="bottom"/>
            <w:tcBorders>
              <w:top w:val="single" w:sz="8" w:color="E6E6E6"/>
              <w:bottom w:val="single" w:sz="8" w:color="00000A"/>
              <w:right w:val="single" w:sz="8" w:color="00000A"/>
            </w:tcBorders>
            <w:shd w:val="clear" w:color="auto" w:fill="E6E6E6"/>
          </w:tcPr>
          <w:p>
            <w:pPr>
              <w:spacing w:after="0"/>
              <w:rPr>
                <w:sz w:val="17"/>
                <w:szCs w:val="17"/>
                <w:color w:val="auto"/>
              </w:rPr>
            </w:pPr>
          </w:p>
        </w:tc>
        <w:tc>
          <w:tcPr>
            <w:tcW w:w="100" w:type="dxa"/>
            <w:vAlign w:val="bottom"/>
            <w:tcBorders>
              <w:top w:val="single" w:sz="8" w:color="E6E6E6"/>
              <w:bottom w:val="single" w:sz="8" w:color="00000A"/>
            </w:tcBorders>
            <w:shd w:val="clear" w:color="auto" w:fill="E6E6E6"/>
          </w:tcPr>
          <w:p>
            <w:pPr>
              <w:spacing w:after="0"/>
              <w:rPr>
                <w:sz w:val="17"/>
                <w:szCs w:val="17"/>
                <w:color w:val="auto"/>
              </w:rPr>
            </w:pPr>
          </w:p>
        </w:tc>
        <w:tc>
          <w:tcPr>
            <w:tcW w:w="760" w:type="dxa"/>
            <w:vAlign w:val="bottom"/>
            <w:tcBorders>
              <w:top w:val="single" w:sz="8" w:color="E6E6E6"/>
              <w:bottom w:val="single" w:sz="8" w:color="00000A"/>
            </w:tcBorders>
            <w:shd w:val="clear" w:color="auto" w:fill="E6E6E6"/>
          </w:tcPr>
          <w:p>
            <w:pPr>
              <w:spacing w:after="0"/>
              <w:rPr>
                <w:sz w:val="17"/>
                <w:szCs w:val="17"/>
                <w:color w:val="auto"/>
              </w:rPr>
            </w:pPr>
          </w:p>
        </w:tc>
        <w:tc>
          <w:tcPr>
            <w:tcW w:w="840" w:type="dxa"/>
            <w:vAlign w:val="bottom"/>
            <w:tcBorders>
              <w:top w:val="single" w:sz="8" w:color="auto"/>
              <w:bottom w:val="single" w:sz="8" w:color="00000A"/>
            </w:tcBorders>
            <w:shd w:val="clear" w:color="auto" w:fill="E6E6E6"/>
          </w:tcPr>
          <w:p>
            <w:pPr>
              <w:spacing w:after="0"/>
              <w:rPr>
                <w:sz w:val="17"/>
                <w:szCs w:val="17"/>
                <w:color w:val="auto"/>
              </w:rPr>
            </w:pPr>
          </w:p>
        </w:tc>
        <w:tc>
          <w:tcPr>
            <w:tcW w:w="740" w:type="dxa"/>
            <w:vAlign w:val="bottom"/>
            <w:tcBorders>
              <w:top w:val="single" w:sz="8" w:color="E6E6E6"/>
              <w:bottom w:val="single" w:sz="8" w:color="00000A"/>
            </w:tcBorders>
            <w:shd w:val="clear" w:color="auto" w:fill="E6E6E6"/>
          </w:tcPr>
          <w:p>
            <w:pPr>
              <w:spacing w:after="0"/>
              <w:rPr>
                <w:sz w:val="17"/>
                <w:szCs w:val="17"/>
                <w:color w:val="auto"/>
              </w:rPr>
            </w:pPr>
          </w:p>
        </w:tc>
        <w:tc>
          <w:tcPr>
            <w:tcW w:w="140" w:type="dxa"/>
            <w:vAlign w:val="bottom"/>
            <w:tcBorders>
              <w:top w:val="single" w:sz="8" w:color="E6E6E6"/>
              <w:bottom w:val="single" w:sz="8" w:color="00000A"/>
              <w:right w:val="single" w:sz="8" w:color="00000A"/>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74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7"/>
                <w:szCs w:val="17"/>
                <w:color w:val="auto"/>
                <w:w w:val="93"/>
              </w:rPr>
              <w:t>Category 1</w:t>
            </w:r>
          </w:p>
        </w:tc>
        <w:tc>
          <w:tcPr>
            <w:tcW w:w="280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7"/>
                <w:szCs w:val="17"/>
                <w:color w:val="auto"/>
                <w:w w:val="94"/>
              </w:rPr>
              <w:t>≥50% of the Aggregate Revolving</w:t>
            </w:r>
          </w:p>
        </w:tc>
        <w:tc>
          <w:tcPr>
            <w:tcW w:w="244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auto"/>
                <w:w w:val="91"/>
              </w:rPr>
              <w:t>1.25%</w:t>
            </w:r>
          </w:p>
        </w:tc>
        <w:tc>
          <w:tcPr>
            <w:tcW w:w="3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1700" w:type="dxa"/>
            <w:vAlign w:val="bottom"/>
            <w:gridSpan w:val="3"/>
            <w:vMerge w:val="restart"/>
          </w:tcPr>
          <w:p>
            <w:pPr>
              <w:jc w:val="center"/>
              <w:ind w:left="753"/>
              <w:spacing w:after="0"/>
              <w:rPr>
                <w:sz w:val="20"/>
                <w:szCs w:val="20"/>
                <w:color w:val="auto"/>
              </w:rPr>
            </w:pPr>
            <w:r>
              <w:rPr>
                <w:rFonts w:ascii="Arial" w:cs="Arial" w:eastAsia="Arial" w:hAnsi="Arial"/>
                <w:sz w:val="17"/>
                <w:szCs w:val="17"/>
                <w:color w:val="auto"/>
                <w:w w:val="95"/>
              </w:rPr>
              <w:t>0.25%</w:t>
            </w:r>
          </w:p>
        </w:tc>
        <w:tc>
          <w:tcPr>
            <w:tcW w:w="74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00000A"/>
              <w:right w:val="single" w:sz="8" w:color="00000A"/>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restart"/>
          </w:tcPr>
          <w:p>
            <w:pPr>
              <w:jc w:val="center"/>
              <w:ind w:right="340"/>
              <w:spacing w:after="0"/>
              <w:rPr>
                <w:sz w:val="20"/>
                <w:szCs w:val="20"/>
                <w:color w:val="auto"/>
              </w:rPr>
            </w:pPr>
            <w:r>
              <w:rPr>
                <w:rFonts w:ascii="Arial" w:cs="Arial" w:eastAsia="Arial" w:hAnsi="Arial"/>
                <w:sz w:val="17"/>
                <w:szCs w:val="17"/>
                <w:color w:val="auto"/>
                <w:w w:val="95"/>
              </w:rPr>
              <w:t>Commitments</w:t>
            </w:r>
          </w:p>
        </w:tc>
        <w:tc>
          <w:tcPr>
            <w:tcW w:w="244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00000A"/>
            </w:tcBorders>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40" w:type="dxa"/>
            <w:vAlign w:val="bottom"/>
            <w:tcBorders>
              <w:left w:val="single" w:sz="8" w:color="00000A"/>
              <w:bottom w:val="single" w:sz="8" w:color="00000A"/>
            </w:tcBorders>
          </w:tcPr>
          <w:p>
            <w:pPr>
              <w:spacing w:after="0"/>
              <w:rPr>
                <w:sz w:val="16"/>
                <w:szCs w:val="16"/>
                <w:color w:val="auto"/>
              </w:rPr>
            </w:pPr>
          </w:p>
        </w:tc>
        <w:tc>
          <w:tcPr>
            <w:tcW w:w="640" w:type="dxa"/>
            <w:vAlign w:val="bottom"/>
            <w:tcBorders>
              <w:bottom w:val="single" w:sz="8" w:color="00000A"/>
            </w:tcBorders>
          </w:tcPr>
          <w:p>
            <w:pPr>
              <w:spacing w:after="0"/>
              <w:rPr>
                <w:sz w:val="16"/>
                <w:szCs w:val="16"/>
                <w:color w:val="auto"/>
              </w:rPr>
            </w:pPr>
          </w:p>
        </w:tc>
        <w:tc>
          <w:tcPr>
            <w:tcW w:w="560" w:type="dxa"/>
            <w:vAlign w:val="bottom"/>
            <w:tcBorders>
              <w:bottom w:val="single" w:sz="8" w:color="00000A"/>
              <w:right w:val="single" w:sz="8" w:color="00000A"/>
            </w:tcBorders>
          </w:tcPr>
          <w:p>
            <w:pPr>
              <w:spacing w:after="0"/>
              <w:rPr>
                <w:sz w:val="16"/>
                <w:szCs w:val="16"/>
                <w:color w:val="auto"/>
              </w:rPr>
            </w:pPr>
          </w:p>
        </w:tc>
        <w:tc>
          <w:tcPr>
            <w:tcW w:w="300" w:type="dxa"/>
            <w:vAlign w:val="bottom"/>
            <w:tcBorders>
              <w:bottom w:val="single" w:sz="8" w:color="00000A"/>
            </w:tcBorders>
          </w:tcPr>
          <w:p>
            <w:pPr>
              <w:spacing w:after="0"/>
              <w:rPr>
                <w:sz w:val="16"/>
                <w:szCs w:val="16"/>
                <w:color w:val="auto"/>
              </w:rPr>
            </w:pPr>
          </w:p>
        </w:tc>
        <w:tc>
          <w:tcPr>
            <w:tcW w:w="2160" w:type="dxa"/>
            <w:vAlign w:val="bottom"/>
            <w:tcBorders>
              <w:bottom w:val="single" w:sz="8" w:color="00000A"/>
            </w:tcBorders>
          </w:tcPr>
          <w:p>
            <w:pPr>
              <w:spacing w:after="0"/>
              <w:rPr>
                <w:sz w:val="16"/>
                <w:szCs w:val="16"/>
                <w:color w:val="auto"/>
              </w:rPr>
            </w:pPr>
          </w:p>
        </w:tc>
        <w:tc>
          <w:tcPr>
            <w:tcW w:w="340" w:type="dxa"/>
            <w:vAlign w:val="bottom"/>
            <w:tcBorders>
              <w:bottom w:val="single" w:sz="8" w:color="00000A"/>
              <w:right w:val="single" w:sz="8" w:color="00000A"/>
            </w:tcBorders>
          </w:tcPr>
          <w:p>
            <w:pPr>
              <w:spacing w:after="0"/>
              <w:rPr>
                <w:sz w:val="16"/>
                <w:szCs w:val="16"/>
                <w:color w:val="auto"/>
              </w:rPr>
            </w:pPr>
          </w:p>
        </w:tc>
        <w:tc>
          <w:tcPr>
            <w:tcW w:w="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9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00" w:type="dxa"/>
            <w:vAlign w:val="bottom"/>
            <w:tcBorders>
              <w:bottom w:val="single" w:sz="8" w:color="00000A"/>
              <w:right w:val="single" w:sz="8" w:color="00000A"/>
            </w:tcBorders>
          </w:tcPr>
          <w:p>
            <w:pPr>
              <w:spacing w:after="0"/>
              <w:rPr>
                <w:sz w:val="16"/>
                <w:szCs w:val="16"/>
                <w:color w:val="auto"/>
              </w:rPr>
            </w:pPr>
          </w:p>
        </w:tc>
        <w:tc>
          <w:tcPr>
            <w:tcW w:w="100" w:type="dxa"/>
            <w:vAlign w:val="bottom"/>
            <w:tcBorders>
              <w:bottom w:val="single" w:sz="8" w:color="00000A"/>
            </w:tcBorders>
          </w:tcPr>
          <w:p>
            <w:pPr>
              <w:spacing w:after="0"/>
              <w:rPr>
                <w:sz w:val="16"/>
                <w:szCs w:val="16"/>
                <w:color w:val="auto"/>
              </w:rPr>
            </w:pPr>
          </w:p>
        </w:tc>
        <w:tc>
          <w:tcPr>
            <w:tcW w:w="760" w:type="dxa"/>
            <w:vAlign w:val="bottom"/>
            <w:tcBorders>
              <w:bottom w:val="single" w:sz="8" w:color="00000A"/>
            </w:tcBorders>
          </w:tcPr>
          <w:p>
            <w:pPr>
              <w:spacing w:after="0"/>
              <w:rPr>
                <w:sz w:val="16"/>
                <w:szCs w:val="16"/>
                <w:color w:val="auto"/>
              </w:rPr>
            </w:pPr>
          </w:p>
        </w:tc>
        <w:tc>
          <w:tcPr>
            <w:tcW w:w="840" w:type="dxa"/>
            <w:vAlign w:val="bottom"/>
            <w:tcBorders>
              <w:bottom w:val="single" w:sz="8" w:color="00000A"/>
            </w:tcBorders>
          </w:tcPr>
          <w:p>
            <w:pPr>
              <w:spacing w:after="0"/>
              <w:rPr>
                <w:sz w:val="16"/>
                <w:szCs w:val="16"/>
                <w:color w:val="auto"/>
              </w:rPr>
            </w:pPr>
          </w:p>
        </w:tc>
        <w:tc>
          <w:tcPr>
            <w:tcW w:w="740" w:type="dxa"/>
            <w:vAlign w:val="bottom"/>
            <w:tcBorders>
              <w:bottom w:val="single" w:sz="8" w:color="00000A"/>
            </w:tcBorders>
          </w:tcPr>
          <w:p>
            <w:pPr>
              <w:spacing w:after="0"/>
              <w:rPr>
                <w:sz w:val="16"/>
                <w:szCs w:val="16"/>
                <w:color w:val="auto"/>
              </w:rPr>
            </w:pPr>
          </w:p>
        </w:tc>
        <w:tc>
          <w:tcPr>
            <w:tcW w:w="14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74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7"/>
                <w:szCs w:val="17"/>
                <w:color w:val="auto"/>
                <w:w w:val="93"/>
              </w:rPr>
              <w:t>Category 2</w:t>
            </w:r>
          </w:p>
        </w:tc>
        <w:tc>
          <w:tcPr>
            <w:tcW w:w="280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7"/>
                <w:szCs w:val="17"/>
                <w:color w:val="auto"/>
                <w:w w:val="94"/>
              </w:rPr>
              <w:t>&lt;50% but ≥25% of the Aggregate</w:t>
            </w:r>
          </w:p>
        </w:tc>
        <w:tc>
          <w:tcPr>
            <w:tcW w:w="244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auto"/>
                <w:w w:val="91"/>
              </w:rPr>
              <w:t>1.50%</w:t>
            </w:r>
          </w:p>
        </w:tc>
        <w:tc>
          <w:tcPr>
            <w:tcW w:w="3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1700" w:type="dxa"/>
            <w:vAlign w:val="bottom"/>
            <w:gridSpan w:val="3"/>
            <w:vMerge w:val="restart"/>
          </w:tcPr>
          <w:p>
            <w:pPr>
              <w:jc w:val="center"/>
              <w:ind w:left="753"/>
              <w:spacing w:after="0"/>
              <w:rPr>
                <w:sz w:val="20"/>
                <w:szCs w:val="20"/>
                <w:color w:val="auto"/>
              </w:rPr>
            </w:pPr>
            <w:r>
              <w:rPr>
                <w:rFonts w:ascii="Arial" w:cs="Arial" w:eastAsia="Arial" w:hAnsi="Arial"/>
                <w:sz w:val="17"/>
                <w:szCs w:val="17"/>
                <w:color w:val="auto"/>
                <w:w w:val="95"/>
              </w:rPr>
              <w:t>0.50%</w:t>
            </w:r>
          </w:p>
        </w:tc>
        <w:tc>
          <w:tcPr>
            <w:tcW w:w="74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00000A"/>
              <w:right w:val="single" w:sz="8" w:color="00000A"/>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restart"/>
          </w:tcPr>
          <w:p>
            <w:pPr>
              <w:jc w:val="center"/>
              <w:ind w:right="340"/>
              <w:spacing w:after="0"/>
              <w:rPr>
                <w:sz w:val="20"/>
                <w:szCs w:val="20"/>
                <w:color w:val="auto"/>
              </w:rPr>
            </w:pPr>
            <w:r>
              <w:rPr>
                <w:rFonts w:ascii="Arial" w:cs="Arial" w:eastAsia="Arial" w:hAnsi="Arial"/>
                <w:sz w:val="17"/>
                <w:szCs w:val="17"/>
                <w:color w:val="auto"/>
                <w:w w:val="95"/>
              </w:rPr>
              <w:t>Revolving Commitments</w:t>
            </w:r>
          </w:p>
        </w:tc>
        <w:tc>
          <w:tcPr>
            <w:tcW w:w="244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00000A"/>
            </w:tcBorders>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40" w:type="dxa"/>
            <w:vAlign w:val="bottom"/>
            <w:tcBorders>
              <w:left w:val="single" w:sz="8" w:color="00000A"/>
              <w:bottom w:val="single" w:sz="8" w:color="00000A"/>
            </w:tcBorders>
          </w:tcPr>
          <w:p>
            <w:pPr>
              <w:spacing w:after="0"/>
              <w:rPr>
                <w:sz w:val="16"/>
                <w:szCs w:val="16"/>
                <w:color w:val="auto"/>
              </w:rPr>
            </w:pPr>
          </w:p>
        </w:tc>
        <w:tc>
          <w:tcPr>
            <w:tcW w:w="640" w:type="dxa"/>
            <w:vAlign w:val="bottom"/>
            <w:tcBorders>
              <w:bottom w:val="single" w:sz="8" w:color="00000A"/>
            </w:tcBorders>
          </w:tcPr>
          <w:p>
            <w:pPr>
              <w:spacing w:after="0"/>
              <w:rPr>
                <w:sz w:val="16"/>
                <w:szCs w:val="16"/>
                <w:color w:val="auto"/>
              </w:rPr>
            </w:pPr>
          </w:p>
        </w:tc>
        <w:tc>
          <w:tcPr>
            <w:tcW w:w="560" w:type="dxa"/>
            <w:vAlign w:val="bottom"/>
            <w:tcBorders>
              <w:bottom w:val="single" w:sz="8" w:color="00000A"/>
              <w:right w:val="single" w:sz="8" w:color="00000A"/>
            </w:tcBorders>
          </w:tcPr>
          <w:p>
            <w:pPr>
              <w:spacing w:after="0"/>
              <w:rPr>
                <w:sz w:val="16"/>
                <w:szCs w:val="16"/>
                <w:color w:val="auto"/>
              </w:rPr>
            </w:pPr>
          </w:p>
        </w:tc>
        <w:tc>
          <w:tcPr>
            <w:tcW w:w="300" w:type="dxa"/>
            <w:vAlign w:val="bottom"/>
            <w:tcBorders>
              <w:bottom w:val="single" w:sz="8" w:color="00000A"/>
            </w:tcBorders>
          </w:tcPr>
          <w:p>
            <w:pPr>
              <w:spacing w:after="0"/>
              <w:rPr>
                <w:sz w:val="16"/>
                <w:szCs w:val="16"/>
                <w:color w:val="auto"/>
              </w:rPr>
            </w:pPr>
          </w:p>
        </w:tc>
        <w:tc>
          <w:tcPr>
            <w:tcW w:w="2160" w:type="dxa"/>
            <w:vAlign w:val="bottom"/>
            <w:tcBorders>
              <w:bottom w:val="single" w:sz="8" w:color="00000A"/>
            </w:tcBorders>
          </w:tcPr>
          <w:p>
            <w:pPr>
              <w:spacing w:after="0"/>
              <w:rPr>
                <w:sz w:val="16"/>
                <w:szCs w:val="16"/>
                <w:color w:val="auto"/>
              </w:rPr>
            </w:pPr>
          </w:p>
        </w:tc>
        <w:tc>
          <w:tcPr>
            <w:tcW w:w="340" w:type="dxa"/>
            <w:vAlign w:val="bottom"/>
            <w:tcBorders>
              <w:bottom w:val="single" w:sz="8" w:color="00000A"/>
              <w:right w:val="single" w:sz="8" w:color="00000A"/>
            </w:tcBorders>
          </w:tcPr>
          <w:p>
            <w:pPr>
              <w:spacing w:after="0"/>
              <w:rPr>
                <w:sz w:val="16"/>
                <w:szCs w:val="16"/>
                <w:color w:val="auto"/>
              </w:rPr>
            </w:pPr>
          </w:p>
        </w:tc>
        <w:tc>
          <w:tcPr>
            <w:tcW w:w="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9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00" w:type="dxa"/>
            <w:vAlign w:val="bottom"/>
            <w:tcBorders>
              <w:bottom w:val="single" w:sz="8" w:color="00000A"/>
              <w:right w:val="single" w:sz="8" w:color="00000A"/>
            </w:tcBorders>
          </w:tcPr>
          <w:p>
            <w:pPr>
              <w:spacing w:after="0"/>
              <w:rPr>
                <w:sz w:val="16"/>
                <w:szCs w:val="16"/>
                <w:color w:val="auto"/>
              </w:rPr>
            </w:pPr>
          </w:p>
        </w:tc>
        <w:tc>
          <w:tcPr>
            <w:tcW w:w="100" w:type="dxa"/>
            <w:vAlign w:val="bottom"/>
            <w:tcBorders>
              <w:bottom w:val="single" w:sz="8" w:color="00000A"/>
            </w:tcBorders>
          </w:tcPr>
          <w:p>
            <w:pPr>
              <w:spacing w:after="0"/>
              <w:rPr>
                <w:sz w:val="16"/>
                <w:szCs w:val="16"/>
                <w:color w:val="auto"/>
              </w:rPr>
            </w:pPr>
          </w:p>
        </w:tc>
        <w:tc>
          <w:tcPr>
            <w:tcW w:w="760" w:type="dxa"/>
            <w:vAlign w:val="bottom"/>
            <w:tcBorders>
              <w:bottom w:val="single" w:sz="8" w:color="00000A"/>
            </w:tcBorders>
          </w:tcPr>
          <w:p>
            <w:pPr>
              <w:spacing w:after="0"/>
              <w:rPr>
                <w:sz w:val="16"/>
                <w:szCs w:val="16"/>
                <w:color w:val="auto"/>
              </w:rPr>
            </w:pPr>
          </w:p>
        </w:tc>
        <w:tc>
          <w:tcPr>
            <w:tcW w:w="840" w:type="dxa"/>
            <w:vAlign w:val="bottom"/>
            <w:tcBorders>
              <w:bottom w:val="single" w:sz="8" w:color="00000A"/>
            </w:tcBorders>
          </w:tcPr>
          <w:p>
            <w:pPr>
              <w:spacing w:after="0"/>
              <w:rPr>
                <w:sz w:val="16"/>
                <w:szCs w:val="16"/>
                <w:color w:val="auto"/>
              </w:rPr>
            </w:pPr>
          </w:p>
        </w:tc>
        <w:tc>
          <w:tcPr>
            <w:tcW w:w="740" w:type="dxa"/>
            <w:vAlign w:val="bottom"/>
            <w:tcBorders>
              <w:bottom w:val="single" w:sz="8" w:color="00000A"/>
            </w:tcBorders>
          </w:tcPr>
          <w:p>
            <w:pPr>
              <w:spacing w:after="0"/>
              <w:rPr>
                <w:sz w:val="16"/>
                <w:szCs w:val="16"/>
                <w:color w:val="auto"/>
              </w:rPr>
            </w:pPr>
          </w:p>
        </w:tc>
        <w:tc>
          <w:tcPr>
            <w:tcW w:w="14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74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7"/>
                <w:szCs w:val="17"/>
                <w:color w:val="auto"/>
                <w:w w:val="93"/>
              </w:rPr>
              <w:t>Category 3</w:t>
            </w:r>
          </w:p>
        </w:tc>
        <w:tc>
          <w:tcPr>
            <w:tcW w:w="280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7"/>
                <w:szCs w:val="17"/>
                <w:color w:val="auto"/>
                <w:w w:val="94"/>
              </w:rPr>
              <w:t>&lt;25% of the Aggregate Revolving</w:t>
            </w:r>
          </w:p>
        </w:tc>
        <w:tc>
          <w:tcPr>
            <w:tcW w:w="244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auto"/>
                <w:w w:val="91"/>
              </w:rPr>
              <w:t>1.75%</w:t>
            </w:r>
          </w:p>
        </w:tc>
        <w:tc>
          <w:tcPr>
            <w:tcW w:w="3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1700" w:type="dxa"/>
            <w:vAlign w:val="bottom"/>
            <w:gridSpan w:val="3"/>
            <w:vMerge w:val="restart"/>
          </w:tcPr>
          <w:p>
            <w:pPr>
              <w:jc w:val="center"/>
              <w:ind w:left="753"/>
              <w:spacing w:after="0"/>
              <w:rPr>
                <w:sz w:val="20"/>
                <w:szCs w:val="20"/>
                <w:color w:val="auto"/>
              </w:rPr>
            </w:pPr>
            <w:r>
              <w:rPr>
                <w:rFonts w:ascii="Arial" w:cs="Arial" w:eastAsia="Arial" w:hAnsi="Arial"/>
                <w:sz w:val="17"/>
                <w:szCs w:val="17"/>
                <w:color w:val="auto"/>
                <w:w w:val="95"/>
              </w:rPr>
              <w:t>0.75%</w:t>
            </w:r>
          </w:p>
        </w:tc>
        <w:tc>
          <w:tcPr>
            <w:tcW w:w="74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00000A"/>
              <w:right w:val="single" w:sz="8" w:color="00000A"/>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restart"/>
          </w:tcPr>
          <w:p>
            <w:pPr>
              <w:jc w:val="center"/>
              <w:ind w:right="340"/>
              <w:spacing w:after="0"/>
              <w:rPr>
                <w:sz w:val="20"/>
                <w:szCs w:val="20"/>
                <w:color w:val="auto"/>
              </w:rPr>
            </w:pPr>
            <w:r>
              <w:rPr>
                <w:rFonts w:ascii="Arial" w:cs="Arial" w:eastAsia="Arial" w:hAnsi="Arial"/>
                <w:sz w:val="17"/>
                <w:szCs w:val="17"/>
                <w:color w:val="auto"/>
                <w:w w:val="95"/>
              </w:rPr>
              <w:t>Commitments</w:t>
            </w:r>
          </w:p>
        </w:tc>
        <w:tc>
          <w:tcPr>
            <w:tcW w:w="244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00000A"/>
            </w:tcBorders>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Borders>
              <w:right w:val="single" w:sz="8" w:color="00000A"/>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40" w:type="dxa"/>
            <w:vAlign w:val="bottom"/>
            <w:tcBorders>
              <w:left w:val="single" w:sz="8" w:color="00000A"/>
              <w:bottom w:val="single" w:sz="8" w:color="00000A"/>
            </w:tcBorders>
          </w:tcPr>
          <w:p>
            <w:pPr>
              <w:spacing w:after="0"/>
              <w:rPr>
                <w:sz w:val="16"/>
                <w:szCs w:val="16"/>
                <w:color w:val="auto"/>
              </w:rPr>
            </w:pPr>
          </w:p>
        </w:tc>
        <w:tc>
          <w:tcPr>
            <w:tcW w:w="640" w:type="dxa"/>
            <w:vAlign w:val="bottom"/>
            <w:tcBorders>
              <w:bottom w:val="single" w:sz="8" w:color="00000A"/>
            </w:tcBorders>
          </w:tcPr>
          <w:p>
            <w:pPr>
              <w:spacing w:after="0"/>
              <w:rPr>
                <w:sz w:val="16"/>
                <w:szCs w:val="16"/>
                <w:color w:val="auto"/>
              </w:rPr>
            </w:pPr>
          </w:p>
        </w:tc>
        <w:tc>
          <w:tcPr>
            <w:tcW w:w="560" w:type="dxa"/>
            <w:vAlign w:val="bottom"/>
            <w:tcBorders>
              <w:bottom w:val="single" w:sz="8" w:color="00000A"/>
              <w:right w:val="single" w:sz="8" w:color="00000A"/>
            </w:tcBorders>
          </w:tcPr>
          <w:p>
            <w:pPr>
              <w:spacing w:after="0"/>
              <w:rPr>
                <w:sz w:val="16"/>
                <w:szCs w:val="16"/>
                <w:color w:val="auto"/>
              </w:rPr>
            </w:pPr>
          </w:p>
        </w:tc>
        <w:tc>
          <w:tcPr>
            <w:tcW w:w="300" w:type="dxa"/>
            <w:vAlign w:val="bottom"/>
            <w:tcBorders>
              <w:bottom w:val="single" w:sz="8" w:color="00000A"/>
            </w:tcBorders>
          </w:tcPr>
          <w:p>
            <w:pPr>
              <w:spacing w:after="0"/>
              <w:rPr>
                <w:sz w:val="16"/>
                <w:szCs w:val="16"/>
                <w:color w:val="auto"/>
              </w:rPr>
            </w:pPr>
          </w:p>
        </w:tc>
        <w:tc>
          <w:tcPr>
            <w:tcW w:w="2160" w:type="dxa"/>
            <w:vAlign w:val="bottom"/>
            <w:tcBorders>
              <w:bottom w:val="single" w:sz="8" w:color="00000A"/>
            </w:tcBorders>
          </w:tcPr>
          <w:p>
            <w:pPr>
              <w:spacing w:after="0"/>
              <w:rPr>
                <w:sz w:val="16"/>
                <w:szCs w:val="16"/>
                <w:color w:val="auto"/>
              </w:rPr>
            </w:pPr>
          </w:p>
        </w:tc>
        <w:tc>
          <w:tcPr>
            <w:tcW w:w="340" w:type="dxa"/>
            <w:vAlign w:val="bottom"/>
            <w:tcBorders>
              <w:bottom w:val="single" w:sz="8" w:color="00000A"/>
              <w:right w:val="single" w:sz="8" w:color="00000A"/>
            </w:tcBorders>
          </w:tcPr>
          <w:p>
            <w:pPr>
              <w:spacing w:after="0"/>
              <w:rPr>
                <w:sz w:val="16"/>
                <w:szCs w:val="16"/>
                <w:color w:val="auto"/>
              </w:rPr>
            </w:pPr>
          </w:p>
        </w:tc>
        <w:tc>
          <w:tcPr>
            <w:tcW w:w="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980" w:type="dxa"/>
            <w:vAlign w:val="bottom"/>
            <w:tcBorders>
              <w:bottom w:val="single" w:sz="8" w:color="00000A"/>
            </w:tcBorders>
          </w:tcPr>
          <w:p>
            <w:pPr>
              <w:spacing w:after="0"/>
              <w:rPr>
                <w:sz w:val="16"/>
                <w:szCs w:val="16"/>
                <w:color w:val="auto"/>
              </w:rPr>
            </w:pPr>
          </w:p>
        </w:tc>
        <w:tc>
          <w:tcPr>
            <w:tcW w:w="380" w:type="dxa"/>
            <w:vAlign w:val="bottom"/>
            <w:tcBorders>
              <w:bottom w:val="single" w:sz="8" w:color="00000A"/>
            </w:tcBorders>
          </w:tcPr>
          <w:p>
            <w:pPr>
              <w:spacing w:after="0"/>
              <w:rPr>
                <w:sz w:val="16"/>
                <w:szCs w:val="16"/>
                <w:color w:val="auto"/>
              </w:rPr>
            </w:pPr>
          </w:p>
        </w:tc>
        <w:tc>
          <w:tcPr>
            <w:tcW w:w="100" w:type="dxa"/>
            <w:vAlign w:val="bottom"/>
            <w:tcBorders>
              <w:bottom w:val="single" w:sz="8" w:color="00000A"/>
              <w:right w:val="single" w:sz="8" w:color="00000A"/>
            </w:tcBorders>
          </w:tcPr>
          <w:p>
            <w:pPr>
              <w:spacing w:after="0"/>
              <w:rPr>
                <w:sz w:val="16"/>
                <w:szCs w:val="16"/>
                <w:color w:val="auto"/>
              </w:rPr>
            </w:pPr>
          </w:p>
        </w:tc>
        <w:tc>
          <w:tcPr>
            <w:tcW w:w="100" w:type="dxa"/>
            <w:vAlign w:val="bottom"/>
            <w:tcBorders>
              <w:bottom w:val="single" w:sz="8" w:color="00000A"/>
            </w:tcBorders>
          </w:tcPr>
          <w:p>
            <w:pPr>
              <w:spacing w:after="0"/>
              <w:rPr>
                <w:sz w:val="16"/>
                <w:szCs w:val="16"/>
                <w:color w:val="auto"/>
              </w:rPr>
            </w:pPr>
          </w:p>
        </w:tc>
        <w:tc>
          <w:tcPr>
            <w:tcW w:w="760" w:type="dxa"/>
            <w:vAlign w:val="bottom"/>
            <w:tcBorders>
              <w:bottom w:val="single" w:sz="8" w:color="00000A"/>
            </w:tcBorders>
          </w:tcPr>
          <w:p>
            <w:pPr>
              <w:spacing w:after="0"/>
              <w:rPr>
                <w:sz w:val="16"/>
                <w:szCs w:val="16"/>
                <w:color w:val="auto"/>
              </w:rPr>
            </w:pPr>
          </w:p>
        </w:tc>
        <w:tc>
          <w:tcPr>
            <w:tcW w:w="840" w:type="dxa"/>
            <w:vAlign w:val="bottom"/>
            <w:tcBorders>
              <w:bottom w:val="single" w:sz="8" w:color="00000A"/>
            </w:tcBorders>
          </w:tcPr>
          <w:p>
            <w:pPr>
              <w:spacing w:after="0"/>
              <w:rPr>
                <w:sz w:val="16"/>
                <w:szCs w:val="16"/>
                <w:color w:val="auto"/>
              </w:rPr>
            </w:pPr>
          </w:p>
        </w:tc>
        <w:tc>
          <w:tcPr>
            <w:tcW w:w="740" w:type="dxa"/>
            <w:vAlign w:val="bottom"/>
            <w:tcBorders>
              <w:bottom w:val="single" w:sz="8" w:color="00000A"/>
            </w:tcBorders>
          </w:tcPr>
          <w:p>
            <w:pPr>
              <w:spacing w:after="0"/>
              <w:rPr>
                <w:sz w:val="16"/>
                <w:szCs w:val="16"/>
                <w:color w:val="auto"/>
              </w:rPr>
            </w:pPr>
          </w:p>
        </w:tc>
        <w:tc>
          <w:tcPr>
            <w:tcW w:w="14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For purposes of the foregoing, the Applicable Rate shall be determined by the Administrative Agent as of the end of each fiscal quarter of Holdings based upon the Borrowing Base Certificates that are delivered from time to time pursuant to Section 5.01(f) during such fiscal quarter, with any changes to the Applicable Rate resulting from changes in the Average Quarterly Availability to be effective on the fifth Business Day after the end of each fiscal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request of the Administrative Agent or the Required Lenders, the Applicable Rate shall be the applicable spreads set forth above for Category 3: (A) at any time that any Event of Default has occurred and is continuing (other than an Event of Default arising from the failure to deliver any Borrowing Base Certificate) or (B) if the Borrowers fail to deliver any Borrowing Base Certificate that is required to be delivered pursuant to Section 5.01(f), during the period from the expiration of the time for delivery thereof until five Business Days after such Borrowing Base Certificate is delivered;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any Borrowing Base Certificate is at any time restated or otherwise revised or if the information set forth in any Borrowing Base Certificate otherwise proves to be false or incorrect such that the Applicable Rate would have been higher than was otherwise in effect during any period, without constituting a waiver of any Default or Event of Default arising as a result thereof, interest due under this Agreement shall be immediately recalculated at such higher rate for any such applicable periods and shall be due and payable on demand.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has the meaning assigned to such term in Section 9.04.</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assignee (with the consent of any party whose consent is required by Section 9.04), and accepted by the Administrative Agent,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approved by the Administrative Agent.</w:t>
      </w:r>
    </w:p>
    <w:p>
      <w:pPr>
        <w:spacing w:after="0" w:line="1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the period from and including the Second Restatement Date to but excluding the earlier of the Maturity Date and the date of termination of the Revolving Commitments.</w:t>
      </w:r>
    </w:p>
    <w:p>
      <w:pPr>
        <w:spacing w:after="0" w:line="140" w:lineRule="exact"/>
        <w:rPr>
          <w:sz w:val="20"/>
          <w:szCs w:val="20"/>
          <w:color w:val="auto"/>
        </w:rPr>
      </w:pPr>
    </w:p>
    <w:p>
      <w:pPr>
        <w:jc w:val="both"/>
        <w:ind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Revolving Commitment</w:t>
      </w:r>
      <w:r>
        <w:rPr>
          <w:rFonts w:ascii="Arial" w:cs="Arial" w:eastAsia="Arial" w:hAnsi="Arial"/>
          <w:sz w:val="16"/>
          <w:szCs w:val="16"/>
          <w:color w:val="auto"/>
        </w:rPr>
        <w:t xml:space="preserve">” means, at any time, the Aggregate Revolving Commitments then in effect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Revolving Exposure at such time (calculated with respect to any Defaulting Lender, as if such Defaulting Lender had funded its Applicable Percentage of all outstanding Borrowings).</w:t>
      </w:r>
    </w:p>
    <w:p>
      <w:pPr>
        <w:spacing w:after="0" w:line="11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Quarterly Availability</w:t>
      </w:r>
      <w:r>
        <w:rPr>
          <w:rFonts w:ascii="Arial" w:cs="Arial" w:eastAsia="Arial" w:hAnsi="Arial"/>
          <w:sz w:val="17"/>
          <w:szCs w:val="17"/>
          <w:color w:val="auto"/>
        </w:rPr>
        <w:t>” means, for any fiscal quarter, the average daily Aggregate Availability for such fiscal quarter. Average Quarterly Availability shall be calculated by the Borrower Representative in a manner acceptable to the Administrative Agent in its Permitted Discretion.</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Utilization</w:t>
      </w:r>
      <w:r>
        <w:rPr>
          <w:rFonts w:ascii="Arial" w:cs="Arial" w:eastAsia="Arial" w:hAnsi="Arial"/>
          <w:sz w:val="17"/>
          <w:szCs w:val="17"/>
          <w:color w:val="auto"/>
        </w:rPr>
        <w:t>” means, for any period, the average total daily Revolving Exposure of all Lenders during such period. Average Utilization shall be calculated by the Borrower Representative in a manner acceptable to the Administrative Agent in its Permitted Discretion.</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provided to any Loan Party by any Lender or any of its Affiliates: (a) credit cards for commercial customers (including, without limitation, “commercial credit cards” and purchasing cards), (b) stored value cards, (c) credit cards issued to employees of Holdings and its Subsidiaries for travel, entertainment and similar expenses, and (d) treasury management services (including, without limitation, controlled disbursement, automated clearinghouse transactions, return items, overdrafts and interstate depository network services).</w:t>
      </w:r>
    </w:p>
    <w:p>
      <w:pPr>
        <w:spacing w:after="0" w:line="142"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Obligations</w:t>
      </w:r>
      <w:r>
        <w:rPr>
          <w:rFonts w:ascii="Arial" w:cs="Arial" w:eastAsia="Arial" w:hAnsi="Arial"/>
          <w:sz w:val="17"/>
          <w:szCs w:val="17"/>
          <w:color w:val="auto"/>
        </w:rPr>
        <w:t>”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Reserves</w:t>
      </w:r>
      <w:r>
        <w:rPr>
          <w:rFonts w:ascii="Arial" w:cs="Arial" w:eastAsia="Arial" w:hAnsi="Arial"/>
          <w:sz w:val="17"/>
          <w:szCs w:val="17"/>
          <w:color w:val="auto"/>
        </w:rPr>
        <w:t>” means all Reserves which the Administrative Agent from time to time establishes in its Permitted Discretion for Banking Services then provided or outstanding.</w:t>
      </w:r>
    </w:p>
    <w:p>
      <w:pPr>
        <w:spacing w:after="0" w:line="140"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xml:space="preserve">” means, with respect to any Person, such Person becomes the subject of a bankruptcy or insolvency proceeding or proposal, or has had a receiver, interim receiver, receiver and manager, monitor, sequestrator, conservator, trustee, administrator, custodian, assignee for the benefit of creditors or similar Person charged with reorganization or liquidation of its business, appointed for it, or, in the good faith determination of the Administrative Agent, has taken any action in furtherance of, or indicating its consent to, approval of, or acquiescence in, any such proceeding, proposal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such ownership interest does not result in or provide such Person with immunity from the jurisdiction of courts within the United States or Canada or from the enforcement of judgments or writs of attachment on its assets or permit such Person (or such Governmental Authority or instrumentality), to reject, repudiate, disavow or disaffirm any contracts or agreements made by such Person.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of the United States of America.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Borrowers</w:t>
      </w:r>
      <w:r>
        <w:rPr>
          <w:rFonts w:ascii="Arial" w:cs="Arial" w:eastAsia="Arial" w:hAnsi="Arial"/>
          <w:sz w:val="17"/>
          <w:szCs w:val="17"/>
          <w:color w:val="auto"/>
        </w:rPr>
        <w:t>” means, individually or collectively, the U.S. Borrowers and the Canadian Borrowers.</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Representative</w:t>
      </w:r>
      <w:r>
        <w:rPr>
          <w:rFonts w:ascii="Arial" w:cs="Arial" w:eastAsia="Arial" w:hAnsi="Arial"/>
          <w:sz w:val="17"/>
          <w:szCs w:val="17"/>
          <w:color w:val="auto"/>
        </w:rPr>
        <w:t>” means WESCO Distribution, Inc., a Delaware corporation, in its capacity as contractual representative of the Borrowers pursuant to Article XI.</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Loans of the same Type, made, converted or continued on the same date and, in the case of Eurodollar Loans or CDOR Rate Loans, as to which a single Interest Period is in effect, (b) a Swingline Loan, (c) a Protective Advance and (d) an Overadvance.</w:t>
      </w:r>
    </w:p>
    <w:p>
      <w:pPr>
        <w:sectPr>
          <w:pgSz w:w="11900" w:h="16838" w:orient="portrait"/>
          <w:cols w:equalWidth="0" w:num="1">
            <w:col w:w="11440"/>
          </w:cols>
          <w:pgMar w:left="240" w:top="124" w:right="219" w:bottom="0" w:gutter="0" w:footer="0" w:header="0"/>
        </w:sectPr>
      </w:pPr>
    </w:p>
    <w:bookmarkStart w:id="11" w:name="page12"/>
    <w:bookmarkEnd w:id="11"/>
    <w:p>
      <w:pPr>
        <w:jc w:val="both"/>
        <w:ind w:right="20" w:firstLine="572"/>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xml:space="preserve">” means a certificate, signed and certified as accurate and complete by a Financial Officer of the Borrower Representative,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another form which is acceptable to the Administrative Agent and the Canadian Administrative Agent in their Permitted Discretion, setting forth the Aggregate Borrowing Base, the Canadian Borrowing Base and the U.S. Borrowing Base.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the Borrower Representative for a Revolving Borrowing in accordance with Section 2.03.</w:t>
      </w:r>
    </w:p>
    <w:p>
      <w:pPr>
        <w:spacing w:after="0" w:line="198"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that is not a Saturday, Sunday or other day on which commercial banks in New York City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when used in connection with a Eurodollar Loan or any U.S. Letter of Credit denominated in an LC Alternative Currency,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banks are not open for dealings in the applicable currency in the London interbank market; (b) when used in connection with any Canadian Dollar Loan or Canadian Letter of Credit,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in which commercial banks in Toronto, Canada are authorized or required by law to remain closed; (c) in the case of any U.S. Letter of Credit denominated in Euros,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which is not a TARGET Day as determined by the Administrative Agent; and (d) when used in connection with any U.S. Letter of Credit denominated in Sterling,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commercial banks in London, England are authorized or required by law to remain closed.</w:t>
      </w:r>
    </w:p>
    <w:p>
      <w:pPr>
        <w:spacing w:after="0" w:line="16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means JPMorgan Chase Bank, N.A., Toronto Branch, in its capacity as administrative agent for the Canadian Lenders hereunder.</w:t>
      </w:r>
    </w:p>
    <w:p>
      <w:pPr>
        <w:spacing w:after="0" w:line="14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Availability</w:t>
      </w:r>
      <w:r>
        <w:rPr>
          <w:rFonts w:ascii="Arial" w:cs="Arial" w:eastAsia="Arial" w:hAnsi="Arial"/>
          <w:sz w:val="17"/>
          <w:szCs w:val="17"/>
          <w:color w:val="auto"/>
        </w:rPr>
        <w:t xml:space="preserve">” means (a) the lesser of (i) the Revolving Commitment, (ii) the Canadian Sublimit and (iii) the sum of (A) the Canadian Borrowing Base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solely to the extent the total Canadian Revolving Exposure exceeds the Canadian Borrowing Base, the U.S. Availability (if any, to the extent that it is available),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total Canadian Revolving Exposure (calculated with respect to any Defaulting Lender, as if such Defaulting Lender had funded its Applicable Percentage of all outstanding Borrowings).</w:t>
      </w:r>
    </w:p>
    <w:p>
      <w:pPr>
        <w:spacing w:after="0" w:line="157"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Benefit Plans</w:t>
      </w:r>
      <w:r>
        <w:rPr>
          <w:rFonts w:ascii="Arial" w:cs="Arial" w:eastAsia="Arial" w:hAnsi="Arial"/>
          <w:sz w:val="17"/>
          <w:szCs w:val="17"/>
          <w:color w:val="auto"/>
        </w:rPr>
        <w:t>” means any plan, fund, program, or policy, whether oral or written, formal or informal, funded or unfunded, insured or uninsured, providing employee benefits, including medical, hospital care, dental, sickness, accident, disability, life insurance, pension, retirement or savings benefits, under which any Loan Party or any Subsidiary of any Loan Party has any liability with respect to any Canadian employee or former Canadian employee, but excluding any Canadian Pension Plans.</w:t>
      </w:r>
    </w:p>
    <w:p>
      <w:pPr>
        <w:spacing w:after="0" w:line="157"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Blocked Person</w:t>
      </w:r>
      <w:r>
        <w:rPr>
          <w:rFonts w:ascii="Arial" w:cs="Arial" w:eastAsia="Arial" w:hAnsi="Arial"/>
          <w:sz w:val="17"/>
          <w:szCs w:val="17"/>
          <w:color w:val="auto"/>
        </w:rPr>
        <w:t>” means any Person that is a “designated person”, “politically exposed foreign person” or “terrorist group” as described in any Canadian Economic Sanctions and Export Control Laws.</w:t>
      </w:r>
    </w:p>
    <w:p>
      <w:pPr>
        <w:spacing w:after="0" w:line="140" w:lineRule="exact"/>
        <w:rPr>
          <w:sz w:val="20"/>
          <w:szCs w:val="20"/>
          <w:color w:val="auto"/>
        </w:rPr>
      </w:pPr>
    </w:p>
    <w:p>
      <w:pPr>
        <w:jc w:val="both"/>
        <w:ind w:right="20"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Borrower</w:t>
      </w:r>
      <w:r>
        <w:rPr>
          <w:rFonts w:ascii="Arial" w:cs="Arial" w:eastAsia="Arial" w:hAnsi="Arial"/>
          <w:sz w:val="17"/>
          <w:szCs w:val="17"/>
          <w:color w:val="auto"/>
        </w:rPr>
        <w:t>” or “</w:t>
      </w:r>
      <w:r>
        <w:rPr>
          <w:rFonts w:ascii="Arial" w:cs="Arial" w:eastAsia="Arial" w:hAnsi="Arial"/>
          <w:sz w:val="17"/>
          <w:szCs w:val="17"/>
          <w:u w:val="single" w:color="auto"/>
          <w:color w:val="auto"/>
        </w:rPr>
        <w:t>Canadian Borrowers</w:t>
      </w:r>
      <w:r>
        <w:rPr>
          <w:rFonts w:ascii="Arial" w:cs="Arial" w:eastAsia="Arial" w:hAnsi="Arial"/>
          <w:sz w:val="17"/>
          <w:szCs w:val="17"/>
          <w:color w:val="auto"/>
        </w:rPr>
        <w:t>” means, individually or collectively as the context may require, (a) WESCO Distribution Canada LP, a limited partnership organized under the laws of Ontario, Canada, WDCC Enterprises Inc., a corporation organized under the laws of Alberta, Canada, EECOL Electric ULC, a limited liability company organized under the laws of Alberta, Canada, Hazmasters Inc., a corporation organized under the laws of Ontario, Canada, and Hazmasters Quebec Inc., a corporation organized under the laws of Canada, (b) any entity resulting from an amalgamation between any Person referred to in the foregoing clause (a) or this clause (b) and any other Person permitted by this Agreement and (c) any Canadian Subsidiary of Holdings that becomes a party to this Agreement as an additional borrower with the consent of the Administrative Agent after the Second Amendment Date pursuant to a Joinder Agreement in accordance with Section 5.13.</w:t>
      </w:r>
    </w:p>
    <w:p>
      <w:pPr>
        <w:spacing w:after="0" w:line="16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Borrowing Base</w:t>
      </w:r>
      <w:r>
        <w:rPr>
          <w:rFonts w:ascii="Arial" w:cs="Arial" w:eastAsia="Arial" w:hAnsi="Arial"/>
          <w:sz w:val="17"/>
          <w:szCs w:val="17"/>
          <w:color w:val="auto"/>
        </w:rPr>
        <w:t xml:space="preserve">” means, at any time, the sum of (a) 85% of the Eligible Accounts owing to the Canadian Loan Parties (other than Intermediate Holding Companies)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lesser of (i) 70% of the Canadian Borrowers’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Canadian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Reserves.</w:t>
      </w:r>
    </w:p>
    <w:p>
      <w:pPr>
        <w:spacing w:after="0" w:line="16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Cash Management Bank</w:t>
      </w:r>
      <w:r>
        <w:rPr>
          <w:rFonts w:ascii="Arial" w:cs="Arial" w:eastAsia="Arial" w:hAnsi="Arial"/>
          <w:sz w:val="16"/>
          <w:szCs w:val="16"/>
          <w:color w:val="auto"/>
        </w:rPr>
        <w:t xml:space="preserve">” means (a) as of the Second Restatement Date, each of Toronto Dominion Bank and Bank of Nova Scotia, in their respective capacities as the depositary banks for the Canadian Loan Parties, and (b) at any time after the Second Restatement Date, any one or more of the Canadian Lenders selected by the Canadian Loan Parties, in consultation with the Canadian Administrative Agent, to become either a successor principal depository bank or an additional depository bank for the Canadian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Canadian Administrative Agent otherwise consents in writing, no Person shall become the successor “Canadian Cash Management Bank” unless and until such Person shall have entered into a Control Agreement with the Canadian Loan Parties and the Canadian Administrative Agent in form and substance reasonably acceptable to the Canadian Administrative Agent.</w:t>
      </w:r>
    </w:p>
    <w:p>
      <w:pPr>
        <w:spacing w:after="0" w:line="146"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Collection Account</w:t>
      </w:r>
      <w:r>
        <w:rPr>
          <w:rFonts w:ascii="Arial" w:cs="Arial" w:eastAsia="Arial" w:hAnsi="Arial"/>
          <w:sz w:val="16"/>
          <w:szCs w:val="16"/>
          <w:color w:val="auto"/>
        </w:rPr>
        <w:t>” means the account at JPMorgan Chase Bank, N.A., Toronto Branch, so designated by the Administrative Agent, in a written notice delivered to the Borrower Representative, to be the “Canadian Collection Account”, to which funds on deposit in Deposit Accounts (other than Excluded Accounts) maintained by the Canadian Loan Parties with the Canadian Cash Management Bank and all collections and other payments received in respect of the Accounts of the Canadian Loan Parties by the Canadian Cash Management Bank shall be remitted at all times during a Cash Dominion Period.</w:t>
      </w:r>
    </w:p>
    <w:p>
      <w:pPr>
        <w:spacing w:after="0" w:line="142"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Commitment</w:t>
      </w:r>
      <w:r>
        <w:rPr>
          <w:rFonts w:ascii="Arial" w:cs="Arial" w:eastAsia="Arial" w:hAnsi="Arial"/>
          <w:sz w:val="17"/>
          <w:szCs w:val="17"/>
          <w:color w:val="auto"/>
        </w:rPr>
        <w:t xml:space="preserve">” means, with respect to each Canadian Lender, the commitment, if any, of such Canadian Lender to make Canadian Revolving Loans and to acquire participations in Canadian Letters of Credit, Canadian Overadvances and Canadian Swingline Loans hereunder, expressed as an amount representing the maximum possible aggregate amount of such Canadian Lender’s Canadian Revolving Exposure hereunder, as such commitment may be reduced or increased from time to time pursuant to (a) Section 2.09 and (b) assignments by or to such Canadian Lender pursuant to Section 9.04. The initial amount of each Canadian Lender’s Canadian Commitment is set forth on the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or in the Assignment and Assumption pursuant to which such Canadian Lender shall have assumed its Canadian Commitment, as applicable. The Canadian Commitment is a sub-facility of the Revolving Commitment and is not in addition to the Revolving Commitment.</w:t>
      </w:r>
    </w:p>
    <w:p>
      <w:pPr>
        <w:spacing w:after="0" w:line="160"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Cross-Border Loan Guarantors</w:t>
      </w:r>
      <w:r>
        <w:rPr>
          <w:rFonts w:ascii="Arial" w:cs="Arial" w:eastAsia="Arial" w:hAnsi="Arial"/>
          <w:sz w:val="17"/>
          <w:szCs w:val="17"/>
          <w:color w:val="auto"/>
        </w:rPr>
        <w:t>” means, individually or collectively as the context may require (a) WESCO Distribution Canada Co., an entity organized under the laws of Nova Scotia, WESCO Distribution II ULC, an entity organized under the laws of Nova Scotia, and TVC Canada Corp., an entity organized under the laws of Nova Scotia, (b) any Canadian Subsidiary (other than any CFC Subsidiary or any subsidiary thereof) that after the Second Restatement Date guarantees the payment of the Canadian Obligations and the U.S. Obligations pursuant to Section 5.13 and (c) the successors and assigns of the Persons described in clauses (a) and (b) of this definition.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Loan</w:t>
      </w:r>
      <w:r>
        <w:rPr>
          <w:rFonts w:ascii="Arial" w:cs="Arial" w:eastAsia="Arial" w:hAnsi="Arial"/>
          <w:sz w:val="17"/>
          <w:szCs w:val="17"/>
          <w:color w:val="auto"/>
        </w:rPr>
        <w:t>” means any Loan denominated in Canadian Dollars bearing interest at the Canadian Prime Rate or the CDOR Rate.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Dollars</w:t>
      </w:r>
      <w:r>
        <w:rPr>
          <w:rFonts w:ascii="Arial" w:cs="Arial" w:eastAsia="Arial" w:hAnsi="Arial"/>
          <w:sz w:val="17"/>
          <w:szCs w:val="17"/>
          <w:color w:val="auto"/>
        </w:rPr>
        <w:t>” or “</w:t>
      </w:r>
      <w:r>
        <w:rPr>
          <w:rFonts w:ascii="Arial" w:cs="Arial" w:eastAsia="Arial" w:hAnsi="Arial"/>
          <w:sz w:val="17"/>
          <w:szCs w:val="17"/>
          <w:u w:val="single" w:color="auto"/>
          <w:color w:val="auto"/>
        </w:rPr>
        <w:t>Cdn $</w:t>
      </w:r>
      <w:r>
        <w:rPr>
          <w:rFonts w:ascii="Arial" w:cs="Arial" w:eastAsia="Arial" w:hAnsi="Arial"/>
          <w:sz w:val="17"/>
          <w:szCs w:val="17"/>
          <w:color w:val="auto"/>
        </w:rPr>
        <w:t>” means the lawful currency of Canada.</w:t>
      </w:r>
    </w:p>
    <w:p>
      <w:pPr>
        <w:spacing w:after="0" w:line="198"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Economic Sanctions and Export Control Laws</w:t>
      </w:r>
      <w:r>
        <w:rPr>
          <w:rFonts w:ascii="Arial" w:cs="Arial" w:eastAsia="Arial" w:hAnsi="Arial"/>
          <w:sz w:val="17"/>
          <w:szCs w:val="17"/>
          <w:color w:val="auto"/>
        </w:rPr>
        <w:t>” means any Canadian laws, regulations or orders governing transactions in controlled goods or technologies or dealings with countries, entities, organizations, or individuals subject to economic sanctions and similar measures, including the Special Economic Measures Act (Canada), the United Nations Act, (Canada), the Freezing Assets of Corrupt Foreign Officials Act (Canada), Part II.1 of the Criminal Code, (Canada) and the Export and Import Permits Act (Canada), and any related regulations.</w:t>
      </w:r>
    </w:p>
    <w:p>
      <w:pPr>
        <w:sectPr>
          <w:pgSz w:w="11900" w:h="16838" w:orient="portrait"/>
          <w:cols w:equalWidth="0" w:num="1">
            <w:col w:w="11440"/>
          </w:cols>
          <w:pgMar w:left="240" w:top="124" w:right="219" w:bottom="91" w:gutter="0" w:footer="0" w:header="0"/>
        </w:sectPr>
      </w:pPr>
    </w:p>
    <w:bookmarkStart w:id="12" w:name="page13"/>
    <w:bookmarkEnd w:id="12"/>
    <w:p>
      <w:pPr>
        <w:jc w:val="both"/>
        <w:ind w:left="5" w:firstLine="572"/>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Guarantee</w:t>
      </w:r>
      <w:r>
        <w:rPr>
          <w:rFonts w:ascii="Arial" w:cs="Arial" w:eastAsia="Arial" w:hAnsi="Arial"/>
          <w:sz w:val="16"/>
          <w:szCs w:val="16"/>
          <w:color w:val="auto"/>
        </w:rPr>
        <w:t xml:space="preserve">” means, individually and collectively as the context may require (a) the Second Amended and Restated Canadian Guarantee Agreement dated as of the Second Restatement Date by the Canadian Loan Guarantors and the Dutch Loan Guarantors in favor of the Administrative Agent (for the benefit of the Canadian Lender Parties)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attached hereto, which Second Amended and Restated Canadian Guarantee amends and restates in its entirety the Amended and Restated Canadian Guarantee dated as of the First Restatement Date by the Canadian Loan Guarantors party thereto in favor of the Administrative Agent, (b) the Second Amended and Restated Canadian Cross-Border Guarantee Agreement dated as of the Second Restatement Date by the Canadian Cross-Border Loan Guarantors in favor of the Administrative Agent (for the benefit of the Lender Parties) in substantially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attached hereto, which Second Amended and Restated Canadian Cross-Border Guarantee amends and restates in its entirety the Amended and Restated Canadian Cross-Border Guarantee dated as of the First Restatement Date by the Canadian Cross-Border Loan Guarantors party thereto in favor of the Administrative Agent and (c) any other Guarantee agreement entered into after the Second Restatement Date by any Canadian Loan Party and/or Dutch Loan Guarantor in favor of the Administrative Agent (for the benefit of the Canadian Lender Parties or, in the case of any Canadian Cross-Border Loan Guarantor, the Lender Parties) and governed by the laws of Ontario pursuant to the terms of this Agreement, or any other Loan Document, including Section 5.13, in each case, as the same may be amended, restated or otherwise modified from time to time.</w:t>
      </w:r>
    </w:p>
    <w:p>
      <w:pPr>
        <w:spacing w:after="0" w:line="157"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Hypothec</w:t>
      </w:r>
      <w:r>
        <w:rPr>
          <w:rFonts w:ascii="Arial" w:cs="Arial" w:eastAsia="Arial" w:hAnsi="Arial"/>
          <w:sz w:val="17"/>
          <w:szCs w:val="17"/>
          <w:color w:val="auto"/>
        </w:rPr>
        <w:t>” means, individually and collectively as the context may require, (a) the Deed of Hypothec dated as of the First Restatement Date of the Canadian Loan Parties party thereto in favor of the Administrative Agent (for the benefit of the Canadian Lender Parties), (b) the Deed of Hypothec dated as of the Original Closing Date by the Canadian Loan Parties party thereto in favor of the Administrative Agent, and (c) any other deed of hypothec entered into after the Second Restatement Date by any Canadian Loan Party pursuant to the terms of this Agreement, or any other Loan Document, including Section 5.13, in each case, as the same may be amended, restated or otherwise modified from time to time.</w:t>
      </w:r>
    </w:p>
    <w:p>
      <w:pPr>
        <w:spacing w:after="0" w:line="161"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LC Collateral Account</w:t>
      </w:r>
      <w:r>
        <w:rPr>
          <w:rFonts w:ascii="Arial" w:cs="Arial" w:eastAsia="Arial" w:hAnsi="Arial"/>
          <w:sz w:val="17"/>
          <w:szCs w:val="17"/>
          <w:color w:val="auto"/>
        </w:rPr>
        <w:t>” has the meaning assigned to such term in Section 2.06(k).</w:t>
      </w:r>
    </w:p>
    <w:p>
      <w:pPr>
        <w:spacing w:after="0" w:line="198" w:lineRule="exact"/>
        <w:rPr>
          <w:sz w:val="20"/>
          <w:szCs w:val="20"/>
          <w:color w:val="auto"/>
        </w:rPr>
      </w:pPr>
    </w:p>
    <w:p>
      <w:pPr>
        <w:jc w:val="both"/>
        <w:ind w:left="5" w:right="20"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Exposure</w:t>
      </w:r>
      <w:r>
        <w:rPr>
          <w:rFonts w:ascii="Arial" w:cs="Arial" w:eastAsia="Arial" w:hAnsi="Arial"/>
          <w:sz w:val="16"/>
          <w:szCs w:val="16"/>
          <w:color w:val="auto"/>
        </w:rPr>
        <w:t>” means, at any time, the sum of the Commercial LC Exposure and the Standby LC Exposure of the Canadian Borrowers. The Canadian LC Exposure of any Canadian Lender at any time shall be its Applicable Percentage of the total Canadian LC Exposure at such time.</w:t>
      </w:r>
    </w:p>
    <w:p>
      <w:pPr>
        <w:spacing w:after="0" w:line="116"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Lender Parties</w:t>
      </w:r>
      <w:r>
        <w:rPr>
          <w:rFonts w:ascii="Arial" w:cs="Arial" w:eastAsia="Arial" w:hAnsi="Arial"/>
          <w:sz w:val="17"/>
          <w:szCs w:val="17"/>
          <w:color w:val="auto"/>
        </w:rPr>
        <w:t>” means, individually and collectively as the context may require, the Canadian Administrative Agent, the Issuing Banks issuing Canadian Letters of Credit and the Canadian Lenders.</w:t>
      </w:r>
    </w:p>
    <w:p>
      <w:pPr>
        <w:spacing w:after="0" w:line="140" w:lineRule="exact"/>
        <w:rPr>
          <w:sz w:val="20"/>
          <w:szCs w:val="20"/>
          <w:color w:val="auto"/>
        </w:rPr>
      </w:pPr>
    </w:p>
    <w:p>
      <w:pPr>
        <w:jc w:val="both"/>
        <w:ind w:left="5" w:firstLine="57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Lenders</w:t>
      </w:r>
      <w:r>
        <w:rPr>
          <w:rFonts w:ascii="Arial" w:cs="Arial" w:eastAsia="Arial" w:hAnsi="Arial"/>
          <w:sz w:val="16"/>
          <w:szCs w:val="16"/>
          <w:color w:val="auto"/>
        </w:rPr>
        <w:t xml:space="preserve">” means the Persons listed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as having a Canadian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or an Affiliate of such Person also has a U.S. Commitment) and any other Person that shall acquire a Canadian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such time such Person or an Affiliate of such Person has, or is acquiring, a U.S. Commitment pursuant to an Assignment and Assumption or becomes a lender pursuant to an Aggregate Commitment Increase in accordance with Section 2.09), other than any such Person that ceases to be a Canadian Lender pursuant to an Assignment and Assumption. Unless the context otherwise requires, the term “Canadian Lenders” includes the Canadian Swingline Lender.</w:t>
      </w:r>
    </w:p>
    <w:p>
      <w:pPr>
        <w:spacing w:after="0" w:line="145"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Letter of Credit</w:t>
      </w:r>
      <w:r>
        <w:rPr>
          <w:rFonts w:ascii="Arial" w:cs="Arial" w:eastAsia="Arial" w:hAnsi="Arial"/>
          <w:sz w:val="17"/>
          <w:szCs w:val="17"/>
          <w:color w:val="auto"/>
        </w:rPr>
        <w:t>” means any Letter of Credit issued hereunder for the purpose of providing credit support for the Canadian Borrowers or any Canadian Subsidiary.</w:t>
      </w:r>
    </w:p>
    <w:p>
      <w:pPr>
        <w:spacing w:after="0" w:line="140"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Loan Documents</w:t>
      </w:r>
      <w:r>
        <w:rPr>
          <w:rFonts w:ascii="Arial" w:cs="Arial" w:eastAsia="Arial" w:hAnsi="Arial"/>
          <w:sz w:val="17"/>
          <w:szCs w:val="17"/>
          <w:color w:val="auto"/>
        </w:rPr>
        <w:t>” means, individually and collectively as the context may require, the Canadian Guarantee, the Canadian Security Agreement, the Canadian Hypothec and all other agreements, instruments and certificates delivered by a Canadian Loan Party and/or a Dutch Loan Guarantor, from time to time in connection therewith, in each case as amended, restated or otherwise modified from time to time.</w:t>
      </w:r>
    </w:p>
    <w:p>
      <w:pPr>
        <w:spacing w:after="0" w:line="153" w:lineRule="exact"/>
        <w:rPr>
          <w:sz w:val="20"/>
          <w:szCs w:val="20"/>
          <w:color w:val="auto"/>
        </w:rPr>
      </w:pPr>
    </w:p>
    <w:p>
      <w:pPr>
        <w:jc w:val="both"/>
        <w:ind w:left="5" w:firstLine="572"/>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Loan Guarantors</w:t>
      </w:r>
      <w:r>
        <w:rPr>
          <w:rFonts w:ascii="Arial" w:cs="Arial" w:eastAsia="Arial" w:hAnsi="Arial"/>
          <w:sz w:val="15"/>
          <w:szCs w:val="15"/>
          <w:color w:val="auto"/>
        </w:rPr>
        <w:t>” means, individually or collectively as the context may require (a) WESCO Distribution Canada GP Inc., an entity organized under the laws of Ontario, (b) the Canadian Borrowers (in respect of the other’s obligations), (c) WESCO Canada I, LP, a limited partnership organized under the laws of Alberta, (d) WESCO Canada II, LP, a limited partnership organized under the laws of Alberta, (e) WESCO Holdings, LLC, a limited liability company organized under the laws of Delaware, (f) WECOL Holdings ULC, an entity organized under the laws of Alberta, (g) EECOL Properties Corp., a corporation organized under the laws of Alberta, (h) any Canadian Subsidiary or CFC Subsidiary Holding Company that, after the Second Restatement Date, guarantees the payment of the Canadian Obligations (but not the U.S. Obligations) pursuant to Section 5.13 and (i) the successors and assigns of the Persons described in clauses</w:t>
      </w:r>
    </w:p>
    <w:p>
      <w:pPr>
        <w:ind w:left="5" w:right="20" w:hanging="5"/>
        <w:spacing w:after="0" w:line="263" w:lineRule="auto"/>
        <w:tabs>
          <w:tab w:leader="none" w:pos="25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through (h) of this definition, including without limitation, any entity resulting from an amalgamation between any such Person and any other Person to the extent permitted by this Agreement.</w:t>
      </w:r>
    </w:p>
    <w:p>
      <w:pPr>
        <w:spacing w:after="0" w:line="153"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Loan Parties</w:t>
      </w:r>
      <w:r>
        <w:rPr>
          <w:rFonts w:ascii="Arial" w:cs="Arial" w:eastAsia="Arial" w:hAnsi="Arial"/>
          <w:sz w:val="17"/>
          <w:szCs w:val="17"/>
          <w:color w:val="auto"/>
        </w:rPr>
        <w:t>” means, individually and collectively as the context may require, the Canadian Borrowers, the Canadian Loan Guarantors and the Canadian Cross-Border Loan Guarantors.</w:t>
      </w:r>
    </w:p>
    <w:p>
      <w:pPr>
        <w:spacing w:after="0" w:line="140" w:lineRule="exact"/>
        <w:rPr>
          <w:sz w:val="20"/>
          <w:szCs w:val="20"/>
          <w:color w:val="auto"/>
        </w:rPr>
      </w:pPr>
    </w:p>
    <w:p>
      <w:pPr>
        <w:jc w:val="both"/>
        <w:ind w:left="5"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Loans</w:t>
      </w:r>
      <w:r>
        <w:rPr>
          <w:rFonts w:ascii="Arial" w:cs="Arial" w:eastAsia="Arial" w:hAnsi="Arial"/>
          <w:sz w:val="17"/>
          <w:szCs w:val="17"/>
          <w:color w:val="auto"/>
        </w:rPr>
        <w:t>” means, individually and collectively as the context may require, the Canadian Revolving Loans, the Canadian Swingline Loans, the Canadian Overadvances and the Canadian Protective Advances.</w:t>
      </w:r>
    </w:p>
    <w:p>
      <w:pPr>
        <w:spacing w:after="0" w:line="140" w:lineRule="exact"/>
        <w:rPr>
          <w:sz w:val="20"/>
          <w:szCs w:val="20"/>
          <w:color w:val="auto"/>
        </w:rPr>
      </w:pPr>
    </w:p>
    <w:p>
      <w:pPr>
        <w:jc w:val="both"/>
        <w:ind w:left="5"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Obligations</w:t>
      </w:r>
      <w:r>
        <w:rPr>
          <w:rFonts w:ascii="Arial" w:cs="Arial" w:eastAsia="Arial" w:hAnsi="Arial"/>
          <w:sz w:val="17"/>
          <w:szCs w:val="17"/>
          <w:color w:val="auto"/>
        </w:rPr>
        <w:t xml:space="preserve">” means all unpaid principal of and accrued and unpaid interest on the Canadian Loans, all Canadian LC Exposure, all accrued and unpaid fees and all expenses, reimbursements, indemnities and other obligations of the Canadian Loan Parties and the Dutch Loan Guarantors to the Canadian Lenders or to any Canadian Lender, the Administrative Agent, the Canadian Administrative Agent, any Issuing Bank with respect to Canadian Letters of Credit or any indemnified party arising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obligations of the Canadian Cross-Border Loan Guarantors (i) as guarantors of the U.S. Obligations and (ii) under the Canadian Security Agreement to the extent such obligations relate to the U.S. Obligations and (y) any obligations of CFC Subsidiary Holding Companies, shall not constitute Canadian Obligations.</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Overadvance</w:t>
      </w:r>
      <w:r>
        <w:rPr>
          <w:rFonts w:ascii="Arial" w:cs="Arial" w:eastAsia="Arial" w:hAnsi="Arial"/>
          <w:sz w:val="17"/>
          <w:szCs w:val="17"/>
          <w:color w:val="auto"/>
        </w:rPr>
        <w:t>” has the meaning assigned to such term in Section 2.05(d).</w:t>
      </w:r>
    </w:p>
    <w:p>
      <w:pPr>
        <w:spacing w:after="0" w:line="198" w:lineRule="exact"/>
        <w:rPr>
          <w:sz w:val="20"/>
          <w:szCs w:val="20"/>
          <w:color w:val="auto"/>
        </w:rPr>
      </w:pPr>
    </w:p>
    <w:p>
      <w:pPr>
        <w:jc w:val="both"/>
        <w:ind w:left="5"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Pension Plans</w:t>
      </w:r>
      <w:r>
        <w:rPr>
          <w:rFonts w:ascii="Arial" w:cs="Arial" w:eastAsia="Arial" w:hAnsi="Arial"/>
          <w:sz w:val="16"/>
          <w:szCs w:val="16"/>
          <w:color w:val="auto"/>
        </w:rPr>
        <w:t>” means each pension plan required to be registered under Canadian federal or provincial law that is maintained or contributed to by a Loan Party or any Subsidiary of any Loan Party for its Canadian employees or former Canadian employees, but does not include a Canadian Union Plan, the Canada Pension Plan or the Quebec Pension Plan as maintained by the Government of Canada or the Province of Quebec, respectively.</w:t>
      </w:r>
    </w:p>
    <w:p>
      <w:pPr>
        <w:spacing w:after="0" w:line="136" w:lineRule="exact"/>
        <w:rPr>
          <w:sz w:val="20"/>
          <w:szCs w:val="20"/>
          <w:color w:val="auto"/>
        </w:rPr>
      </w:pPr>
    </w:p>
    <w:p>
      <w:pPr>
        <w:jc w:val="both"/>
        <w:ind w:left="5" w:firstLine="572"/>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rate determined by the Canadian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Bank in its reasonable discretion) and (ii) the average rate for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Canadian Administrative Agent in its reasonable discretion) at 10:15 a.m. Toronto time on such day, plus 1% per annum; provided, that if any the above rates shall be less than zero, such rate shall be deemed to be zero for purposes of this Agreement. Any change in the Canadian Prime Rate due to a change in the PRIMCAN Index or the CDOR Rate shall be effective from and including the effective date of such change in the PRIMCAN Index or CDOR Rate, respectively.</w:t>
      </w:r>
    </w:p>
    <w:p>
      <w:pPr>
        <w:spacing w:after="0" w:line="166" w:lineRule="exact"/>
        <w:rPr>
          <w:sz w:val="20"/>
          <w:szCs w:val="20"/>
          <w:color w:val="auto"/>
        </w:rPr>
      </w:pPr>
    </w:p>
    <w:p>
      <w:pPr>
        <w:ind w:left="5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Prime Rate Loan</w:t>
      </w:r>
      <w:r>
        <w:rPr>
          <w:rFonts w:ascii="Arial" w:cs="Arial" w:eastAsia="Arial" w:hAnsi="Arial"/>
          <w:sz w:val="15"/>
          <w:szCs w:val="15"/>
          <w:color w:val="auto"/>
        </w:rPr>
        <w:t>” means a Loan denominated in Canadian Dollars the rate of interest applicable to which is based on the Canadian Prime Rate.</w:t>
      </w:r>
    </w:p>
    <w:p>
      <w:pPr>
        <w:spacing w:after="0" w:line="221"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Protective Advance</w:t>
      </w:r>
      <w:r>
        <w:rPr>
          <w:rFonts w:ascii="Arial" w:cs="Arial" w:eastAsia="Arial" w:hAnsi="Arial"/>
          <w:sz w:val="17"/>
          <w:szCs w:val="17"/>
          <w:color w:val="auto"/>
        </w:rPr>
        <w:t>” has the meaning assigned to such term in Section 2.04(a).</w:t>
      </w:r>
    </w:p>
    <w:p>
      <w:pPr>
        <w:sectPr>
          <w:pgSz w:w="11900" w:h="16838" w:orient="portrait"/>
          <w:cols w:equalWidth="0" w:num="1">
            <w:col w:w="11445"/>
          </w:cols>
          <w:pgMar w:left="235" w:top="124" w:right="219" w:bottom="0" w:gutter="0" w:footer="0" w:header="0"/>
        </w:sectPr>
      </w:pPr>
    </w:p>
    <w:bookmarkStart w:id="13" w:name="page14"/>
    <w:bookmarkEnd w:id="13"/>
    <w:p>
      <w:pPr>
        <w:jc w:val="both"/>
        <w:ind w:right="20" w:firstLine="57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Revolving Exposure</w:t>
      </w:r>
      <w:r>
        <w:rPr>
          <w:rFonts w:ascii="Arial" w:cs="Arial" w:eastAsia="Arial" w:hAnsi="Arial"/>
          <w:sz w:val="17"/>
          <w:szCs w:val="17"/>
          <w:color w:val="auto"/>
        </w:rPr>
        <w:t xml:space="preserve">” means, with respect to any Canadian Lender at any time, the sum of (a) the outstanding principal amount of Canadian Revolving Loans of such Canadian Lender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 amount equal to such Canadian Lender’s Applicable Percentage of the aggregate principal amount of the Canadian Swingline Loans outstanding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an amount equal to the such Canadian Lender’s Applicable Percentage of the aggregate Canadian LC Exposure outstanding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an amount equal to such Canadian Lender’s Applicable Percentage of the aggregate principal amount of the Canadian Overadvances outstanding at such time.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Revolving Loan</w:t>
      </w:r>
      <w:r>
        <w:rPr>
          <w:rFonts w:ascii="Arial" w:cs="Arial" w:eastAsia="Arial" w:hAnsi="Arial"/>
          <w:sz w:val="17"/>
          <w:szCs w:val="17"/>
          <w:color w:val="auto"/>
        </w:rPr>
        <w:t>” means a Revolving Loan made to the Canadian Borrowers.</w:t>
      </w:r>
    </w:p>
    <w:p>
      <w:pPr>
        <w:spacing w:after="0" w:line="19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Secured Obligations</w:t>
      </w:r>
      <w:r>
        <w:rPr>
          <w:rFonts w:ascii="Arial" w:cs="Arial" w:eastAsia="Arial" w:hAnsi="Arial"/>
          <w:sz w:val="17"/>
          <w:szCs w:val="17"/>
          <w:color w:val="auto"/>
        </w:rPr>
        <w:t xml:space="preserve">” means all Canadian Obligations, together with all (a) Banking Services Obligations of the Canadian Loan Parties; and (b) Swap Agreement Obligations of the Canadian Loan Parties owing to one or more Canadian Lenders or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promptly after any transaction relating to such Swap Obligation is executed, the Canadian Lender or Affiliate of a Canadian Lender party thereto (other than JPMorgan or its Affiliates) shall have delivered written notice to the Administrative Agent that such a transaction has been entered into and that it constitutes a Canadian Secured Obligation entitled to the benefits of the Collateral Documents in favor of the Canadian Lender Parties.</w:t>
      </w:r>
    </w:p>
    <w:p>
      <w:pPr>
        <w:spacing w:after="0" w:line="161"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Security Agreement</w:t>
      </w:r>
      <w:r>
        <w:rPr>
          <w:rFonts w:ascii="Arial" w:cs="Arial" w:eastAsia="Arial" w:hAnsi="Arial"/>
          <w:sz w:val="16"/>
          <w:szCs w:val="16"/>
          <w:color w:val="auto"/>
        </w:rPr>
        <w:t xml:space="preserve">” means, individually and collectively as the context may require, (a) the Second Amended and Restated Canadian Pledge and Security Agreement, dated as of the Second Restatement Date, of the Canadian Borrowers and the Canadian Loan Guarantors in favor of the Administrative Agent (for the benefit of the Canadian Lender Parties) in substantially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attached hereto, which Second Amended and Restated Canadian Pledge and Security Agreement amends and restates in its entirety the Amended and Restated Canadian Pledge and Security Agreement dated as of the First Restatement Date among the Administrative Agent and the Canadian Loan Parties party thereto, (b) the Second Amended and Restated Canadian Cross-Border Pledge and Security Agreement, dated as of the Second Restatement Date, of the Canadian Cross-Border Loan Guarantors in favor of the Administrative Agent (for the benefit of the Lender Parties) in substantially the form of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attached hereto, which Second Amended and Restated Canadian Cross-Border Pledge and Security Agreement amends and restates in its entirety the Amended and Restated Canadian Cross-Border Pledge and Security Agreement dated as of the First Restatement Date among the Administrative Agent and the Canadian Cross-Border Loan Guarantors party thereto and (c) any other pledge, security agreement or hypothec entered into, after the Second Restatement Date, by any Canadian Loan Party pursuant to the terms of this Agreement or any other Loan Document, including Section 5.13, as the same may be amended, restated or otherwise modified from time to time.</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Sublimit</w:t>
      </w:r>
      <w:r>
        <w:rPr>
          <w:rFonts w:ascii="Arial" w:cs="Arial" w:eastAsia="Arial" w:hAnsi="Arial"/>
          <w:sz w:val="16"/>
          <w:szCs w:val="16"/>
          <w:color w:val="auto"/>
        </w:rPr>
        <w:t>” means $400,000,000, as such amount may be decreased pursuant to Section 2.09(c) or increased pursuant to Section 2.09(g).</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Subsidiary</w:t>
      </w:r>
      <w:r>
        <w:rPr>
          <w:rFonts w:ascii="Arial" w:cs="Arial" w:eastAsia="Arial" w:hAnsi="Arial"/>
          <w:sz w:val="17"/>
          <w:szCs w:val="17"/>
          <w:color w:val="auto"/>
        </w:rPr>
        <w:t>” means any Subsidiary of Holdings organized under the laws of Canada or one of the provinces of Canada.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Swingline Lender</w:t>
      </w:r>
      <w:r>
        <w:rPr>
          <w:rFonts w:ascii="Arial" w:cs="Arial" w:eastAsia="Arial" w:hAnsi="Arial"/>
          <w:sz w:val="16"/>
          <w:szCs w:val="16"/>
          <w:color w:val="auto"/>
        </w:rPr>
        <w:t>” means JPMorgan Chase Bank, N.A., Toronto Branch, in its capacity as lender of Canadian Swingline Loans hereunder.</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Swingline Loan</w:t>
      </w:r>
      <w:r>
        <w:rPr>
          <w:rFonts w:ascii="Arial" w:cs="Arial" w:eastAsia="Arial" w:hAnsi="Arial"/>
          <w:sz w:val="17"/>
          <w:szCs w:val="17"/>
          <w:color w:val="auto"/>
        </w:rPr>
        <w:t>” means a Loan made by the Canadian Swingline Lender pursuant to Section 2.05(b).</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Union Plan</w:t>
      </w:r>
      <w:r>
        <w:rPr>
          <w:rFonts w:ascii="Arial" w:cs="Arial" w:eastAsia="Arial" w:hAnsi="Arial"/>
          <w:sz w:val="17"/>
          <w:szCs w:val="17"/>
          <w:color w:val="auto"/>
        </w:rPr>
        <w:t>” means any registered pension plan for the benefit of Canadian employees or former Canadian employees of a Loan Party or any of its Subsidiaries that is not maintained, sponsored or administered by a Loan Party or any of its Subsidiaries, but to which a Loan Party or any of its Subsidiaries is required to contribute pursuant to a collective agreement.</w:t>
      </w:r>
    </w:p>
    <w:p>
      <w:pPr>
        <w:spacing w:after="0" w:line="153"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U.S. Borrowing Base Utilization</w:t>
      </w:r>
      <w:r>
        <w:rPr>
          <w:rFonts w:ascii="Arial" w:cs="Arial" w:eastAsia="Arial" w:hAnsi="Arial"/>
          <w:sz w:val="17"/>
          <w:szCs w:val="17"/>
          <w:color w:val="auto"/>
        </w:rPr>
        <w:t xml:space="preserve">” means, as of any date of determination, the result (so long as it is a positive number) of (a) the total Canadian Revolving Exposure of the Canadian Lenders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Canadian Borrowing Base as of such date; if the result of the foregoing is a negative number, then the Canadian U.S. Borrowing Base Utilization is zero.</w:t>
      </w:r>
    </w:p>
    <w:p>
      <w:pPr>
        <w:spacing w:after="0" w:line="153"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without duplication, any expenditure for any purchase or other acquisition of any asset which would be classified as a fixed or capital asset on a consolidated balance sheet of Holdings and its Restricted Subsidiaries prepared in accordance with GAAP, but excluding in each case, any expenditure constituting the consideration paid (and transaction expenses incurred) in connection with any Permitted Acquisition.</w:t>
      </w:r>
    </w:p>
    <w:p>
      <w:pPr>
        <w:spacing w:after="0" w:line="136" w:lineRule="exact"/>
        <w:rPr>
          <w:sz w:val="20"/>
          <w:szCs w:val="20"/>
          <w:color w:val="auto"/>
        </w:rPr>
      </w:pPr>
    </w:p>
    <w:p>
      <w:pPr>
        <w:jc w:val="both"/>
        <w:ind w:firstLine="57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17"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Dominion Period</w:t>
      </w:r>
      <w:r>
        <w:rPr>
          <w:rFonts w:ascii="Arial" w:cs="Arial" w:eastAsia="Arial" w:hAnsi="Arial"/>
          <w:sz w:val="17"/>
          <w:szCs w:val="17"/>
          <w:color w:val="auto"/>
        </w:rPr>
        <w:t xml:space="preserve">” means the period (a) commencing on the day that either (i) a Specified Event of Default shall occur or (ii) Aggregate Availability shall fall below the Aggregate Availability Trigger Amount and (b) continuing until the date on which the Borrower Representative requests that the Cash Dominion Period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Representative may only request a cessation of a Cash Dominion Period if at all times during the thirty (30) consecutive days prior to such request, no Specified Event of Default has existed and Aggregate Availability has exceeded the Aggregate Availability Trigger Amount.</w:t>
      </w:r>
    </w:p>
    <w:p>
      <w:pPr>
        <w:spacing w:after="0" w:line="161"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xml:space="preserve">” means, for the relevant Interest Period, the Canadian deposit offered rate which, in turn means on any day the sum of (a) the annual rate of interest determined with reference to the arithmetic average of the discount rate quotations of all institutions listed in respect of the relevant Interest Period for Canadian Dollar-denominated bankers’ acceptances displayed and identified as such on the “Reuters Screen CDOR Page” as defined in the International Swap Dealer Association, Inc. definitions, as modified and amended from time to time, as of 10:00 a.m. Toronto local time on such day and, if such day is not a Business Day, then on the immediately preceding Business Day (as adjusted by the Canadian Administrative Agent after 10:00 a.m. Toronto local time to reflect any error in the posted rate of interest or in the posted average annual rate of interest) plus (b) one-tenth of one percent (0.10%)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rates are not available on the Reuters Screen CDOR Page on any particular day, then the Canadian deposit offered rate component of such rate on that day shall be calculated as the cost of funds quoted by the Canadian Administrative Agent to raise Canadian dollars for the applicable Interest Period as of 10:00 a.m. Toronto local time on such day for commercial loans or other extensions of credit to businesses of comparable credit risk; or if such day is not a Business Day, then as quoted by the Canadian Administrative Agent on the immediately preceding Business Day.</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 Loan</w:t>
      </w:r>
      <w:r>
        <w:rPr>
          <w:rFonts w:ascii="Arial" w:cs="Arial" w:eastAsia="Arial" w:hAnsi="Arial"/>
          <w:sz w:val="17"/>
          <w:szCs w:val="17"/>
          <w:color w:val="auto"/>
        </w:rPr>
        <w:t>” means a Loan denominated in Canadian Dollars the rate of interest applicable to which is based on the CDOR Rate.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 Subsidiary</w:t>
      </w:r>
      <w:r>
        <w:rPr>
          <w:rFonts w:ascii="Arial" w:cs="Arial" w:eastAsia="Arial" w:hAnsi="Arial"/>
          <w:sz w:val="17"/>
          <w:szCs w:val="17"/>
          <w:color w:val="auto"/>
        </w:rPr>
        <w:t>” shall mean any Subsidiary that constitutes a controlled foreign corporation within the meaning of Section 957 of the Code.</w:t>
      </w:r>
    </w:p>
    <w:p>
      <w:pPr>
        <w:spacing w:after="0" w:line="198"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CFC Subsidiary Holding Company</w:t>
      </w:r>
      <w:r>
        <w:rPr>
          <w:rFonts w:ascii="Arial" w:cs="Arial" w:eastAsia="Arial" w:hAnsi="Arial"/>
          <w:sz w:val="16"/>
          <w:szCs w:val="16"/>
          <w:color w:val="auto"/>
        </w:rPr>
        <w:t>” shall mean any Subsidiary (a) that is engaged in no material business activities other than the holding of Equity Interests and other investments in one or more CFC Subsidiaries or other CFC Subsidiary Holding Companies or (b) that owns Equity Interests or other investments in one or more CFC Subsidiaries or other CFC Subsidiary Holding Companies and is disregarded for U.S. federal income tax purposes.</w:t>
      </w:r>
    </w:p>
    <w:p>
      <w:pPr>
        <w:spacing w:after="0" w:line="136"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(whether by stock purchase, merger, amalgamation, consolidation or other transaction) of ownership, directly or indirectly, beneficially or of record, by any Person or group (within the meaning of the Securities Exchange Act of 1934 and the rules of the Securities and Exchange Commission thereunder as in effect on the Second Restatement Date hereof), of Equity Interests representing more than 35% of the aggregate ordinary voting power represented by the issued and outstanding Equity Interests of Holdings; (b) other than pursuant to a transaction permitted under Section 6.05, cessation of ownership (directly or indirectly) by Holdings of 100% of the outstanding voting Equity Interests of the other Loan Parties on a fully diluted basis; (c) the occurrence of any “Change of Control” as defined in the Term Loan Agreement; and (d) the occurrence of any “Fundamental Change” as defined in the 2029 Convertible Debentures Indenture.</w:t>
      </w:r>
    </w:p>
    <w:p>
      <w:pPr>
        <w:sectPr>
          <w:pgSz w:w="11900" w:h="16838" w:orient="portrait"/>
          <w:cols w:equalWidth="0" w:num="1">
            <w:col w:w="11440"/>
          </w:cols>
          <w:pgMar w:left="240" w:top="124" w:right="219" w:bottom="0" w:gutter="0" w:footer="0" w:header="0"/>
        </w:sectPr>
      </w:pPr>
    </w:p>
    <w:bookmarkStart w:id="14" w:name="page15"/>
    <w:bookmarkEnd w:id="14"/>
    <w:p>
      <w:pPr>
        <w:jc w:val="both"/>
        <w:ind w:left="5" w:firstLine="572"/>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rule, regulation or treaty (including any rules or regulations issued under or implementing any existing law) after the date of this Agreement, (b) any change in any law, rule, regulation or treaty or in the interpretation or application thereof by any Governmental Authority after the date of this Agreement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1"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when used in reference to any Loan or Borrowing, refers to whether such Loan, or the Loans comprising such Borrowing, are Revolving Loans, Swingline Loans, Protective Advances or Overadvances.</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w:t>
      </w:r>
    </w:p>
    <w:p>
      <w:pPr>
        <w:spacing w:after="0" w:line="198" w:lineRule="exact"/>
        <w:rPr>
          <w:sz w:val="20"/>
          <w:szCs w:val="20"/>
          <w:color w:val="auto"/>
        </w:rPr>
      </w:pPr>
    </w:p>
    <w:p>
      <w:pPr>
        <w:jc w:val="both"/>
        <w:ind w:left="5" w:firstLine="572"/>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means any and all personal/movable property owned, leased or operated by a Person expressly described as Collateral in the Collateral Documents and any and all other personal/movable property of any Loan Party, now existing or hereafter acquired, that becomes subject, under the terms of the Collateral Documents, to a security interest, hypothec or Lien in favor of the Administrative Agent, on behalf of the Lender Parties (to secure the Secured Obligations) and the Canadian Lender Parties (to secure the Canadian Secured Obligations), as the case may be. For clarification, Collateral does not include (a) interests in real property, Accounts sold under Receivables Securitization Agreements or Equity Interests in Excluded Subsidiaries or Unrestricted Subsidiaries, or</w:t>
      </w:r>
    </w:p>
    <w:p>
      <w:pPr>
        <w:spacing w:after="0" w:line="3" w:lineRule="exact"/>
        <w:rPr>
          <w:sz w:val="20"/>
          <w:szCs w:val="20"/>
          <w:color w:val="auto"/>
        </w:rPr>
      </w:pPr>
    </w:p>
    <w:p>
      <w:pPr>
        <w:ind w:left="5" w:hanging="5"/>
        <w:spacing w:after="0" w:line="295"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respect to any U.S. Secured Obligation, (i) the assets of any CFC Subsidiary or (ii) more than 65% of the issued and outstanding Equity Interests of any CFC Subsidiary or CFC Subsidiary Holding Company entitled to vote (within the meaning of United States Treasury Regulations Section 1.956-2(c)(2)).</w:t>
      </w:r>
    </w:p>
    <w:p>
      <w:pPr>
        <w:spacing w:after="0" w:line="129"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has the meaning assigned to such term in the U.S. Security Agreement.</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individually and collectively as the context may require, the Canadian Security Agreement, the Canadian Hypothec, the U.S. Security Agreement, each Collateral Access Agreement, each Control Agreement, each Lock Box Agreement (as defined in the U.S. Security Agreement), if any, each additional security and pledge agreement of a Loan Party entered into pursuant to the terms of this Agreement (including Section 5.13 hereof) or any other Loan Document and each other document granting a Lien upon the Collateral as security for payment of the Secured Obligations.</w:t>
      </w:r>
    </w:p>
    <w:p>
      <w:pPr>
        <w:spacing w:after="0" w:line="142"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Combined Availability</w:t>
      </w:r>
      <w:r>
        <w:rPr>
          <w:rFonts w:ascii="Arial" w:cs="Arial" w:eastAsia="Arial" w:hAnsi="Arial"/>
          <w:sz w:val="17"/>
          <w:szCs w:val="17"/>
          <w:color w:val="auto"/>
        </w:rPr>
        <w:t>” means, at any time, the sum of (a) Aggregate Availability and (b) Securitization Availability.</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Combined Availability Trigger Amoun</w:t>
      </w:r>
      <w:r>
        <w:rPr>
          <w:rFonts w:ascii="Arial" w:cs="Arial" w:eastAsia="Arial" w:hAnsi="Arial"/>
          <w:sz w:val="17"/>
          <w:szCs w:val="17"/>
          <w:color w:val="auto"/>
        </w:rPr>
        <w:t>t” means, at any time, the sum of (a) $172,500,000 and (b) 15% of the amount (so long as it is a positive number) by which (i) the Combined Commitments at such time exceed (ii) $1,150,000,000.</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Combined Commitments</w:t>
      </w:r>
      <w:r>
        <w:rPr>
          <w:rFonts w:ascii="Arial" w:cs="Arial" w:eastAsia="Arial" w:hAnsi="Arial"/>
          <w:sz w:val="17"/>
          <w:szCs w:val="17"/>
          <w:color w:val="auto"/>
        </w:rPr>
        <w:t>” means, at any time, the sum of (a) the Aggregate Revolving Commitments and (b) the Securitization Purchase Limit.</w:t>
      </w:r>
    </w:p>
    <w:p>
      <w:pPr>
        <w:spacing w:after="0" w:line="198" w:lineRule="exact"/>
        <w:rPr>
          <w:sz w:val="20"/>
          <w:szCs w:val="20"/>
          <w:color w:val="auto"/>
        </w:rPr>
      </w:pPr>
    </w:p>
    <w:p>
      <w:pPr>
        <w:jc w:val="both"/>
        <w:ind w:left="5"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LC Exposure</w:t>
      </w:r>
      <w:r>
        <w:rPr>
          <w:rFonts w:ascii="Arial" w:cs="Arial" w:eastAsia="Arial" w:hAnsi="Arial"/>
          <w:sz w:val="17"/>
          <w:szCs w:val="17"/>
          <w:color w:val="auto"/>
        </w:rPr>
        <w:t>” means, at any time, the sum of (a) the aggregate undrawn amount of all outstanding commercial Letters of Credit at such time plus (b) the aggregate amount of all LC Disbursements relating to commercial Letters of Credit that have not yet been reimbursed by or on behalf of the Borrowers at such time. The Commercial LC Exposure of any Revolving Lender at any time shall be its Applicable Percentage of the total Commercial LC Exposure at such time.</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09"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has the meaning assigned to such term in Section 9.01(d).</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means Other Connection Taxes that are imposed on or measured by net income (however denominated) or that are franchise Taxes or branch profits Taxes.</w:t>
      </w:r>
    </w:p>
    <w:p>
      <w:pPr>
        <w:spacing w:after="0" w:line="140" w:lineRule="exact"/>
        <w:rPr>
          <w:sz w:val="20"/>
          <w:szCs w:val="20"/>
          <w:color w:val="auto"/>
        </w:rPr>
      </w:pPr>
    </w:p>
    <w:p>
      <w:pPr>
        <w:jc w:val="both"/>
        <w:ind w:left="5"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has the meaning assigned to such term in the U.S. Security Agreement or the Canadian Security Agreement, as applicable.</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Exposure</w:t>
      </w:r>
      <w:r>
        <w:rPr>
          <w:rFonts w:ascii="Arial" w:cs="Arial" w:eastAsia="Arial" w:hAnsi="Arial"/>
          <w:sz w:val="17"/>
          <w:szCs w:val="17"/>
          <w:color w:val="auto"/>
        </w:rPr>
        <w:t>” means, as to any Lender at any time, the sum of (a) such Lender’s Revolving Exposure at such time, plus (b) an amount equal to its Applicable Percentage, if any, of the aggregate principal amount of Protective Advances outstanding at such time.</w:t>
      </w:r>
    </w:p>
    <w:p>
      <w:pPr>
        <w:spacing w:after="0" w:line="140"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which constitutes an Event of Default or which upon notice, lapse of time or both would, unless cured or waived, become an Event of Default.</w:t>
      </w:r>
    </w:p>
    <w:p>
      <w:pPr>
        <w:spacing w:after="0" w:line="140" w:lineRule="exact"/>
        <w:rPr>
          <w:sz w:val="20"/>
          <w:szCs w:val="20"/>
          <w:color w:val="auto"/>
        </w:rPr>
      </w:pPr>
    </w:p>
    <w:p>
      <w:pPr>
        <w:jc w:val="both"/>
        <w:ind w:left="5" w:firstLine="572"/>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Lender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Lender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 generally under other agreements in which it commits to extend credit; (c) has failed, within three Business Days after request by a Lender Party, acting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Lender Party’s receipt of such certification in form and substance reasonably satisfactory to it and the Administrative Agent; or (d) has become the subject of a Bankruptcy Event.</w:t>
      </w:r>
    </w:p>
    <w:p>
      <w:pPr>
        <w:spacing w:after="0" w:line="16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w:t>
      </w:r>
      <w:r>
        <w:rPr>
          <w:rFonts w:ascii="Arial" w:cs="Arial" w:eastAsia="Arial" w:hAnsi="Arial"/>
          <w:sz w:val="17"/>
          <w:szCs w:val="17"/>
          <w:color w:val="auto"/>
        </w:rPr>
        <w:t>” has the meaning set forth in Article 9 of the UCC.</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Immaterial Subsidiary</w:t>
      </w:r>
      <w:r>
        <w:rPr>
          <w:rFonts w:ascii="Arial" w:cs="Arial" w:eastAsia="Arial" w:hAnsi="Arial"/>
          <w:sz w:val="17"/>
          <w:szCs w:val="17"/>
          <w:color w:val="auto"/>
        </w:rPr>
        <w:t>” has the meaning assigned to such term in Section 5.13(g).</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Immaterial Subsidiary Notice</w:t>
      </w:r>
      <w:r>
        <w:rPr>
          <w:rFonts w:ascii="Arial" w:cs="Arial" w:eastAsia="Arial" w:hAnsi="Arial"/>
          <w:sz w:val="17"/>
          <w:szCs w:val="17"/>
          <w:color w:val="auto"/>
        </w:rPr>
        <w:t>” has the meaning assigned to such term in Section 5.13(g).</w:t>
      </w:r>
    </w:p>
    <w:p>
      <w:pPr>
        <w:spacing w:after="0" w:line="198"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Factors</w:t>
      </w:r>
      <w:r>
        <w:rPr>
          <w:rFonts w:ascii="Arial" w:cs="Arial" w:eastAsia="Arial" w:hAnsi="Arial"/>
          <w:sz w:val="17"/>
          <w:szCs w:val="17"/>
          <w:color w:val="auto"/>
        </w:rPr>
        <w:t>” shall mean, without duplication, with respect to any period, the aggregate amount of all deductions, credit memos, returns, adjustments, allowances, bad debt write-offs and other non-cash credits which are recorded to reduce accounts receivable in a manner consistent with current and historical accounting practices of the Borrowers.</w:t>
      </w:r>
    </w:p>
    <w:p>
      <w:pPr>
        <w:sectPr>
          <w:pgSz w:w="11900" w:h="16838" w:orient="portrait"/>
          <w:cols w:equalWidth="0" w:num="1">
            <w:col w:w="11445"/>
          </w:cols>
          <w:pgMar w:left="235" w:top="149" w:right="219" w:bottom="0" w:gutter="0" w:footer="0" w:header="0"/>
        </w:sectPr>
      </w:pPr>
    </w:p>
    <w:bookmarkStart w:id="15" w:name="page16"/>
    <w:bookmarkEnd w:id="15"/>
    <w:p>
      <w:pPr>
        <w:jc w:val="both"/>
        <w:ind w:left="5" w:right="20" w:firstLine="5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Ratio</w:t>
      </w:r>
      <w:r>
        <w:rPr>
          <w:rFonts w:ascii="Arial" w:cs="Arial" w:eastAsia="Arial" w:hAnsi="Arial"/>
          <w:sz w:val="17"/>
          <w:szCs w:val="17"/>
          <w:color w:val="auto"/>
        </w:rPr>
        <w:t>” shall mean, at any date, the amount (expressed as a percentage) equal to (a) the aggregate amount of the applicable Dilution Factors for the three (3) most recently ended fiscal months divided by (b) total gross sales for the three (3) most recently ended fiscal months.</w:t>
      </w:r>
    </w:p>
    <w:p>
      <w:pPr>
        <w:spacing w:after="0" w:line="13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Reserve</w:t>
      </w:r>
      <w:r>
        <w:rPr>
          <w:rFonts w:ascii="Arial" w:cs="Arial" w:eastAsia="Arial" w:hAnsi="Arial"/>
          <w:sz w:val="17"/>
          <w:szCs w:val="17"/>
          <w:color w:val="auto"/>
        </w:rPr>
        <w:t>” shall mean, at any date, the applicable Dilution Ratio multiplied by the Eligible Accounts.</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Disclosed Matters</w:t>
      </w:r>
      <w:r>
        <w:rPr>
          <w:rFonts w:ascii="Arial" w:cs="Arial" w:eastAsia="Arial" w:hAnsi="Arial"/>
          <w:sz w:val="17"/>
          <w:szCs w:val="17"/>
          <w:color w:val="auto"/>
        </w:rPr>
        <w:t xml:space="preserve">” means the actions, suits and proceedings and the environmental matters disclosed in </w:t>
      </w:r>
      <w:r>
        <w:rPr>
          <w:rFonts w:ascii="Arial" w:cs="Arial" w:eastAsia="Arial" w:hAnsi="Arial"/>
          <w:sz w:val="17"/>
          <w:szCs w:val="17"/>
          <w:u w:val="single" w:color="auto"/>
          <w:color w:val="auto"/>
        </w:rPr>
        <w:t>Schedule 3.06</w:t>
      </w:r>
      <w:r>
        <w:rPr>
          <w:rFonts w:ascii="Arial" w:cs="Arial" w:eastAsia="Arial" w:hAnsi="Arial"/>
          <w:sz w:val="17"/>
          <w:szCs w:val="17"/>
          <w:color w:val="auto"/>
        </w:rPr>
        <w:t>.</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w:t>
      </w:r>
      <w:r>
        <w:rPr>
          <w:rFonts w:ascii="Arial" w:cs="Arial" w:eastAsia="Arial" w:hAnsi="Arial"/>
          <w:sz w:val="17"/>
          <w:szCs w:val="17"/>
          <w:color w:val="auto"/>
        </w:rPr>
        <w:t>” has the meaning assigned to such term in the U.S. Security Agreement.</w:t>
      </w:r>
    </w:p>
    <w:p>
      <w:pPr>
        <w:spacing w:after="0" w:line="198" w:lineRule="exact"/>
        <w:rPr>
          <w:sz w:val="20"/>
          <w:szCs w:val="20"/>
          <w:color w:val="auto"/>
        </w:rPr>
      </w:pPr>
    </w:p>
    <w:p>
      <w:pPr>
        <w:jc w:val="both"/>
        <w:ind w:left="5"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Amount</w:t>
      </w:r>
      <w:r>
        <w:rPr>
          <w:rFonts w:ascii="Arial" w:cs="Arial" w:eastAsia="Arial" w:hAnsi="Arial"/>
          <w:sz w:val="17"/>
          <w:szCs w:val="17"/>
          <w:color w:val="auto"/>
        </w:rPr>
        <w:t>” means (a) with regard to any Obligation or calculation denominated in U.S. Dollars, the amount thereof, and (b) with regard to any Obligation or calculation denominated in any other currency, the amount of U.S. Dollars which is equivalent to the amount so expressed in such currency at the Spot Rate on the relevant date of determination.</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refers to lawful money of the United States of America.</w:t>
      </w:r>
    </w:p>
    <w:p>
      <w:pPr>
        <w:spacing w:after="0" w:line="198"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each subsidiary of such Person that is organized under the laws of the United States, any State of the United States or the District of Columbia other than any such subsidiary that is also a direct or indirect subsidiary of a CFC Subsidiary or of a CFC Subsidiary Holding Company.</w:t>
      </w:r>
    </w:p>
    <w:p>
      <w:pPr>
        <w:spacing w:after="0" w:line="153" w:lineRule="exact"/>
        <w:rPr>
          <w:sz w:val="20"/>
          <w:szCs w:val="20"/>
          <w:color w:val="auto"/>
        </w:rPr>
      </w:pPr>
    </w:p>
    <w:p>
      <w:pPr>
        <w:jc w:val="both"/>
        <w:ind w:left="5"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Dutch Loan Guarantors</w:t>
      </w:r>
      <w:r>
        <w:rPr>
          <w:rFonts w:ascii="Arial" w:cs="Arial" w:eastAsia="Arial" w:hAnsi="Arial"/>
          <w:sz w:val="17"/>
          <w:szCs w:val="17"/>
          <w:color w:val="auto"/>
        </w:rPr>
        <w:t>” means, individually or collectively as the context may require, (a) WDINESCO III B.V., (b) WDINESCO III C.V., (c) WDINESCO II C.V., (d) WDINESCO C.V., and (e) any Dutch Subsidiary that becomes a party to a Canadian Guarantee after the Second Restatement Date and guarantees the payment of the Canadian Obligations (but not the U.S. Obligations) pursuant to Section 5.13.</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Dutch Subsidiary</w:t>
      </w:r>
      <w:r>
        <w:rPr>
          <w:rFonts w:ascii="Arial" w:cs="Arial" w:eastAsia="Arial" w:hAnsi="Arial"/>
          <w:sz w:val="17"/>
          <w:szCs w:val="17"/>
          <w:color w:val="auto"/>
        </w:rPr>
        <w:t>” means any Subsidiary of Holdings organized under the laws of the Netherlands.</w:t>
      </w:r>
    </w:p>
    <w:p>
      <w:pPr>
        <w:spacing w:after="0" w:line="198" w:lineRule="exact"/>
        <w:rPr>
          <w:sz w:val="20"/>
          <w:szCs w:val="20"/>
          <w:color w:val="auto"/>
        </w:rPr>
      </w:pPr>
    </w:p>
    <w:p>
      <w:pPr>
        <w:jc w:val="both"/>
        <w:ind w:left="5" w:firstLine="572"/>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EBITDA</w:t>
      </w:r>
      <w:r>
        <w:rPr>
          <w:rFonts w:ascii="Arial" w:cs="Arial" w:eastAsia="Arial" w:hAnsi="Arial"/>
          <w:sz w:val="15"/>
          <w:szCs w:val="15"/>
          <w:color w:val="auto"/>
        </w:rPr>
        <w:t xml:space="preserve">” means, for any period, Net Income for such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without duplication and to the extent deducted in determining Net Income for such period, the sum of (i) Interest Expense for such period, (ii) income tax expense for such period, (iii) all amounts attributable to depreciation and amortization expense for such period, (iv) amortized debt discount, (v) any non-cash losses or non-cash charges for such period that relate to the write-down or write-off of inventory to the extent such non-cash charges or non-cash losses do not exceed $10,000,000 in the aggregate during such period, and (vi) any other non-cash losses or non-cash charges for such period (but excluding any non-cash charge in respect of an item that was included in Net Income in a prior period) and,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without duplication and to the extent included in Net Income, (i) income tax credits and refunds, (ii) interest income, (iii) any cash payments made during such period in respect of non-cash charges described in clause (a)(v) taken in a prior period, (iv) any non-cash gains and non-cash items of income for such period that relate to any write-up of inventory to the extent such non-cash gains and non-cash income does not exceed $10,000,000 in the aggregate during such period, and</w:t>
      </w:r>
    </w:p>
    <w:p>
      <w:pPr>
        <w:spacing w:after="0" w:line="1" w:lineRule="exact"/>
        <w:rPr>
          <w:sz w:val="20"/>
          <w:szCs w:val="20"/>
          <w:color w:val="auto"/>
        </w:rPr>
      </w:pPr>
    </w:p>
    <w:p>
      <w:pPr>
        <w:jc w:val="both"/>
        <w:ind w:left="5" w:hanging="5"/>
        <w:spacing w:after="0" w:line="271" w:lineRule="auto"/>
        <w:tabs>
          <w:tab w:leader="none" w:pos="26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any other non-cash gains and non-cash items of income for such period, all calculated for Holdings and its Restricted Subsidiaries on a consolidated basis in accordance with GAAP. If during any period for which EBITDA is being determined, Holdings or any Restricted Subsidiary shall have consummated any Acquisition, then for all purposes of this Agreement, in the case of any Acquisition, EBITDA shall be determined on a pro forma basis as if such Acquisition had been consummated on the first day of such period, taking into account such adjustments as are consistent with the standards set forth in Rule 11-02(b)(6) of Regulation S-X;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 forma adjustments are acceptable to the Administrative Agent in its Permitted Discretion.</w:t>
      </w:r>
    </w:p>
    <w:p>
      <w:pPr>
        <w:spacing w:after="0" w:line="151"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ECP</w:t>
      </w:r>
      <w:r>
        <w:rPr>
          <w:rFonts w:ascii="Arial" w:cs="Arial" w:eastAsia="Arial" w:hAnsi="Arial"/>
          <w:sz w:val="17"/>
          <w:szCs w:val="17"/>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40"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means an electronic sound, symbol, or process attached to, or associated with, a contract or other record and adopted by a Person with the intent to sign, authenticate or accept such contract or record.</w:t>
      </w:r>
    </w:p>
    <w:p>
      <w:pPr>
        <w:spacing w:after="0" w:line="116" w:lineRule="exact"/>
        <w:rPr>
          <w:sz w:val="20"/>
          <w:szCs w:val="20"/>
          <w:color w:val="auto"/>
        </w:rPr>
      </w:pPr>
    </w:p>
    <w:p>
      <w:pPr>
        <w:jc w:val="both"/>
        <w:ind w:left="5" w:firstLine="572"/>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w:t>
      </w:r>
      <w:r>
        <w:rPr>
          <w:rFonts w:ascii="Arial" w:cs="Arial" w:eastAsia="Arial" w:hAnsi="Arial"/>
          <w:sz w:val="22"/>
          <w:szCs w:val="22"/>
          <w:color w:val="auto"/>
          <w:vertAlign w:val="superscript"/>
        </w:rPr>
        <w:t>®</w:t>
      </w:r>
      <w:r>
        <w:rPr>
          <w:rFonts w:ascii="Arial" w:cs="Arial" w:eastAsia="Arial" w:hAnsi="Arial"/>
          <w:sz w:val="17"/>
          <w:szCs w:val="17"/>
          <w:color w:val="auto"/>
        </w:rPr>
        <w:t>,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73"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Accounts</w:t>
      </w:r>
      <w:r>
        <w:rPr>
          <w:rFonts w:ascii="Arial" w:cs="Arial" w:eastAsia="Arial" w:hAnsi="Arial"/>
          <w:sz w:val="17"/>
          <w:szCs w:val="17"/>
          <w:color w:val="auto"/>
        </w:rPr>
        <w:t xml:space="preserve">” means, at any time, all Accounts originated by any Loan Party that is an operating entity and that performs services or sells goods to customers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Eligible Accounts shall not include any Account:</w:t>
      </w:r>
    </w:p>
    <w:p>
      <w:pPr>
        <w:spacing w:after="0" w:line="140" w:lineRule="exact"/>
        <w:rPr>
          <w:sz w:val="20"/>
          <w:szCs w:val="20"/>
          <w:color w:val="auto"/>
        </w:rPr>
      </w:pPr>
    </w:p>
    <w:p>
      <w:pPr>
        <w:jc w:val="both"/>
        <w:ind w:left="565" w:firstLine="579"/>
        <w:spacing w:after="0" w:line="264" w:lineRule="auto"/>
        <w:tabs>
          <w:tab w:leader="none" w:pos="1513"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which is not subject to a first priority perfected Lien in favor of the Administrative Agent (for the benefit of the Lender Parties to secure the Secured Obligations, or for the benefit of the Canadian Lender Parties to secure the Canadian Secured Obligations,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Accounts comprising Eligible Securitization Receivables shall not be subject to a Lien in favor of the Administrative Agent;</w:t>
      </w:r>
    </w:p>
    <w:p>
      <w:pPr>
        <w:spacing w:after="0" w:line="153" w:lineRule="exact"/>
        <w:rPr>
          <w:rFonts w:ascii="Arial" w:cs="Arial" w:eastAsia="Arial" w:hAnsi="Arial"/>
          <w:sz w:val="17"/>
          <w:szCs w:val="17"/>
          <w:color w:val="auto"/>
        </w:rPr>
      </w:pPr>
    </w:p>
    <w:p>
      <w:pPr>
        <w:jc w:val="both"/>
        <w:ind w:left="565" w:firstLine="579"/>
        <w:spacing w:after="0" w:line="256" w:lineRule="auto"/>
        <w:tabs>
          <w:tab w:leader="none" w:pos="1546"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Accounts comprising Eligible Securitization Receivables shall be subject to Liens in favor of the financial institutions which are purchasers (i.e. lenders) under the Receivables Securitization Agreements;</w:t>
      </w:r>
    </w:p>
    <w:p>
      <w:pPr>
        <w:spacing w:after="0" w:line="160" w:lineRule="exact"/>
        <w:rPr>
          <w:rFonts w:ascii="Arial" w:cs="Arial" w:eastAsia="Arial" w:hAnsi="Arial"/>
          <w:sz w:val="17"/>
          <w:szCs w:val="17"/>
          <w:color w:val="auto"/>
        </w:rPr>
      </w:pPr>
    </w:p>
    <w:p>
      <w:pPr>
        <w:jc w:val="both"/>
        <w:ind w:left="565" w:firstLine="579"/>
        <w:spacing w:after="0" w:line="264" w:lineRule="auto"/>
        <w:tabs>
          <w:tab w:leader="none" w:pos="152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case of any Account originated by a U.S. Loan Party, (i) with respect to which the scheduled due date is more than 90 days after the original invoice date, (ii) which is unpaid more than 120 days after the date of the original invoice therefor or more than 90 days after the original due date, or (iii) which has been written off the books of the applicable U.S. Loan Party or otherwise designated as uncollectible;</w:t>
      </w:r>
    </w:p>
    <w:p>
      <w:pPr>
        <w:spacing w:after="0" w:line="153" w:lineRule="exact"/>
        <w:rPr>
          <w:rFonts w:ascii="Arial" w:cs="Arial" w:eastAsia="Arial" w:hAnsi="Arial"/>
          <w:sz w:val="17"/>
          <w:szCs w:val="17"/>
          <w:color w:val="auto"/>
        </w:rPr>
      </w:pPr>
    </w:p>
    <w:p>
      <w:pPr>
        <w:jc w:val="both"/>
        <w:ind w:left="565" w:firstLine="579"/>
        <w:spacing w:after="0" w:line="271" w:lineRule="auto"/>
        <w:tabs>
          <w:tab w:leader="none" w:pos="152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the case of any Account originated by a Canadian Loan Party, (i) with respect to which the scheduled due date is more than 60 days after the original invoice date, (ii) which is unpaid more than 90 days after the date of the original invoice therefor or more than 60 days after the original due date, or (iii) which has been written off the books of the applicable Canadian Loan Party or otherwise designated as uncollectible,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Accounts of the Canadian Loan Parties in an aggregate amount not exceeding 7.5% of the aggregate amount of all Eligible Accounts (as determined without giving effect to this proviso) of the Canadian Loan Parties shall not be deemed ineligible by reason of this clause (d) so long as (A) the scheduled due date thereof is more than 60 but less than 91 days after the original invoice date, (B) such Accounts remain unpaid for more than 90 but less than 121 days after the date of the original invoice therefor or more than 60 but less than 91 days after the original due date, and (C) such Accounts have not been written off the books of the applicable Canadian Loan Party or otherwise designated as uncollectible;</w:t>
      </w:r>
    </w:p>
    <w:p>
      <w:pPr>
        <w:spacing w:after="0" w:line="148" w:lineRule="exact"/>
        <w:rPr>
          <w:rFonts w:ascii="Arial" w:cs="Arial" w:eastAsia="Arial" w:hAnsi="Arial"/>
          <w:sz w:val="16"/>
          <w:szCs w:val="16"/>
          <w:color w:val="auto"/>
        </w:rPr>
      </w:pPr>
    </w:p>
    <w:p>
      <w:pPr>
        <w:ind w:left="565" w:firstLine="579"/>
        <w:spacing w:after="0" w:line="280" w:lineRule="auto"/>
        <w:tabs>
          <w:tab w:leader="none" w:pos="1549"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which is owing by an Account Debtor for which more than 50% of the Accounts owing from such Account Debtor and its Affiliates are ineligible hereunder;</w:t>
      </w:r>
    </w:p>
    <w:p>
      <w:pPr>
        <w:spacing w:after="0" w:line="139" w:lineRule="exact"/>
        <w:rPr>
          <w:rFonts w:ascii="Arial" w:cs="Arial" w:eastAsia="Arial" w:hAnsi="Arial"/>
          <w:sz w:val="17"/>
          <w:szCs w:val="17"/>
          <w:color w:val="auto"/>
        </w:rPr>
      </w:pPr>
    </w:p>
    <w:p>
      <w:pPr>
        <w:jc w:val="both"/>
        <w:ind w:left="565" w:right="20" w:firstLine="579"/>
        <w:spacing w:after="0" w:line="264" w:lineRule="auto"/>
        <w:tabs>
          <w:tab w:leader="none" w:pos="1493"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which is owing by an Account Debtor to the extent the aggregate amount of Accounts owing from such Account Debtor and its Affiliates to any Loan Party or to WESCO Receivables exceeds 20% of the aggregate amount of Eligible Accounts (for clarification, only the amount of Accounts in excess of such percentage shall be deemed ineligible under this clause (f));</w:t>
      </w:r>
    </w:p>
    <w:p>
      <w:pPr>
        <w:sectPr>
          <w:pgSz w:w="11900" w:h="16838" w:orient="portrait"/>
          <w:cols w:equalWidth="0" w:num="1">
            <w:col w:w="11445"/>
          </w:cols>
          <w:pgMar w:left="235" w:top="124" w:right="219" w:bottom="0" w:gutter="0" w:footer="0" w:header="0"/>
        </w:sectPr>
      </w:pPr>
    </w:p>
    <w:bookmarkStart w:id="16" w:name="page17"/>
    <w:bookmarkEnd w:id="16"/>
    <w:p>
      <w:pPr>
        <w:ind w:left="560" w:firstLine="579"/>
        <w:spacing w:after="0" w:line="282" w:lineRule="auto"/>
        <w:tabs>
          <w:tab w:leader="none" w:pos="1494" w:val="left"/>
        </w:tabs>
        <w:numPr>
          <w:ilvl w:val="1"/>
          <w:numId w:val="7"/>
        </w:numPr>
        <w:rPr>
          <w:rFonts w:ascii="Arial" w:cs="Arial" w:eastAsia="Arial" w:hAnsi="Arial"/>
          <w:sz w:val="17"/>
          <w:szCs w:val="17"/>
          <w:color w:val="auto"/>
        </w:rPr>
      </w:pPr>
      <w:r>
        <w:rPr>
          <w:rFonts w:ascii="Arial" w:cs="Arial" w:eastAsia="Arial" w:hAnsi="Arial"/>
          <w:sz w:val="17"/>
          <w:szCs w:val="17"/>
          <w:color w:val="auto"/>
        </w:rPr>
        <w:t>with respect to which any covenant, representation, or warranty contained in this Agreement, the U.S. Security Agreement, or in the Canadian Security Agreement, as applicable, has been breached and not cured or is not true;</w:t>
      </w:r>
    </w:p>
    <w:p>
      <w:pPr>
        <w:spacing w:after="0" w:line="137" w:lineRule="exact"/>
        <w:rPr>
          <w:rFonts w:ascii="Arial" w:cs="Arial" w:eastAsia="Arial" w:hAnsi="Arial"/>
          <w:sz w:val="17"/>
          <w:szCs w:val="17"/>
          <w:color w:val="auto"/>
        </w:rPr>
      </w:pPr>
    </w:p>
    <w:p>
      <w:pPr>
        <w:jc w:val="both"/>
        <w:ind w:left="560" w:right="20" w:firstLine="579"/>
        <w:spacing w:after="0" w:line="273" w:lineRule="auto"/>
        <w:tabs>
          <w:tab w:leader="none" w:pos="1554" w:val="left"/>
        </w:tabs>
        <w:numPr>
          <w:ilvl w:val="1"/>
          <w:numId w:val="7"/>
        </w:numPr>
        <w:rPr>
          <w:rFonts w:ascii="Arial" w:cs="Arial" w:eastAsia="Arial" w:hAnsi="Arial"/>
          <w:sz w:val="16"/>
          <w:szCs w:val="16"/>
          <w:color w:val="auto"/>
        </w:rPr>
      </w:pPr>
      <w:r>
        <w:rPr>
          <w:rFonts w:ascii="Arial" w:cs="Arial" w:eastAsia="Arial" w:hAnsi="Arial"/>
          <w:sz w:val="16"/>
          <w:szCs w:val="16"/>
          <w:color w:val="auto"/>
        </w:rPr>
        <w:t>which (i) does not arise from the sale of goods or performance of services in the ordinary course of business, (ii) is not evidenced by an invoice or other documentation satisfactory to the Administrative Agent in its Permitted Discretion which has been sent to the Account Debtor,</w:t>
      </w:r>
    </w:p>
    <w:p>
      <w:pPr>
        <w:jc w:val="both"/>
        <w:ind w:left="560" w:right="20" w:firstLine="7"/>
        <w:spacing w:after="0" w:line="253" w:lineRule="auto"/>
        <w:tabs>
          <w:tab w:leader="none" w:pos="86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 progress billing (which term, for greater certainty, shall not include sales in connection with an ongoing project where each sale represents a separate billable sale), (iv) is contingent upon any Loan Party’s completion of any further performance, (v) represents a sale on a bill-and-hold, guaranteed sale, sale-and-return, sale on approval, consignment, cash-on-delivery or any other repurchase or return basis or (vi) relates to payments of interest;</w:t>
      </w:r>
    </w:p>
    <w:p>
      <w:pPr>
        <w:spacing w:after="0" w:line="162" w:lineRule="exact"/>
        <w:rPr>
          <w:rFonts w:ascii="Arial" w:cs="Arial" w:eastAsia="Arial" w:hAnsi="Arial"/>
          <w:sz w:val="17"/>
          <w:szCs w:val="17"/>
          <w:color w:val="auto"/>
        </w:rPr>
      </w:pPr>
    </w:p>
    <w:p>
      <w:pPr>
        <w:ind w:left="560" w:right="20" w:firstLine="579"/>
        <w:spacing w:after="0" w:line="350" w:lineRule="auto"/>
        <w:tabs>
          <w:tab w:leader="none" w:pos="1467" w:val="left"/>
        </w:tabs>
        <w:numPr>
          <w:ilvl w:val="1"/>
          <w:numId w:val="8"/>
        </w:numPr>
        <w:rPr>
          <w:rFonts w:ascii="Arial" w:cs="Arial" w:eastAsia="Arial" w:hAnsi="Arial"/>
          <w:sz w:val="15"/>
          <w:szCs w:val="15"/>
          <w:color w:val="auto"/>
        </w:rPr>
      </w:pPr>
      <w:r>
        <w:rPr>
          <w:rFonts w:ascii="Arial" w:cs="Arial" w:eastAsia="Arial" w:hAnsi="Arial"/>
          <w:sz w:val="15"/>
          <w:szCs w:val="15"/>
          <w:color w:val="auto"/>
        </w:rPr>
        <w:t>for which the goods giving rise to such Account have not been shipped to the Account Debtor or its designee or for which the services giving rise to such Account have not been performed by the applicable Loan Party that originated such Account or if such Account was invoiced more than once;</w:t>
      </w:r>
    </w:p>
    <w:p>
      <w:pPr>
        <w:spacing w:after="0" w:line="92" w:lineRule="exact"/>
        <w:rPr>
          <w:rFonts w:ascii="Arial" w:cs="Arial" w:eastAsia="Arial" w:hAnsi="Arial"/>
          <w:sz w:val="15"/>
          <w:szCs w:val="15"/>
          <w:color w:val="auto"/>
        </w:rPr>
      </w:pPr>
    </w:p>
    <w:p>
      <w:pPr>
        <w:ind w:left="1460" w:hanging="321"/>
        <w:spacing w:after="0"/>
        <w:tabs>
          <w:tab w:leader="none" w:pos="146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197" w:lineRule="exact"/>
        <w:rPr>
          <w:rFonts w:ascii="Arial" w:cs="Arial" w:eastAsia="Arial" w:hAnsi="Arial"/>
          <w:sz w:val="17"/>
          <w:szCs w:val="17"/>
          <w:color w:val="auto"/>
        </w:rPr>
      </w:pPr>
    </w:p>
    <w:p>
      <w:pPr>
        <w:jc w:val="both"/>
        <w:ind w:left="560" w:firstLine="579"/>
        <w:spacing w:after="0" w:line="255" w:lineRule="auto"/>
        <w:tabs>
          <w:tab w:leader="none" w:pos="1530"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by an Account Debtor which has (i) applied for, suffered, or consented to the appointment of any receiver, interim receiver, custodian, trustee, monitor, administrator, sequestrator or liquidator of its assets, (ii) has had possession of all or a material part of its property taken by any receiver, interim receiver, custodian, trustee, monitor, administrator, sequestrator or liquidator, (iii) filed, or had filed against it, any request or petition for liquidation, reorganization, arrangement, adjustment of debts, adjudication as bankrupt, winding-up, or voluntary or involuntary case under any state, provincial, territorial or federal bankruptcy laws, (iv) has admitted in writing its inability, or is generally unable to, pay its debts as they become due, (v) become insolvent, or (vi) ceased operation of its business;</w:t>
      </w:r>
    </w:p>
    <w:p>
      <w:pPr>
        <w:spacing w:after="0" w:line="159" w:lineRule="exact"/>
        <w:rPr>
          <w:rFonts w:ascii="Arial" w:cs="Arial" w:eastAsia="Arial" w:hAnsi="Arial"/>
          <w:sz w:val="17"/>
          <w:szCs w:val="17"/>
          <w:color w:val="auto"/>
        </w:rPr>
      </w:pPr>
    </w:p>
    <w:p>
      <w:pPr>
        <w:ind w:left="1460" w:hanging="321"/>
        <w:spacing w:after="0"/>
        <w:tabs>
          <w:tab w:leader="none" w:pos="146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197" w:lineRule="exact"/>
        <w:rPr>
          <w:rFonts w:ascii="Arial" w:cs="Arial" w:eastAsia="Arial" w:hAnsi="Arial"/>
          <w:sz w:val="17"/>
          <w:szCs w:val="17"/>
          <w:color w:val="auto"/>
        </w:rPr>
      </w:pPr>
    </w:p>
    <w:p>
      <w:pPr>
        <w:jc w:val="both"/>
        <w:ind w:left="560" w:right="20" w:firstLine="579"/>
        <w:spacing w:after="0" w:line="259" w:lineRule="auto"/>
        <w:tabs>
          <w:tab w:leader="none" w:pos="1555"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by an Account Debtor which (i) does not maintain a principal place of business in the U.S. or Canada or (ii) is not organized under applicable law of the U.S., any state of the U.S., Canada, or any province of Canada unless, in either case, such Account is backed by a Letter of Credit acceptable to the Administrative Agent in its Permitted Discretion and which is in the possession of, and is directly drawable by, the Administrative Agent;</w:t>
      </w:r>
    </w:p>
    <w:p>
      <w:pPr>
        <w:spacing w:after="0" w:line="156" w:lineRule="exact"/>
        <w:rPr>
          <w:rFonts w:ascii="Arial" w:cs="Arial" w:eastAsia="Arial" w:hAnsi="Arial"/>
          <w:sz w:val="17"/>
          <w:szCs w:val="17"/>
          <w:color w:val="auto"/>
        </w:rPr>
      </w:pPr>
    </w:p>
    <w:p>
      <w:pPr>
        <w:ind w:left="1500" w:hanging="361"/>
        <w:spacing w:after="0"/>
        <w:tabs>
          <w:tab w:leader="none" w:pos="1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in any currency other than U.S. or Canadian dollars;</w:t>
      </w:r>
    </w:p>
    <w:p>
      <w:pPr>
        <w:spacing w:after="0" w:line="197" w:lineRule="exact"/>
        <w:rPr>
          <w:rFonts w:ascii="Arial" w:cs="Arial" w:eastAsia="Arial" w:hAnsi="Arial"/>
          <w:sz w:val="17"/>
          <w:szCs w:val="17"/>
          <w:color w:val="auto"/>
        </w:rPr>
      </w:pPr>
    </w:p>
    <w:p>
      <w:pPr>
        <w:jc w:val="both"/>
        <w:ind w:left="560" w:right="20" w:firstLine="579"/>
        <w:spacing w:after="0" w:line="269" w:lineRule="auto"/>
        <w:tabs>
          <w:tab w:leader="none" w:pos="1542"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which is owed by (i) any Governmental Authority of any country other than the U.S. unless such Account is backed by a Letter of Credit acceptable to the Administrative Agent which is in the possession of, and is directly drawable by, the Administrative Agent, or (ii) any Governmental Authority of the U.S., or any department, agency, public corporation, or instrumentality thereof, unless the Federal Assignment of Claims Act of 1940, as amended (31 U.S.C. § 3727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41 U.S.C. § 15 </w:t>
      </w:r>
      <w:r>
        <w:rPr>
          <w:rFonts w:ascii="Arial" w:cs="Arial" w:eastAsia="Arial" w:hAnsi="Arial"/>
          <w:sz w:val="16"/>
          <w:szCs w:val="16"/>
          <w:u w:val="single" w:color="auto"/>
          <w:color w:val="auto"/>
        </w:rPr>
        <w:t>et seq</w:t>
      </w:r>
      <w:r>
        <w:rPr>
          <w:rFonts w:ascii="Arial" w:cs="Arial" w:eastAsia="Arial" w:hAnsi="Arial"/>
          <w:sz w:val="16"/>
          <w:szCs w:val="16"/>
          <w:color w:val="auto"/>
        </w:rPr>
        <w:t>., the “</w:t>
      </w:r>
      <w:r>
        <w:rPr>
          <w:rFonts w:ascii="Arial" w:cs="Arial" w:eastAsia="Arial" w:hAnsi="Arial"/>
          <w:sz w:val="16"/>
          <w:szCs w:val="16"/>
          <w:u w:val="single" w:color="auto"/>
          <w:color w:val="auto"/>
        </w:rPr>
        <w:t>Assignment of Claims Act</w:t>
      </w:r>
      <w:r>
        <w:rPr>
          <w:rFonts w:ascii="Arial" w:cs="Arial" w:eastAsia="Arial" w:hAnsi="Arial"/>
          <w:sz w:val="16"/>
          <w:szCs w:val="16"/>
          <w:color w:val="auto"/>
        </w:rPr>
        <w:t xml:space="preserve">”), has been complied with to the Administrative Agent’s satisfaction in its Permitted Discretion, or (iii) the federal government of Canada, unless the Financial Administration Act (Canada), as amended, has been complied with to the Administrative Agent’s satisfaction in its Permitted Discretion and any other steps necessary to perfect the Lien of the Administrative Agent in such Account have been complied with to the Administrative Agent’s satisfaction in its Permitted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Accounts owed by the government of the U.S. (or any department, agency, public corporation or instrumentality thereof) or the federal government of Canada in an aggregate amount not in excess of an amount equal to 3% of the aggregate amount of Eligible Accounts as of any relevant date of determination shall not be excluded from “Eligible Accounts” pursuant to this clause (o);</w:t>
      </w:r>
    </w:p>
    <w:p>
      <w:pPr>
        <w:spacing w:after="0" w:line="153" w:lineRule="exact"/>
        <w:rPr>
          <w:rFonts w:ascii="Arial" w:cs="Arial" w:eastAsia="Arial" w:hAnsi="Arial"/>
          <w:sz w:val="16"/>
          <w:szCs w:val="16"/>
          <w:color w:val="auto"/>
        </w:rPr>
      </w:pPr>
    </w:p>
    <w:p>
      <w:pPr>
        <w:ind w:left="1500" w:hanging="361"/>
        <w:spacing w:after="0"/>
        <w:tabs>
          <w:tab w:leader="none" w:pos="1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by any Affiliate, employee, officer, director, agent or stockholder of any Loan Party;</w:t>
      </w:r>
    </w:p>
    <w:p>
      <w:pPr>
        <w:spacing w:after="0" w:line="197" w:lineRule="exact"/>
        <w:rPr>
          <w:rFonts w:ascii="Arial" w:cs="Arial" w:eastAsia="Arial" w:hAnsi="Arial"/>
          <w:sz w:val="17"/>
          <w:szCs w:val="17"/>
          <w:color w:val="auto"/>
        </w:rPr>
      </w:pPr>
    </w:p>
    <w:p>
      <w:pPr>
        <w:jc w:val="both"/>
        <w:ind w:left="560" w:firstLine="579"/>
        <w:spacing w:after="0" w:line="264" w:lineRule="auto"/>
        <w:tabs>
          <w:tab w:leader="none" w:pos="1506"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53" w:lineRule="exact"/>
        <w:rPr>
          <w:rFonts w:ascii="Arial" w:cs="Arial" w:eastAsia="Arial" w:hAnsi="Arial"/>
          <w:sz w:val="17"/>
          <w:szCs w:val="17"/>
          <w:color w:val="auto"/>
        </w:rPr>
      </w:pPr>
    </w:p>
    <w:p>
      <w:pPr>
        <w:ind w:left="560" w:right="20" w:firstLine="579"/>
        <w:spacing w:after="0" w:line="280" w:lineRule="auto"/>
        <w:tabs>
          <w:tab w:leader="none" w:pos="1465"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subject to any counterclaim, deduction, defense, setoff or dispute but only to the extent of any such counterclaim, deduction, defense, setoff or dispute;</w:t>
      </w:r>
    </w:p>
    <w:p>
      <w:pPr>
        <w:spacing w:after="0" w:line="139" w:lineRule="exact"/>
        <w:rPr>
          <w:rFonts w:ascii="Arial" w:cs="Arial" w:eastAsia="Arial" w:hAnsi="Arial"/>
          <w:sz w:val="17"/>
          <w:szCs w:val="17"/>
          <w:color w:val="auto"/>
        </w:rPr>
      </w:pPr>
    </w:p>
    <w:p>
      <w:pPr>
        <w:ind w:left="1480" w:hanging="341"/>
        <w:spacing w:after="0"/>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evidenced by any promissory note, chattel paper, or instrument;</w:t>
      </w:r>
    </w:p>
    <w:p>
      <w:pPr>
        <w:spacing w:after="0" w:line="197" w:lineRule="exact"/>
        <w:rPr>
          <w:rFonts w:ascii="Arial" w:cs="Arial" w:eastAsia="Arial" w:hAnsi="Arial"/>
          <w:sz w:val="17"/>
          <w:szCs w:val="17"/>
          <w:color w:val="auto"/>
        </w:rPr>
      </w:pPr>
    </w:p>
    <w:p>
      <w:pPr>
        <w:jc w:val="both"/>
        <w:ind w:left="560" w:firstLine="579"/>
        <w:spacing w:after="0" w:line="259" w:lineRule="auto"/>
        <w:tabs>
          <w:tab w:leader="none" w:pos="1503"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owed by an Account Debtor located in any jurisdiction which requires filing of a “Notice of Business Activities Report” or other similar report in order to permit the applicable Loan Party or WESCO Receivables to seek judicial enforcement in such jurisdiction of payment of such Account, unless such Loan Party or WESCO Receivables, as applicable, has filed such report or qualified to do business in such jurisdiction, or which is a Sanctioned Person;</w:t>
      </w:r>
    </w:p>
    <w:p>
      <w:pPr>
        <w:spacing w:after="0" w:line="156" w:lineRule="exact"/>
        <w:rPr>
          <w:rFonts w:ascii="Arial" w:cs="Arial" w:eastAsia="Arial" w:hAnsi="Arial"/>
          <w:sz w:val="17"/>
          <w:szCs w:val="17"/>
          <w:color w:val="auto"/>
        </w:rPr>
      </w:pPr>
    </w:p>
    <w:p>
      <w:pPr>
        <w:jc w:val="both"/>
        <w:ind w:left="560" w:firstLine="579"/>
        <w:spacing w:after="0" w:line="264" w:lineRule="auto"/>
        <w:tabs>
          <w:tab w:leader="none" w:pos="1518" w:val="left"/>
        </w:tabs>
        <w:numPr>
          <w:ilvl w:val="1"/>
          <w:numId w:val="8"/>
        </w:numPr>
        <w:rPr>
          <w:rFonts w:ascii="Arial" w:cs="Arial" w:eastAsia="Arial" w:hAnsi="Arial"/>
          <w:sz w:val="17"/>
          <w:szCs w:val="17"/>
          <w:color w:val="auto"/>
        </w:rPr>
      </w:pPr>
      <w:r>
        <w:rPr>
          <w:rFonts w:ascii="Arial" w:cs="Arial" w:eastAsia="Arial" w:hAnsi="Arial"/>
          <w:sz w:val="17"/>
          <w:szCs w:val="17"/>
          <w:color w:val="auto"/>
        </w:rPr>
        <w:t>with respect to which such Loan Party or WESCO Receivables has made any agreement with the Account Debtor for any reduction thereof, other than discounts and adjustments given in the ordinary course of business, or any Account which was partially paid and such Loan Party or WESCO Receivables created a new receivable for the unpaid portion of such Account;</w:t>
      </w:r>
    </w:p>
    <w:p>
      <w:pPr>
        <w:spacing w:after="0" w:line="153" w:lineRule="exact"/>
        <w:rPr>
          <w:rFonts w:ascii="Arial" w:cs="Arial" w:eastAsia="Arial" w:hAnsi="Arial"/>
          <w:sz w:val="17"/>
          <w:szCs w:val="17"/>
          <w:color w:val="auto"/>
        </w:rPr>
      </w:pPr>
    </w:p>
    <w:p>
      <w:pPr>
        <w:jc w:val="both"/>
        <w:ind w:left="560" w:right="20" w:firstLine="579"/>
        <w:spacing w:after="0" w:line="264" w:lineRule="auto"/>
        <w:tabs>
          <w:tab w:leader="none" w:pos="1494"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does not comply in all material respects with the requirements of all applicable laws and regulations, whether Federal, state, provincial, territorial or local, including without limitation the Federal Consumer Credit Protection Act, the Federal Truth in Lending Act and Regulation Z of the Board;</w:t>
      </w:r>
    </w:p>
    <w:p>
      <w:pPr>
        <w:spacing w:after="0" w:line="153" w:lineRule="exact"/>
        <w:rPr>
          <w:rFonts w:ascii="Arial" w:cs="Arial" w:eastAsia="Arial" w:hAnsi="Arial"/>
          <w:sz w:val="17"/>
          <w:szCs w:val="17"/>
          <w:color w:val="auto"/>
        </w:rPr>
      </w:pPr>
    </w:p>
    <w:p>
      <w:pPr>
        <w:jc w:val="both"/>
        <w:ind w:left="560" w:firstLine="579"/>
        <w:spacing w:after="0" w:line="264" w:lineRule="auto"/>
        <w:tabs>
          <w:tab w:leader="none" w:pos="1581"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is for goods that have been sold under a purchase order or pursuant to the terms of a contract or other agreement or understanding (written or oral) that indicates or purports that any Person other than such Loan Party has an ownership interest in such goods, or which indicates any party other than such Loan Party as payee or remittance party;</w:t>
      </w:r>
    </w:p>
    <w:p>
      <w:pPr>
        <w:spacing w:after="0" w:line="153" w:lineRule="exact"/>
        <w:rPr>
          <w:rFonts w:ascii="Arial" w:cs="Arial" w:eastAsia="Arial" w:hAnsi="Arial"/>
          <w:sz w:val="17"/>
          <w:szCs w:val="17"/>
          <w:color w:val="auto"/>
        </w:rPr>
      </w:pPr>
    </w:p>
    <w:p>
      <w:pPr>
        <w:ind w:left="1500" w:hanging="361"/>
        <w:spacing w:after="0"/>
        <w:tabs>
          <w:tab w:leader="none" w:pos="1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was created on cash on delivery terms; or</w:t>
      </w:r>
    </w:p>
    <w:p>
      <w:pPr>
        <w:spacing w:after="0" w:line="197" w:lineRule="exact"/>
        <w:rPr>
          <w:rFonts w:ascii="Arial" w:cs="Arial" w:eastAsia="Arial" w:hAnsi="Arial"/>
          <w:sz w:val="17"/>
          <w:szCs w:val="17"/>
          <w:color w:val="auto"/>
        </w:rPr>
      </w:pPr>
    </w:p>
    <w:p>
      <w:pPr>
        <w:ind w:left="560" w:right="20" w:firstLine="579"/>
        <w:spacing w:after="0" w:line="280" w:lineRule="auto"/>
        <w:tabs>
          <w:tab w:leader="none" w:pos="1518" w:val="left"/>
        </w:tabs>
        <w:numPr>
          <w:ilvl w:val="1"/>
          <w:numId w:val="8"/>
        </w:numPr>
        <w:rPr>
          <w:rFonts w:ascii="Arial" w:cs="Arial" w:eastAsia="Arial" w:hAnsi="Arial"/>
          <w:sz w:val="17"/>
          <w:szCs w:val="17"/>
          <w:color w:val="auto"/>
        </w:rPr>
      </w:pPr>
      <w:r>
        <w:rPr>
          <w:rFonts w:ascii="Arial" w:cs="Arial" w:eastAsia="Arial" w:hAnsi="Arial"/>
          <w:sz w:val="17"/>
          <w:szCs w:val="17"/>
          <w:color w:val="auto"/>
        </w:rPr>
        <w:t>which the Administrative Agent determines may not be paid by reason of the Account Debtor’s inability to pay or which the Administrative Agent otherwise determines, in its Permitted Discretion, is unacceptable.</w:t>
      </w:r>
    </w:p>
    <w:p>
      <w:pPr>
        <w:spacing w:after="0" w:line="14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In determining the amount of an Eligible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Loan Party may be obligated to rebate to an Account Debtor pursuant to the terms of any agreement or understanding (written or oral)) and (ii) the aggregate amount of all cash received in respect of such Account but not yet applied by such Loan Party or WESCO Receivables to reduce the amount of such Account. Notwithstanding anything to the contrary set forth herein, the Administrative Agent shall not (x) change the standards of eligibility set forth herein to make such standards more restrictive or (y) exclude from</w:t>
      </w:r>
    </w:p>
    <w:p>
      <w:pPr>
        <w:sectPr>
          <w:pgSz w:w="11900" w:h="16838" w:orient="portrait"/>
          <w:cols w:equalWidth="0" w:num="1">
            <w:col w:w="11440"/>
          </w:cols>
          <w:pgMar w:left="240" w:top="124" w:right="219" w:bottom="0" w:gutter="0" w:footer="0" w:header="0"/>
        </w:sectPr>
      </w:pPr>
    </w:p>
    <w:bookmarkStart w:id="17" w:name="page18"/>
    <w:bookmarkEnd w:id="17"/>
    <w:p>
      <w:pPr>
        <w:spacing w:after="0" w:line="282" w:lineRule="auto"/>
        <w:rPr>
          <w:sz w:val="20"/>
          <w:szCs w:val="20"/>
          <w:color w:val="auto"/>
        </w:rPr>
      </w:pPr>
      <w:r>
        <w:rPr>
          <w:rFonts w:ascii="Arial" w:cs="Arial" w:eastAsia="Arial" w:hAnsi="Arial"/>
          <w:sz w:val="17"/>
          <w:szCs w:val="17"/>
          <w:color w:val="auto"/>
        </w:rPr>
        <w:t>Eligible Accounts any Account that meets the eligibility standards set forth herein unless, in either case, the Administrative Agent shall have provided the Borrower Representative not less than five (5) Business Days advance notice of such change or exclusion.</w:t>
      </w:r>
    </w:p>
    <w:p>
      <w:pPr>
        <w:spacing w:after="0" w:line="138" w:lineRule="exact"/>
        <w:rPr>
          <w:sz w:val="20"/>
          <w:szCs w:val="20"/>
          <w:color w:val="auto"/>
        </w:rPr>
      </w:pPr>
    </w:p>
    <w:p>
      <w:pPr>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Inventory</w:t>
      </w:r>
      <w:r>
        <w:rPr>
          <w:rFonts w:ascii="Arial" w:cs="Arial" w:eastAsia="Arial" w:hAnsi="Arial"/>
          <w:sz w:val="17"/>
          <w:szCs w:val="17"/>
          <w:color w:val="auto"/>
        </w:rPr>
        <w:t xml:space="preserve">” means, at any time, the Inventory of any Loan Party that is an operating entity and that sells goods to customers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Eligible Inventory shall not include any Inventory:</w:t>
      </w:r>
    </w:p>
    <w:p>
      <w:pPr>
        <w:spacing w:after="0" w:line="163" w:lineRule="exact"/>
        <w:rPr>
          <w:sz w:val="20"/>
          <w:szCs w:val="20"/>
          <w:color w:val="auto"/>
        </w:rPr>
      </w:pPr>
    </w:p>
    <w:p>
      <w:pPr>
        <w:ind w:left="560" w:right="20" w:firstLine="579"/>
        <w:spacing w:after="0" w:line="314" w:lineRule="auto"/>
        <w:tabs>
          <w:tab w:leader="none" w:pos="1514" w:val="left"/>
        </w:tabs>
        <w:numPr>
          <w:ilvl w:val="0"/>
          <w:numId w:val="9"/>
        </w:numPr>
        <w:rPr>
          <w:rFonts w:ascii="Arial" w:cs="Arial" w:eastAsia="Arial" w:hAnsi="Arial"/>
          <w:sz w:val="18"/>
          <w:szCs w:val="18"/>
          <w:color w:val="auto"/>
        </w:rPr>
      </w:pPr>
      <w:r>
        <w:rPr>
          <w:rFonts w:ascii="Arial" w:cs="Arial" w:eastAsia="Arial" w:hAnsi="Arial"/>
          <w:sz w:val="16"/>
          <w:szCs w:val="16"/>
          <w:color w:val="auto"/>
        </w:rPr>
        <w:t>which is not subject to a first priority perfected Lien in favor of the Administrative Agent (for the benefit of the Lender Parties to secure the Secured Obligations, or for the benefit of the Canadian Lender Parties to secure the Canadian Secured Obligations, as the case may be);</w:t>
      </w:r>
    </w:p>
    <w:p>
      <w:pPr>
        <w:spacing w:after="0" w:line="143" w:lineRule="exact"/>
        <w:rPr>
          <w:rFonts w:ascii="Arial" w:cs="Arial" w:eastAsia="Arial" w:hAnsi="Arial"/>
          <w:sz w:val="18"/>
          <w:szCs w:val="18"/>
          <w:color w:val="auto"/>
        </w:rPr>
      </w:pPr>
    </w:p>
    <w:p>
      <w:pPr>
        <w:jc w:val="both"/>
        <w:ind w:left="560" w:firstLine="579"/>
        <w:spacing w:after="0" w:line="277" w:lineRule="auto"/>
        <w:tabs>
          <w:tab w:leader="none" w:pos="1561"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w:t>
      </w:r>
    </w:p>
    <w:p>
      <w:pPr>
        <w:spacing w:after="0" w:line="178" w:lineRule="exact"/>
        <w:rPr>
          <w:rFonts w:ascii="Arial" w:cs="Arial" w:eastAsia="Arial" w:hAnsi="Arial"/>
          <w:sz w:val="19"/>
          <w:szCs w:val="19"/>
          <w:color w:val="auto"/>
        </w:rPr>
      </w:pPr>
    </w:p>
    <w:p>
      <w:pPr>
        <w:jc w:val="both"/>
        <w:ind w:left="560" w:firstLine="579"/>
        <w:spacing w:after="0" w:line="299" w:lineRule="auto"/>
        <w:tabs>
          <w:tab w:leader="none" w:pos="1621" w:val="left"/>
        </w:tabs>
        <w:numPr>
          <w:ilvl w:val="0"/>
          <w:numId w:val="9"/>
        </w:numPr>
        <w:rPr>
          <w:rFonts w:ascii="Arial" w:cs="Arial" w:eastAsia="Arial" w:hAnsi="Arial"/>
          <w:sz w:val="18"/>
          <w:szCs w:val="18"/>
          <w:color w:val="auto"/>
        </w:rPr>
      </w:pPr>
      <w:r>
        <w:rPr>
          <w:rFonts w:ascii="Arial" w:cs="Arial" w:eastAsia="Arial" w:hAnsi="Arial"/>
          <w:sz w:val="16"/>
          <w:szCs w:val="16"/>
          <w:color w:val="auto"/>
        </w:rPr>
        <w:t>which has remained unsold for twelve (12) consecutive months (or such longer period as Administrative Agent may determine in its permitted discretion), or for which there is more than a twelve (12) month (or such longer period as Administrative may determine in its Permitted Discretion) supply of inventory on hand unless an appropriate U.S. Borrowing Base Reserve or Canadian Borrowing Base Reserve, as applicable for such unsold/excess inventory has been established by the Administrative Agent or the Canadian Administrative Agent, respectively;</w:t>
      </w:r>
    </w:p>
    <w:p>
      <w:pPr>
        <w:spacing w:after="0" w:line="162" w:lineRule="exact"/>
        <w:rPr>
          <w:rFonts w:ascii="Arial" w:cs="Arial" w:eastAsia="Arial" w:hAnsi="Arial"/>
          <w:sz w:val="18"/>
          <w:szCs w:val="18"/>
          <w:color w:val="auto"/>
        </w:rPr>
      </w:pPr>
    </w:p>
    <w:p>
      <w:pPr>
        <w:jc w:val="both"/>
        <w:ind w:left="560" w:firstLine="579"/>
        <w:spacing w:after="0" w:line="277" w:lineRule="auto"/>
        <w:tabs>
          <w:tab w:leader="none" w:pos="1537" w:val="left"/>
        </w:tabs>
        <w:numPr>
          <w:ilvl w:val="0"/>
          <w:numId w:val="9"/>
        </w:numPr>
        <w:rPr>
          <w:rFonts w:ascii="Arial" w:cs="Arial" w:eastAsia="Arial" w:hAnsi="Arial"/>
          <w:sz w:val="19"/>
          <w:szCs w:val="19"/>
          <w:color w:val="auto"/>
        </w:rPr>
      </w:pPr>
      <w:r>
        <w:rPr>
          <w:rFonts w:ascii="Arial" w:cs="Arial" w:eastAsia="Arial" w:hAnsi="Arial"/>
          <w:sz w:val="17"/>
          <w:szCs w:val="17"/>
          <w:color w:val="auto"/>
        </w:rPr>
        <w:t>with respect to which (i) any covenant contained in this Agreement, the U.S. Security Agreement or any Canadian Security Agreement has been breached and not cured or (ii) any representation or warranty contained in this Agreement, the U.S. Security Agreement, or the Canadian Security Agreement is not true and correct in all material respects (provided that such materiality qualifier shall not be applicable to any representations and warranties that are already qualified or modified by materiality in the text thereof) and which does not conform to all standards imposed by any applicable Governmental Authority;</w:t>
      </w:r>
    </w:p>
    <w:p>
      <w:pPr>
        <w:spacing w:after="0" w:line="179" w:lineRule="exact"/>
        <w:rPr>
          <w:rFonts w:ascii="Arial" w:cs="Arial" w:eastAsia="Arial" w:hAnsi="Arial"/>
          <w:sz w:val="19"/>
          <w:szCs w:val="19"/>
          <w:color w:val="auto"/>
        </w:rPr>
      </w:pPr>
    </w:p>
    <w:p>
      <w:pPr>
        <w:jc w:val="both"/>
        <w:ind w:left="560" w:right="20" w:firstLine="579"/>
        <w:spacing w:after="0" w:line="277" w:lineRule="auto"/>
        <w:tabs>
          <w:tab w:leader="none" w:pos="1538" w:val="left"/>
        </w:tabs>
        <w:numPr>
          <w:ilvl w:val="0"/>
          <w:numId w:val="9"/>
        </w:numPr>
        <w:rPr>
          <w:rFonts w:ascii="Arial" w:cs="Arial" w:eastAsia="Arial" w:hAnsi="Arial"/>
          <w:sz w:val="19"/>
          <w:szCs w:val="19"/>
          <w:color w:val="auto"/>
        </w:rPr>
      </w:pPr>
      <w:r>
        <w:rPr>
          <w:rFonts w:ascii="Arial" w:cs="Arial" w:eastAsia="Arial" w:hAnsi="Arial"/>
          <w:sz w:val="17"/>
          <w:szCs w:val="17"/>
          <w:color w:val="auto"/>
        </w:rPr>
        <w:t>in which any Person other than such Loan Party shall (i) have any direct or indirect ownership, interest (other than with respect to interests described in clause (b) of the definition of Permitted Encumbrances) or title to such Inventory or (ii) be indicated on any purchase order or invoice with respect to such Inventory as having or purporting to have an interest therein;</w:t>
      </w:r>
    </w:p>
    <w:p>
      <w:pPr>
        <w:spacing w:after="0" w:line="178" w:lineRule="exact"/>
        <w:rPr>
          <w:rFonts w:ascii="Arial" w:cs="Arial" w:eastAsia="Arial" w:hAnsi="Arial"/>
          <w:sz w:val="19"/>
          <w:szCs w:val="19"/>
          <w:color w:val="auto"/>
        </w:rPr>
      </w:pPr>
    </w:p>
    <w:p>
      <w:pPr>
        <w:jc w:val="both"/>
        <w:ind w:left="560" w:right="20" w:firstLine="579"/>
        <w:spacing w:after="0" w:line="299" w:lineRule="auto"/>
        <w:tabs>
          <w:tab w:leader="none" w:pos="1493" w:val="left"/>
        </w:tabs>
        <w:numPr>
          <w:ilvl w:val="0"/>
          <w:numId w:val="9"/>
        </w:numPr>
        <w:rPr>
          <w:rFonts w:ascii="Arial" w:cs="Arial" w:eastAsia="Arial" w:hAnsi="Arial"/>
          <w:sz w:val="18"/>
          <w:szCs w:val="18"/>
          <w:color w:val="auto"/>
        </w:rPr>
      </w:pPr>
      <w:r>
        <w:rPr>
          <w:rFonts w:ascii="Arial" w:cs="Arial" w:eastAsia="Arial" w:hAnsi="Arial"/>
          <w:sz w:val="16"/>
          <w:szCs w:val="16"/>
          <w:color w:val="auto"/>
        </w:rPr>
        <w:t xml:space="preserve">which is not finished goods or is not goods held for sale or which constitutes work in process, samples, prototypes, displays or display items, bill and hold or ship in place goods, goods that are returned or marked for return, repossessed goods, defective or damaged goods, goods held on consignment or goods which are not of a type held for sale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Inventory constituting work in process having a value not in excess of $3,000,000 in the aggregate at any time shall not be excluded from “Eligible Inventory” pursuant to this clause (f);</w:t>
      </w:r>
    </w:p>
    <w:p>
      <w:pPr>
        <w:spacing w:after="0" w:line="162" w:lineRule="exact"/>
        <w:rPr>
          <w:rFonts w:ascii="Arial" w:cs="Arial" w:eastAsia="Arial" w:hAnsi="Arial"/>
          <w:sz w:val="18"/>
          <w:szCs w:val="18"/>
          <w:color w:val="auto"/>
        </w:rPr>
      </w:pPr>
    </w:p>
    <w:p>
      <w:pPr>
        <w:jc w:val="both"/>
        <w:ind w:left="560" w:right="20" w:firstLine="579"/>
        <w:spacing w:after="0" w:line="277" w:lineRule="auto"/>
        <w:tabs>
          <w:tab w:leader="none" w:pos="1537"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in transit with a common carrier from vendors and suppliers or is not located in: (i) the U.S. with respect to Inventory owned by a U.S. Loan Party; or (ii) Canada with respect to Inventory owned by a Canadian Loan Party, except that Inventory in transit between U.S. locations, between U.S. locations and Canadian locations, and between Canadian locations of the Loan Parties shall not be excluded from “Eligible Inventory” pursuant to this clause (g) so long as the Administrative Agent’s Liens have been perfected at origin and destination;</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513"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located in any location leased by such Loan Party unless (i) the lessor has delivered to the Administrative Agent a Collateral Access Agreement or (ii) an appropriate Rent Reserve has been established by the Administrative Agent in its Permitted Discretion;</w:t>
      </w:r>
    </w:p>
    <w:p>
      <w:pPr>
        <w:spacing w:after="0" w:line="170" w:lineRule="exact"/>
        <w:rPr>
          <w:rFonts w:ascii="Arial" w:cs="Arial" w:eastAsia="Arial" w:hAnsi="Arial"/>
          <w:sz w:val="19"/>
          <w:szCs w:val="19"/>
          <w:color w:val="auto"/>
        </w:rPr>
      </w:pPr>
    </w:p>
    <w:p>
      <w:pPr>
        <w:jc w:val="both"/>
        <w:ind w:left="560" w:firstLine="579"/>
        <w:spacing w:after="0" w:line="277" w:lineRule="auto"/>
        <w:tabs>
          <w:tab w:leader="none" w:pos="1482"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78" w:lineRule="exact"/>
        <w:rPr>
          <w:rFonts w:ascii="Arial" w:cs="Arial" w:eastAsia="Arial" w:hAnsi="Arial"/>
          <w:sz w:val="19"/>
          <w:szCs w:val="19"/>
          <w:color w:val="auto"/>
        </w:rPr>
      </w:pPr>
    </w:p>
    <w:p>
      <w:pPr>
        <w:ind w:left="1520" w:hanging="381"/>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6"/>
          <w:szCs w:val="16"/>
          <w:color w:val="auto"/>
        </w:rPr>
        <w:t>which is being processed offsite at a third party location or outside processor, or is in-transit to or from said third party location or outside</w:t>
      </w:r>
    </w:p>
    <w:p>
      <w:pPr>
        <w:spacing w:after="0" w:line="1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processor;</w:t>
      </w:r>
    </w:p>
    <w:p>
      <w:pPr>
        <w:spacing w:after="0" w:line="233" w:lineRule="exact"/>
        <w:rPr>
          <w:rFonts w:ascii="Arial" w:cs="Arial" w:eastAsia="Arial" w:hAnsi="Arial"/>
          <w:sz w:val="18"/>
          <w:szCs w:val="18"/>
          <w:color w:val="auto"/>
        </w:rPr>
      </w:pPr>
    </w:p>
    <w:p>
      <w:pPr>
        <w:jc w:val="both"/>
        <w:ind w:left="560" w:firstLine="579"/>
        <w:spacing w:after="0" w:line="277" w:lineRule="auto"/>
        <w:tabs>
          <w:tab w:leader="none" w:pos="1537" w:val="left"/>
        </w:tabs>
        <w:numPr>
          <w:ilvl w:val="0"/>
          <w:numId w:val="9"/>
        </w:numPr>
        <w:rPr>
          <w:rFonts w:ascii="Arial" w:cs="Arial" w:eastAsia="Arial" w:hAnsi="Arial"/>
          <w:sz w:val="19"/>
          <w:szCs w:val="19"/>
          <w:color w:val="auto"/>
        </w:rPr>
      </w:pPr>
      <w:r>
        <w:rPr>
          <w:rFonts w:ascii="Arial" w:cs="Arial" w:eastAsia="Arial" w:hAnsi="Arial"/>
          <w:sz w:val="17"/>
          <w:szCs w:val="17"/>
          <w:color w:val="auto"/>
        </w:rPr>
        <w:t xml:space="preserve">which is located at any customer location;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Inventory having a value not in excess of $15,000,000 in the aggregate at any time shall not be excluded from “Eligible Inventory” pursuant to this clause (k) so long as such Inventory is located at a customer location acceptable to the Administrative Agent in its Permitted Discretion;</w:t>
      </w:r>
    </w:p>
    <w:p>
      <w:pPr>
        <w:spacing w:after="0" w:line="178" w:lineRule="exact"/>
        <w:rPr>
          <w:rFonts w:ascii="Arial" w:cs="Arial" w:eastAsia="Arial" w:hAnsi="Arial"/>
          <w:sz w:val="19"/>
          <w:szCs w:val="19"/>
          <w:color w:val="auto"/>
        </w:rPr>
      </w:pPr>
    </w:p>
    <w:p>
      <w:pPr>
        <w:ind w:left="1480" w:hanging="341"/>
        <w:spacing w:after="0"/>
        <w:tabs>
          <w:tab w:leader="none" w:pos="1480"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the subject of a consignment by such Loan Party as consignor;</w:t>
      </w:r>
    </w:p>
    <w:p>
      <w:pPr>
        <w:spacing w:after="0" w:line="210" w:lineRule="exact"/>
        <w:rPr>
          <w:rFonts w:ascii="Arial" w:cs="Arial" w:eastAsia="Arial" w:hAnsi="Arial"/>
          <w:sz w:val="19"/>
          <w:szCs w:val="19"/>
          <w:color w:val="auto"/>
        </w:rPr>
      </w:pPr>
    </w:p>
    <w:p>
      <w:pPr>
        <w:ind w:left="1580" w:hanging="441"/>
        <w:spacing w:after="0"/>
        <w:tabs>
          <w:tab w:leader="none" w:pos="1580"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perishable;</w:t>
      </w:r>
    </w:p>
    <w:p>
      <w:pPr>
        <w:spacing w:after="0" w:line="210" w:lineRule="exact"/>
        <w:rPr>
          <w:rFonts w:ascii="Arial" w:cs="Arial" w:eastAsia="Arial" w:hAnsi="Arial"/>
          <w:sz w:val="19"/>
          <w:szCs w:val="19"/>
          <w:color w:val="auto"/>
        </w:rPr>
      </w:pPr>
    </w:p>
    <w:p>
      <w:pPr>
        <w:jc w:val="both"/>
        <w:ind w:left="560" w:firstLine="579"/>
        <w:spacing w:after="0" w:line="277" w:lineRule="auto"/>
        <w:tabs>
          <w:tab w:leader="none" w:pos="1620"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contains or bears any intellectual property rights licensed to such Loan Party unless the Administrative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525"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not reflected in a current perpetual inventory report of such Loan Party or other report acceptable to the Administrative Agent in its Permitted Discretion;</w:t>
      </w:r>
    </w:p>
    <w:p>
      <w:pPr>
        <w:spacing w:after="0" w:line="170" w:lineRule="exact"/>
        <w:rPr>
          <w:rFonts w:ascii="Arial" w:cs="Arial" w:eastAsia="Arial" w:hAnsi="Arial"/>
          <w:sz w:val="19"/>
          <w:szCs w:val="19"/>
          <w:color w:val="auto"/>
        </w:rPr>
      </w:pPr>
    </w:p>
    <w:p>
      <w:pPr>
        <w:ind w:left="1520" w:hanging="381"/>
        <w:spacing w:after="0"/>
        <w:tabs>
          <w:tab w:leader="none" w:pos="1520" w:val="left"/>
        </w:tabs>
        <w:numPr>
          <w:ilvl w:val="0"/>
          <w:numId w:val="9"/>
        </w:numPr>
        <w:rPr>
          <w:rFonts w:ascii="Arial" w:cs="Arial" w:eastAsia="Arial" w:hAnsi="Arial"/>
          <w:sz w:val="19"/>
          <w:szCs w:val="19"/>
          <w:color w:val="auto"/>
        </w:rPr>
      </w:pPr>
      <w:r>
        <w:rPr>
          <w:rFonts w:ascii="Arial" w:cs="Arial" w:eastAsia="Arial" w:hAnsi="Arial"/>
          <w:sz w:val="17"/>
          <w:szCs w:val="17"/>
          <w:color w:val="auto"/>
        </w:rPr>
        <w:t>for which reclamation rights have been asserted by the seller;</w:t>
      </w:r>
    </w:p>
    <w:p>
      <w:pPr>
        <w:spacing w:after="0" w:line="210" w:lineRule="exact"/>
        <w:rPr>
          <w:rFonts w:ascii="Arial" w:cs="Arial" w:eastAsia="Arial" w:hAnsi="Arial"/>
          <w:sz w:val="19"/>
          <w:szCs w:val="19"/>
          <w:color w:val="auto"/>
        </w:rPr>
      </w:pPr>
    </w:p>
    <w:p>
      <w:pPr>
        <w:ind w:left="1520" w:hanging="381"/>
        <w:spacing w:after="0"/>
        <w:tabs>
          <w:tab w:leader="none" w:pos="1520"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is located at any location where the aggregate value of all Inventory of the Loan Parties is less than $100,000; or</w:t>
      </w:r>
    </w:p>
    <w:p>
      <w:pPr>
        <w:spacing w:after="0" w:line="210" w:lineRule="exact"/>
        <w:rPr>
          <w:rFonts w:ascii="Arial" w:cs="Arial" w:eastAsia="Arial" w:hAnsi="Arial"/>
          <w:sz w:val="19"/>
          <w:szCs w:val="19"/>
          <w:color w:val="auto"/>
        </w:rPr>
      </w:pPr>
    </w:p>
    <w:p>
      <w:pPr>
        <w:ind w:left="1480" w:hanging="341"/>
        <w:spacing w:after="0"/>
        <w:tabs>
          <w:tab w:leader="none" w:pos="1480" w:val="left"/>
        </w:tabs>
        <w:numPr>
          <w:ilvl w:val="0"/>
          <w:numId w:val="9"/>
        </w:numPr>
        <w:rPr>
          <w:rFonts w:ascii="Arial" w:cs="Arial" w:eastAsia="Arial" w:hAnsi="Arial"/>
          <w:sz w:val="19"/>
          <w:szCs w:val="19"/>
          <w:color w:val="auto"/>
        </w:rPr>
      </w:pPr>
      <w:r>
        <w:rPr>
          <w:rFonts w:ascii="Arial" w:cs="Arial" w:eastAsia="Arial" w:hAnsi="Arial"/>
          <w:sz w:val="17"/>
          <w:szCs w:val="17"/>
          <w:color w:val="auto"/>
        </w:rPr>
        <w:t>which the Administrative Agent otherwise determines, in its Permitted Discretion, is unacceptable.</w:t>
      </w:r>
    </w:p>
    <w:p>
      <w:pPr>
        <w:spacing w:after="0" w:line="187"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Notwithstanding anything to the contrary set forth herein, the Administrative Agent shall not (x) change the standards of eligibility set forth herein to make such standards more restrictive or (y) exclude from Eligible Inventory any Inventory that meets the eligibility standards set forth herein unless, in either case, the Administrative Agent shall have provided the Borrower Representative not less than five (5) Business Days advance notice of such change or exclusion.</w:t>
      </w:r>
    </w:p>
    <w:p>
      <w:pPr>
        <w:sectPr>
          <w:pgSz w:w="11900" w:h="16838" w:orient="portrait"/>
          <w:cols w:equalWidth="0" w:num="1">
            <w:col w:w="11440"/>
          </w:cols>
          <w:pgMar w:left="240" w:top="124" w:right="219" w:bottom="0" w:gutter="0" w:footer="0" w:header="0"/>
        </w:sectPr>
      </w:pPr>
    </w:p>
    <w:bookmarkStart w:id="18" w:name="page19"/>
    <w:bookmarkEnd w:id="18"/>
    <w:p>
      <w:pPr>
        <w:jc w:val="both"/>
        <w:ind w:left="5"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Securitization Receivables</w:t>
      </w:r>
      <w:r>
        <w:rPr>
          <w:rFonts w:ascii="Arial" w:cs="Arial" w:eastAsia="Arial" w:hAnsi="Arial"/>
          <w:sz w:val="16"/>
          <w:szCs w:val="16"/>
          <w:color w:val="auto"/>
        </w:rPr>
        <w:t xml:space="preserve">” means Eligible Accounts that have been sold to WESCO Receivables pursuant to the Receivables Securitization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Accounts shall be Eligible Securitization Receivables unless (i) the Administrative Agent shall have determined, based on the results of the most recent field examination of the Accounts of the Loan Parties and WESCO Receivables conducted by the Administrative Agent, that the Loan Parties and WESCO Receivables are in compliance with Section 5.14, (ii) the Administrative Agent shall have obtained a first priority pledge of 100% of the equity interests of WESCO Receivables, and (iii) the Administrative Agent, WESCO Receivables and PNC Bank National Association shall have entered into a Control Agreement with respect to the master collection account of WESCO Receivables maintained at PNC Bank National Association into which all proceeds of Accounts sold to WESCO Receivables are required to be remitted under the terms of the Receivables Securitization Agreements.</w:t>
      </w:r>
    </w:p>
    <w:p>
      <w:pPr>
        <w:spacing w:after="0" w:line="150" w:lineRule="exact"/>
        <w:rPr>
          <w:sz w:val="20"/>
          <w:szCs w:val="20"/>
          <w:color w:val="auto"/>
        </w:rPr>
      </w:pPr>
    </w:p>
    <w:p>
      <w:pPr>
        <w:jc w:val="both"/>
        <w:ind w:left="5" w:firstLine="57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all laws, rules, regulations, codes and ordinances and binding orders, decrees, judgments, injunctions, notices or agreements issued, promulgated or entered into by any Governmental Authority, relating in any way to the environment, preservation or reclamation of natural resources, the management, release or threatened release of any Hazardous Material or to health and safety matters with respect to exposure to any Hazardous Materials.</w:t>
      </w:r>
    </w:p>
    <w:p>
      <w:pPr>
        <w:spacing w:after="0" w:line="117" w:lineRule="exact"/>
        <w:rPr>
          <w:sz w:val="20"/>
          <w:szCs w:val="20"/>
          <w:color w:val="auto"/>
        </w:rPr>
      </w:pPr>
    </w:p>
    <w:p>
      <w:pPr>
        <w:jc w:val="both"/>
        <w:ind w:left="5" w:firstLine="572"/>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any Loan Party or any Subsidiary directly or indirectly resulting from or based upon (a) any violation of any Environmental Law,</w:t>
      </w:r>
    </w:p>
    <w:p>
      <w:pPr>
        <w:spacing w:after="0" w:line="1" w:lineRule="exact"/>
        <w:rPr>
          <w:sz w:val="20"/>
          <w:szCs w:val="20"/>
          <w:color w:val="auto"/>
        </w:rPr>
      </w:pPr>
    </w:p>
    <w:p>
      <w:pPr>
        <w:jc w:val="both"/>
        <w:ind w:left="5" w:right="20" w:hanging="5"/>
        <w:spacing w:after="0" w:line="256" w:lineRule="auto"/>
        <w:tabs>
          <w:tab w:leader="none" w:pos="2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9" w:lineRule="exact"/>
        <w:rPr>
          <w:sz w:val="20"/>
          <w:szCs w:val="20"/>
          <w:color w:val="auto"/>
        </w:rPr>
      </w:pPr>
    </w:p>
    <w:p>
      <w:pPr>
        <w:jc w:val="both"/>
        <w:ind w:left="5" w:right="20"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16"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from time to time.</w:t>
      </w:r>
    </w:p>
    <w:p>
      <w:pPr>
        <w:spacing w:after="0" w:line="198"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53" w:lineRule="exact"/>
        <w:rPr>
          <w:sz w:val="20"/>
          <w:szCs w:val="20"/>
          <w:color w:val="auto"/>
        </w:rPr>
      </w:pPr>
    </w:p>
    <w:p>
      <w:pPr>
        <w:jc w:val="both"/>
        <w:ind w:left="5" w:firstLine="572"/>
        <w:spacing w:after="0" w:line="205"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7"/>
          <w:szCs w:val="17"/>
          <w:color w:val="auto"/>
        </w:rPr>
        <w:t>‑</w:t>
      </w:r>
      <w:r>
        <w:rPr>
          <w:rFonts w:ascii="Arial" w:cs="Arial" w:eastAsia="Arial" w:hAnsi="Arial"/>
          <w:sz w:val="17"/>
          <w:szCs w:val="17"/>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or in reorganization, within the meaning of Title IV of ERISA.</w:t>
      </w:r>
    </w:p>
    <w:p>
      <w:pPr>
        <w:spacing w:after="0" w:line="172" w:lineRule="exact"/>
        <w:rPr>
          <w:sz w:val="20"/>
          <w:szCs w:val="20"/>
          <w:color w:val="auto"/>
        </w:rPr>
      </w:pPr>
    </w:p>
    <w:p>
      <w:pPr>
        <w:jc w:val="both"/>
        <w:ind w:left="5"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Adjusted LIBO Rate.</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has the meaning assigned to such term in Article VII.</w:t>
      </w:r>
    </w:p>
    <w:p>
      <w:pPr>
        <w:spacing w:after="0" w:line="198" w:lineRule="exact"/>
        <w:rPr>
          <w:sz w:val="20"/>
          <w:szCs w:val="20"/>
          <w:color w:val="auto"/>
        </w:rPr>
      </w:pPr>
    </w:p>
    <w:p>
      <w:pPr>
        <w:jc w:val="both"/>
        <w:ind w:left="5" w:firstLine="57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Accounts</w:t>
      </w:r>
      <w:r>
        <w:rPr>
          <w:rFonts w:ascii="Arial" w:cs="Arial" w:eastAsia="Arial" w:hAnsi="Arial"/>
          <w:sz w:val="16"/>
          <w:szCs w:val="16"/>
          <w:color w:val="auto"/>
        </w:rPr>
        <w:t xml:space="preserve">” means, collectively, (a) any Deposit Account of any Loan Party which is used exclusively for the payment of payroll, payroll taxes, employee benefits or escrow deposits or to maintain client postage advances, and (b) any other Deposit Account or Securities Account of any Loan Party, so long as the aggregate amount of available funds on deposit in such Deposit Account or the aggregate value of all cash, investment property and other financial assets in such Securities Account, as applicable, does not at any time exceed $5,000,000 for more than five (5) consecutive Business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(i) the aggregate amount of available funds on deposit in all Deposit Accounts under this clause (b) plus (ii) the aggregate value of all cash, investment property and other financial assets in all Securities Accounts under this clause (b) does not at any time exceed $7,500,000.</w:t>
      </w:r>
    </w:p>
    <w:p>
      <w:pPr>
        <w:spacing w:after="0" w:line="146"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any Foreign Subsidiary (other than any Foreign Subsidiary which is, or pursuant to the terms hereof is required to be, a party to the Canadian Security Agreement, the Canadian Guarantee or the U.S. Security Agreement), (b) any Immaterial Domestic Subsidiary (other than a Designated Immaterial Subsidiary) or (c) any Immaterial Canadian Subsidiary (other than a Designated Immaterial Subsidiary).</w:t>
      </w:r>
    </w:p>
    <w:p>
      <w:pPr>
        <w:spacing w:after="0" w:line="153" w:lineRule="exact"/>
        <w:rPr>
          <w:sz w:val="20"/>
          <w:szCs w:val="20"/>
          <w:color w:val="auto"/>
        </w:rPr>
      </w:pPr>
    </w:p>
    <w:p>
      <w:pPr>
        <w:jc w:val="both"/>
        <w:ind w:left="5"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0" w:lineRule="exact"/>
        <w:rPr>
          <w:sz w:val="20"/>
          <w:szCs w:val="20"/>
          <w:color w:val="auto"/>
        </w:rPr>
      </w:pPr>
    </w:p>
    <w:p>
      <w:pPr>
        <w:jc w:val="both"/>
        <w:ind w:left="5" w:firstLine="572"/>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with respect to any payment made by any Loan Party under any Loan Document, any of the following Taxes imposed on or with respect to a Recipient: (a) Taxes imposed on or measured by net income (however denominated), franchise Taxes, and branch profits Taxes, in each case, (i) imposed as a result of such Recipient being organized under the laws of, or having its principal office located or, in the case of any Lender, in which its applicable lending office located in, the jurisdiction imposing such Tax (or any political subdivision thereof) or (ii) that are Other Connection Taxes, (b) in the case of a Lender, U.S. federal or Canadian federal withholding Taxes imposed on amounts payable to or for the account of such Lender with respect to an applicable interest in a Loan or Revolving Commitment pursuant to a law in effect on the date on which (i) such Lender acquires such interest in the Loan or Revolving Commitment (other than pursuant to an assignment request by a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(d) any U.S. federal withholding Taxes imposed under FATCA and (e) any withholding Tax that a Lender is required to pay or incur pursuant to Part XIII of the ITA that</w:t>
      </w:r>
    </w:p>
    <w:p>
      <w:pPr>
        <w:spacing w:after="0" w:line="6" w:lineRule="exact"/>
        <w:rPr>
          <w:sz w:val="20"/>
          <w:szCs w:val="20"/>
          <w:color w:val="auto"/>
        </w:rPr>
      </w:pPr>
    </w:p>
    <w:p>
      <w:pPr>
        <w:ind w:left="5" w:right="20" w:hanging="5"/>
        <w:spacing w:after="0" w:line="263" w:lineRule="auto"/>
        <w:tabs>
          <w:tab w:leader="none" w:pos="2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would not have been imposed had the Recipient and the payor of the amount been dealing with each other at arms’ length; or (ii) that arises because a dividend is deemed to be received by a Recipient in accordance with subsection 214(16) or subsection 214(17) of the ITA.</w:t>
      </w:r>
    </w:p>
    <w:p>
      <w:pPr>
        <w:spacing w:after="0" w:line="153" w:lineRule="exact"/>
        <w:rPr>
          <w:sz w:val="20"/>
          <w:szCs w:val="20"/>
          <w:color w:val="auto"/>
        </w:rPr>
      </w:pPr>
    </w:p>
    <w:p>
      <w:pPr>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Canadian Letters of Credit</w:t>
      </w:r>
      <w:r>
        <w:rPr>
          <w:rFonts w:ascii="Arial" w:cs="Arial" w:eastAsia="Arial" w:hAnsi="Arial"/>
          <w:sz w:val="17"/>
          <w:szCs w:val="17"/>
          <w:color w:val="auto"/>
        </w:rPr>
        <w:t xml:space="preserve">” means the letters of credit listed on </w:t>
      </w:r>
      <w:r>
        <w:rPr>
          <w:rFonts w:ascii="Arial" w:cs="Arial" w:eastAsia="Arial" w:hAnsi="Arial"/>
          <w:sz w:val="17"/>
          <w:szCs w:val="17"/>
          <w:u w:val="single" w:color="auto"/>
          <w:color w:val="auto"/>
        </w:rPr>
        <w:t>Schedule 2.06</w:t>
      </w:r>
      <w:r>
        <w:rPr>
          <w:rFonts w:ascii="Arial" w:cs="Arial" w:eastAsia="Arial" w:hAnsi="Arial"/>
          <w:sz w:val="17"/>
          <w:szCs w:val="17"/>
          <w:color w:val="auto"/>
        </w:rPr>
        <w:t xml:space="preserve"> hereto, which letters of credit have been issued by an Issuing Bank or any Lender for the purpose of providing capital support to the Canadian Borrowers.</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has the meaning assigned to such term in the recitals of this Agreement.</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Lenders</w:t>
      </w:r>
      <w:r>
        <w:rPr>
          <w:rFonts w:ascii="Arial" w:cs="Arial" w:eastAsia="Arial" w:hAnsi="Arial"/>
          <w:sz w:val="17"/>
          <w:szCs w:val="17"/>
          <w:color w:val="auto"/>
        </w:rPr>
        <w:t>” has the meaning assigned to such term in the recitals of this Agreement.</w:t>
      </w:r>
    </w:p>
    <w:p>
      <w:pPr>
        <w:sectPr>
          <w:pgSz w:w="11900" w:h="16838" w:orient="portrait"/>
          <w:cols w:equalWidth="0" w:num="1">
            <w:col w:w="11445"/>
          </w:cols>
          <w:pgMar w:left="235" w:top="124" w:right="219" w:bottom="0" w:gutter="0" w:footer="0" w:header="0"/>
        </w:sectPr>
      </w:pPr>
    </w:p>
    <w:bookmarkStart w:id="19" w:name="page20"/>
    <w:bookmarkEnd w:id="19"/>
    <w:p>
      <w:pPr>
        <w:spacing w:after="0" w:line="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Loan Documents</w:t>
      </w:r>
      <w:r>
        <w:rPr>
          <w:rFonts w:ascii="Arial" w:cs="Arial" w:eastAsia="Arial" w:hAnsi="Arial"/>
          <w:sz w:val="17"/>
          <w:szCs w:val="17"/>
          <w:color w:val="auto"/>
        </w:rPr>
        <w:t>” means the “Loan Documents” as defined in the Existing Credit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Existing Canadian Letters of Credit and the Existing U.S. Letters of Credit.</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Term Debt</w:t>
      </w:r>
      <w:r>
        <w:rPr>
          <w:rFonts w:ascii="Arial" w:cs="Arial" w:eastAsia="Arial" w:hAnsi="Arial"/>
          <w:sz w:val="17"/>
          <w:szCs w:val="17"/>
          <w:color w:val="auto"/>
        </w:rPr>
        <w:t>” means, as of any date, the Indebtedness of WESCO Distribution, Inc. and WDCC Enterprises owing under the Existing Term Loan Agreement as of such date.</w:t>
      </w:r>
    </w:p>
    <w:p>
      <w:pPr>
        <w:spacing w:after="0" w:line="14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Term Loan Agreement</w:t>
      </w:r>
      <w:r>
        <w:rPr>
          <w:rFonts w:ascii="Arial" w:cs="Arial" w:eastAsia="Arial" w:hAnsi="Arial"/>
          <w:sz w:val="17"/>
          <w:szCs w:val="17"/>
          <w:color w:val="auto"/>
        </w:rPr>
        <w:t>” means that certain Term Loan Agreement among WESCO Distribution, Inc., WDCC Enterprises, Holdings, the Term Loan Lenders, the Term Loan Agent and the other agents and arrangers party thereto dated as of the First Restatement Date, pursuant to which the Term Loan Lenders made a $700,000,000 term loan to WESCO Distribution, Inc. and a Cdn $150,000,000 term loan to WDCC Enterprises, as the same may be amended, supplemented or otherwise modified from time to time in accordance with the ABL-Term Loan Intercreditor Agreement.</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U.S. Letters of Credit</w:t>
      </w:r>
      <w:r>
        <w:rPr>
          <w:rFonts w:ascii="Arial" w:cs="Arial" w:eastAsia="Arial" w:hAnsi="Arial"/>
          <w:sz w:val="17"/>
          <w:szCs w:val="17"/>
          <w:color w:val="auto"/>
        </w:rPr>
        <w:t xml:space="preserve">” means the letters of credit listed on </w:t>
      </w:r>
      <w:r>
        <w:rPr>
          <w:rFonts w:ascii="Arial" w:cs="Arial" w:eastAsia="Arial" w:hAnsi="Arial"/>
          <w:sz w:val="17"/>
          <w:szCs w:val="17"/>
          <w:u w:val="single" w:color="auto"/>
          <w:color w:val="auto"/>
        </w:rPr>
        <w:t>Schedule 2.06</w:t>
      </w:r>
      <w:r>
        <w:rPr>
          <w:rFonts w:ascii="Arial" w:cs="Arial" w:eastAsia="Arial" w:hAnsi="Arial"/>
          <w:sz w:val="17"/>
          <w:szCs w:val="17"/>
          <w:color w:val="auto"/>
        </w:rPr>
        <w:t xml:space="preserve"> hereto, which letters of credit have been issued by an Issuing Bank or any Lender for the purpose of providing credit support to the U.S. Borrowers.</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agreements with respect thereto and applicable fiscal or regulatory legislation rules, practices or other official implementing guidance thereunder or pursuant to such intergovernmental agreements.</w:t>
      </w:r>
    </w:p>
    <w:p>
      <w:pPr>
        <w:spacing w:after="0" w:line="142"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provided, that, if the Federal Funds Effective Rate shall be less than zero, such rate shall be deemed to be zero for purposes of this Agreement.</w:t>
      </w:r>
    </w:p>
    <w:p>
      <w:pPr>
        <w:spacing w:after="0" w:line="16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principal accounting officer, treasurer, assistant treasurer or corporate controller of a Borrower or other officer so designated by the Borrower.</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Restatement Date</w:t>
      </w:r>
      <w:r>
        <w:rPr>
          <w:rFonts w:ascii="Arial" w:cs="Arial" w:eastAsia="Arial" w:hAnsi="Arial"/>
          <w:sz w:val="17"/>
          <w:szCs w:val="17"/>
          <w:color w:val="auto"/>
        </w:rPr>
        <w:t>” means December 12, 2012.</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for any period of four consecutive fiscal quarters, the ratio of (a) EBITDA for such period to (b) Fixed Charges for such period, all calculated for Holdings and its Restricted Subsidiaries on a consolidated basis in accordance with GAAP.</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Trigger Event</w:t>
      </w:r>
      <w:r>
        <w:rPr>
          <w:rFonts w:ascii="Arial" w:cs="Arial" w:eastAsia="Arial" w:hAnsi="Arial"/>
          <w:sz w:val="17"/>
          <w:szCs w:val="17"/>
          <w:color w:val="auto"/>
        </w:rPr>
        <w:t>” means any day on which either (a) a Specified Event of Default shall occur or (b) Aggregate Availability shall fall below the Aggregate Availability Trigger Amount.</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Trigger Period</w:t>
      </w:r>
      <w:r>
        <w:rPr>
          <w:rFonts w:ascii="Arial" w:cs="Arial" w:eastAsia="Arial" w:hAnsi="Arial"/>
          <w:sz w:val="17"/>
          <w:szCs w:val="17"/>
          <w:color w:val="auto"/>
        </w:rPr>
        <w:t>” means the period (a) commencing on the occurrence of a Fixed Charge Coverage Trigger Event and (b) continuing until the date on which Aggregate Availability has exceeded the Aggregate Availability Trigger Amount for thirty (30) consecutive days.</w:t>
      </w:r>
    </w:p>
    <w:p>
      <w:pPr>
        <w:spacing w:after="0" w:line="140"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means, with reference to any period, without duplication, cash Interest Expense, plus scheduled principal payments on Indebtedness made during such period (excluding (A) any scheduled payment on Indebtedness to the extent funded with additional Indebtedness permitted under Section 6.01 and (B) principal payments in respect of (i) the Revolving Loans or (ii) Indebtedness owing under the Receivables Securitization Agreements), plus expense for taxes paid in cash for such period, plus Restricted Payments (other than Restricted Payments made by any Loan Party or any Restricted Subsidiary of a Loan Party to any Loan Party or to one or more Intermediate Holding Companies that subsequently distribute the proceeds of such Restricted Payments to one or more Loan Parties) paid in cash during such period, plus Capital Lease Obligation payments and unfinanced Capital Expenditures made in cash made during such period (other than any such Capital Lease Obligation payments or Capital Expenditures to the extent that such Capital Lease Obligation payments or Capital Expenditures are made with proceeds from (A) any sale of assets permitted by this Agreement, (B) sale of Equity Interests permitted by this Agreement, (C) trade-ins of machinery, equipment or motor vehicles or (D) insurance covering any loss or damage to Collateral), all calculated for Holdings and its Restricted Subsidiaries on a consolidated basis in accordance with GAAP.</w:t>
      </w:r>
    </w:p>
    <w:p>
      <w:pPr>
        <w:spacing w:after="0" w:line="154"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Credit Extensions</w:t>
      </w:r>
      <w:r>
        <w:rPr>
          <w:rFonts w:ascii="Arial" w:cs="Arial" w:eastAsia="Arial" w:hAnsi="Arial"/>
          <w:sz w:val="16"/>
          <w:szCs w:val="16"/>
          <w:color w:val="auto"/>
        </w:rPr>
        <w:t>” means credit extended by any Lender (or any of its affiliates) to one or more of Holdings’ Foreign Subsidiaries, including Letters of Credit issued for the accounts of Holdings’ Foreign Subsidiaries (other than Letters of Credit issued under this Agreement), working capital and other loans made by any Lender (or any of its Affiliates) to Holdings’ Foreign Subsidiaries, guarantees by JPMorgan or any Lender (or any of its Affiliates) of indebtedness of Holdings’ Foreign Subsidiaries, international trade instruments issued or guaranteed by any Lender (or any of its affiliates) for the accounts of Holdings’ Foreign Subsidiaries, or other similar extensions of credit by any Lender (or any of its Affiliates) to Holdings’ foreign subsidiaries.</w:t>
      </w:r>
    </w:p>
    <w:p>
      <w:pPr>
        <w:spacing w:after="0" w:line="145"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Credit Reserves</w:t>
      </w:r>
      <w:r>
        <w:rPr>
          <w:rFonts w:ascii="Arial" w:cs="Arial" w:eastAsia="Arial" w:hAnsi="Arial"/>
          <w:sz w:val="17"/>
          <w:szCs w:val="17"/>
          <w:color w:val="auto"/>
        </w:rPr>
        <w:t>” means reserves (in an amount of US dollars constituting the Dollar Amount of the currency in which such credit extension is denominated) established by the Administrative Agent in its Permitted Discretion in respect of Foreign Credit Extensions.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Subsidiary</w:t>
      </w:r>
      <w:r>
        <w:rPr>
          <w:rFonts w:ascii="Arial" w:cs="Arial" w:eastAsia="Arial" w:hAnsi="Arial"/>
          <w:sz w:val="15"/>
          <w:szCs w:val="15"/>
          <w:color w:val="auto"/>
        </w:rPr>
        <w:t>” means, with respect to any Person, each subsidiary of such Person that is not a Domestic Subsidiary or a Canadian Subsidiary of such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Person.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Accounts</w:t>
      </w:r>
      <w:r>
        <w:rPr>
          <w:rFonts w:ascii="Arial" w:cs="Arial" w:eastAsia="Arial" w:hAnsi="Arial"/>
          <w:sz w:val="17"/>
          <w:szCs w:val="17"/>
          <w:color w:val="auto"/>
        </w:rPr>
        <w:t>” has the meaning assigned to such term in Section 4.01(g).</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means generally accepted accounting principles in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determination involving a Canadian Loan Party on a stand alone basis, “</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Canada.</w:t>
      </w:r>
    </w:p>
    <w:p>
      <w:pPr>
        <w:spacing w:after="0" w:line="14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53" w:lineRule="exact"/>
        <w:rPr>
          <w:sz w:val="20"/>
          <w:szCs w:val="20"/>
          <w:color w:val="auto"/>
        </w:rPr>
      </w:pPr>
    </w:p>
    <w:p>
      <w:pPr>
        <w:jc w:val="both"/>
        <w:ind w:right="20" w:firstLine="57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has the meaning assigned to such term in Section 10.01.</w:t>
      </w:r>
    </w:p>
    <w:p>
      <w:pPr>
        <w:sectPr>
          <w:pgSz w:w="11900" w:h="16890" w:orient="portrait"/>
          <w:cols w:equalWidth="0" w:num="1">
            <w:col w:w="11440"/>
          </w:cols>
          <w:pgMar w:left="240" w:top="124" w:right="219" w:bottom="0" w:gutter="0" w:footer="0" w:header="0"/>
        </w:sectPr>
      </w:pPr>
    </w:p>
    <w:bookmarkStart w:id="20" w:name="page21"/>
    <w:bookmarkEnd w:id="20"/>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in each case above as regulated pursuant to any Environmental Law.</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means WESCO International, Inc., a Delaware corporation.</w:t>
      </w:r>
    </w:p>
    <w:p>
      <w:pPr>
        <w:spacing w:after="0" w:line="198" w:lineRule="exact"/>
        <w:rPr>
          <w:sz w:val="20"/>
          <w:szCs w:val="20"/>
          <w:color w:val="auto"/>
        </w:rPr>
      </w:pPr>
    </w:p>
    <w:p>
      <w:pPr>
        <w:jc w:val="both"/>
        <w:ind w:left="5"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Hybrid Security</w:t>
      </w:r>
      <w:r>
        <w:rPr>
          <w:rFonts w:ascii="Arial" w:cs="Arial" w:eastAsia="Arial" w:hAnsi="Arial"/>
          <w:sz w:val="17"/>
          <w:szCs w:val="17"/>
          <w:color w:val="auto"/>
        </w:rPr>
        <w:t>” means, collectively, the Promissory Note issued by WDCC Enterprises to WDC Holding. in the original principal amount of $480,000,000 and the following related agreements: (i) the Forward Contribution Agreement by and between WDC Holding and WESCO Canada I, (ii) the Forward Contribution Agreement by and between WESCO Canada I and WDINESCO III B.V., (iii) the Forward Contribution Agreement by and between WDINESCO III B.V. and WDCC Enterprises and (v) the Guarantee Agreement by and between WDC Holding and WDCC Enterprises.</w:t>
      </w:r>
    </w:p>
    <w:p>
      <w:pPr>
        <w:spacing w:after="0" w:line="157"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IFRS</w:t>
      </w:r>
      <w:r>
        <w:rPr>
          <w:rFonts w:ascii="Arial" w:cs="Arial" w:eastAsia="Arial" w:hAnsi="Arial"/>
          <w:sz w:val="17"/>
          <w:szCs w:val="17"/>
          <w:color w:val="auto"/>
        </w:rPr>
        <w:t>” means the body of pronouncements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 and adapted for use in the European Union.</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Immaterial Canadian Subsidiary</w:t>
      </w:r>
      <w:r>
        <w:rPr>
          <w:rFonts w:ascii="Arial" w:cs="Arial" w:eastAsia="Arial" w:hAnsi="Arial"/>
          <w:sz w:val="15"/>
          <w:szCs w:val="15"/>
          <w:color w:val="auto"/>
        </w:rPr>
        <w:t>” means any Canadian Subsidiary, whether existing as of the Second Restatement Date or formed or acquired thereafter,</w:t>
      </w:r>
    </w:p>
    <w:p>
      <w:pPr>
        <w:spacing w:after="0" w:line="44" w:lineRule="exact"/>
        <w:rPr>
          <w:sz w:val="20"/>
          <w:szCs w:val="20"/>
          <w:color w:val="auto"/>
        </w:rPr>
      </w:pPr>
    </w:p>
    <w:p>
      <w:pPr>
        <w:jc w:val="both"/>
        <w:ind w:left="5" w:right="20" w:hanging="5"/>
        <w:spacing w:after="0" w:line="252"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w:t>
      </w:r>
    </w:p>
    <w:p>
      <w:pPr>
        <w:spacing w:after="0" w:line="163"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Domestic Subsidiary</w:t>
      </w:r>
      <w:r>
        <w:rPr>
          <w:rFonts w:ascii="Arial" w:cs="Arial" w:eastAsia="Arial" w:hAnsi="Arial"/>
          <w:sz w:val="16"/>
          <w:szCs w:val="16"/>
          <w:color w:val="auto"/>
        </w:rPr>
        <w:t>” means any Domestic Subsidiary, whether existing as of the Second Restatement Date or formed or acquired thereafter,</w:t>
      </w:r>
    </w:p>
    <w:p>
      <w:pPr>
        <w:spacing w:after="0" w:line="33" w:lineRule="exact"/>
        <w:rPr>
          <w:sz w:val="20"/>
          <w:szCs w:val="20"/>
          <w:color w:val="auto"/>
        </w:rPr>
      </w:pPr>
    </w:p>
    <w:p>
      <w:pPr>
        <w:jc w:val="both"/>
        <w:ind w:left="5" w:right="20" w:hanging="5"/>
        <w:spacing w:after="0" w:line="252"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w:t>
      </w:r>
    </w:p>
    <w:p>
      <w:pPr>
        <w:spacing w:after="0" w:line="163" w:lineRule="exact"/>
        <w:rPr>
          <w:sz w:val="20"/>
          <w:szCs w:val="20"/>
          <w:color w:val="auto"/>
        </w:rPr>
      </w:pPr>
    </w:p>
    <w:p>
      <w:pPr>
        <w:jc w:val="both"/>
        <w:ind w:left="5"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Foreign Subsidiary</w:t>
      </w:r>
      <w:r>
        <w:rPr>
          <w:rFonts w:ascii="Arial" w:cs="Arial" w:eastAsia="Arial" w:hAnsi="Arial"/>
          <w:sz w:val="17"/>
          <w:szCs w:val="17"/>
          <w:color w:val="auto"/>
        </w:rPr>
        <w:t>” means any Foreign Subsidiary, whether existing as of the Second Restatement Date or formed or acquired thereafter, (i) the revenues of which, as of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has the meaning assigned to such term in the definition of “</w:t>
      </w:r>
      <w:r>
        <w:rPr>
          <w:rFonts w:ascii="Arial" w:cs="Arial" w:eastAsia="Arial" w:hAnsi="Arial"/>
          <w:sz w:val="17"/>
          <w:szCs w:val="17"/>
          <w:u w:val="single" w:color="auto"/>
          <w:color w:val="auto"/>
        </w:rPr>
        <w:t>LIBO Rate</w:t>
      </w:r>
      <w:r>
        <w:rPr>
          <w:rFonts w:ascii="Arial" w:cs="Arial" w:eastAsia="Arial" w:hAnsi="Arial"/>
          <w:sz w:val="17"/>
          <w:szCs w:val="17"/>
          <w:color w:val="auto"/>
        </w:rPr>
        <w:t>”.</w:t>
      </w:r>
    </w:p>
    <w:p>
      <w:pPr>
        <w:spacing w:after="0" w:line="198" w:lineRule="exact"/>
        <w:rPr>
          <w:sz w:val="20"/>
          <w:szCs w:val="20"/>
          <w:color w:val="auto"/>
        </w:rPr>
      </w:pPr>
    </w:p>
    <w:p>
      <w:pPr>
        <w:jc w:val="both"/>
        <w:ind w:left="5" w:firstLine="572"/>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(l) all Swap Agreement Obligations of such Person (measured as provided in the definition of “Material Indebtedness”) and (m) any other Off-Balance Sheet Liability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operating leases as defined under GAAP as of the Second Restatement Date to the extent that such leases are deemed to be Indebtedness solely as a result of any change in the requirements under GAAP after the Second Restatement Date.</w:t>
      </w:r>
    </w:p>
    <w:p>
      <w:pPr>
        <w:spacing w:after="0" w:line="161"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any Loan Party under any Loan Document and (b) Other Taxes.</w:t>
      </w:r>
    </w:p>
    <w:p>
      <w:pPr>
        <w:spacing w:after="0" w:line="140" w:lineRule="exact"/>
        <w:rPr>
          <w:sz w:val="20"/>
          <w:szCs w:val="20"/>
          <w:color w:val="auto"/>
        </w:rPr>
      </w:pPr>
    </w:p>
    <w:p>
      <w:pPr>
        <w:jc w:val="both"/>
        <w:ind w:left="5"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Schedule</w:t>
      </w:r>
      <w:r>
        <w:rPr>
          <w:rFonts w:ascii="Arial" w:cs="Arial" w:eastAsia="Arial" w:hAnsi="Arial"/>
          <w:sz w:val="17"/>
          <w:szCs w:val="17"/>
          <w:color w:val="auto"/>
        </w:rPr>
        <w:t>” means the schedule of insurance coverage of the Loan Parties and the Restricted Subsidiaries delivered by the Loan Parties to the Administrative Agent on or prior to the Second Restatement Date, which schedule specifies that it constitutes the “Insurance Schedule” for purposes of this Agreement, as such schedule may be updated, amended or amended and restated from time to time.</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Guarantee</w:t>
      </w:r>
      <w:r>
        <w:rPr>
          <w:rFonts w:ascii="Arial" w:cs="Arial" w:eastAsia="Arial" w:hAnsi="Arial"/>
          <w:sz w:val="17"/>
          <w:szCs w:val="17"/>
          <w:color w:val="auto"/>
        </w:rPr>
        <w:t>” means a guaranty by any Loan Party of an Intercompany Obligation of another Loan Party.</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Loan</w:t>
      </w:r>
      <w:r>
        <w:rPr>
          <w:rFonts w:ascii="Arial" w:cs="Arial" w:eastAsia="Arial" w:hAnsi="Arial"/>
          <w:sz w:val="17"/>
          <w:szCs w:val="17"/>
          <w:color w:val="auto"/>
        </w:rPr>
        <w:t>” means a loan or advance made by one Loan Party to another Loan Party, whether or not evidenced by a promissory note or other instrument.</w:t>
      </w:r>
    </w:p>
    <w:p>
      <w:pPr>
        <w:spacing w:after="0" w:line="14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Note</w:t>
      </w:r>
      <w:r>
        <w:rPr>
          <w:rFonts w:ascii="Arial" w:cs="Arial" w:eastAsia="Arial" w:hAnsi="Arial"/>
          <w:sz w:val="17"/>
          <w:szCs w:val="17"/>
          <w:color w:val="auto"/>
        </w:rPr>
        <w:t>” means any promissory note or other instrument evidencing an Intercompany Obligation.</w:t>
      </w:r>
    </w:p>
    <w:p>
      <w:pPr>
        <w:spacing w:after="0" w:line="198"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Obligation</w:t>
      </w:r>
      <w:r>
        <w:rPr>
          <w:rFonts w:ascii="Arial" w:cs="Arial" w:eastAsia="Arial" w:hAnsi="Arial"/>
          <w:sz w:val="17"/>
          <w:szCs w:val="17"/>
          <w:color w:val="auto"/>
        </w:rPr>
        <w:t>” means any liability or obligation, contingent or otherwise, of one or more Loan Parties to one or more other Loan Parties, whether in respect of an Intercompany Loan or an Intercompany Guarantee, or in respect of property or other goods sold or delivered or for services rendered, or under a conditional sale or other title retention agreement, and, in each case, whether or not evidenced by an Intercompany Note.</w:t>
      </w:r>
    </w:p>
    <w:p>
      <w:pPr>
        <w:spacing w:after="0" w:line="153"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(i) that certain Amended and Restated Intercreditor Agreement, dated as of the First Restatement Date, by and among the Administrative Agent, the Term Loan Agent, WESCO Distribution, Inc., WESCO Receivables and PNC Bank National Association as receivables agent, as the same may be amended, supplemented or otherwise modified from time to time and (ii) any other similar Intercreditor Agreement(s) executed and delivered after the Second Restatement Date by the Administrative Agent in connection with the Receivables Securitization Agreements.</w:t>
      </w:r>
    </w:p>
    <w:p>
      <w:pPr>
        <w:spacing w:after="0" w:line="142"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Representative to convert or continue a Revolving Borrowing in accordance with Section 2.08.</w:t>
      </w:r>
    </w:p>
    <w:p>
      <w:pPr>
        <w:spacing w:after="0" w:line="140" w:lineRule="exact"/>
        <w:rPr>
          <w:sz w:val="20"/>
          <w:szCs w:val="20"/>
          <w:color w:val="auto"/>
        </w:rPr>
      </w:pPr>
    </w:p>
    <w:p>
      <w:pPr>
        <w:jc w:val="both"/>
        <w:ind w:left="5" w:right="20" w:firstLine="572"/>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Expense</w:t>
      </w:r>
      <w:r>
        <w:rPr>
          <w:rFonts w:ascii="Arial" w:cs="Arial" w:eastAsia="Arial" w:hAnsi="Arial"/>
          <w:sz w:val="15"/>
          <w:szCs w:val="15"/>
          <w:color w:val="auto"/>
        </w:rPr>
        <w:t>” means, with reference to any period, total interest expense (whether cash or non-cash interest expense and including interest expense attributable to Capital Lease Obligations) of Holdings and its Restricted Subsidiaries for such period with respect to all outstanding Indebtedness of Holdings and</w:t>
      </w:r>
    </w:p>
    <w:p>
      <w:pPr>
        <w:sectPr>
          <w:pgSz w:w="11900" w:h="16838" w:orient="portrait"/>
          <w:cols w:equalWidth="0" w:num="1">
            <w:col w:w="11445"/>
          </w:cols>
          <w:pgMar w:left="235" w:top="315" w:right="219" w:bottom="0" w:gutter="0" w:footer="0" w:header="0"/>
        </w:sectPr>
      </w:pPr>
    </w:p>
    <w:bookmarkStart w:id="21" w:name="page22"/>
    <w:bookmarkEnd w:id="21"/>
    <w:p>
      <w:pPr>
        <w:jc w:val="both"/>
        <w:spacing w:after="0" w:line="265" w:lineRule="auto"/>
        <w:rPr>
          <w:sz w:val="20"/>
          <w:szCs w:val="20"/>
          <w:color w:val="auto"/>
        </w:rPr>
      </w:pPr>
      <w:r>
        <w:rPr>
          <w:rFonts w:ascii="Arial" w:cs="Arial" w:eastAsia="Arial" w:hAnsi="Arial"/>
          <w:sz w:val="17"/>
          <w:szCs w:val="17"/>
          <w:color w:val="auto"/>
        </w:rPr>
        <w:t>its Restricted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Holdings and its Restricted Subsidiaries for such period in accordance with GAAP.</w:t>
      </w:r>
    </w:p>
    <w:p>
      <w:pPr>
        <w:spacing w:after="0" w:line="152"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and Canadian Prime Rate Loan (other than a Swingline Loan), the first Business Day of each calendar month and the Maturity Date, and (b) with respect to any Eurodollar Loan or CDOR Rate Loan, the last day of the Interest Period applicable to the Borrowing of which such Loan is a part and, in the case of a Eurodollar Borrowing or a CDOR Rate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61" w:lineRule="exact"/>
        <w:rPr>
          <w:sz w:val="20"/>
          <w:szCs w:val="20"/>
          <w:color w:val="auto"/>
        </w:rPr>
      </w:pPr>
    </w:p>
    <w:p>
      <w:pPr>
        <w:jc w:val="both"/>
        <w:ind w:firstLine="572"/>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 any Eurodollar Borrowing, the period commencing on the date of such Borrowing and ending on the numerically corresponding day in the calendar month that is one, two, three or six months thereafter, as the Borrower Representative may elect, and (b) any CDOR Rate Borrowing, the period commencing on the date of such Borrowing and ending on the date that is one, two, three or six months thereafter, as the Borrower Representative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CDOR Rate Borrowing or a Eurodollar Borrowing, thereafter shall be the effective date of the most recent conversion or continuation of such Borrowing.</w:t>
      </w:r>
    </w:p>
    <w:p>
      <w:pPr>
        <w:spacing w:after="0" w:line="151"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Intermediate Holding Company</w:t>
      </w:r>
      <w:r>
        <w:rPr>
          <w:rFonts w:ascii="Arial" w:cs="Arial" w:eastAsia="Arial" w:hAnsi="Arial"/>
          <w:sz w:val="17"/>
          <w:szCs w:val="17"/>
          <w:color w:val="auto"/>
        </w:rPr>
        <w:t>” means a Subsidiary which has no Indebtedness (other than pursuant to the Loan Documents or intercompany Indebtedness to Holdings or any Restricted Subsidiary of Holdings not prohibited by Section 6.01) and holds no material assets other than Equity Interests in another Subsidiary.</w:t>
      </w:r>
    </w:p>
    <w:p>
      <w:pPr>
        <w:spacing w:after="0" w:line="153"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has the meaning assigned to such term in the U.S. Security Agreement.</w:t>
      </w:r>
    </w:p>
    <w:p>
      <w:pPr>
        <w:spacing w:after="0" w:line="198"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for any Person: (a) the acquisition (whether for cash, property, services or securities or otherwise) of capital stock, bonds, notes, debentures, partnership, limited liability company or other ownership interests or other securities of any other Person or any agreement to make any such acquisition (including any “short sale” or any sale of any securities at a time when such securities are not owned by the Person entering into such short sale); (b) the making of any deposit with, or advance, loan or other extension of credit to, any other Person (including the purchase of property from another Person subject to an understanding or agreement, contingent or otherwise, to resell such property to such Person); or (c) the entering into of any Guarantee of, or other contingent obligation with respect to, Indebtedness or other liability of any other Person and (without duplication) any amount committed to be advanced, lent or extended to such Person. Notwithstanding the foregoing, Capital Expenditures shall not be deemed “Investments” for purposes hereof.</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198"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individually and collectively each of JPMorgan, Bank of America, N.A., HSBC Bank USA, National Association, The Bank of Nova Scotia, and any other Lender proposed by the Borrower Representative that has agreed to act at an Issuing Bank and is reasonably acceptable to the Administrative Agent, each in its capacity as an issuer of Letters of Credit hereunder, and its successors in such capacity as provided in Section 2.06(j). The Issuing Bank may, in its discretion, arrange for one or more Letters of Credit to be issued by Affiliates of such Issuing Bank, in which case the term “Issuing Banks”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ITA</w:t>
      </w:r>
      <w:r>
        <w:rPr>
          <w:rFonts w:ascii="Arial" w:cs="Arial" w:eastAsia="Arial" w:hAnsi="Arial"/>
          <w:sz w:val="17"/>
          <w:szCs w:val="17"/>
          <w:color w:val="auto"/>
        </w:rPr>
        <w:t>” means the Income Tax Act (Canada) and the regulations thereunder,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Joinder Agreement</w:t>
      </w:r>
      <w:r>
        <w:rPr>
          <w:rFonts w:ascii="Arial" w:cs="Arial" w:eastAsia="Arial" w:hAnsi="Arial"/>
          <w:sz w:val="17"/>
          <w:szCs w:val="17"/>
          <w:color w:val="auto"/>
        </w:rPr>
        <w:t>” has the meaning assigned to such term in Section 5.13.</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JPMorgan</w:t>
      </w:r>
      <w:r>
        <w:rPr>
          <w:rFonts w:ascii="Arial" w:cs="Arial" w:eastAsia="Arial" w:hAnsi="Arial"/>
          <w:sz w:val="17"/>
          <w:szCs w:val="17"/>
          <w:color w:val="auto"/>
        </w:rPr>
        <w:t>” means JPMorgan Chase Bank, N.A., a national banking association, in its individual capacity, and its successors.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Aggregate Maximum Amount</w:t>
      </w:r>
      <w:r>
        <w:rPr>
          <w:rFonts w:ascii="Arial" w:cs="Arial" w:eastAsia="Arial" w:hAnsi="Arial"/>
          <w:sz w:val="17"/>
          <w:szCs w:val="17"/>
          <w:color w:val="auto"/>
        </w:rPr>
        <w:t>” means $125,000,000.</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Alternative Currency</w:t>
      </w:r>
      <w:r>
        <w:rPr>
          <w:rFonts w:ascii="Arial" w:cs="Arial" w:eastAsia="Arial" w:hAnsi="Arial"/>
          <w:sz w:val="17"/>
          <w:szCs w:val="17"/>
          <w:color w:val="auto"/>
        </w:rPr>
        <w:t>” means any lawful currency (other than dollars or Canadian Dollars) acceptable to the Issuing Banks and which is freely transferable and convertible into dollars in the United States or London currency market, as applicable, and is freely available to the applicable Issuing Bank in the London interbank deposit market.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Alternative Currency Sublimit</w:t>
      </w:r>
      <w:r>
        <w:rPr>
          <w:rFonts w:ascii="Arial" w:cs="Arial" w:eastAsia="Arial" w:hAnsi="Arial"/>
          <w:sz w:val="17"/>
          <w:szCs w:val="17"/>
          <w:color w:val="auto"/>
        </w:rPr>
        <w:t>” means $30,000,000.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Collateral Account</w:t>
      </w:r>
      <w:r>
        <w:rPr>
          <w:rFonts w:ascii="Arial" w:cs="Arial" w:eastAsia="Arial" w:hAnsi="Arial"/>
          <w:sz w:val="17"/>
          <w:szCs w:val="17"/>
          <w:color w:val="auto"/>
        </w:rPr>
        <w:t>” has the meaning assigned to such term in Section 2.06(k).</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Disbursement</w:t>
      </w:r>
      <w:r>
        <w:rPr>
          <w:rFonts w:ascii="Arial" w:cs="Arial" w:eastAsia="Arial" w:hAnsi="Arial"/>
          <w:sz w:val="17"/>
          <w:szCs w:val="17"/>
          <w:color w:val="auto"/>
        </w:rPr>
        <w:t xml:space="preserve">” means a payment made by the Issuing Bank pursuant to a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component of any such amount in an LC Alternative Currency under a U.S. Letter of Credit, such amount shall be the Dollar Amount thereof.</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the U.S. LC Exposure and the Canadian LC Exposure.</w:t>
      </w:r>
    </w:p>
    <w:p>
      <w:pPr>
        <w:spacing w:after="0" w:line="198"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Individual Sublimit</w:t>
      </w:r>
      <w:r>
        <w:rPr>
          <w:rFonts w:ascii="Arial" w:cs="Arial" w:eastAsia="Arial" w:hAnsi="Arial"/>
          <w:sz w:val="16"/>
          <w:szCs w:val="16"/>
          <w:color w:val="auto"/>
        </w:rPr>
        <w:t>” means (a) $30,000,000 for JPMorgan Chase Bank, N.A., in its capacity as an Issuing Bank, (b) $30,000,000 for Bank of America, N.A., in its capacity as an Issuing Bank, (c) $10,000,000 for HSBC Bank USA, National Association, in its capacity as an Issuing Bank, (d) $5,000,000 for Bank of Nova Scotia, in its capacity as an Issuing Bank and (e) with respect to any other Issuing Bank, such amount agreed to by the Borrowers and such Issuing Bank; provided that, at the request of the Borrowers, any Issuing Bank may, in its sole discretion, without the necessity of obtaining the consent of the Administrative Agents or any Lender, elect to increase its LC Individual Sublimit in an amount not to exceed the Revolving Commitment of the applicable Lender so long as after giving effect to such increase, the aggregate LC Individual Sublimit of all Issuing Banks does not exceed the LC Aggregate Maximum Amount.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means, individually and collectively as the context may require, the Agents, the Lenders and the Issuing Banks.</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individually and collectively as the context may require, the Canadian Lenders and the U.S. Lenders. Unless the context otherwise requires, the term “Lenders” includes the Swingline Lenders.</w:t>
      </w:r>
    </w:p>
    <w:p>
      <w:pPr>
        <w:sectPr>
          <w:pgSz w:w="11900" w:h="16838" w:orient="portrait"/>
          <w:cols w:equalWidth="0" w:num="1">
            <w:col w:w="11440"/>
          </w:cols>
          <w:pgMar w:left="240" w:top="124" w:right="219" w:bottom="0" w:gutter="0" w:footer="0" w:header="0"/>
        </w:sectPr>
      </w:pPr>
    </w:p>
    <w:bookmarkStart w:id="22" w:name="page23"/>
    <w:bookmarkEnd w:id="22"/>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means any letter of credit issued pursuant to this Agreement.</w:t>
      </w:r>
    </w:p>
    <w:p>
      <w:pPr>
        <w:spacing w:after="0" w:line="199" w:lineRule="exact"/>
        <w:rPr>
          <w:sz w:val="20"/>
          <w:szCs w:val="20"/>
          <w:color w:val="auto"/>
        </w:rPr>
      </w:pPr>
    </w:p>
    <w:p>
      <w:pPr>
        <w:jc w:val="both"/>
        <w:ind w:right="20" w:firstLine="572"/>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w:t>
      </w:r>
      <w:r>
        <w:rPr>
          <w:rFonts w:ascii="Arial" w:cs="Arial" w:eastAsia="Arial" w:hAnsi="Arial"/>
          <w:sz w:val="16"/>
          <w:szCs w:val="16"/>
          <w:u w:val="single" w:color="auto"/>
          <w:color w:val="auto"/>
        </w:rPr>
        <w:t>LIBO Screen Rate</w:t>
      </w:r>
      <w:r>
        <w:rPr>
          <w:rFonts w:ascii="Arial" w:cs="Arial" w:eastAsia="Arial" w:hAnsi="Arial"/>
          <w:sz w:val="16"/>
          <w:szCs w:val="16"/>
          <w:color w:val="auto"/>
        </w:rPr>
        <w:t>”) at approximately 11:00 a.m., London time, two (2) Business Days prior to the commencement of such Interest Period; provided that, (x) if the LIBO Screen Rate shall be less than zero, such rate shall be deemed to be zero for the purposes of this Agreement and (y) if the LIBO Screen Rate shall not be available at such time for a period equal in length to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then the LIBO Rate shall be the Interpolated Rate at such time, subject to Section 2.14 in the event that the Administrative Agent shall conclude that it shall not be possible to determine such Interpolated Rate (which conclusion shall be conclusive and binding absent manifest error); provided further, that, if any Interpolated Rate shall be less than zero, such rate shall be deemed to be zero for purposes of this Agreement. Notwithstanding the above, to the extent that “LIBO Rate” or “Adjusted LIBO Rate” is used in connection with an ABR Borrowing, such rate shall be determined as modified by the definition of Alternate Base Rate.</w:t>
      </w:r>
    </w:p>
    <w:p>
      <w:pPr>
        <w:spacing w:after="0" w:line="156"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7"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individually and collectively as the context may require, this Agreement, any promissory notes issued pursuant to this Agreement, any Letter of Credit applications, the Collateral Documents, each Loan Guaranty, each Canadian Guarantee, the Intercreditor Agreement, the ABL-Term Loan Intercreditor Agreement, the Affiliate Subordination Agreement and each additional guaranty entered into by a Canadian Loan Party pursuant to Section 5.13, and all other agreements, instruments, documents and certificates identified in Section 4.01 executed and delivered to, or in favor of, the Administrative Agent, the Canadian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the Canadian Administrative Agent or any Lender in connection with this Agreement or the transactions contemplated thereby.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64"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Guarantor</w:t>
      </w:r>
      <w:r>
        <w:rPr>
          <w:rFonts w:ascii="Arial" w:cs="Arial" w:eastAsia="Arial" w:hAnsi="Arial"/>
          <w:sz w:val="17"/>
          <w:szCs w:val="17"/>
          <w:color w:val="auto"/>
        </w:rPr>
        <w:t>” means (a) with respect to the U.S. Obligations, each U.S. Borrower, each U.S. Loan Guarantor and any other Person that becomes a U.S. Loan Guarantor pursuant to Section 5.13; and (b) with respect to the Canadian Obligations, each Loan Party and any other Person that becomes a Loan Guarantor pursuant to Section 5.13.</w:t>
      </w:r>
    </w:p>
    <w:p>
      <w:pPr>
        <w:spacing w:after="0" w:line="153"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Guaranty</w:t>
      </w:r>
      <w:r>
        <w:rPr>
          <w:rFonts w:ascii="Arial" w:cs="Arial" w:eastAsia="Arial" w:hAnsi="Arial"/>
          <w:sz w:val="17"/>
          <w:szCs w:val="17"/>
          <w:color w:val="auto"/>
        </w:rPr>
        <w:t>” means (a) each U.S. Loan Party Guaranty and (b) each other separate Guarantee in form and substance reasonably satisfactory to the Administrative Agent delivered by each Loan Guarantor that is a Foreign Subsidiary of Holdings (provided, that any Guarantee provided by a Foreign Subsidiary of Holdings shall be governed by the laws of the country in which such Foreign Subsidiary is located), as the same may be amended or modified and in effect from time to time.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individually and collectively as the context may require, the U.S. Loan Parties and the Canadian Loan Parties.</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and advances made by the Lenders pursuant to this Agreement, including Swingline Loans, Overadvances and Protective Advances.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Lock Box</w:t>
      </w:r>
      <w:r>
        <w:rPr>
          <w:rFonts w:ascii="Arial" w:cs="Arial" w:eastAsia="Arial" w:hAnsi="Arial"/>
          <w:sz w:val="17"/>
          <w:szCs w:val="17"/>
          <w:color w:val="auto"/>
        </w:rPr>
        <w:t>” means a postal lock box established by any Person with any banking institution, securities intermediary or other financial institution.</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MaxCell Patents</w:t>
      </w:r>
      <w:r>
        <w:rPr>
          <w:rFonts w:ascii="Arial" w:cs="Arial" w:eastAsia="Arial" w:hAnsi="Arial"/>
          <w:sz w:val="17"/>
          <w:szCs w:val="17"/>
          <w:color w:val="auto"/>
        </w:rPr>
        <w:t>” means domestic and international patents and patents pending associated with the fabric innerduct and conduit divider system known as MaxCell.</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Cost</w:t>
      </w:r>
      <w:r>
        <w:rPr>
          <w:rFonts w:ascii="Arial" w:cs="Arial" w:eastAsia="Arial" w:hAnsi="Arial"/>
          <w:sz w:val="17"/>
          <w:szCs w:val="17"/>
          <w:color w:val="auto"/>
        </w:rPr>
        <w:t xml:space="preserve">” means, with respect to any period, the percentage rate per annum determined in accordance with </w:t>
      </w:r>
      <w:r>
        <w:rPr>
          <w:rFonts w:ascii="Arial" w:cs="Arial" w:eastAsia="Arial" w:hAnsi="Arial"/>
          <w:sz w:val="17"/>
          <w:szCs w:val="17"/>
          <w:u w:val="single" w:color="auto"/>
          <w:color w:val="auto"/>
        </w:rPr>
        <w:t>Schedule 1.01</w:t>
      </w:r>
      <w:r>
        <w:rPr>
          <w:rFonts w:ascii="Arial" w:cs="Arial" w:eastAsia="Arial" w:hAnsi="Arial"/>
          <w:sz w:val="17"/>
          <w:szCs w:val="17"/>
          <w:color w:val="auto"/>
        </w:rPr>
        <w:t>.</w:t>
      </w:r>
    </w:p>
    <w:p>
      <w:pPr>
        <w:spacing w:after="0" w:line="19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operations or financial condition, of Holdings and its Subsidiaries taken as a whole, (b) the ability of the Loan Parties, taken as a whole, to perform any of their obligations under the Loan Documents to which they are a party, (c) the Collateral, the Administrative Agent’s Liens (for the benefit of the Lender Parties or the Canadian Lender Parties, as the case may be) on the Collateral or the priority of such Liens (this clause (c) to be taken as a whole), or (d) the rights of or benefits available to the Administrative Agent, the Canadian Administrative Agent, the Issuing Bank or the Lenders under any of the Loan Documents.</w:t>
      </w:r>
    </w:p>
    <w:p>
      <w:pPr>
        <w:spacing w:after="0" w:line="161"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or obligations in respect of one or more Swap Agreements, of any one or more of Holdings and its Restricted Subsidiaries in an aggregate principal amount exceeding $35,000,000. For purposes of determining Material Indebtedness, the “obligations” of any Loan Party or any Restricted Subsidiary in respect of any Swap Agreement at any time shall be the maximum aggregate amount (giving effect to any netting agreements) that such Loan Party or such Subsidiary would be required to pay if such Swap Agreement were terminated at such time.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September 24, 2020.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Liability</w:t>
      </w:r>
      <w:r>
        <w:rPr>
          <w:rFonts w:ascii="Arial" w:cs="Arial" w:eastAsia="Arial" w:hAnsi="Arial"/>
          <w:sz w:val="17"/>
          <w:szCs w:val="17"/>
          <w:color w:val="auto"/>
        </w:rPr>
        <w:t>” has the meaning assigned to such term in Section 10.10.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Financials Reporting Trigger Period</w:t>
      </w:r>
      <w:r>
        <w:rPr>
          <w:rFonts w:ascii="Arial" w:cs="Arial" w:eastAsia="Arial" w:hAnsi="Arial"/>
          <w:sz w:val="17"/>
          <w:szCs w:val="17"/>
          <w:color w:val="auto"/>
        </w:rPr>
        <w:t>” means the period (a) commencing on the day that (i) an Event of Default occurs or (ii) Combined Availability falls below the Combined Availability Trigger Amount; and (b) continuing until the date on which, at all times during the preceding thirty (30) consecutive days, (i) no Event of Default has existed and (ii) Combined Availability has been greater than the Combined Availability Trigger Amount.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as defined in Section 4001(a)(3) of ERISA.</w:t>
      </w:r>
    </w:p>
    <w:p>
      <w:pPr>
        <w:spacing w:after="0" w:line="198" w:lineRule="exact"/>
        <w:rPr>
          <w:sz w:val="20"/>
          <w:szCs w:val="20"/>
          <w:color w:val="auto"/>
        </w:rPr>
      </w:pPr>
    </w:p>
    <w:p>
      <w:pPr>
        <w:jc w:val="both"/>
        <w:ind w:right="20" w:firstLine="57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xml:space="preserve">” means, for any period, the consolidated net income (or loss) of Holdings and its Restricted Subsidiaries,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(or deficit) of any Person accrued prior to the date it becomes a Restricted Subsidiary or is merged into or consolidated with Holdings or any of its Restricted Subsidiaries, (b) the income (or deficit) of any Person (other than a Restricted Subsidiary) in which Holdings or any of its Subsidiaries has an ownership interest, except to the extent that any such income is actually received by Holdings or a Restricted Subsidiary in the form of dividends or similar distributions and (c) the undistributed earnings of any Restricted Subsidiary to the extent that the</w:t>
      </w:r>
    </w:p>
    <w:p>
      <w:pPr>
        <w:sectPr>
          <w:pgSz w:w="11900" w:h="16838" w:orient="portrait"/>
          <w:cols w:equalWidth="0" w:num="1">
            <w:col w:w="11440"/>
          </w:cols>
          <w:pgMar w:left="240" w:top="124" w:right="219" w:bottom="0" w:gutter="0" w:footer="0" w:header="0"/>
        </w:sectPr>
      </w:pPr>
    </w:p>
    <w:bookmarkStart w:id="23" w:name="page24"/>
    <w:bookmarkEnd w:id="23"/>
    <w:p>
      <w:pPr>
        <w:spacing w:after="0" w:line="89"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7"/>
          <w:szCs w:val="17"/>
          <w:color w:val="auto"/>
        </w:rPr>
        <w:t>declaration or payment of dividends or similar distributions by such Restricted Subsidiary is prohibited by the terms of any contractual obligation (other than under any Loan Document) or Requirement of Law applicable to such Restricted Subsidiary.</w:t>
      </w:r>
    </w:p>
    <w:p>
      <w:pPr>
        <w:spacing w:after="0" w:line="138"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Orderly Liquidation Value</w:t>
      </w:r>
      <w:r>
        <w:rPr>
          <w:rFonts w:ascii="Arial" w:cs="Arial" w:eastAsia="Arial" w:hAnsi="Arial"/>
          <w:sz w:val="17"/>
          <w:szCs w:val="17"/>
          <w:color w:val="auto"/>
        </w:rPr>
        <w:t>” means, with respect to Inventory of any Person, the orderly liquidation value thereof as determined in a manner acceptable to the Administrative Agent in its Permitted Discretion by an appraiser reasonably acceptable to the Administrative Agent, net of all costs of liquidation thereof.</w:t>
      </w:r>
    </w:p>
    <w:p>
      <w:pPr>
        <w:spacing w:after="0" w:line="153" w:lineRule="exact"/>
        <w:rPr>
          <w:sz w:val="20"/>
          <w:szCs w:val="20"/>
          <w:color w:val="auto"/>
        </w:rPr>
      </w:pPr>
    </w:p>
    <w:p>
      <w:pPr>
        <w:jc w:val="both"/>
        <w:ind w:left="5" w:firstLine="57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Proceeds</w:t>
      </w:r>
      <w:r>
        <w:rPr>
          <w:rFonts w:ascii="Arial" w:cs="Arial" w:eastAsia="Arial" w:hAnsi="Arial"/>
          <w:sz w:val="15"/>
          <w:szCs w:val="15"/>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w:t>
      </w:r>
    </w:p>
    <w:p>
      <w:pPr>
        <w:spacing w:after="0" w:line="1" w:lineRule="exact"/>
        <w:rPr>
          <w:sz w:val="20"/>
          <w:szCs w:val="20"/>
          <w:color w:val="auto"/>
        </w:rPr>
      </w:pPr>
    </w:p>
    <w:p>
      <w:pPr>
        <w:jc w:val="both"/>
        <w:ind w:left="5" w:hanging="5"/>
        <w:spacing w:after="0" w:line="251" w:lineRule="auto"/>
        <w:tabs>
          <w:tab w:leader="none" w:pos="3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6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has the meaning assigned to such term in Section 9.02(d).</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Lender</w:t>
      </w:r>
      <w:r>
        <w:rPr>
          <w:rFonts w:ascii="Arial" w:cs="Arial" w:eastAsia="Arial" w:hAnsi="Arial"/>
          <w:sz w:val="17"/>
          <w:szCs w:val="17"/>
          <w:color w:val="auto"/>
        </w:rPr>
        <w:t>” means a Lender that is not a U.S. Person.</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Non-Paying Guarantor</w:t>
      </w:r>
      <w:r>
        <w:rPr>
          <w:rFonts w:ascii="Arial" w:cs="Arial" w:eastAsia="Arial" w:hAnsi="Arial"/>
          <w:sz w:val="17"/>
          <w:szCs w:val="17"/>
          <w:color w:val="auto"/>
        </w:rPr>
        <w:t>” has the meaning assigned to such term in Section 10.11.</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Obligated Party</w:t>
      </w:r>
      <w:r>
        <w:rPr>
          <w:rFonts w:ascii="Arial" w:cs="Arial" w:eastAsia="Arial" w:hAnsi="Arial"/>
          <w:sz w:val="17"/>
          <w:szCs w:val="17"/>
          <w:color w:val="auto"/>
        </w:rPr>
        <w:t>” has the meaning assigned to such term in Section 10.02.</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individually and collectively as the context may require, the U.S. Obligations and the Canadian Obligations.</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Office of Foreign Assets Control of the United States Department of the Treasury.</w:t>
      </w:r>
    </w:p>
    <w:p>
      <w:pPr>
        <w:spacing w:after="0" w:line="198" w:lineRule="exact"/>
        <w:rPr>
          <w:sz w:val="20"/>
          <w:szCs w:val="20"/>
          <w:color w:val="auto"/>
        </w:rPr>
      </w:pPr>
    </w:p>
    <w:p>
      <w:pPr>
        <w:jc w:val="both"/>
        <w:ind w:left="5"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Off-Balance Sheet Liability</w:t>
      </w:r>
      <w:r>
        <w:rPr>
          <w:rFonts w:ascii="Arial" w:cs="Arial" w:eastAsia="Arial" w:hAnsi="Arial"/>
          <w:sz w:val="17"/>
          <w:szCs w:val="17"/>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Closing Date</w:t>
      </w:r>
      <w:r>
        <w:rPr>
          <w:rFonts w:ascii="Arial" w:cs="Arial" w:eastAsia="Arial" w:hAnsi="Arial"/>
          <w:sz w:val="17"/>
          <w:szCs w:val="17"/>
          <w:color w:val="auto"/>
        </w:rPr>
        <w:t>” means August 22, 2011.</w:t>
      </w:r>
    </w:p>
    <w:p>
      <w:pPr>
        <w:spacing w:after="0" w:line="198" w:lineRule="exact"/>
        <w:rPr>
          <w:sz w:val="20"/>
          <w:szCs w:val="20"/>
          <w:color w:val="auto"/>
        </w:rPr>
      </w:pPr>
    </w:p>
    <w:p>
      <w:pPr>
        <w:jc w:val="both"/>
        <w:ind w:left="5"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69" w:lineRule="exact"/>
        <w:rPr>
          <w:sz w:val="20"/>
          <w:szCs w:val="20"/>
          <w:color w:val="auto"/>
        </w:rPr>
      </w:pPr>
    </w:p>
    <w:p>
      <w:pPr>
        <w:jc w:val="both"/>
        <w:ind w:left="5"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2.19(b)).</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Overadvances</w:t>
      </w:r>
      <w:r>
        <w:rPr>
          <w:rFonts w:ascii="Arial" w:cs="Arial" w:eastAsia="Arial" w:hAnsi="Arial"/>
          <w:sz w:val="17"/>
          <w:szCs w:val="17"/>
          <w:color w:val="auto"/>
        </w:rPr>
        <w:t>” means, individually and collectively as the context may require, the U.S. Overadvances and the Canadian Overadvances.</w:t>
      </w:r>
    </w:p>
    <w:p>
      <w:pPr>
        <w:spacing w:after="0" w:line="198"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LIBO Rate</w:t>
      </w:r>
      <w:r>
        <w:rPr>
          <w:rFonts w:ascii="Arial" w:cs="Arial" w:eastAsia="Arial" w:hAnsi="Arial"/>
          <w:sz w:val="17"/>
          <w:szCs w:val="17"/>
          <w:color w:val="auto"/>
        </w:rPr>
        <w:t xml:space="preserve">” means, with respect to any LC Disbursement that bears interest at the Overnight LIBO Rate pursuant to the terms of this Agreement, (a) the rate of interest per annum (rounded upwards, if necessary, to the next 1/16 of 1%) at which overnight deposits in dollars or an LC Alternative Currency, as applicable, in an amount approximately equal to the amount with respect to which such rate is being determined, would be offered for such day by a branch or affiliate of the Administrative Agent in the London interbank market for such currency to major banks in the London interbank market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Mandatory Cost.</w:t>
      </w:r>
    </w:p>
    <w:p>
      <w:pPr>
        <w:spacing w:after="0" w:line="161"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and Leased Property Schedule</w:t>
      </w:r>
      <w:r>
        <w:rPr>
          <w:rFonts w:ascii="Arial" w:cs="Arial" w:eastAsia="Arial" w:hAnsi="Arial"/>
          <w:sz w:val="17"/>
          <w:szCs w:val="17"/>
          <w:color w:val="auto"/>
        </w:rPr>
        <w:t>” means the schedule of owned and leased parcels of real property of the Loan Parties delivered by the Loan Parties to the Administrative Agent on or prior to the Second Restatement Date, which schedule specifies that it constitutes the “Owned and Leased Property Schedule” for purposes of this Agreement, as such schedule may be updated, amended or amended and restated from time to time.</w:t>
      </w:r>
    </w:p>
    <w:p>
      <w:pPr>
        <w:spacing w:after="0" w:line="153"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with respect to any Lender, the Person as to which such Lender is, directly or indirectly, a subsidiary.</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has the meaning set forth in Section 9.04.</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has the meaning set forth in Section 9.04.</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Guarantor</w:t>
      </w:r>
      <w:r>
        <w:rPr>
          <w:rFonts w:ascii="Arial" w:cs="Arial" w:eastAsia="Arial" w:hAnsi="Arial"/>
          <w:sz w:val="17"/>
          <w:szCs w:val="17"/>
          <w:color w:val="auto"/>
        </w:rPr>
        <w:t>” has the meaning assigned to such term in Section 10.11.</w:t>
      </w:r>
    </w:p>
    <w:p>
      <w:pPr>
        <w:spacing w:after="0" w:line="198"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09"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Event</w:t>
      </w:r>
      <w:r>
        <w:rPr>
          <w:rFonts w:ascii="Arial" w:cs="Arial" w:eastAsia="Arial" w:hAnsi="Arial"/>
          <w:sz w:val="17"/>
          <w:szCs w:val="17"/>
          <w:color w:val="auto"/>
        </w:rPr>
        <w:t>” means (a) the whole or partial withdrawal of a Canadian Loan Party from a Canadian Pension Plan during a plan year; or (b) the filing of a notice of interest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reasonably constitute grounds for the termination of, winding up or partial termination of winding up or the appointment of trustee to administer, any Canadian Pension Plan.</w:t>
      </w:r>
    </w:p>
    <w:p>
      <w:pPr>
        <w:spacing w:after="0" w:line="161" w:lineRule="exact"/>
        <w:rPr>
          <w:sz w:val="20"/>
          <w:szCs w:val="20"/>
          <w:color w:val="auto"/>
        </w:rPr>
      </w:pPr>
    </w:p>
    <w:p>
      <w:pPr>
        <w:jc w:val="both"/>
        <w:ind w:left="5" w:firstLine="57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by any Borrower or Loan Guarantor in a transaction that satisfies each of the following requirements: (a) such Acquisition is not a hostile acquisition or contested by the Person to be acquired; (b) both before and after giving effect to such Acquisition, each of the representations and warranties in the Loan Documents is true and correct in all material respects (or if such representation or warranty relates to an earlier date, as of such earlier date) (except that such materiality qualifier shall not be applicable to any representations and warranties that already are qualified or modified by materiality in the context thereof); (c) no Default or Event of Default shall have occurred and be continuing or would result from the consummation of such Acquisition; (d) in the case of any Acquisition for Total Consideration in excess of $200,000,000, (i) as soon as available, but not less than ten (10) days (or such shorter period as may be agreed to by the Administrative Agent in its Permitted Discretion) prior to such Acquisition, the Borrowers have provided the Administrative Agent with notice of such Acquisition and a summary of the material terms of such Acquisition, (ii) as soon as available, but not less than five (5)</w:t>
      </w:r>
    </w:p>
    <w:p>
      <w:pPr>
        <w:sectPr>
          <w:pgSz w:w="11900" w:h="16927" w:orient="portrait"/>
          <w:cols w:equalWidth="0" w:num="1">
            <w:col w:w="11445"/>
          </w:cols>
          <w:pgMar w:left="235" w:top="124" w:right="219" w:bottom="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6"/>
          <w:szCs w:val="16"/>
          <w:color w:val="auto"/>
        </w:rPr>
        <w:t>days (or such shorter period as may be agreed to by the Administrative Agent in its Permitted Discretion) prior to such Acquisition, the Borrowers shall have provided the Administrative Agent with a copy of all available business and financial information reasonably requested by Administrative Agent (in each case, to the extent available) including pro forma financial statements, statements of cash flow, and Aggregate Availability, Canadian Availability and U.S. Availability projections, and (iii) upon the request of the Administrative Agent in its Permitted Discretion, the Borrowers shall have provided the Administrative Agent (or, if the Administrative Agent otherwise agrees in its Permitted Discretion, shall have agreed to provide at a specified later date) the then current drafts of the acquisition agreement and other material documents relative to such Acquisition; (e) in the case of any Acquisition for Total Consideration of less than or equal to $200,000,000 but greater than $25,000,000, as soon as available, but not less than three (3) days (or such shorter period as may be agreed to by the Administrative Agent in its Permitted Discretion) prior to such Acquisition, the Borrowers have provided the Administrative Agent with (i) notice of such Acquisition and (ii) a summary of the material terms of such Acquisition and such other information related to such Acquisition as the Administrative Agent may reasonably request (it being understood, for the avoidance of doubt, that the information required by subclauses (i) and (ii) of this clause (e) shall not be required for any Acquisition for Total Consideration of $25,000,000 or less); (f) if such Acquisition is an acquisition of the Equity Interests of a Person, the Acquisition is structured so that Borrower or Loan Guarantor shall own not less than 66</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Equity Interests of the acquired Person, and such acquired Person shall become a Restricted Subsidiary of a Borrower or Loan Guarantor and, if applicable in accordance with Section 5.13, a Loan Party; (g) if such Acquisition is an acquisition of assets, the Acquisition is structured so that a Borrower or Loan Guarantor shall acquire such assets; (h) a material portion of the assets being acquired are located within the United States or Canada, or the Person whose Equity Interests are being acquired is organized in a jurisdiction located within the United States or Canada; and (i) for the period of thirty (30) days prior to, and as of the date of such Acquisition, in each case, after giving effect to the consummation of such Acquisition (and any Revolving Loans or loans, transfers or sales made under the Receivables Securitization Agreements to fund such Acquisition), Combined Availability exceeds the Combined Availability Trigger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calculating Combined Availability for the thirty day period prior to such Acquisition for purposes of this clause (i), Combined Availability for such thirty day period shall be determined on a pro forma basis, as if such Acquisition (and any Revolving Loans or loans, transfers or sales made under the Receivables Securitization Agreements to fund such Acquisition) had been consummated on the first day of such period and (ii) if at any time during such thirty day period,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Unless otherwise consented to in writing by the Administrative Agent, in no event will assets acquired pursuant to a Permitted Acquisition constitute assets eligible for inclusion in the Aggregate Borrowing Base prior to completion of a field examination and other due diligence acceptable to Administrative Agent in its Permitted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Permitted Acquisition as to which the aggregate value of the assets being acquired by any U.S. Loan Party or Canadian Loan Party is less than 5% of the Aggregate Borrowing Base, respectively (each determined prior to giving effect to any inclusion of any such assets in the Aggregate Borrowing Base, as applicable), Accounts or Inventory acquired in connection with such Permitted Acquisition which would otherwise constitute Eligible Accounts and Eligible Inventory may be included in the Aggregate Borrowing Base, as applicable, without a field examination for a period of ninety (90) days after the consummation of such Permitted Acquisition, it being understood that, unless otherwise agreed by the Administrative Agent in its Permitted Discretion, such Accounts and Inventory will cease to be included in the Aggregate Borrowing Base from and after the 90th day after the consummation of such Permitted Acquisition if the Administrative Agent has not received a field examination and other due diligence acceptable to the Administrative Agent by such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w:t>
      </w:r>
    </w:p>
    <w:p>
      <w:pPr>
        <w:spacing w:after="0" w:line="9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Discretion</w:t>
      </w:r>
      <w:r>
        <w:rPr>
          <w:rFonts w:ascii="Arial" w:cs="Arial" w:eastAsia="Arial" w:hAnsi="Arial"/>
          <w:sz w:val="17"/>
          <w:szCs w:val="17"/>
          <w:color w:val="auto"/>
        </w:rPr>
        <w:t>” means a determination made in good faith and in the exercise of reasonable (from the perspective of a secured asset-based lender) business judgment.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means:</w:t>
      </w:r>
    </w:p>
    <w:p>
      <w:pPr>
        <w:spacing w:after="0" w:line="222" w:lineRule="exact"/>
        <w:rPr>
          <w:sz w:val="20"/>
          <w:szCs w:val="20"/>
          <w:color w:val="auto"/>
        </w:rPr>
      </w:pPr>
    </w:p>
    <w:p>
      <w:pPr>
        <w:jc w:val="both"/>
        <w:ind w:left="560" w:firstLine="579"/>
        <w:spacing w:after="0" w:line="277" w:lineRule="auto"/>
        <w:tabs>
          <w:tab w:leader="none" w:pos="1633" w:val="left"/>
        </w:tabs>
        <w:numPr>
          <w:ilvl w:val="0"/>
          <w:numId w:val="15"/>
        </w:numPr>
        <w:rPr>
          <w:rFonts w:ascii="Arial" w:cs="Arial" w:eastAsia="Arial" w:hAnsi="Arial"/>
          <w:sz w:val="19"/>
          <w:szCs w:val="19"/>
          <w:color w:val="auto"/>
        </w:rPr>
      </w:pPr>
      <w:r>
        <w:rPr>
          <w:rFonts w:ascii="Arial" w:cs="Arial" w:eastAsia="Arial" w:hAnsi="Arial"/>
          <w:sz w:val="17"/>
          <w:szCs w:val="17"/>
          <w:color w:val="auto"/>
        </w:rPr>
        <w:t xml:space="preserve">Liens imposed by law for (i) Taxes, assessments or other government charges that are not yet due, (ii) Taxes, assessments or other governmental charges in an aggregate amount not in excess of $25,000,000 that are overdue by not more than 30 days, or (iii) Taxes, assessments or other government charges in an aggregate amount in excess of $25,000,000 that are overdue by not more than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Taxes, assessments and other government charges are being contested in compliance with Section 5.04 and (y) the sum of (A) the aggregate amount of Pledged Cash deposited with the Administrative Agent with respect to such Taxes, assessments or other government charges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the aggregate amount of Reserves established by the Administrative Agent with respect to such Taxes, assessments or other government charges, equals or exceeds the aggregate amount of such Taxes, assessments or other government charges;</w:t>
      </w:r>
    </w:p>
    <w:p>
      <w:pPr>
        <w:spacing w:after="0" w:line="181" w:lineRule="exact"/>
        <w:rPr>
          <w:rFonts w:ascii="Arial" w:cs="Arial" w:eastAsia="Arial" w:hAnsi="Arial"/>
          <w:sz w:val="19"/>
          <w:szCs w:val="19"/>
          <w:color w:val="auto"/>
        </w:rPr>
      </w:pPr>
    </w:p>
    <w:p>
      <w:pPr>
        <w:ind w:left="560" w:right="20" w:firstLine="579"/>
        <w:spacing w:after="0" w:line="281" w:lineRule="auto"/>
        <w:tabs>
          <w:tab w:leader="none" w:pos="1572" w:val="left"/>
        </w:tabs>
        <w:numPr>
          <w:ilvl w:val="0"/>
          <w:numId w:val="15"/>
        </w:numPr>
        <w:rPr>
          <w:rFonts w:ascii="Arial" w:cs="Arial" w:eastAsia="Arial" w:hAnsi="Arial"/>
          <w:sz w:val="19"/>
          <w:szCs w:val="19"/>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60 days or are being contested in compliance with Section 5.04;</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502" w:val="left"/>
        </w:tabs>
        <w:numPr>
          <w:ilvl w:val="0"/>
          <w:numId w:val="15"/>
        </w:numPr>
        <w:rPr>
          <w:rFonts w:ascii="Arial" w:cs="Arial" w:eastAsia="Arial" w:hAnsi="Arial"/>
          <w:sz w:val="19"/>
          <w:szCs w:val="19"/>
          <w:color w:val="auto"/>
        </w:rPr>
      </w:pPr>
      <w:r>
        <w:rPr>
          <w:rFonts w:ascii="Arial" w:cs="Arial" w:eastAsia="Arial" w:hAnsi="Arial"/>
          <w:sz w:val="17"/>
          <w:szCs w:val="17"/>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9"/>
          <w:szCs w:val="19"/>
          <w:color w:val="auto"/>
        </w:rPr>
      </w:pPr>
    </w:p>
    <w:p>
      <w:pPr>
        <w:ind w:left="560" w:firstLine="579"/>
        <w:spacing w:after="0" w:line="281" w:lineRule="auto"/>
        <w:tabs>
          <w:tab w:leader="none" w:pos="1572" w:val="left"/>
        </w:tabs>
        <w:numPr>
          <w:ilvl w:val="0"/>
          <w:numId w:val="15"/>
        </w:numPr>
        <w:rPr>
          <w:rFonts w:ascii="Arial" w:cs="Arial" w:eastAsia="Arial" w:hAnsi="Arial"/>
          <w:sz w:val="19"/>
          <w:szCs w:val="19"/>
          <w:color w:val="auto"/>
        </w:rPr>
      </w:pPr>
      <w:r>
        <w:rPr>
          <w:rFonts w:ascii="Arial" w:cs="Arial" w:eastAsia="Arial" w:hAnsi="Arial"/>
          <w:sz w:val="17"/>
          <w:szCs w:val="17"/>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9"/>
          <w:szCs w:val="19"/>
          <w:color w:val="auto"/>
        </w:rPr>
      </w:pPr>
    </w:p>
    <w:p>
      <w:pPr>
        <w:ind w:left="1500" w:hanging="361"/>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7"/>
          <w:szCs w:val="17"/>
          <w:color w:val="auto"/>
        </w:rPr>
        <w:t>judgment Liens in respect of judgments that do not constitute an Event of Default under clause (l) of Article VII; and</w:t>
      </w:r>
    </w:p>
    <w:p>
      <w:pPr>
        <w:spacing w:after="0" w:line="210" w:lineRule="exact"/>
        <w:rPr>
          <w:rFonts w:ascii="Arial" w:cs="Arial" w:eastAsia="Arial" w:hAnsi="Arial"/>
          <w:sz w:val="19"/>
          <w:szCs w:val="19"/>
          <w:color w:val="auto"/>
        </w:rPr>
      </w:pPr>
    </w:p>
    <w:p>
      <w:pPr>
        <w:jc w:val="both"/>
        <w:ind w:left="560" w:firstLine="579"/>
        <w:spacing w:after="0" w:line="277" w:lineRule="auto"/>
        <w:tabs>
          <w:tab w:leader="none" w:pos="1505" w:val="left"/>
        </w:tabs>
        <w:numPr>
          <w:ilvl w:val="0"/>
          <w:numId w:val="15"/>
        </w:numPr>
        <w:rPr>
          <w:rFonts w:ascii="Arial" w:cs="Arial" w:eastAsia="Arial" w:hAnsi="Arial"/>
          <w:sz w:val="19"/>
          <w:szCs w:val="19"/>
          <w:color w:val="auto"/>
        </w:rPr>
      </w:pPr>
      <w:r>
        <w:rPr>
          <w:rFonts w:ascii="Arial" w:cs="Arial" w:eastAsia="Arial" w:hAnsi="Arial"/>
          <w:sz w:val="17"/>
          <w:szCs w:val="17"/>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any Borrower or any Subsidiary;</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“Permitted Encumbrances” shall not include any Lien securing Indebtedness except with respect to clause (e) above (to the extent that any such judgment constitutes Indebtedness).</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Investments</w:t>
      </w:r>
      <w:r>
        <w:rPr>
          <w:rFonts w:ascii="Arial" w:cs="Arial" w:eastAsia="Arial" w:hAnsi="Arial"/>
          <w:sz w:val="17"/>
          <w:szCs w:val="17"/>
          <w:color w:val="auto"/>
        </w:rPr>
        <w:t>” means:</w:t>
      </w:r>
    </w:p>
    <w:p>
      <w:pPr>
        <w:spacing w:after="0" w:line="222" w:lineRule="exact"/>
        <w:rPr>
          <w:sz w:val="20"/>
          <w:szCs w:val="20"/>
          <w:color w:val="auto"/>
        </w:rPr>
      </w:pPr>
    </w:p>
    <w:p>
      <w:pPr>
        <w:jc w:val="both"/>
        <w:ind w:left="560" w:firstLine="579"/>
        <w:spacing w:after="0" w:line="277" w:lineRule="auto"/>
        <w:tabs>
          <w:tab w:leader="none" w:pos="1514" w:val="left"/>
        </w:tabs>
        <w:numPr>
          <w:ilvl w:val="0"/>
          <w:numId w:val="16"/>
        </w:numPr>
        <w:rPr>
          <w:rFonts w:ascii="Arial" w:cs="Arial" w:eastAsia="Arial" w:hAnsi="Arial"/>
          <w:sz w:val="19"/>
          <w:szCs w:val="19"/>
          <w:color w:val="auto"/>
        </w:rPr>
      </w:pPr>
      <w:r>
        <w:rPr>
          <w:rFonts w:ascii="Arial" w:cs="Arial" w:eastAsia="Arial" w:hAnsi="Arial"/>
          <w:sz w:val="17"/>
          <w:szCs w:val="17"/>
          <w:color w:val="auto"/>
        </w:rPr>
        <w:t>direct obligations of, or obligations the principal of and interest on which are unconditionally guaranteed by, the United States of America or Canada (or by any agency thereof to the extent such obligations are backed by the full faith and credit of such government), in each case maturing within one year from the date of acquisition thereof;</w:t>
      </w:r>
    </w:p>
    <w:p>
      <w:pPr>
        <w:spacing w:after="0" w:line="178" w:lineRule="exact"/>
        <w:rPr>
          <w:rFonts w:ascii="Arial" w:cs="Arial" w:eastAsia="Arial" w:hAnsi="Arial"/>
          <w:sz w:val="19"/>
          <w:szCs w:val="19"/>
          <w:color w:val="auto"/>
        </w:rPr>
      </w:pPr>
    </w:p>
    <w:p>
      <w:pPr>
        <w:ind w:left="560" w:firstLine="579"/>
        <w:spacing w:after="0" w:line="281" w:lineRule="auto"/>
        <w:tabs>
          <w:tab w:leader="none" w:pos="1549" w:val="left"/>
        </w:tabs>
        <w:numPr>
          <w:ilvl w:val="0"/>
          <w:numId w:val="16"/>
        </w:numPr>
        <w:rPr>
          <w:rFonts w:ascii="Arial" w:cs="Arial" w:eastAsia="Arial" w:hAnsi="Arial"/>
          <w:sz w:val="19"/>
          <w:szCs w:val="19"/>
          <w:color w:val="auto"/>
        </w:rPr>
      </w:pPr>
      <w:r>
        <w:rPr>
          <w:rFonts w:ascii="Arial" w:cs="Arial" w:eastAsia="Arial" w:hAnsi="Arial"/>
          <w:sz w:val="17"/>
          <w:szCs w:val="17"/>
          <w:color w:val="auto"/>
        </w:rPr>
        <w:t>investments in commercial paper maturing within 270 days from the date of acquisition thereof and having, at such date of acquisition, the highest credit rating obtainable from S&amp;P or from Moody’s;</w:t>
      </w:r>
    </w:p>
    <w:p>
      <w:pPr>
        <w:sectPr>
          <w:pgSz w:w="11900" w:h="16838" w:orient="portrait"/>
          <w:cols w:equalWidth="0" w:num="1">
            <w:col w:w="11440"/>
          </w:cols>
          <w:pgMar w:left="240" w:top="124" w:right="219" w:bottom="33" w:gutter="0" w:footer="0" w:header="0"/>
        </w:sectPr>
      </w:pPr>
    </w:p>
    <w:bookmarkStart w:id="25" w:name="page26"/>
    <w:bookmarkEnd w:id="25"/>
    <w:p>
      <w:pPr>
        <w:spacing w:after="0" w:line="63" w:lineRule="exact"/>
        <w:rPr>
          <w:sz w:val="20"/>
          <w:szCs w:val="20"/>
          <w:color w:val="auto"/>
        </w:rPr>
      </w:pPr>
    </w:p>
    <w:p>
      <w:pPr>
        <w:jc w:val="both"/>
        <w:ind w:left="560" w:right="20" w:firstLine="579"/>
        <w:spacing w:after="0" w:line="277" w:lineRule="auto"/>
        <w:tabs>
          <w:tab w:leader="none" w:pos="1526" w:val="left"/>
        </w:tabs>
        <w:numPr>
          <w:ilvl w:val="0"/>
          <w:numId w:val="17"/>
        </w:numPr>
        <w:rPr>
          <w:rFonts w:ascii="Arial" w:cs="Arial" w:eastAsia="Arial" w:hAnsi="Arial"/>
          <w:sz w:val="19"/>
          <w:szCs w:val="19"/>
          <w:color w:val="auto"/>
        </w:rPr>
      </w:pPr>
      <w:r>
        <w:rPr>
          <w:rFonts w:ascii="Arial" w:cs="Arial" w:eastAsia="Arial" w:hAnsi="Arial"/>
          <w:sz w:val="17"/>
          <w:szCs w:val="17"/>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Canada or any State or province thereof which has a combined capital and surplus and undivided profits of not less than $500,000,000 or any Lender or an Affiliate of a Lender;</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525" w:val="left"/>
        </w:tabs>
        <w:numPr>
          <w:ilvl w:val="0"/>
          <w:numId w:val="17"/>
        </w:numPr>
        <w:rPr>
          <w:rFonts w:ascii="Arial" w:cs="Arial" w:eastAsia="Arial" w:hAnsi="Arial"/>
          <w:sz w:val="19"/>
          <w:szCs w:val="19"/>
          <w:color w:val="auto"/>
        </w:rPr>
      </w:pPr>
      <w:r>
        <w:rPr>
          <w:rFonts w:ascii="Arial" w:cs="Arial" w:eastAsia="Arial" w:hAnsi="Arial"/>
          <w:sz w:val="17"/>
          <w:szCs w:val="17"/>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70" w:lineRule="exact"/>
        <w:rPr>
          <w:rFonts w:ascii="Arial" w:cs="Arial" w:eastAsia="Arial" w:hAnsi="Arial"/>
          <w:sz w:val="19"/>
          <w:szCs w:val="19"/>
          <w:color w:val="auto"/>
        </w:rPr>
      </w:pPr>
    </w:p>
    <w:p>
      <w:pPr>
        <w:ind w:left="560" w:firstLine="579"/>
        <w:spacing w:after="0" w:line="281" w:lineRule="auto"/>
        <w:tabs>
          <w:tab w:leader="none" w:pos="1586" w:val="left"/>
        </w:tabs>
        <w:numPr>
          <w:ilvl w:val="0"/>
          <w:numId w:val="17"/>
        </w:numPr>
        <w:rPr>
          <w:rFonts w:ascii="Arial" w:cs="Arial" w:eastAsia="Arial" w:hAnsi="Arial"/>
          <w:sz w:val="19"/>
          <w:szCs w:val="19"/>
          <w:color w:val="auto"/>
        </w:rPr>
      </w:pPr>
      <w:r>
        <w:rPr>
          <w:rFonts w:ascii="Arial" w:cs="Arial" w:eastAsia="Arial" w:hAnsi="Arial"/>
          <w:sz w:val="17"/>
          <w:szCs w:val="17"/>
          <w:color w:val="auto"/>
        </w:rPr>
        <w:t>money market funds that (i) comply with the criteria set forth in Securities and Exchange Commission Rule 2a-7 under the Investment Company Act of 1940, (ii) are rated AAA by S&amp;P and AAA by Moody’s, and (iii) have portfolio assets of at least $500,000,000.</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any Lien permitted under Section 6.02.</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unlimited liability company, trust, joint venture, association, company, partnership, Governmental Authority or other entity.</w:t>
      </w:r>
    </w:p>
    <w:p>
      <w:pPr>
        <w:spacing w:after="0" w:line="14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53"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Cash</w:t>
      </w:r>
      <w:r>
        <w:rPr>
          <w:rFonts w:ascii="Arial" w:cs="Arial" w:eastAsia="Arial" w:hAnsi="Arial"/>
          <w:sz w:val="16"/>
          <w:szCs w:val="16"/>
          <w:color w:val="auto"/>
        </w:rPr>
        <w:t>” means cash of the Loan Parties (a) which has been pledged to the Administrative Agent as security for the Obligations and in which the Administrative Agent has a perfected, first priority Lien (subject to Permitted Encumbrances with respect to any Pledged Cash domiciled in a bank account in Canada and statutory liens in favor of the depository bank), and (b) which is on deposit in one or more segregated Deposit Accounts (which for avoidance of doubt shall not include any operating account of any Loan Party) maintained with JPMorgan Chase Bank, N.A., each of which segregated Deposit Accounts is subject to a Control Agreement among JPMorgan Chase Bank, N.A., as depositary, the applicable Agent and the applicable Loan Party, which Control Agreement provides the applicable Agent with exclusive dominion and full control over such Deposit Account and all cash held therein and does not permit the Loan Parties to make withdrawals from or otherwise give instructions with respect to the investment or disposition of the cash held in such Deposit Account.</w:t>
      </w:r>
    </w:p>
    <w:p>
      <w:pPr>
        <w:spacing w:after="0" w:line="149"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Subsidiary</w:t>
      </w:r>
      <w:r>
        <w:rPr>
          <w:rFonts w:ascii="Arial" w:cs="Arial" w:eastAsia="Arial" w:hAnsi="Arial"/>
          <w:sz w:val="17"/>
          <w:szCs w:val="17"/>
          <w:color w:val="auto"/>
        </w:rPr>
        <w:t>” means a Subsidiary whose Equity Interests (or any portion thereof) have been pledged to the Administrative Agent as security for the U.S. Obligations and/or the Canadian Obligations.</w:t>
      </w:r>
    </w:p>
    <w:p>
      <w:pPr>
        <w:spacing w:after="0" w:line="140"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PPSA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Personal Property Security Act</w:t>
      </w:r>
      <w:r>
        <w:rPr>
          <w:rFonts w:ascii="Arial" w:cs="Arial" w:eastAsia="Arial" w:hAnsi="Arial"/>
          <w:sz w:val="16"/>
          <w:szCs w:val="16"/>
          <w:color w:val="auto"/>
        </w:rPr>
        <w:t xml:space="preserve"> (Ontario), including the regulations thereto and related Minister’s Orders,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“PPSA” means the Personal Property Security Act or such other applicable legislation in effect from time to time in such other jurisdiction in Canada for purposes of the provisions hereof relating to such perfection, effect of perfection or non-perfection or priority.</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Prepayment Event</w:t>
      </w:r>
      <w:r>
        <w:rPr>
          <w:rFonts w:ascii="Arial" w:cs="Arial" w:eastAsia="Arial" w:hAnsi="Arial"/>
          <w:sz w:val="17"/>
          <w:szCs w:val="17"/>
          <w:color w:val="auto"/>
        </w:rPr>
        <w:t>” means:</w:t>
      </w:r>
    </w:p>
    <w:p>
      <w:pPr>
        <w:spacing w:after="0" w:line="222" w:lineRule="exact"/>
        <w:rPr>
          <w:sz w:val="20"/>
          <w:szCs w:val="20"/>
          <w:color w:val="auto"/>
        </w:rPr>
      </w:pPr>
    </w:p>
    <w:p>
      <w:pPr>
        <w:ind w:left="560" w:right="20" w:firstLine="579"/>
        <w:spacing w:after="0" w:line="281" w:lineRule="auto"/>
        <w:tabs>
          <w:tab w:leader="none" w:pos="1550" w:val="left"/>
        </w:tabs>
        <w:numPr>
          <w:ilvl w:val="0"/>
          <w:numId w:val="18"/>
        </w:numPr>
        <w:rPr>
          <w:rFonts w:ascii="Arial" w:cs="Arial" w:eastAsia="Arial" w:hAnsi="Arial"/>
          <w:sz w:val="19"/>
          <w:szCs w:val="19"/>
          <w:color w:val="auto"/>
        </w:rPr>
      </w:pPr>
      <w:r>
        <w:rPr>
          <w:rFonts w:ascii="Arial" w:cs="Arial" w:eastAsia="Arial" w:hAnsi="Arial"/>
          <w:sz w:val="17"/>
          <w:szCs w:val="17"/>
          <w:color w:val="auto"/>
        </w:rPr>
        <w:t>any sale, transfer or other disposition (including pursuant to a sale and leaseback transaction) of any ABL Priority Collateral of any Loan Party, other than dispositions described in Section 6.05(a), (b), (e), (g), (j), (k) and (m); or</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561" w:val="left"/>
        </w:tabs>
        <w:numPr>
          <w:ilvl w:val="0"/>
          <w:numId w:val="18"/>
        </w:numPr>
        <w:rPr>
          <w:rFonts w:ascii="Arial" w:cs="Arial" w:eastAsia="Arial" w:hAnsi="Arial"/>
          <w:sz w:val="19"/>
          <w:szCs w:val="19"/>
          <w:color w:val="auto"/>
        </w:rPr>
      </w:pPr>
      <w:r>
        <w:rPr>
          <w:rFonts w:ascii="Arial" w:cs="Arial" w:eastAsia="Arial" w:hAnsi="Arial"/>
          <w:sz w:val="17"/>
          <w:szCs w:val="17"/>
          <w:color w:val="auto"/>
        </w:rPr>
        <w:t>any casualty or other insured damage to, or any taking under power of eminent domain or by condemnation or similar proceeding of, any ABL Priority Collateral of any Loan Party.</w:t>
      </w:r>
    </w:p>
    <w:p>
      <w:pPr>
        <w:spacing w:after="0" w:line="147"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(a) for the purpose of Loans made available to the U.S. Borrowers, the rate of interest per annum publicly announced from time to time by JPMorgan as its prime rate at its offices at 270 Park Avenue in New York City or any successor executive office, and (b) for the purpose of dollar-denominated Loans made available to the Canadian Borrowers, the rate of interest per annum publicly announced from time to time by the Canadian Administrative Agent at its Toronto office as its U.S. base rate for dollar-denominated commercial loans; each change in the Prime Rate shall be effective from and including the date such change is publicly announced as being effective.</w:t>
      </w:r>
    </w:p>
    <w:p>
      <w:pPr>
        <w:spacing w:after="0" w:line="161"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Payables Reserve</w:t>
      </w:r>
      <w:r>
        <w:rPr>
          <w:rFonts w:ascii="Arial" w:cs="Arial" w:eastAsia="Arial" w:hAnsi="Arial"/>
          <w:sz w:val="17"/>
          <w:szCs w:val="17"/>
          <w:color w:val="auto"/>
        </w:rPr>
        <w:t xml:space="preserve">” means reserves for amounts secured by any Liens, choate or inchoate, which rank or are capable of ranking in priority to the Administrative Agent’s or any other Canadian Lender Parties’ Liens, including without limitation, in the Permitted Discretion of the Canadian Administrative Agent, any such amounts due and not paid for wages, vacation pay, amounts due and not paid under any legislation relating to workers’ compensation or to employment insurance, all amounts deducted or withheld and not paid and remitted when due under the ITA, amounts currently or past due and not paid for realty, municipal or similar taxes (to the extent impacting personal or moveable property) and all amounts currently or past due and not contributed, remitted or paid to or under any Canadian Pension Plan or under the Canada Pension Plan, the </w:t>
      </w:r>
      <w:r>
        <w:rPr>
          <w:rFonts w:ascii="Arial" w:cs="Arial" w:eastAsia="Arial" w:hAnsi="Arial"/>
          <w:sz w:val="17"/>
          <w:szCs w:val="17"/>
          <w:i w:val="1"/>
          <w:iCs w:val="1"/>
          <w:color w:val="auto"/>
        </w:rPr>
        <w:t>Pension Benefits Act</w:t>
      </w:r>
      <w:r>
        <w:rPr>
          <w:rFonts w:ascii="Arial" w:cs="Arial" w:eastAsia="Arial" w:hAnsi="Arial"/>
          <w:sz w:val="17"/>
          <w:szCs w:val="17"/>
          <w:color w:val="auto"/>
        </w:rPr>
        <w:t xml:space="preserve"> (Ontario) or any similar legislation, other than amounts included in the Wage Earner Protection Act Reserve.</w:t>
      </w:r>
    </w:p>
    <w:p>
      <w:pPr>
        <w:spacing w:after="0" w:line="16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 of Crime Act</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Proceeds of Crime (Money Laundering) and Terrorist Financing Act</w:t>
      </w:r>
      <w:r>
        <w:rPr>
          <w:rFonts w:ascii="Arial" w:cs="Arial" w:eastAsia="Arial" w:hAnsi="Arial"/>
          <w:sz w:val="17"/>
          <w:szCs w:val="17"/>
          <w:color w:val="auto"/>
        </w:rPr>
        <w:t xml:space="preserve"> (Canada), as amended from time to time, and including all regulations thereunder.</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has the meaning assigned to such term in Section 5.01(e).</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Protective Advance</w:t>
      </w:r>
      <w:r>
        <w:rPr>
          <w:rFonts w:ascii="Arial" w:cs="Arial" w:eastAsia="Arial" w:hAnsi="Arial"/>
          <w:sz w:val="17"/>
          <w:szCs w:val="17"/>
          <w:color w:val="auto"/>
        </w:rPr>
        <w:t>” means, individually and collectively as the context may require, the U.S. Protective Advances and the Canadian Protective Advances.</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Estate Subsidiaries</w:t>
      </w:r>
      <w:r>
        <w:rPr>
          <w:rFonts w:ascii="Arial" w:cs="Arial" w:eastAsia="Arial" w:hAnsi="Arial"/>
          <w:sz w:val="17"/>
          <w:szCs w:val="17"/>
          <w:color w:val="auto"/>
        </w:rPr>
        <w:t>” means WESCO Real Estate I, LLC, WESCO Real Estate II, LLC, WESCO Real Estate III, LLC, and WESCO Real Estate IV, LLC, each of which is a Delaware limited liability company.</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Securitization</w:t>
      </w:r>
      <w:r>
        <w:rPr>
          <w:rFonts w:ascii="Arial" w:cs="Arial" w:eastAsia="Arial" w:hAnsi="Arial"/>
          <w:sz w:val="17"/>
          <w:szCs w:val="17"/>
          <w:color w:val="auto"/>
        </w:rPr>
        <w:t>” means the transactions contemplated by the Receivables Securitization Agreements.</w:t>
      </w:r>
    </w:p>
    <w:p>
      <w:pPr>
        <w:spacing w:after="0" w:line="198" w:lineRule="exact"/>
        <w:rPr>
          <w:sz w:val="20"/>
          <w:szCs w:val="20"/>
          <w:color w:val="auto"/>
        </w:rPr>
      </w:pPr>
    </w:p>
    <w:p>
      <w:pPr>
        <w:jc w:val="both"/>
        <w:ind w:firstLine="572"/>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Securitization Agreements</w:t>
      </w:r>
      <w:r>
        <w:rPr>
          <w:rFonts w:ascii="Arial" w:cs="Arial" w:eastAsia="Arial" w:hAnsi="Arial"/>
          <w:sz w:val="15"/>
          <w:szCs w:val="15"/>
          <w:color w:val="auto"/>
        </w:rPr>
        <w:t>” means (a) that certain Fourth Amended and Restated Receivables Purchase Agreement dated as of the Second Restatement Date among WESCO Receivables, as seller, WESCO Distribution, Inc., as servicer, the purchasers from time to time party thereto, and PNC Bank National Association, as administrator, (b) that certain Amended and Restated Purchase and Sale Agreement dated as of the Second Restatement Date among WESCO Receivables, WESCO Distribution, Inc. and the other parties from time to time party thereto, as amended through the date hereof, and (c) all other</w:t>
      </w:r>
    </w:p>
    <w:p>
      <w:pPr>
        <w:sectPr>
          <w:pgSz w:w="11900" w:h="16902" w:orient="portrait"/>
          <w:cols w:equalWidth="0" w:num="1">
            <w:col w:w="11440"/>
          </w:cols>
          <w:pgMar w:left="240" w:top="149" w:right="219" w:bottom="0" w:gutter="0" w:footer="0" w:header="0"/>
        </w:sectPr>
      </w:pPr>
    </w:p>
    <w:bookmarkStart w:id="26" w:name="page27"/>
    <w:bookmarkEnd w:id="26"/>
    <w:p>
      <w:pPr>
        <w:jc w:val="both"/>
        <w:ind w:right="20"/>
        <w:spacing w:after="0" w:line="265" w:lineRule="auto"/>
        <w:rPr>
          <w:sz w:val="20"/>
          <w:szCs w:val="20"/>
          <w:color w:val="auto"/>
        </w:rPr>
      </w:pPr>
      <w:r>
        <w:rPr>
          <w:rFonts w:ascii="Arial" w:cs="Arial" w:eastAsia="Arial" w:hAnsi="Arial"/>
          <w:sz w:val="17"/>
          <w:szCs w:val="17"/>
          <w:color w:val="auto"/>
        </w:rPr>
        <w:t>documents executed or delivered in connection therewith, in each case, as amended, restated, supplemented, modified, renewed, refinanced or replaced from time to time in accordance with Section 6.11 (including, for greater certainty, amendments, renewals, refinancings and replacements which increase the maximum amount available under such facilities which are not prohibited by Section 6.11).</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has the meaning set forth in Section 9.04.</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employees, agents and advisors of such Person and such Person’s Affiliates.</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 Reserve</w:t>
      </w:r>
      <w:r>
        <w:rPr>
          <w:rFonts w:ascii="Arial" w:cs="Arial" w:eastAsia="Arial" w:hAnsi="Arial"/>
          <w:sz w:val="17"/>
          <w:szCs w:val="17"/>
          <w:color w:val="auto"/>
        </w:rPr>
        <w:t>” means with respect to any leased facility, warehouse, distribution center, depot or other place where any Inventory is located, a reserve equal to three (3) months’ rent at such leased facility, warehouse, distribution center, depot or other place.</w:t>
      </w:r>
    </w:p>
    <w:p>
      <w:pPr>
        <w:spacing w:after="0" w:line="14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Lenders (other than Defaulting Lenders) having Aggregate Credit Exposure and unused Revolving Commitments representing more than 50% of the sum of the total Aggregate Credit Exposure and total unused Revolving Commitments at such time.</w:t>
      </w:r>
    </w:p>
    <w:p>
      <w:pPr>
        <w:spacing w:after="0" w:line="140" w:lineRule="exact"/>
        <w:rPr>
          <w:sz w:val="20"/>
          <w:szCs w:val="20"/>
          <w:color w:val="auto"/>
        </w:rPr>
      </w:pPr>
    </w:p>
    <w:p>
      <w:pPr>
        <w:jc w:val="both"/>
        <w:ind w:right="20" w:firstLine="572"/>
        <w:spacing w:after="0" w:line="209"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the Certificate of Incorporation and By</w:t>
      </w:r>
      <w:r>
        <w:rPr>
          <w:rFonts w:ascii="MS PGothic" w:cs="MS PGothic" w:eastAsia="MS PGothic" w:hAnsi="MS PGothic"/>
          <w:sz w:val="17"/>
          <w:szCs w:val="17"/>
          <w:color w:val="auto"/>
        </w:rPr>
        <w:t>‑</w:t>
      </w:r>
      <w:r>
        <w:rPr>
          <w:rFonts w:ascii="Arial" w:cs="Arial" w:eastAsia="Arial" w:hAnsi="Arial"/>
          <w:sz w:val="17"/>
          <w:szCs w:val="17"/>
          <w:color w:val="auto"/>
        </w:rPr>
        <w:t>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3"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xml:space="preserve">” means any and all reserves which the Administrative Agent deems necessary, in its Permitted Discretion, to maintain (including, without limitation, reserves for accrued and unpaid interest on the Secured Obligations, Priority Payables Reserves, Wage Earner Protection Act Reserve, Banking Services Reserves, Foreign Credit Reserves, Rent Reserves, Dilution Reserves, reserves for consignee’s, warehousemen’s and bailee’s charges, reserves for Inventory shrinkage, reserves for customs charges and shipping charges related to any Inventory in transit, reserves for Swap Agreement Obligations, reserves for any Unfunded Pension Liability in any Canadian Pension Plan, and reserves for taxes, fees, assessments, and other governmental charges) with respect to the Collateral or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reserve (including, without limitation, any Priority Payables Reserve, Wage Earner Protection Act Reserve, Banking Services Reserve, Foreign Credit Reserve, reserve for Swap Agreement Obligations or reserve for Unfunded Pension Liability in any Canadian Pension Plan) with respect to any specific item, claim, liability or potential claim or liability is deducted by the Administrative Agent in the computation of the U.S. Borrowing Base, such reserve for such specific item, claim, liability or potential claim or liability shall not be deducted in the computation of the Canadian Borrowing Base, and vice-versa, it being the intention of the parties to avoid duplication of reserves with respect to any specific item, claim, liability or potential claim or liability in the computation of the Aggregate Borrowing Base, Canadian Borrowing Base and U.S. Borrowing Base.</w:t>
      </w:r>
    </w:p>
    <w:p>
      <w:pPr>
        <w:spacing w:after="0" w:line="15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any Loan Party, or any payment (whether in cash, securities or other property), including any sinking fund or similar deposit, on account of the purchase, redemption, retirement, acquisition, cancellation or termination of any such Equity Interests in Holdings or any option, warrant or other right to acquire any such Equity Interests in Holdings.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any Subsidiary of Holdings other than an Unrestricted Subsidiary.</w:t>
      </w:r>
    </w:p>
    <w:p>
      <w:pPr>
        <w:spacing w:after="0" w:line="198"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(a) with respect to any Loan denominated in Canadian Dollars, each of the following: (i) each date of a Borrowing, (ii) each date of a continuation of such Loan pursuant to Section 2.08, (iii) the date any Borrowing Base Certificate is delivered, and (iv) such additional dates as the Administrative Agent shall determine or the Required Lenders shall require, and (b) with respect to any Letter of Credit denominated in Canadian Dollars or any LC Alternative Currency, each of the following: (i) each date of issuance of such Letter of Credit, (ii) each date of an amendment of such Letter of Credit having the effect of increasing the amount thereof (solely with respect to the increased amount), (iii) each date of any payment by the applicable Issuing Bank under such Letter of Credit, (iv) the date any Borrowing Base Certificate is delivered and (v) such additional dates as the Administrative Agent or the applicable Issuing Bank shall determine or the Required Lenders shall require.</w:t>
      </w:r>
    </w:p>
    <w:p>
      <w:pPr>
        <w:spacing w:after="0" w:line="160"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Lender, the commitment of such Lender to make Revolving Loans and to acquire participations in Letters of Credit, Overadvances and Swingline Loans hereunder, which commitment may be (a) comprised of both a U.S. Commitment and a Canadian Commitment or solely a U.S. Commitment, as set forth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or in the Assignment and Assumption pursuant to which such Lender shall have assumed its Revolving Commitment, as applicable, and (b) reduced or increased from time to time pursuant to (i) Section 2.09 and (ii) assignments by or to such Lender pursuant to Section 9.04. As of the Second Restatement Date, the Aggregate Revolving Commitments total $600,000,000.</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means the Schedule attached hereto identified as such.</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Exposure</w:t>
      </w:r>
      <w:r>
        <w:rPr>
          <w:rFonts w:ascii="Arial" w:cs="Arial" w:eastAsia="Arial" w:hAnsi="Arial"/>
          <w:sz w:val="17"/>
          <w:szCs w:val="17"/>
          <w:color w:val="auto"/>
        </w:rPr>
        <w:t>” means, individually and collectively as the context may require, the U.S. Revolving Exposure and the Canadian Revolving Exposure.</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Lender</w:t>
      </w:r>
      <w:r>
        <w:rPr>
          <w:rFonts w:ascii="Arial" w:cs="Arial" w:eastAsia="Arial" w:hAnsi="Arial"/>
          <w:sz w:val="17"/>
          <w:szCs w:val="17"/>
          <w:color w:val="auto"/>
        </w:rPr>
        <w:t>” means, as of any date of determination, a Lender with a Revolving Commitment or, if the Revolving Commitments have terminated or expired, a Lender with Revolving Exposure.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w:t>
      </w:r>
      <w:r>
        <w:rPr>
          <w:rFonts w:ascii="Arial" w:cs="Arial" w:eastAsia="Arial" w:hAnsi="Arial"/>
          <w:sz w:val="17"/>
          <w:szCs w:val="17"/>
          <w:color w:val="auto"/>
        </w:rPr>
        <w:t>” means a Loan made pursuant to Section 2.01.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Services, a division of The McGraw Hill Companies, Inc.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or territory which is itself the subject or target of any Sanctions.</w:t>
      </w:r>
    </w:p>
    <w:p>
      <w:pPr>
        <w:spacing w:after="0" w:line="19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the U.S. Department of State, the Government of Canada, the Government of any province or territory of Canada or by the United Nations Security Council, the European Union or any European Union member state, (b) any Person that constitutes a Canadian Blocked Person, (c) any Person operating, organized or resident in a Sanctioned Country or (d) any Person owned or controlled by any such Person or Persons described in the foregoing clauses (a) through (c).</w:t>
      </w:r>
    </w:p>
    <w:p>
      <w:pPr>
        <w:spacing w:after="0" w:line="161"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 means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European Union member state or Her Majesty’s Treasury of the United Kingdom, or (c) the Government of Canada.</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of the U.S.</w:t>
      </w:r>
    </w:p>
    <w:p>
      <w:pPr>
        <w:sectPr>
          <w:pgSz w:w="11900" w:h="16838" w:orient="portrait"/>
          <w:cols w:equalWidth="0" w:num="1">
            <w:col w:w="11440"/>
          </w:cols>
          <w:pgMar w:left="240" w:top="124" w:right="219" w:bottom="0" w:gutter="0" w:footer="0" w:header="0"/>
        </w:sectPr>
      </w:pPr>
    </w:p>
    <w:bookmarkStart w:id="27" w:name="page28"/>
    <w:bookmarkEnd w:id="2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Restatement Date</w:t>
      </w:r>
      <w:r>
        <w:rPr>
          <w:rFonts w:ascii="Arial" w:cs="Arial" w:eastAsia="Arial" w:hAnsi="Arial"/>
          <w:sz w:val="16"/>
          <w:szCs w:val="16"/>
          <w:color w:val="auto"/>
        </w:rPr>
        <w:t>” means the date on which the conditions specified in Section 4.01 are satisfied (or waived in accordance with Section 9.02).</w:t>
      </w:r>
    </w:p>
    <w:p>
      <w:pPr>
        <w:spacing w:after="0" w:line="21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Indebtedness</w:t>
      </w:r>
      <w:r>
        <w:rPr>
          <w:rFonts w:ascii="Arial" w:cs="Arial" w:eastAsia="Arial" w:hAnsi="Arial"/>
          <w:sz w:val="17"/>
          <w:szCs w:val="17"/>
          <w:color w:val="auto"/>
        </w:rPr>
        <w:t>” means, at any date, the portion of Total Funded Indebtedness that is secured by a Lien on any property or assets of Holdings or any of its Restricted Subsidiaries at such date.</w:t>
      </w:r>
    </w:p>
    <w:p>
      <w:pPr>
        <w:spacing w:after="0" w:line="140"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Leverage Ratio</w:t>
      </w:r>
      <w:r>
        <w:rPr>
          <w:rFonts w:ascii="Arial" w:cs="Arial" w:eastAsia="Arial" w:hAnsi="Arial"/>
          <w:sz w:val="16"/>
          <w:szCs w:val="16"/>
          <w:color w:val="auto"/>
        </w:rPr>
        <w:t xml:space="preserve">” means, on any date, the ratio of (a) Secured Indebtedness on such date to (b) EBITDA for the then most recently ended period of four consecutive fiscal quarters for which financial statements are available,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Secured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Secured Indebtedness) had occurred in the first day of such four quarter period.</w:t>
      </w:r>
    </w:p>
    <w:p>
      <w:pPr>
        <w:spacing w:after="0" w:line="149"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individually and collectively as the context may require, the U.S. Secured Obligations and the Canadian Secured Obligations.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Account</w:t>
      </w:r>
      <w:r>
        <w:rPr>
          <w:rFonts w:ascii="Arial" w:cs="Arial" w:eastAsia="Arial" w:hAnsi="Arial"/>
          <w:sz w:val="17"/>
          <w:szCs w:val="17"/>
          <w:color w:val="auto"/>
        </w:rPr>
        <w:t>” has the meaning assigned to such term in Article 8 of the UCC or the Securities Transfer Act of Ontario, as applicable.</w:t>
      </w:r>
    </w:p>
    <w:p>
      <w:pPr>
        <w:spacing w:after="0" w:line="198"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Additional Availability</w:t>
      </w:r>
      <w:r>
        <w:rPr>
          <w:rFonts w:ascii="Arial" w:cs="Arial" w:eastAsia="Arial" w:hAnsi="Arial"/>
          <w:sz w:val="17"/>
          <w:szCs w:val="17"/>
          <w:color w:val="auto"/>
        </w:rPr>
        <w:t xml:space="preserve">” means (a) 85% of the book value of Eligible Securitization Receivables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(b) Reserves,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(c) the greater of (i) the amount of credit actually extended to WESCO Receivables by the Securitization Lenders, and (ii) the Securitization Maximum Potential Capital (but not in excess of the Securitization Purchase 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in no event shall Securitization Additional Availability exceed the lesser of (A) $70,000,000 and (B) fifteen percent (15%) of the lesser at such time of (1) the Aggregate Revolving Commitments and (2) the Aggregate Borrowing Base.</w:t>
      </w:r>
    </w:p>
    <w:p>
      <w:pPr>
        <w:spacing w:after="0" w:line="161"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Availability</w:t>
      </w:r>
      <w:r>
        <w:rPr>
          <w:rFonts w:ascii="Arial" w:cs="Arial" w:eastAsia="Arial" w:hAnsi="Arial"/>
          <w:sz w:val="17"/>
          <w:szCs w:val="17"/>
          <w:color w:val="auto"/>
        </w:rPr>
        <w:t xml:space="preserve">” means, at any time, the available borrowing capacity of WESCO Receivables under the Receivables Securitization Agreements, which available borrowing capacity is equal to (a) the lesser, at such time, of (i) the Securitization Maximum Potential Capital and (ii) the Securitization Purchase Limit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credit extended at such time to WESCO Receivables by the Securitization Lenders.</w:t>
      </w:r>
    </w:p>
    <w:p>
      <w:pPr>
        <w:spacing w:after="0" w:line="1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Lenders</w:t>
      </w:r>
      <w:r>
        <w:rPr>
          <w:rFonts w:ascii="Arial" w:cs="Arial" w:eastAsia="Arial" w:hAnsi="Arial"/>
          <w:sz w:val="17"/>
          <w:szCs w:val="17"/>
          <w:color w:val="auto"/>
        </w:rPr>
        <w:t>” means the purchasers (</w:t>
      </w:r>
      <w:r>
        <w:rPr>
          <w:rFonts w:ascii="Arial" w:cs="Arial" w:eastAsia="Arial" w:hAnsi="Arial"/>
          <w:sz w:val="17"/>
          <w:szCs w:val="17"/>
          <w:u w:val="single" w:color="auto"/>
          <w:color w:val="auto"/>
        </w:rPr>
        <w:t>i.e.</w:t>
      </w:r>
      <w:r>
        <w:rPr>
          <w:rFonts w:ascii="Arial" w:cs="Arial" w:eastAsia="Arial" w:hAnsi="Arial"/>
          <w:sz w:val="17"/>
          <w:szCs w:val="17"/>
          <w:color w:val="auto"/>
        </w:rPr>
        <w:t>, the lenders) of Eligible Accounts that have been sold to WESCO Receivables under the Receivables Securitization Agreements.</w:t>
      </w:r>
    </w:p>
    <w:p>
      <w:pPr>
        <w:spacing w:after="0" w:line="14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Maximum Potential Capita</w:t>
      </w:r>
      <w:r>
        <w:rPr>
          <w:rFonts w:ascii="Arial" w:cs="Arial" w:eastAsia="Arial" w:hAnsi="Arial"/>
          <w:sz w:val="17"/>
          <w:szCs w:val="17"/>
          <w:color w:val="auto"/>
        </w:rPr>
        <w:t>l” means, at any time, the maximum amount of credit that could be extended to WESCO Receivables at such time (based on Eligible Securitization Receivables) by the Securitization Lenders under the Receivables Securitization Agreements, which amount is set forth on the monthly reports delivered by WESCO Receivables to the Securitization Lenders as the “Maximum Potential Capital”.</w:t>
      </w:r>
    </w:p>
    <w:p>
      <w:pPr>
        <w:spacing w:after="0" w:line="153"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Purchase Limit</w:t>
      </w:r>
      <w:r>
        <w:rPr>
          <w:rFonts w:ascii="Arial" w:cs="Arial" w:eastAsia="Arial" w:hAnsi="Arial"/>
          <w:sz w:val="17"/>
          <w:szCs w:val="17"/>
          <w:color w:val="auto"/>
        </w:rPr>
        <w:t>” means on any date the aggregate commitment of the Securitization Lenders under the Receivables Securitization Agreements, as the same may be increased or decreased from time to time under the Receivables Securitization Agreements. As of the Second Restatement Date, the Securitization Purchase Limit under the Receivables Securitization Agreements is $550,000,000.</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w:t>
      </w:r>
      <w:r>
        <w:rPr>
          <w:rFonts w:ascii="Arial" w:cs="Arial" w:eastAsia="Arial" w:hAnsi="Arial"/>
          <w:sz w:val="17"/>
          <w:szCs w:val="17"/>
          <w:color w:val="auto"/>
        </w:rPr>
        <w:t>” has the meaning assigned to such term in Section 2.05(g).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Date</w:t>
      </w:r>
      <w:r>
        <w:rPr>
          <w:rFonts w:ascii="Arial" w:cs="Arial" w:eastAsia="Arial" w:hAnsi="Arial"/>
          <w:sz w:val="17"/>
          <w:szCs w:val="17"/>
          <w:color w:val="auto"/>
        </w:rPr>
        <w:t>” has the meaning assigned to such term in Section 2.05(g).</w:t>
      </w:r>
    </w:p>
    <w:p>
      <w:pPr>
        <w:spacing w:after="0" w:line="19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shall mean, with respect to paragraphs (i), (j) and (k) of Article VII hereof, on any date of determination, (a) any Restricted Subsidiary that, together with its Subsidiaries that constitute Restricted Subsidiaries, would constitute a “significant subsidiary” as set forth in Rule 1-02(w) of Regulation S-X under the Securities Act, and (b) any Restricted Subsidiary which, when aggregated with all other Restricted Subsidiaries that are not otherwise Significant Subsidiaries and as to which any event described in paragraph (i), (j) or (k) of Article VII hereof has occurred, would collectively satisfy the criteria for the determination of a Significant Subsidiary under clause (a) of this definition.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Event of Default</w:t>
      </w:r>
      <w:r>
        <w:rPr>
          <w:rFonts w:ascii="Arial" w:cs="Arial" w:eastAsia="Arial" w:hAnsi="Arial"/>
          <w:sz w:val="17"/>
          <w:szCs w:val="17"/>
          <w:color w:val="auto"/>
        </w:rPr>
        <w:t>” any Event of Default of type specified in clauses (a), (b), (d), (e)(i), (i), (j) or (k) of Article VII.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Foreign Credit Extensions</w:t>
      </w:r>
      <w:r>
        <w:rPr>
          <w:rFonts w:ascii="Arial" w:cs="Arial" w:eastAsia="Arial" w:hAnsi="Arial"/>
          <w:sz w:val="16"/>
          <w:szCs w:val="16"/>
          <w:color w:val="auto"/>
        </w:rPr>
        <w:t>” means Foreign Credit Extensions of which the Administrative Agent has received notice in accordance with Section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2.22.</w:t>
      </w:r>
    </w:p>
    <w:p>
      <w:pPr>
        <w:spacing w:after="0" w:line="184"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means, on any date, as determined by the Administrative Agent, the spot selling rate posted by Reuters on its website for the sale of the applicable currency for U.S. Dollars at approximately 11:00 a.m., New York City time, on such date (the “Applicable Quotation Date”); provided, that if, for any reason, no such spot rate is being quoted, the spot selling rate shall be determined by reference to such publicly available service for displaying exchange rates as may be reasonably selected by the Administrative Agent, or, in the event no such service is selected, such spot selling rate shall instead be the rate reasonably determined by the Administrative Agent as the spot rate of exchange in the market where its foreign currency exchange operations in respect of the applicable currency are then being conducted, at or about 11:00 a.m., New York City time, on the Applicable Quotation Date for the purchase of the relevant currency for delivery two Business Days later.</w:t>
      </w:r>
    </w:p>
    <w:p>
      <w:pPr>
        <w:spacing w:after="0" w:line="160"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Standby LC Exposure</w:t>
      </w:r>
      <w:r>
        <w:rPr>
          <w:rFonts w:ascii="Arial" w:cs="Arial" w:eastAsia="Arial" w:hAnsi="Arial"/>
          <w:sz w:val="16"/>
          <w:szCs w:val="16"/>
          <w:color w:val="auto"/>
        </w:rPr>
        <w:t>” means, at any time, the sum of (a) the aggregate undrawn amount of all outstanding standby Letters of Credit at such time plus (b) the aggregate amount of all LC Disbursements relating to standby Letters of Credit that have not yet been reimbursed by or on behalf of the Borrowers at such time. The Standby LC Exposure of any Revolving Lender at any time shall be its Applicable Percentage of the total Standby LC Exposure at such time.</w:t>
      </w:r>
    </w:p>
    <w:p>
      <w:pPr>
        <w:spacing w:after="0" w:line="136"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Lenders are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of a Person means any Indebtedness of such Person the payment of which is subordinated to payment of the Secured Obligations to the written satisfaction of the Administrative Agent in its Permitted Discretion.</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w:t>
      </w:r>
    </w:p>
    <w:p>
      <w:pPr>
        <w:sectPr>
          <w:pgSz w:w="11900" w:h="16838" w:orient="portrait"/>
          <w:cols w:equalWidth="0" w:num="1">
            <w:col w:w="11440"/>
          </w:cols>
          <w:pgMar w:left="240" w:top="124" w:right="219" w:bottom="0" w:gutter="0" w:footer="0" w:header="0"/>
        </w:sectPr>
      </w:pPr>
    </w:p>
    <w:bookmarkStart w:id="28" w:name="page29"/>
    <w:bookmarkEnd w:id="28"/>
    <w:p>
      <w:pPr>
        <w:jc w:val="both"/>
        <w:ind w:right="20"/>
        <w:spacing w:after="0" w:line="282" w:lineRule="auto"/>
        <w:rPr>
          <w:sz w:val="20"/>
          <w:szCs w:val="20"/>
          <w:color w:val="auto"/>
        </w:rPr>
      </w:pPr>
      <w:r>
        <w:rPr>
          <w:rFonts w:ascii="Arial" w:cs="Arial" w:eastAsia="Arial" w:hAnsi="Arial"/>
          <w:sz w:val="17"/>
          <w:szCs w:val="17"/>
          <w:color w:val="auto"/>
        </w:rPr>
        <w:t>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direct or indirect subsidiary of a Loan Party, as applicable.</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Revolving Lenders</w:t>
      </w:r>
      <w:r>
        <w:rPr>
          <w:rFonts w:ascii="Arial" w:cs="Arial" w:eastAsia="Arial" w:hAnsi="Arial"/>
          <w:sz w:val="17"/>
          <w:szCs w:val="17"/>
          <w:color w:val="auto"/>
        </w:rPr>
        <w:t>” means, at any time, Lenders (other than Defaulting Lenders) having Revolving Exposure and unused Revolving Commitments representing at least 66 2/3% of the sum of the Aggregate Revolving Exposure and unused Revolving Commitments.</w:t>
      </w:r>
    </w:p>
    <w:p>
      <w:pPr>
        <w:spacing w:after="0" w:line="140"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73"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 Obligations</w:t>
      </w:r>
      <w:r>
        <w:rPr>
          <w:rFonts w:ascii="Arial" w:cs="Arial" w:eastAsia="Arial" w:hAnsi="Arial"/>
          <w:sz w:val="17"/>
          <w:szCs w:val="17"/>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69"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sum of the aggregate undrawn amount of all outstanding Swingline Loans at such time. The Swingline Exposure of any Revolving Lender at any time shall be its Applicable Percentage of the total Swingline Exposure at such time.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individually and collectively as the context may require, the U.S. Swingline Lender and the Canadian Swingline Lender.</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w:t>
      </w:r>
      <w:r>
        <w:rPr>
          <w:rFonts w:ascii="Arial" w:cs="Arial" w:eastAsia="Arial" w:hAnsi="Arial"/>
          <w:sz w:val="17"/>
          <w:szCs w:val="17"/>
          <w:color w:val="auto"/>
        </w:rPr>
        <w:t>” means, individually and collectively as the context may require, each U.S. Swingline Loan and each Canadian Swingline Loan.</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(i) TARGET2 is open for settlement of payments in Euro and (ii) banks are open for dealings in deposits in Euro in the London interbank market.</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TARGET2</w:t>
      </w:r>
      <w:r>
        <w:rPr>
          <w:rFonts w:ascii="Arial" w:cs="Arial" w:eastAsia="Arial" w:hAnsi="Arial"/>
          <w:sz w:val="17"/>
          <w:szCs w:val="17"/>
          <w:color w:val="auto"/>
        </w:rPr>
        <w:t>” means the Trans-European Automated Real-time Gross Settlement Express Transfer payment system which utilizes a single shared platform and which was launched on November 19, 2007.</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Agent</w:t>
      </w:r>
      <w:r>
        <w:rPr>
          <w:rFonts w:ascii="Arial" w:cs="Arial" w:eastAsia="Arial" w:hAnsi="Arial"/>
          <w:sz w:val="17"/>
          <w:szCs w:val="17"/>
          <w:color w:val="auto"/>
        </w:rPr>
        <w:t>” means (i) Credit Suisse AG and its successors and assigns, as administrative agent and collateral agent for the Term Loan Lenders under the Existing Term Loan Agreement, or (ii) to the extent the Existing Term Loan Agreement is refinanced or replaced after the Second Restatement Date, or any new term loan Indebtedness is incurred after the Second Restatement Date, the administrative agent(s) and/or the collateral agent(s) for the Term Lenders under the new Term Loan Documents.</w:t>
      </w:r>
    </w:p>
    <w:p>
      <w:pPr>
        <w:spacing w:after="0" w:line="157"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Agreement</w:t>
      </w:r>
      <w:r>
        <w:rPr>
          <w:rFonts w:ascii="Arial" w:cs="Arial" w:eastAsia="Arial" w:hAnsi="Arial"/>
          <w:sz w:val="17"/>
          <w:szCs w:val="17"/>
          <w:color w:val="auto"/>
        </w:rPr>
        <w:t>” means (i) the Existing Term Loan Agreement or (ii) any new credit or loan agreement entered into by some or all of the Loan Parties, the lenders party thereto, and any Term Loan Agent, including, without limitation, any new credit or loan agreement entered into by some or all of the Loan Parties to refinance and/or replace the Existing Term Debt.</w:t>
      </w:r>
    </w:p>
    <w:p>
      <w:pPr>
        <w:spacing w:after="0" w:line="153"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Documents</w:t>
      </w:r>
      <w:r>
        <w:rPr>
          <w:rFonts w:ascii="Arial" w:cs="Arial" w:eastAsia="Arial" w:hAnsi="Arial"/>
          <w:sz w:val="17"/>
          <w:szCs w:val="17"/>
          <w:color w:val="auto"/>
        </w:rPr>
        <w:t>” means each Term Loan Agreement, each Term Loan Security Document, and each other “Loan Document” or “Credit Document” as such term(s) are defined in any such Term Loan Agreement (other than the ABL-Term Loan Intercreditor Agreement).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Lenders</w:t>
      </w:r>
      <w:r>
        <w:rPr>
          <w:rFonts w:ascii="Arial" w:cs="Arial" w:eastAsia="Arial" w:hAnsi="Arial"/>
          <w:sz w:val="17"/>
          <w:szCs w:val="17"/>
          <w:color w:val="auto"/>
        </w:rPr>
        <w:t>” means any lenders from time to time party to any Term Loan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Priority Collateral</w:t>
      </w:r>
      <w:r>
        <w:rPr>
          <w:rFonts w:ascii="Arial" w:cs="Arial" w:eastAsia="Arial" w:hAnsi="Arial"/>
          <w:sz w:val="17"/>
          <w:szCs w:val="17"/>
          <w:color w:val="auto"/>
        </w:rPr>
        <w:t>” has the meaning assigned to such term in the ABL-Term Loan Intercreditor Agreement.</w:t>
      </w:r>
    </w:p>
    <w:p>
      <w:pPr>
        <w:spacing w:after="0" w:line="198"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Security Documents</w:t>
      </w:r>
      <w:r>
        <w:rPr>
          <w:rFonts w:ascii="Arial" w:cs="Arial" w:eastAsia="Arial" w:hAnsi="Arial"/>
          <w:sz w:val="16"/>
          <w:szCs w:val="16"/>
          <w:color w:val="auto"/>
        </w:rPr>
        <w:t>” means the “Security Documents” as such term is defined in any Term Loan Agreement, and any other documents that are designated under any Term Loan Agreement as “Term Loan Security Documents” for purposes of the ABL-Term Loan Intercreditor Agreement.</w:t>
      </w:r>
    </w:p>
    <w:p>
      <w:pPr>
        <w:spacing w:after="0" w:line="116"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Consideration</w:t>
      </w:r>
      <w:r>
        <w:rPr>
          <w:rFonts w:ascii="Arial" w:cs="Arial" w:eastAsia="Arial" w:hAnsi="Arial"/>
          <w:sz w:val="16"/>
          <w:szCs w:val="16"/>
          <w:color w:val="auto"/>
        </w:rPr>
        <w:t>” means, with respect to any Acquisition, the sum (but without duplication) of (a) cash paid in connection with any Acquisition, (b) Indebtedness payable to the seller in connection with such Acquisition, (c) the fair market value of any equity securities, including any warrants or options therefor, delivered in connection with any Acquisition, and (d) the amount of Indebtedness assumed in connection with such Acquisition.</w:t>
      </w:r>
    </w:p>
    <w:p>
      <w:pPr>
        <w:spacing w:after="0" w:line="136" w:lineRule="exact"/>
        <w:rPr>
          <w:sz w:val="20"/>
          <w:szCs w:val="20"/>
          <w:color w:val="auto"/>
        </w:rPr>
      </w:pPr>
    </w:p>
    <w:p>
      <w:pPr>
        <w:jc w:val="both"/>
        <w:ind w:right="20" w:firstLine="57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Funded Indebtedness</w:t>
      </w:r>
      <w:r>
        <w:rPr>
          <w:rFonts w:ascii="Arial" w:cs="Arial" w:eastAsia="Arial" w:hAnsi="Arial"/>
          <w:sz w:val="15"/>
          <w:szCs w:val="15"/>
          <w:color w:val="auto"/>
        </w:rPr>
        <w:t xml:space="preserve">” means, at any date, the aggregate principal amount of all Indebtedness of the types described in clauses (a), (b), (f), (h), (k) and, solely to the extent such Indebtedness being guaranteed would otherwise constitute Total Funded Indebtedness, (g), determined on a consolidated basis in accordance with GAAP,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this definition, the 2029 Convertible Debentures shall be included in Total Funded Indebtedness at par value.</w:t>
      </w:r>
    </w:p>
    <w:p>
      <w:pPr>
        <w:spacing w:after="0" w:line="117"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xml:space="preserve">” means, on any date, the ratio of (a) Total Funded Indebtedness on such date to (b) EBITDA for the then most recently ended period of four consecutive fiscal quarters for which financial statements are available,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Total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Indebtedness) had occurred in the first day of such four quarter period.</w:t>
      </w:r>
    </w:p>
    <w:p>
      <w:pPr>
        <w:spacing w:after="0" w:line="14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(and any Foreign Subsidiaries which are party to the Canadian Security Agreement, the Canadian Guarantee or the U.S. Security Agreement) of this Agreement and the other Loan Documents, the borrowing of Loans and other credit extensions, the use of the proceeds thereof and the issuance of Letters of Credit hereunder, and the granting of Liens under the Collateral Documents in each case, on the date hereof.</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ABR, the Canadian Prime Rate, the CDOR Rate or the Adjusted LIBO Rate.</w:t>
      </w:r>
    </w:p>
    <w:p>
      <w:pPr>
        <w:sectPr>
          <w:pgSz w:w="11900" w:h="16838" w:orient="portrait"/>
          <w:cols w:equalWidth="0" w:num="1">
            <w:col w:w="11440"/>
          </w:cols>
          <w:pgMar w:left="240" w:top="124" w:right="219" w:bottom="0" w:gutter="0" w:footer="0" w:header="0"/>
        </w:sectPr>
      </w:pPr>
    </w:p>
    <w:bookmarkStart w:id="29" w:name="page30"/>
    <w:bookmarkEnd w:id="29"/>
    <w:p>
      <w:pPr>
        <w:jc w:val="both"/>
        <w:ind w:right="20" w:firstLine="5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3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Pension Liability</w:t>
      </w:r>
      <w:r>
        <w:rPr>
          <w:rFonts w:ascii="Arial" w:cs="Arial" w:eastAsia="Arial" w:hAnsi="Arial"/>
          <w:sz w:val="17"/>
          <w:szCs w:val="17"/>
          <w:color w:val="auto"/>
        </w:rPr>
        <w:t>” means, at a point in time, with respect to any defined benefit Canadian Pension Plan, the total unfunded liability or solvency deficiency as determined by a professional actuary for the purposes of the Employment Pension Plans Act (Alberta) or such other provincial pension standards legislation that may be applicable to the funding and solvency requirements of that plan.</w:t>
      </w:r>
    </w:p>
    <w:p>
      <w:pPr>
        <w:spacing w:after="0" w:line="153"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Unliquidated Obligations</w:t>
      </w:r>
      <w:r>
        <w:rPr>
          <w:rFonts w:ascii="Arial" w:cs="Arial" w:eastAsia="Arial" w:hAnsi="Arial"/>
          <w:sz w:val="17"/>
          <w:szCs w:val="17"/>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57" w:lineRule="exact"/>
        <w:rPr>
          <w:sz w:val="20"/>
          <w:szCs w:val="20"/>
          <w:color w:val="auto"/>
        </w:rPr>
      </w:pPr>
    </w:p>
    <w:p>
      <w:pPr>
        <w:jc w:val="both"/>
        <w:ind w:right="20" w:firstLine="57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Unrestricted Subsidiary</w:t>
      </w:r>
      <w:r>
        <w:rPr>
          <w:rFonts w:ascii="Arial" w:cs="Arial" w:eastAsia="Arial" w:hAnsi="Arial"/>
          <w:sz w:val="15"/>
          <w:szCs w:val="15"/>
          <w:color w:val="auto"/>
        </w:rPr>
        <w:t>” means (a) any Subsidiary of a Borrower that is formed or acquired after the Second Restatement Date that is designated as an Unrestricted Subsidiary in accordance with Section 6.13, (b) any Restricted Subsidiary designated or re-designated as an Unrestricted Subsidiary by the Borrower Representative in a written notice to the Administrative Agent and in accordance with Section 6.13, and (c) each Subsidiary of an Unrestricted Subsidiary.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has the meaning assigned to such term in Section 9.14.</w:t>
      </w:r>
    </w:p>
    <w:p>
      <w:pPr>
        <w:spacing w:after="0" w:line="198"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Availability</w:t>
      </w:r>
      <w:r>
        <w:rPr>
          <w:rFonts w:ascii="Arial" w:cs="Arial" w:eastAsia="Arial" w:hAnsi="Arial"/>
          <w:sz w:val="17"/>
          <w:szCs w:val="17"/>
          <w:color w:val="auto"/>
        </w:rPr>
        <w:t xml:space="preserve">” means, as of any date of determination, (a) the lesser of (i) the total Revolving Commitments as of such date and (ii) the U.S. Borrowing Base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(i) the total U.S. Revolving Exposure of all U.S. Lenders as of such date (calculated with respect to any Defaulting Lender as if such Defaulting Lender had funded its Applicable Percentage of all outstanding Borrowings), and (ii) the Canadian U.S. Borrowing Base Utilization as of such date.</w:t>
      </w:r>
    </w:p>
    <w:p>
      <w:pPr>
        <w:spacing w:after="0" w:line="157"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Borrower</w:t>
      </w:r>
      <w:r>
        <w:rPr>
          <w:rFonts w:ascii="Arial" w:cs="Arial" w:eastAsia="Arial" w:hAnsi="Arial"/>
          <w:sz w:val="16"/>
          <w:szCs w:val="16"/>
          <w:color w:val="auto"/>
        </w:rPr>
        <w:t>” or “</w:t>
      </w:r>
      <w:r>
        <w:rPr>
          <w:rFonts w:ascii="Arial" w:cs="Arial" w:eastAsia="Arial" w:hAnsi="Arial"/>
          <w:sz w:val="16"/>
          <w:szCs w:val="16"/>
          <w:u w:val="single" w:color="auto"/>
          <w:color w:val="auto"/>
        </w:rPr>
        <w:t>U.S. Borrowers</w:t>
      </w:r>
      <w:r>
        <w:rPr>
          <w:rFonts w:ascii="Arial" w:cs="Arial" w:eastAsia="Arial" w:hAnsi="Arial"/>
          <w:sz w:val="16"/>
          <w:szCs w:val="16"/>
          <w:color w:val="auto"/>
        </w:rPr>
        <w:t>” means, individually or collectively as the context may require (a) WESCO Distribution, Inc., a Delaware corporation, WESCO Equity Corporation, a Delaware corporation, WESCO Integrated Supply, Inc., a Delaware corporation, WESCO Nevada, Ltd., a Nevada corporation, Communications Supply Corporation, a Connecticut corporation, Calvert Wire &amp; Cable Corporation, a Delaware corporation, Liberty Wire &amp; Cable, Inc., a Delaware corporation, TVC Communications, L.L.C., a Delaware limited liability company, Carlton-Bates Company, an Arkansas corporation, and Conney Safety Products, LLC, a Delaware limited liability company, Hi-Line Utility Supply Company, LLC, an Illinois limited liability company, and Hill Country Electric Supply, L.P., a Texas limited partnership and (b) any Domestic Subsidiary of Holdings (other than a CFC Subsidiary Holding Company) that becomes a party to this Agreement as an additional borrower after the Second Restatement Date pursuant to a Joinder Agreement in accordance with Section 5.13.</w:t>
      </w:r>
    </w:p>
    <w:p>
      <w:pPr>
        <w:spacing w:after="0" w:line="149"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Borrowing Base</w:t>
      </w:r>
      <w:r>
        <w:rPr>
          <w:rFonts w:ascii="Arial" w:cs="Arial" w:eastAsia="Arial" w:hAnsi="Arial"/>
          <w:sz w:val="17"/>
          <w:szCs w:val="17"/>
          <w:color w:val="auto"/>
        </w:rPr>
        <w:t xml:space="preserve">” means, at any time, the sum of (a) the lesser of (i) 70% of the U.S. Loan Parties (other than Intermediate Holding Companies)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U.S.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Securitization Additional Availability,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Reserves.</w:t>
      </w:r>
    </w:p>
    <w:p>
      <w:pPr>
        <w:spacing w:after="0" w:line="160"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Cash Management Bank</w:t>
      </w:r>
      <w:r>
        <w:rPr>
          <w:rFonts w:ascii="Arial" w:cs="Arial" w:eastAsia="Arial" w:hAnsi="Arial"/>
          <w:sz w:val="17"/>
          <w:szCs w:val="17"/>
          <w:color w:val="auto"/>
        </w:rPr>
        <w:t xml:space="preserve">” means (a) as of the Second Restatement Date, PNC Bank National Association, in its capacity as the principal depositary bank for the U.S. Loan Parties (other than the Canadian Cross-Border Loan Guarantors), and (b) at any time after the Second Restatement Date, any one or more of the Lenders selected by the U.S. Loan Parties (other than the Canadian Cross-Border Loan Guarantors), in consultation with the Administrative Agent, to become the successor principal depository bank for the U.S. Loan Parties (other than the Canadian Cross-Border Loan Guarantors);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Administrative Agent otherwise consents in writing, no Person shall become the successor “U.S. Cash Management Bank” unless and until such Person shall have entered into a Control Agreement with the U.S. Loan Parties (other than the Canadian Cross-Border Loan Guarantors) and the Administrative Agent in form and substance reasonably acceptable to the Administrative Agent.</w:t>
      </w:r>
    </w:p>
    <w:p>
      <w:pPr>
        <w:spacing w:after="0" w:line="160"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Collection Account</w:t>
      </w:r>
      <w:r>
        <w:rPr>
          <w:rFonts w:ascii="Arial" w:cs="Arial" w:eastAsia="Arial" w:hAnsi="Arial"/>
          <w:sz w:val="17"/>
          <w:szCs w:val="17"/>
          <w:color w:val="auto"/>
        </w:rPr>
        <w:t>” means the account at JPMorgan, so designated by the Administrative Agent, in a written notice delivered to the Borrower Representative, to be the “U.S. Collection Account”, to which funds on deposit in Deposit Accounts (other than Excluded Accounts) maintained by the U.S. Loan Parties (other than Canadian Cross-Border Loan Guarantors) with the U.S. Cash Management Bank and all collections and other payments received in respect of the Accounts of the U.S. Loan Parties (other than the Canadian Cross-Border Loan Guarantors) by the U.S. Cash Management Bank shall be remitted at all times (subject to the provisions of the Intercreditor Agreement) during a Cash Dominion Period.</w:t>
      </w:r>
    </w:p>
    <w:p>
      <w:pPr>
        <w:spacing w:after="0" w:line="161"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Commitment</w:t>
      </w:r>
      <w:r>
        <w:rPr>
          <w:rFonts w:ascii="Arial" w:cs="Arial" w:eastAsia="Arial" w:hAnsi="Arial"/>
          <w:sz w:val="16"/>
          <w:szCs w:val="16"/>
          <w:color w:val="auto"/>
        </w:rPr>
        <w:t xml:space="preserve">” means, with respect to each U.S. Lender, the commitment, if any, of such U.S. Lender to make U.S. Revolving Loans and to acquire participations in U.S. Letters of Credit, U.S. Overadvances and U.S. Swingline Loans hereunder, expressed as an amount representing the maximum possible aggregate amount of such U.S. Lender’s U.S. Revolving Exposure hereunder, as such commitment may be reduced or increased from time to time pursuant to (a) Section 2.09 and (b) assignments by or to such U.S. Lender pursuant to Section 9.04. The initial amount of each U.S. Lender’s U.S. Commitment is set forth on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or in the Assignment and Assumption pursuant to which such U.S. Lender shall have assumed its U.S. Commitment, as applicable. The U.S. Commitment is a sub-facility of the Revolving Commitment and is not in addition to the Revolving Commitment.</w:t>
      </w:r>
    </w:p>
    <w:p>
      <w:pPr>
        <w:spacing w:after="0" w:line="14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Exposure</w:t>
      </w:r>
      <w:r>
        <w:rPr>
          <w:rFonts w:ascii="Arial" w:cs="Arial" w:eastAsia="Arial" w:hAnsi="Arial"/>
          <w:sz w:val="17"/>
          <w:szCs w:val="17"/>
          <w:color w:val="auto"/>
        </w:rPr>
        <w:t>” means, at any time, the sum of the Commercial LC Exposure and the Standby LC Exposure of the U.S. Borrowers. The U.S. LC Exposure of any U.S. Lender at any time shall be its Applicable Percentage of the total U.S. LC Exposure at such time.</w:t>
      </w:r>
    </w:p>
    <w:p>
      <w:pPr>
        <w:spacing w:after="0" w:line="14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Lender Parties</w:t>
      </w:r>
      <w:r>
        <w:rPr>
          <w:rFonts w:ascii="Arial" w:cs="Arial" w:eastAsia="Arial" w:hAnsi="Arial"/>
          <w:sz w:val="17"/>
          <w:szCs w:val="17"/>
          <w:color w:val="auto"/>
        </w:rPr>
        <w:t>” means, individually and collectively as the context may require, the Administrative Agent, the U.S. Lenders, and the Issuing Banks issuing U.S. Letters of Credit.</w:t>
      </w:r>
    </w:p>
    <w:p>
      <w:pPr>
        <w:spacing w:after="0" w:line="14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Lenders</w:t>
      </w:r>
      <w:r>
        <w:rPr>
          <w:rFonts w:ascii="Arial" w:cs="Arial" w:eastAsia="Arial" w:hAnsi="Arial"/>
          <w:sz w:val="17"/>
          <w:szCs w:val="17"/>
          <w:color w:val="auto"/>
        </w:rPr>
        <w:t xml:space="preserve">” means the Persons listed on the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as having a U.S. Commitment and any other Person that shall acquire a U.S. Commitment pursuant to an Assignment and Assumption or become a lender pursuant to an Aggregate Commitment Increase in accordance with Section 2.09, other than any such Person that ceases to be such a Person hereto pursuant to an Assignment and Assumption. Unless the context otherwise requires, the term “U.S. Lenders” includes the U.S. Swingline Lender.</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w:t>
      </w:r>
      <w:r>
        <w:rPr>
          <w:rFonts w:ascii="Arial" w:cs="Arial" w:eastAsia="Arial" w:hAnsi="Arial"/>
          <w:sz w:val="17"/>
          <w:szCs w:val="17"/>
          <w:color w:val="auto"/>
        </w:rPr>
        <w:t>” means any Letter of Credit issued hereunder for the purpose of providing credit support for any U.S. Borrower, any Domestic Subsidiary or any Foreign Subsidiary.</w:t>
      </w:r>
    </w:p>
    <w:p>
      <w:pPr>
        <w:spacing w:after="0" w:line="140"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 Guarantors</w:t>
      </w:r>
      <w:r>
        <w:rPr>
          <w:rFonts w:ascii="Arial" w:cs="Arial" w:eastAsia="Arial" w:hAnsi="Arial"/>
          <w:sz w:val="17"/>
          <w:szCs w:val="17"/>
          <w:color w:val="auto"/>
        </w:rPr>
        <w:t>” means, individually or collectively, as the context may require (a) Holdings, WESCO Finance Corporation, a Delaware corporation, CDW Holdco, LLC, a Delaware limited liability company, WDC Holding Inc., a Delaware corporation, Conney Investment Holdings, LLC, a Delaware limited liability company, WESCO Nigeria, Inc., a Delaware corporation, CBC LP Holdings, LLC, a Delaware limited liability company, TVC International Holdings, LLC, a Delaware limited liability company, WDCH, LP, a Pennsylvania limited partnership, WESCO Enterprises, Inc., a Delaware corporation, and WDCH US LP, a Delaware limited partnership, (b) any Canadian Cross-Border Loan Guarantor, (c) any Domestic Subsidiary (other than a CFC Subsidiary Holding Company) that after the Second Restatement Date guarantees payment of the U.S. Obligations and the Canadian Obligations pursuant to Section 5.13 and (d) the successors and assigns of the Persons described in clauses (a), (b) and (c) of this definition; provided, however, that for the avoidance of doubt, “U.S. Loan Guarantors” shall not include any CFC Subsidiary or CFC Subsidiary Holding Company.</w:t>
      </w:r>
    </w:p>
    <w:p>
      <w:pPr>
        <w:sectPr>
          <w:pgSz w:w="11900" w:h="16838" w:orient="portrait"/>
          <w:cols w:equalWidth="0" w:num="1">
            <w:col w:w="11440"/>
          </w:cols>
          <w:pgMar w:left="240" w:top="124" w:right="219" w:bottom="0" w:gutter="0" w:footer="0" w:header="0"/>
        </w:sectPr>
      </w:pPr>
    </w:p>
    <w:bookmarkStart w:id="30" w:name="page31"/>
    <w:bookmarkEnd w:id="30"/>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 Parties</w:t>
      </w:r>
      <w:r>
        <w:rPr>
          <w:rFonts w:ascii="Arial" w:cs="Arial" w:eastAsia="Arial" w:hAnsi="Arial"/>
          <w:sz w:val="17"/>
          <w:szCs w:val="17"/>
          <w:color w:val="auto"/>
        </w:rPr>
        <w:t>” means, individually or collectively, as the context may require, the U.S. Borrowers and the U.S. Loan Guarantors.</w:t>
      </w:r>
    </w:p>
    <w:p>
      <w:pPr>
        <w:spacing w:after="0" w:line="199"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 Party Guaranty</w:t>
      </w:r>
      <w:r>
        <w:rPr>
          <w:rFonts w:ascii="Arial" w:cs="Arial" w:eastAsia="Arial" w:hAnsi="Arial"/>
          <w:sz w:val="17"/>
          <w:szCs w:val="17"/>
          <w:color w:val="auto"/>
        </w:rPr>
        <w:t>” means (i) Article VIII of the U.S. Security Agreement, and (ii) each other separate Guarantee having terms substantially similar to those set forth in Article VIII of the U.S. Security Agreement delivered by any other U.S. Loan Party after the Second Restatement Date, in each case, as amended or modified and in effect from time to time.</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Loans</w:t>
      </w:r>
      <w:r>
        <w:rPr>
          <w:rFonts w:ascii="Arial" w:cs="Arial" w:eastAsia="Arial" w:hAnsi="Arial"/>
          <w:sz w:val="17"/>
          <w:szCs w:val="17"/>
          <w:color w:val="auto"/>
        </w:rPr>
        <w:t>” means, individually and collectively as the context may require, the U.S. Revolving Loans, the U.S. Swingline Loans,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Overadvances, and the U.S. Protective Advances.</w:t>
      </w:r>
    </w:p>
    <w:p>
      <w:pPr>
        <w:spacing w:after="0" w:line="184"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Obligations</w:t>
      </w:r>
      <w:r>
        <w:rPr>
          <w:rFonts w:ascii="Arial" w:cs="Arial" w:eastAsia="Arial" w:hAnsi="Arial"/>
          <w:sz w:val="16"/>
          <w:szCs w:val="16"/>
          <w:color w:val="auto"/>
        </w:rPr>
        <w:t>” means, with respect to the U.S. Loan Parties, all unpaid principal of and accrued and unpaid interest on the U.S. Loans, all U.S. LC Exposure, all accrued and unpaid fees and all expenses, reimbursements, indemnities and other obligations of the U.S. Loan Parties to the Lenders or to any Lender, the Administrative Agent, any Issuing Bank with respect to a U.S. Letter of Credit or any indemnified party arising under the Loan Documents.</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Overadvances</w:t>
      </w:r>
      <w:r>
        <w:rPr>
          <w:rFonts w:ascii="Arial" w:cs="Arial" w:eastAsia="Arial" w:hAnsi="Arial"/>
          <w:sz w:val="17"/>
          <w:szCs w:val="17"/>
          <w:color w:val="auto"/>
        </w:rPr>
        <w:t>” has the meaning assigned to such term in Section 2.05(c).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w:t>
      </w:r>
      <w:r>
        <w:rPr>
          <w:rFonts w:ascii="Arial" w:cs="Arial" w:eastAsia="Arial" w:hAnsi="Arial"/>
          <w:sz w:val="17"/>
          <w:szCs w:val="17"/>
          <w:color w:val="auto"/>
        </w:rPr>
        <w:t>” means the United States of America.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 “United States person” within the meaning of Section 7701(a)(30) of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Protective Advance</w:t>
      </w:r>
      <w:r>
        <w:rPr>
          <w:rFonts w:ascii="Arial" w:cs="Arial" w:eastAsia="Arial" w:hAnsi="Arial"/>
          <w:sz w:val="17"/>
          <w:szCs w:val="17"/>
          <w:color w:val="auto"/>
        </w:rPr>
        <w:t>” has the meaning assigned to such term in Section 2.04(a).</w:t>
      </w:r>
    </w:p>
    <w:p>
      <w:pPr>
        <w:spacing w:after="0" w:line="198" w:lineRule="exact"/>
        <w:rPr>
          <w:sz w:val="20"/>
          <w:szCs w:val="20"/>
          <w:color w:val="auto"/>
        </w:rPr>
      </w:pPr>
    </w:p>
    <w:p>
      <w:pPr>
        <w:jc w:val="both"/>
        <w:ind w:firstLine="572"/>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Revolving Exposure</w:t>
      </w:r>
      <w:r>
        <w:rPr>
          <w:rFonts w:ascii="Arial" w:cs="Arial" w:eastAsia="Arial" w:hAnsi="Arial"/>
          <w:sz w:val="15"/>
          <w:szCs w:val="15"/>
          <w:color w:val="auto"/>
        </w:rPr>
        <w:t xml:space="preserve">” means, with respect to any U.S. Lender at any time, the sum of (a) the outstanding principal amount of U.S. Revolving Loans of such U.S. Lender at such time,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an amount equal to such U.S. Lender’s Applicable Percentage of the aggregate principal amount of the U.S. Swingline Loans outstanding at such time,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an amount equal to such U.S. Lender’s Applicable Percentage of the aggregate U.S. LC Exposure outstanding at such time,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(d) an amount equal to such U.S. Lender’s Applicable Percentage of the aggregate principal amount of the U.S. Overadvances outstanding at such time.</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Loan</w:t>
      </w:r>
      <w:r>
        <w:rPr>
          <w:rFonts w:ascii="Arial" w:cs="Arial" w:eastAsia="Arial" w:hAnsi="Arial"/>
          <w:sz w:val="17"/>
          <w:szCs w:val="17"/>
          <w:color w:val="auto"/>
        </w:rPr>
        <w:t>” means a Revolving Loan made to the U.S. Borrowers.</w:t>
      </w:r>
    </w:p>
    <w:p>
      <w:pPr>
        <w:spacing w:after="0" w:line="198" w:lineRule="exact"/>
        <w:rPr>
          <w:sz w:val="20"/>
          <w:szCs w:val="20"/>
          <w:color w:val="auto"/>
        </w:rPr>
      </w:pPr>
    </w:p>
    <w:p>
      <w:pPr>
        <w:jc w:val="both"/>
        <w:ind w:firstLine="572"/>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Secured Obligations</w:t>
      </w:r>
      <w:r>
        <w:rPr>
          <w:rFonts w:ascii="Arial" w:cs="Arial" w:eastAsia="Arial" w:hAnsi="Arial"/>
          <w:sz w:val="16"/>
          <w:szCs w:val="16"/>
          <w:color w:val="auto"/>
        </w:rPr>
        <w:t xml:space="preserve">” means all U.S. Obligations, together with all (a) Banking Services Obligations of the U.S. Loan Parties; (b) Swap Agreement Obligations of the U.S. Loan Parties owing to one or more U.S. Lenders or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promptly after any transaction relating to such Swap Obligation is executed, the U.S. Lender or Affiliate of a U.S. Lender party thereto (other than JPMorgan or its Affiliates) shall have delivered written notice to the Administrative Agent that such a transaction has been entered into and that it constitutes a U.S. Secured Obligation entitled to the benefits of the Collateral Documents in favor of the U.S. Lender Parties; and (c) all obligations of the U.S. Loan Parties in respect of all Guarantees provided by such U.S. Loan Parties of Indebtedness of Foreign Subsidiaries under Foreign Credit Extensions;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promptly after any such Guarantee by any U.S. Loan Party relating to such Foreign Credit Extension is entered into, the U.S. Lender or Affiliate of a U.S. Lender party thereto (other than JPMorgan or its Affiliates) shall have delivered written notice to the Administrative Agent that such a Guarantee has been entered into and that it constitutes a U.S. Secured Obligation entitled to the benefits of the Collateral Documents in favor of the U.S. Lender Parties.</w:t>
      </w:r>
    </w:p>
    <w:p>
      <w:pPr>
        <w:spacing w:after="0" w:line="151"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Security Agreement</w:t>
      </w:r>
      <w:r>
        <w:rPr>
          <w:rFonts w:ascii="Arial" w:cs="Arial" w:eastAsia="Arial" w:hAnsi="Arial"/>
          <w:sz w:val="16"/>
          <w:szCs w:val="16"/>
          <w:color w:val="auto"/>
        </w:rPr>
        <w:t xml:space="preserve">” means that certain Amended and Restated Pledge and Security Agreement, dated as of the Second Restatement Date, among the U.S. Loan Parties, WDINESCO II B.V. and the Administrative Agent, for the benefit of the Lender Parties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which Amended and Restated Pledge and Security Agreement amends and restates in its entirety the Pledge and Security Agreement among the U.S. Loan Parties, WDINESCO II B.V. and the Administrative Agent, for the benefit of the Lender Parties, dated as of the Original Closing Date, and any other pledge or security agreement entered into after the Second Restatement Date by any other U.S. Loan Party (as required by this Agreement or any other Loan Document), or any other Person, in each case, as the same may be amended, restated or otherwise modified from time to time.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Swingline Lender</w:t>
      </w:r>
      <w:r>
        <w:rPr>
          <w:rFonts w:ascii="Arial" w:cs="Arial" w:eastAsia="Arial" w:hAnsi="Arial"/>
          <w:sz w:val="17"/>
          <w:szCs w:val="17"/>
          <w:color w:val="auto"/>
        </w:rPr>
        <w:t>” means JPMorgan Chase Bank, N.A., in its capacity as lender of U.S. Swingline Loans 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Swingline Loan</w:t>
      </w:r>
      <w:r>
        <w:rPr>
          <w:rFonts w:ascii="Arial" w:cs="Arial" w:eastAsia="Arial" w:hAnsi="Arial"/>
          <w:sz w:val="17"/>
          <w:szCs w:val="17"/>
          <w:color w:val="auto"/>
        </w:rPr>
        <w:t>” means a Loan made by the U.S. Swingline Lender pursuant to Section 2.05(a).</w:t>
      </w:r>
    </w:p>
    <w:p>
      <w:pPr>
        <w:spacing w:after="0" w:line="198"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Wage Earner Protection Act Reserve</w:t>
      </w:r>
      <w:r>
        <w:rPr>
          <w:rFonts w:ascii="Arial" w:cs="Arial" w:eastAsia="Arial" w:hAnsi="Arial"/>
          <w:sz w:val="17"/>
          <w:szCs w:val="17"/>
          <w:color w:val="auto"/>
        </w:rPr>
        <w:t>” means, on any date of determination, a reserve established from time to time by Canadian Administrative Agent in such amount as Canadian Administrative Agent determines reflects the amounts that may become due under the Wage Earner Protection Program Act (Canada) with respect to the employees of any Loan Party employed in Canada which would give rise to a Lien with priority under applicable law over the Lien of Canadian Administrative Agent.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WDCC Enterprises</w:t>
      </w:r>
      <w:r>
        <w:rPr>
          <w:rFonts w:ascii="Arial" w:cs="Arial" w:eastAsia="Arial" w:hAnsi="Arial"/>
          <w:sz w:val="17"/>
          <w:szCs w:val="17"/>
          <w:color w:val="auto"/>
        </w:rPr>
        <w:t>” means WDCC Enterprises, Inc., a corporation organized under the laws of Alberta, Canada.</w:t>
      </w:r>
    </w:p>
    <w:p>
      <w:pPr>
        <w:spacing w:after="0" w:line="198" w:lineRule="exact"/>
        <w:rPr>
          <w:sz w:val="20"/>
          <w:szCs w:val="20"/>
          <w:color w:val="auto"/>
        </w:rPr>
      </w:pPr>
    </w:p>
    <w:p>
      <w:pPr>
        <w:jc w:val="both"/>
        <w:ind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WDCC Enterprises $90,000,000 Intercompany Loan</w:t>
      </w:r>
      <w:r>
        <w:rPr>
          <w:rFonts w:ascii="Arial" w:cs="Arial" w:eastAsia="Arial" w:hAnsi="Arial"/>
          <w:sz w:val="16"/>
          <w:szCs w:val="16"/>
          <w:color w:val="auto"/>
        </w:rPr>
        <w:t>” means that certain Intercompany Loan by WESCO Canada II to WDCC Enterprises in the original principal amount of Cdn $90,000,000 made on or about December 13, 2012 and evidenced by the WDCC Enterprises Cdn $90,000,000 Intercompany Note.</w:t>
      </w:r>
    </w:p>
    <w:p>
      <w:pPr>
        <w:spacing w:after="0" w:line="11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WDCC Enterprises $90,000,000 Intercompany Note</w:t>
      </w:r>
      <w:r>
        <w:rPr>
          <w:rFonts w:ascii="Arial" w:cs="Arial" w:eastAsia="Arial" w:hAnsi="Arial"/>
          <w:sz w:val="17"/>
          <w:szCs w:val="17"/>
          <w:color w:val="auto"/>
        </w:rPr>
        <w:t>” means that certain Intercompany Note from WDCC Enterprises to WESCO Canada II dated on or about December 13, 2012 in the original principal amount of Cdn $90,000,000.</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WDC Holding</w:t>
      </w:r>
      <w:r>
        <w:rPr>
          <w:rFonts w:ascii="Arial" w:cs="Arial" w:eastAsia="Arial" w:hAnsi="Arial"/>
          <w:sz w:val="17"/>
          <w:szCs w:val="17"/>
          <w:color w:val="auto"/>
        </w:rPr>
        <w:t>” means WDC Holding, Inc., a Delaware corporation.</w:t>
      </w:r>
    </w:p>
    <w:p>
      <w:pPr>
        <w:spacing w:after="0" w:line="198"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Weekly Reporting Trigger Period</w:t>
      </w:r>
      <w:r>
        <w:rPr>
          <w:rFonts w:ascii="Arial" w:cs="Arial" w:eastAsia="Arial" w:hAnsi="Arial"/>
          <w:sz w:val="17"/>
          <w:szCs w:val="17"/>
          <w:color w:val="auto"/>
        </w:rPr>
        <w:t>” means the period (a) commencing on the day that (i) an Event of Default occurs, or (ii) Aggregate Availability falls below the Aggregate Availability Trigger Amount and (b) continuing until the date on which no Event of Default has existed and the Aggregate Availability has exceeded the Aggregate Availability Trigger Amount for thirty consecutive days.</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WESCO Canada I</w:t>
      </w:r>
      <w:r>
        <w:rPr>
          <w:rFonts w:ascii="Arial" w:cs="Arial" w:eastAsia="Arial" w:hAnsi="Arial"/>
          <w:sz w:val="17"/>
          <w:szCs w:val="17"/>
          <w:color w:val="auto"/>
        </w:rPr>
        <w:t>” means WESCO Canada I, LP, a limited partnership organized under the laws of Alberta.</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WESCO Canada I $150,000,000 Intercompany Loan</w:t>
      </w:r>
      <w:r>
        <w:rPr>
          <w:rFonts w:ascii="Arial" w:cs="Arial" w:eastAsia="Arial" w:hAnsi="Arial"/>
          <w:sz w:val="17"/>
          <w:szCs w:val="17"/>
          <w:color w:val="auto"/>
        </w:rPr>
        <w:t>” means that certain Intercompany Loan by WDC Holding to WESCO Canada I in the original principal amount of $150,000,000 evidenced by the WESCO Canada I Intercompany Note.</w:t>
      </w:r>
    </w:p>
    <w:p>
      <w:pPr>
        <w:spacing w:after="0" w:line="1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WESCO Canada I $150,000,000 Intercompany Note</w:t>
      </w:r>
      <w:r>
        <w:rPr>
          <w:rFonts w:ascii="Arial" w:cs="Arial" w:eastAsia="Arial" w:hAnsi="Arial"/>
          <w:sz w:val="17"/>
          <w:szCs w:val="17"/>
          <w:color w:val="auto"/>
        </w:rPr>
        <w:t>” means that certain Subordinated Promissory Note from WESCO Canada I to WDC Holding dated on or about the First Restatement Date in the original principal amount of $150,000,000.</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WESCO Canada II</w:t>
      </w:r>
      <w:r>
        <w:rPr>
          <w:rFonts w:ascii="Arial" w:cs="Arial" w:eastAsia="Arial" w:hAnsi="Arial"/>
          <w:sz w:val="17"/>
          <w:szCs w:val="17"/>
          <w:color w:val="auto"/>
        </w:rPr>
        <w:t>” means WESCO Canada II, LP, a limited partnership organized under the laws of Alberta.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WESCO Receivables</w:t>
      </w:r>
      <w:r>
        <w:rPr>
          <w:rFonts w:ascii="Arial" w:cs="Arial" w:eastAsia="Arial" w:hAnsi="Arial"/>
          <w:sz w:val="17"/>
          <w:szCs w:val="17"/>
          <w:color w:val="auto"/>
        </w:rPr>
        <w:t>” means WESCO Receivables Corp., a Delaware corporation.</w:t>
      </w:r>
    </w:p>
    <w:p>
      <w:pPr>
        <w:spacing w:after="0" w:line="198"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ectPr>
          <w:pgSz w:w="11900" w:h="16838" w:orient="portrait"/>
          <w:cols w:equalWidth="0" w:num="1">
            <w:col w:w="11440"/>
          </w:cols>
          <w:pgMar w:left="240" w:top="124" w:right="219" w:bottom="0" w:gutter="0" w:footer="0" w:header="0"/>
        </w:sectPr>
      </w:pPr>
    </w:p>
    <w:bookmarkStart w:id="31" w:name="page32"/>
    <w:bookmarkEnd w:id="31"/>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Withholding Agent</w:t>
      </w:r>
      <w:r>
        <w:rPr>
          <w:rFonts w:ascii="Arial" w:cs="Arial" w:eastAsia="Arial" w:hAnsi="Arial"/>
          <w:sz w:val="17"/>
          <w:szCs w:val="17"/>
          <w:color w:val="auto"/>
        </w:rPr>
        <w:t>” means any Loan Party or any Agent, as applicable.</w:t>
      </w:r>
    </w:p>
    <w:p>
      <w:pPr>
        <w:spacing w:after="0" w:line="19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may be classified and referred to by Class (</w:t>
      </w:r>
      <w:r>
        <w:rPr>
          <w:rFonts w:ascii="Arial" w:cs="Arial" w:eastAsia="Arial" w:hAnsi="Arial"/>
          <w:sz w:val="17"/>
          <w:szCs w:val="17"/>
          <w:u w:val="single" w:color="auto"/>
          <w:color w:val="auto"/>
        </w:rPr>
        <w:t>e.g.</w:t>
      </w:r>
      <w:r>
        <w:rPr>
          <w:rFonts w:ascii="Arial" w:cs="Arial" w:eastAsia="Arial" w:hAnsi="Arial"/>
          <w:sz w:val="17"/>
          <w:szCs w:val="17"/>
          <w:color w:val="auto"/>
        </w:rPr>
        <w:t>, a “Revolving Loan”) or by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Loan”)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Revolving Loan”). Borrowings also may be classified and referred to by Class (</w:t>
      </w:r>
      <w:r>
        <w:rPr>
          <w:rFonts w:ascii="Arial" w:cs="Arial" w:eastAsia="Arial" w:hAnsi="Arial"/>
          <w:sz w:val="17"/>
          <w:szCs w:val="17"/>
          <w:u w:val="single" w:color="auto"/>
          <w:color w:val="auto"/>
        </w:rPr>
        <w:t>e.g.</w:t>
      </w:r>
      <w:r>
        <w:rPr>
          <w:rFonts w:ascii="Arial" w:cs="Arial" w:eastAsia="Arial" w:hAnsi="Arial"/>
          <w:sz w:val="17"/>
          <w:szCs w:val="17"/>
          <w:color w:val="auto"/>
        </w:rPr>
        <w:t>, a “Revolving Borrowing”) or by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Borrowing”)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Revolving Borrowing”).</w:t>
      </w:r>
    </w:p>
    <w:p>
      <w:pPr>
        <w:spacing w:after="0" w:line="157"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Terms Generally</w:t>
      </w:r>
      <w:r>
        <w:rPr>
          <w:rFonts w:ascii="Arial" w:cs="Arial" w:eastAsia="Arial" w:hAnsi="Arial"/>
          <w:sz w:val="15"/>
          <w:szCs w:val="15"/>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replaced, or otherwise modified (subject to any restrictions on such amendments, supplements, replacements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in any definition to the phrase “at any time” or “for any time” shall refer to the same time or period for all calculations or determination within such definition, and (f) the words “asset” and “property” shall be construed to have the same meaning and effect and to refer to any and all tangible and intangible assets and properties, including cash, securities, accounts and contract rights. All certificates and other documents required to be provided by a specified officer of a Loan Party shall be deemed to be provided by such person solely in their capacity as such officer.</w:t>
      </w:r>
    </w:p>
    <w:p>
      <w:pPr>
        <w:spacing w:after="0" w:line="137"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and “mortgage” shall be deemed to include a “hypothec”, (f) all references to filing, registering or recording under the UCC or the PPSA shall be deemed to include publication under the Civil Code of Québec,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and (j) an “agent” shall be deemed to include a “mandatary”.</w:t>
      </w:r>
    </w:p>
    <w:p>
      <w:pPr>
        <w:spacing w:after="0" w:line="166" w:lineRule="exact"/>
        <w:rPr>
          <w:sz w:val="20"/>
          <w:szCs w:val="20"/>
          <w:color w:val="auto"/>
        </w:rPr>
      </w:pPr>
    </w:p>
    <w:p>
      <w:pPr>
        <w:jc w:val="both"/>
        <w:ind w:firstLine="572"/>
        <w:spacing w:after="0" w:line="25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after the Second Restatement Date, the Borrowers migrate to IFRS or there occurs any change in GAAP or in the application thereof on the operation of any provision hereof and the Borrower Representative notifies the Administrative Agent that the Borrowers request an amendment to any provision hereof to eliminate the effect of such migration to IFRS or any change occurring after the Second Restatement Date in GAAP or in the application thereof (or if the Administrative Agent notifies the Borrower Representative that the Required Lenders request an amendment to any provision hereof for such purpose), regardless of whether any such notice is given before or after such migration to IFRS or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at “fair value”, as defined therein.</w:t>
      </w:r>
    </w:p>
    <w:p>
      <w:pPr>
        <w:spacing w:after="0" w:line="168"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1.05</w:t>
      </w:r>
      <w:r>
        <w:rPr>
          <w:sz w:val="20"/>
          <w:szCs w:val="20"/>
          <w:color w:val="auto"/>
        </w:rPr>
        <w:tab/>
      </w:r>
      <w:r>
        <w:rPr>
          <w:rFonts w:ascii="Arial" w:cs="Arial" w:eastAsia="Arial" w:hAnsi="Arial"/>
          <w:sz w:val="15"/>
          <w:szCs w:val="15"/>
          <w:u w:val="single" w:color="auto"/>
          <w:color w:val="auto"/>
        </w:rPr>
        <w:t>Currency Matters</w:t>
      </w:r>
      <w:r>
        <w:rPr>
          <w:rFonts w:ascii="Arial" w:cs="Arial" w:eastAsia="Arial" w:hAnsi="Arial"/>
          <w:sz w:val="15"/>
          <w:szCs w:val="15"/>
          <w:color w:val="auto"/>
        </w:rPr>
        <w:t>.</w:t>
      </w:r>
    </w:p>
    <w:p>
      <w:pPr>
        <w:spacing w:after="0" w:line="222" w:lineRule="exact"/>
        <w:rPr>
          <w:sz w:val="20"/>
          <w:szCs w:val="20"/>
          <w:color w:val="auto"/>
        </w:rPr>
      </w:pPr>
    </w:p>
    <w:p>
      <w:pPr>
        <w:jc w:val="both"/>
        <w:ind w:left="560" w:firstLine="579"/>
        <w:spacing w:after="0" w:line="277" w:lineRule="auto"/>
        <w:tabs>
          <w:tab w:leader="none" w:pos="1538" w:val="left"/>
        </w:tabs>
        <w:numPr>
          <w:ilvl w:val="0"/>
          <w:numId w:val="19"/>
        </w:numPr>
        <w:rPr>
          <w:rFonts w:ascii="Arial" w:cs="Arial" w:eastAsia="Arial" w:hAnsi="Arial"/>
          <w:sz w:val="19"/>
          <w:szCs w:val="19"/>
          <w:color w:val="auto"/>
        </w:rPr>
      </w:pPr>
      <w:r>
        <w:rPr>
          <w:rFonts w:ascii="Arial" w:cs="Arial" w:eastAsia="Arial" w:hAnsi="Arial"/>
          <w:sz w:val="17"/>
          <w:szCs w:val="17"/>
          <w:color w:val="auto"/>
        </w:rPr>
        <w:t xml:space="preserve">Principal, interest, reimbursement obligations, fees, and all other amounts payable under this Agreement and the other Loan Documents to Agents and the Lenders shall be payable in the currency in which such Obligations are denominated,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reimbursement by a Canadian Borrower of an LC Disbursement in respect of a Canadian Letter of Credit denominated in Canadian Dollars or any payment by a Canadian Lender to the Canadian Administrative Agent or an Issuing Bank in respect of its participation with respect to any such Canadian Letter of Credit shall be payable in Canadian Dollars and (ii) any reimbursement by a U.S. Borrower of an LC Disbursement in respect of a U.S. Letter of Credit denominated in an LC Alternative Currency or any payment by a Lender to the Administrative Agent or an Issuing Bank in respect of its participation with respect to any such Letter of Credit in an LC Alternative Currency shall be payable in dollars.</w:t>
      </w:r>
    </w:p>
    <w:p>
      <w:pPr>
        <w:spacing w:after="0" w:line="181" w:lineRule="exact"/>
        <w:rPr>
          <w:rFonts w:ascii="Arial" w:cs="Arial" w:eastAsia="Arial" w:hAnsi="Arial"/>
          <w:sz w:val="19"/>
          <w:szCs w:val="19"/>
          <w:color w:val="auto"/>
        </w:rPr>
      </w:pPr>
    </w:p>
    <w:p>
      <w:pPr>
        <w:jc w:val="both"/>
        <w:ind w:left="560" w:firstLine="579"/>
        <w:spacing w:after="0" w:line="277" w:lineRule="auto"/>
        <w:tabs>
          <w:tab w:leader="none" w:pos="1525" w:val="left"/>
        </w:tabs>
        <w:numPr>
          <w:ilvl w:val="0"/>
          <w:numId w:val="19"/>
        </w:numPr>
        <w:rPr>
          <w:rFonts w:ascii="Arial" w:cs="Arial" w:eastAsia="Arial" w:hAnsi="Arial"/>
          <w:sz w:val="19"/>
          <w:szCs w:val="19"/>
          <w:color w:val="auto"/>
        </w:rPr>
      </w:pPr>
      <w:r>
        <w:rPr>
          <w:rFonts w:ascii="Arial" w:cs="Arial" w:eastAsia="Arial" w:hAnsi="Arial"/>
          <w:sz w:val="17"/>
          <w:szCs w:val="17"/>
          <w:color w:val="auto"/>
        </w:rPr>
        <w:t>Without limiting the other terms of this Agreement, all calculations and determinations under this Agreement of any amount in any currency other than U.S. Dollars shall be deemed to refer to the Dollar Amount thereof, as the case may be, and all Borrowing Base Certificates delivered under this Agreement shall express such calculations or determinations in U.S. Dollars or the Dollar Amount thereof, as the case may be. Each requisite currency translation shall be based on the Spot Rate.</w:t>
      </w:r>
    </w:p>
    <w:p>
      <w:pPr>
        <w:spacing w:after="0" w:line="178" w:lineRule="exact"/>
        <w:rPr>
          <w:rFonts w:ascii="Arial" w:cs="Arial" w:eastAsia="Arial" w:hAnsi="Arial"/>
          <w:sz w:val="19"/>
          <w:szCs w:val="19"/>
          <w:color w:val="auto"/>
        </w:rPr>
      </w:pPr>
    </w:p>
    <w:p>
      <w:pPr>
        <w:jc w:val="both"/>
        <w:ind w:left="560" w:right="20" w:firstLine="579"/>
        <w:spacing w:after="0" w:line="277" w:lineRule="auto"/>
        <w:tabs>
          <w:tab w:leader="none" w:pos="1550" w:val="left"/>
        </w:tabs>
        <w:numPr>
          <w:ilvl w:val="0"/>
          <w:numId w:val="19"/>
        </w:numPr>
        <w:rPr>
          <w:rFonts w:ascii="Arial" w:cs="Arial" w:eastAsia="Arial" w:hAnsi="Arial"/>
          <w:sz w:val="19"/>
          <w:szCs w:val="19"/>
          <w:color w:val="auto"/>
        </w:rPr>
      </w:pPr>
      <w:r>
        <w:rPr>
          <w:rFonts w:ascii="Arial" w:cs="Arial" w:eastAsia="Arial" w:hAnsi="Arial"/>
          <w:sz w:val="17"/>
          <w:szCs w:val="17"/>
          <w:color w:val="auto"/>
        </w:rPr>
        <w:t>For purposes of this Agreement and the other Loan Documents, the Dollar Amount of any Borrowings, Loans, Letters of Credit and other Obligations shall be determined in accordance with the terms of this Agreement in respect of the most recent Revaluation Date. Such Dollar Amount shall become effective as of such Revaluation Date for such Borrowings, Loans, Letters of Credit and other Obligations and shall be the Dollar Amount employed in converting any amounts between the applicable currencies until the next Revaluation Date to occur with respect to such Borrowings, Loans, Letters of Credit and other Obligations.</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ARTICLE 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Credits</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Revolving Commitments</w:t>
      </w:r>
      <w:r>
        <w:rPr>
          <w:rFonts w:ascii="Arial" w:cs="Arial" w:eastAsia="Arial" w:hAnsi="Arial"/>
          <w:sz w:val="17"/>
          <w:szCs w:val="17"/>
          <w:color w:val="auto"/>
        </w:rPr>
        <w:t>. Subject to the terms and conditions set forth herein, (a) each U.S. Lender agrees to make U.S. Revolving Loans to the U.S. Borrowers denominated in dollars from time to time during the Availability Period, and (b) each Canadian Lender agrees to make Canadian Revolving Loans to the Canadian Borrowers denominated in either dollars or Canadian Dollars from time to time during the Availability Period, so long as, in each case after giving effect thereto:</w:t>
      </w:r>
    </w:p>
    <w:p>
      <w:pPr>
        <w:spacing w:after="0" w:line="181" w:lineRule="exact"/>
        <w:rPr>
          <w:sz w:val="20"/>
          <w:szCs w:val="20"/>
          <w:color w:val="auto"/>
        </w:rPr>
      </w:pPr>
    </w:p>
    <w:p>
      <w:pPr>
        <w:ind w:left="560" w:right="20" w:firstLine="579"/>
        <w:spacing w:after="0" w:line="281" w:lineRule="auto"/>
        <w:tabs>
          <w:tab w:leader="none" w:pos="1530" w:val="left"/>
        </w:tabs>
        <w:numPr>
          <w:ilvl w:val="0"/>
          <w:numId w:val="20"/>
        </w:numPr>
        <w:rPr>
          <w:rFonts w:ascii="Arial" w:cs="Arial" w:eastAsia="Arial" w:hAnsi="Arial"/>
          <w:sz w:val="19"/>
          <w:szCs w:val="19"/>
          <w:color w:val="auto"/>
        </w:rPr>
      </w:pPr>
      <w:r>
        <w:rPr>
          <w:rFonts w:ascii="Arial" w:cs="Arial" w:eastAsia="Arial" w:hAnsi="Arial"/>
          <w:sz w:val="17"/>
          <w:szCs w:val="17"/>
          <w:color w:val="auto"/>
        </w:rPr>
        <w:t>the U.S. Revolving Exposure, Canadian Revolving Exposure or Revolving Exposure of any Lender would not exceed such Lender’s U.S. Commitment, Canadian Commitment or Revolving Commitment, as the case may be;</w:t>
      </w:r>
    </w:p>
    <w:p>
      <w:pPr>
        <w:spacing w:after="0" w:line="170" w:lineRule="exact"/>
        <w:rPr>
          <w:rFonts w:ascii="Arial" w:cs="Arial" w:eastAsia="Arial" w:hAnsi="Arial"/>
          <w:sz w:val="19"/>
          <w:szCs w:val="19"/>
          <w:color w:val="auto"/>
        </w:rPr>
      </w:pPr>
    </w:p>
    <w:p>
      <w:pPr>
        <w:ind w:left="1540" w:hanging="401"/>
        <w:spacing w:after="0"/>
        <w:tabs>
          <w:tab w:leader="none" w:pos="1540" w:val="left"/>
        </w:tabs>
        <w:numPr>
          <w:ilvl w:val="0"/>
          <w:numId w:val="20"/>
        </w:numPr>
        <w:rPr>
          <w:rFonts w:ascii="Arial" w:cs="Arial" w:eastAsia="Arial" w:hAnsi="Arial"/>
          <w:sz w:val="19"/>
          <w:szCs w:val="19"/>
          <w:color w:val="auto"/>
        </w:rPr>
      </w:pPr>
      <w:r>
        <w:rPr>
          <w:rFonts w:ascii="Arial" w:cs="Arial" w:eastAsia="Arial" w:hAnsi="Arial"/>
          <w:sz w:val="17"/>
          <w:szCs w:val="17"/>
          <w:color w:val="auto"/>
        </w:rPr>
        <w:t>U.S. Availability would not be less than zero;</w:t>
      </w:r>
    </w:p>
    <w:p>
      <w:pPr>
        <w:spacing w:after="0" w:line="210" w:lineRule="exact"/>
        <w:rPr>
          <w:rFonts w:ascii="Arial" w:cs="Arial" w:eastAsia="Arial" w:hAnsi="Arial"/>
          <w:sz w:val="19"/>
          <w:szCs w:val="19"/>
          <w:color w:val="auto"/>
        </w:rPr>
      </w:pPr>
    </w:p>
    <w:p>
      <w:pPr>
        <w:ind w:left="1580" w:hanging="441"/>
        <w:spacing w:after="0"/>
        <w:tabs>
          <w:tab w:leader="none" w:pos="1580" w:val="left"/>
        </w:tabs>
        <w:numPr>
          <w:ilvl w:val="0"/>
          <w:numId w:val="20"/>
        </w:numPr>
        <w:rPr>
          <w:rFonts w:ascii="Arial" w:cs="Arial" w:eastAsia="Arial" w:hAnsi="Arial"/>
          <w:sz w:val="19"/>
          <w:szCs w:val="19"/>
          <w:color w:val="auto"/>
        </w:rPr>
      </w:pPr>
      <w:r>
        <w:rPr>
          <w:rFonts w:ascii="Arial" w:cs="Arial" w:eastAsia="Arial" w:hAnsi="Arial"/>
          <w:sz w:val="17"/>
          <w:szCs w:val="17"/>
          <w:color w:val="auto"/>
        </w:rPr>
        <w:t>Canadian Availability would not be less than zero; and</w:t>
      </w:r>
    </w:p>
    <w:p>
      <w:pPr>
        <w:sectPr>
          <w:pgSz w:w="11900" w:h="16838" w:orient="portrait"/>
          <w:cols w:equalWidth="0" w:num="1">
            <w:col w:w="11440"/>
          </w:cols>
          <w:pgMar w:left="240" w:top="124" w:right="219" w:bottom="0" w:gutter="0" w:footer="0" w:header="0"/>
        </w:sectPr>
      </w:pPr>
    </w:p>
    <w:bookmarkStart w:id="32" w:name="page33"/>
    <w:bookmarkEnd w:id="32"/>
    <w:p>
      <w:pPr>
        <w:ind w:left="1580" w:hanging="441"/>
        <w:spacing w:after="0"/>
        <w:tabs>
          <w:tab w:leader="none" w:pos="1580" w:val="left"/>
        </w:tabs>
        <w:numPr>
          <w:ilvl w:val="0"/>
          <w:numId w:val="21"/>
        </w:numPr>
        <w:rPr>
          <w:rFonts w:ascii="Arial" w:cs="Arial" w:eastAsia="Arial" w:hAnsi="Arial"/>
          <w:sz w:val="19"/>
          <w:szCs w:val="19"/>
          <w:color w:val="auto"/>
        </w:rPr>
      </w:pPr>
      <w:r>
        <w:rPr>
          <w:rFonts w:ascii="Arial" w:cs="Arial" w:eastAsia="Arial" w:hAnsi="Arial"/>
          <w:sz w:val="17"/>
          <w:szCs w:val="17"/>
          <w:color w:val="auto"/>
        </w:rPr>
        <w:t>Aggregate Availability would not be less than zero.</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subject to the Administrative Agent’s or Canadian Administrative Agent’s authority, as applicable, in their sole discretion, to make Protective Advances and Overadvances pursuant to the terms of Section 2.04 and 2.05. Within the foregoing limits and subject to the terms and conditions set forth herein, each Borrower may borrow, prepay and reborrow Revolving Loans. On the Second Restatement Date, the Administrative Agent shall reallocate the commitments and loans of the Lenders under the Existing Credit Agreement in accordance with the Lenders’ respective Applicable Percentages and all loans outstanding as of the Second Restatement Date under the Existing Credit Agreement shall automatically and without further action by the parties hereto be deemed converted into Loans under this Agreement and shall be included in the calculations as of the Second Restatement Date of “Aggregate Revolving Exposure” and “Revolving Exposure”. All liabilities of the Loan Parties with respect to such Loans shall constitute Obligations and it is the intention of the Loan Parties that such Obligations shall continue to be secured by Collateral Documents.</w:t>
      </w:r>
    </w:p>
    <w:p>
      <w:pPr>
        <w:spacing w:after="0" w:line="162"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Loans and Borrowings</w:t>
      </w:r>
      <w:r>
        <w:rPr>
          <w:rFonts w:ascii="Arial" w:cs="Arial" w:eastAsia="Arial" w:hAnsi="Arial"/>
          <w:sz w:val="17"/>
          <w:szCs w:val="17"/>
          <w:color w:val="auto"/>
        </w:rPr>
        <w:t>. (1)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Protective Advance , any Overadvance and any Swingline Loan shall be made in accordance with the procedures set forth in Sections 2.04 and 2.05.</w:t>
      </w:r>
    </w:p>
    <w:p>
      <w:pPr>
        <w:spacing w:after="0" w:line="161" w:lineRule="exact"/>
        <w:rPr>
          <w:sz w:val="20"/>
          <w:szCs w:val="20"/>
          <w:color w:val="auto"/>
        </w:rPr>
      </w:pPr>
    </w:p>
    <w:p>
      <w:pPr>
        <w:jc w:val="both"/>
        <w:ind w:firstLine="1139"/>
        <w:spacing w:after="0" w:line="290" w:lineRule="auto"/>
        <w:tabs>
          <w:tab w:leader="none" w:pos="1568"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Subject to Section 2.14: (i) each U.S. Borrowing shall be denominated in dollars; (ii) each Canadian Borrowing shall be denominated in dollars or Canadian Dollars; (iii) each U.S. Borrowing denominated in dollars shall be comprised entirely of ABR Loans or Eurodollar Loans, in each case, as the Borrower Representative may request in accordance herewith; (iv) each Canadian Borrowing denominated in dollars shall be comprised entirely of ABR Loans or Eurodollar Loans, in each case, as the Borrower Representative may request; and (v) each Canadian Borrowing denominated in Canadian Dollars shall be comprised entirely of Canadian Prime Rate Loans or CDOR Rate Loans, in each case, as the Borrower Representative may request in accordance herewith;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Borrowings made on the Second Restatement Date must be made as ABR Borrowings or Canadian Prime Rate Borrowings but may be converted into Eurodollar Borrowings or CDOR Rate Borrowings, as applicable, in accordance with Section 2.08. Each Swingline Loan shall be an ABR Loan or a Canadian Prime Rate Loan. Each Lender at its option may make any Eurodollar Loan by causing any domestic or foreign branch or Affiliate of such Lender to make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exercise of such option shall not affect the obligation of the Borrower to repay such Loan in accordance with the terms of this Agreement.</w:t>
      </w:r>
    </w:p>
    <w:p>
      <w:pPr>
        <w:spacing w:after="0" w:line="137" w:lineRule="exact"/>
        <w:rPr>
          <w:rFonts w:ascii="Arial" w:cs="Arial" w:eastAsia="Arial" w:hAnsi="Arial"/>
          <w:sz w:val="15"/>
          <w:szCs w:val="15"/>
          <w:color w:val="auto"/>
        </w:rPr>
      </w:pPr>
    </w:p>
    <w:p>
      <w:pPr>
        <w:jc w:val="both"/>
        <w:ind w:right="20" w:firstLine="1139"/>
        <w:spacing w:after="0" w:line="276" w:lineRule="auto"/>
        <w:tabs>
          <w:tab w:leader="none" w:pos="150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Eurodollar Revolving Borrowing, such Borrowing shall be in an aggregate amount that is an integral multiple of $1,000,000 and not less than $5,000,000. At the commencement of each Interest Period for any CDOR Rate Revolving Borrowing, such Borrowing shall be in an aggregate amount that is an integral multiple of $1,000,000 and not less than $5,000,000. ABR Revolving Borrowings and Canadian Prime Rate Revolving Borrowings may be in any amount. Borrowings of more than one Type and Class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more than a total of: (i) eight (8) Eurodollar Borrowings outstanding; and (ii) eight (8) CDOR Rate Borrowings outstanding.</w:t>
      </w:r>
    </w:p>
    <w:p>
      <w:pPr>
        <w:spacing w:after="0" w:line="145" w:lineRule="exact"/>
        <w:rPr>
          <w:rFonts w:ascii="Arial" w:cs="Arial" w:eastAsia="Arial" w:hAnsi="Arial"/>
          <w:sz w:val="16"/>
          <w:szCs w:val="16"/>
          <w:color w:val="auto"/>
        </w:rPr>
      </w:pPr>
    </w:p>
    <w:p>
      <w:pPr>
        <w:ind w:right="20" w:firstLine="1139"/>
        <w:spacing w:after="0" w:line="280" w:lineRule="auto"/>
        <w:tabs>
          <w:tab w:leader="none" w:pos="14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neither the Borrower Representative nor any Borrower shall be entitled to request, or to elect to convert or continue, any Borrowing if the Interest Period requested with respect thereto would end after the Maturity Date.</w:t>
      </w:r>
    </w:p>
    <w:p>
      <w:pPr>
        <w:spacing w:after="0" w:line="140"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xml:space="preserve">. To request a Revolving Borrowing, the Borrower Representative shall notify the Administrative Agent or the Canadian Administrative Agent, as applicable, of such request either in writing (delivered by hand, facsimile or electronic mail delivery) in a form approved by the Administrative Agent or the Canadian Administrative Agent, as applicable, and signed by the Borrower Representative or by telephone (a) in the case of a Eurodollar Borrowing, not later than 11:00 a.m., Chicago time, three Business Days before the date of the proposed Borrowing, (b) in the case of a CDOR Rate Borrowing, not later than 11:00 a.m., Chicago time, two Business Days before the date of the proposed Borrowing, (c) in the case of a ABR Borrowing, not later than 11:00 a.m. Chicago time, on the date of the proposed Borrowing, or (d) in the case of a Canadian Prime Rate Borrowing, not later than 11:00 a.m., Chicago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an ABR Borrowing or a Canadian Prime Rate Borrowing to finance the reimbursement of an LC Disbursement as contemplated by Section 2.06(e) may be given not later than 2:00 p.m., Chicago time, on the date of the proposed Borrowing. Each such telephonic Borrowing Request shall be irrevocable and shall be confirmed promptly by hand delivery, facsimile or electronic mail delivery to the Administrative Agent or the Canadian Administrative Agent, as applicable, of a written Borrowing Request in a form reasonably approved by the Administrative Agent or the Canadian Administrative Agent, as applicable, and signed by the Borrower Representative. Each such telephonic and written Borrowing Request shall specify the following information in compliance with Section 2.01:</w:t>
      </w:r>
    </w:p>
    <w:p>
      <w:pPr>
        <w:spacing w:after="0" w:line="179" w:lineRule="exact"/>
        <w:rPr>
          <w:sz w:val="20"/>
          <w:szCs w:val="20"/>
          <w:color w:val="auto"/>
        </w:rPr>
      </w:pPr>
    </w:p>
    <w:p>
      <w:pPr>
        <w:ind w:left="1480" w:hanging="341"/>
        <w:spacing w:after="0"/>
        <w:tabs>
          <w:tab w:leader="none" w:pos="1480"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name of the applicable Borrower(s);</w:t>
      </w:r>
    </w:p>
    <w:p>
      <w:pPr>
        <w:spacing w:after="0" w:line="210" w:lineRule="exact"/>
        <w:rPr>
          <w:rFonts w:ascii="Arial" w:cs="Arial" w:eastAsia="Arial" w:hAnsi="Arial"/>
          <w:sz w:val="19"/>
          <w:szCs w:val="19"/>
          <w:color w:val="auto"/>
        </w:rPr>
      </w:pPr>
    </w:p>
    <w:p>
      <w:pPr>
        <w:ind w:left="1540" w:hanging="401"/>
        <w:spacing w:after="0"/>
        <w:tabs>
          <w:tab w:leader="none" w:pos="1540"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aggregate amount of the requested Borrowing and a breakdown of the separate wires comprising such Borrowing;</w:t>
      </w:r>
    </w:p>
    <w:p>
      <w:pPr>
        <w:spacing w:after="0" w:line="210" w:lineRule="exact"/>
        <w:rPr>
          <w:rFonts w:ascii="Arial" w:cs="Arial" w:eastAsia="Arial" w:hAnsi="Arial"/>
          <w:sz w:val="19"/>
          <w:szCs w:val="19"/>
          <w:color w:val="auto"/>
        </w:rPr>
      </w:pPr>
    </w:p>
    <w:p>
      <w:pPr>
        <w:ind w:left="1580" w:hanging="441"/>
        <w:spacing w:after="0"/>
        <w:tabs>
          <w:tab w:leader="none" w:pos="1580"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date of such Borrowing, which shall be a Business Day;</w:t>
      </w:r>
    </w:p>
    <w:p>
      <w:pPr>
        <w:spacing w:after="0" w:line="210" w:lineRule="exact"/>
        <w:rPr>
          <w:rFonts w:ascii="Arial" w:cs="Arial" w:eastAsia="Arial" w:hAnsi="Arial"/>
          <w:sz w:val="19"/>
          <w:szCs w:val="19"/>
          <w:color w:val="auto"/>
        </w:rPr>
      </w:pPr>
    </w:p>
    <w:p>
      <w:pPr>
        <w:ind w:left="1580" w:hanging="441"/>
        <w:spacing w:after="0"/>
        <w:tabs>
          <w:tab w:leader="none" w:pos="1580" w:val="left"/>
        </w:tabs>
        <w:numPr>
          <w:ilvl w:val="0"/>
          <w:numId w:val="23"/>
        </w:numPr>
        <w:rPr>
          <w:rFonts w:ascii="Arial" w:cs="Arial" w:eastAsia="Arial" w:hAnsi="Arial"/>
          <w:sz w:val="19"/>
          <w:szCs w:val="19"/>
          <w:color w:val="auto"/>
        </w:rPr>
      </w:pPr>
      <w:r>
        <w:rPr>
          <w:rFonts w:ascii="Arial" w:cs="Arial" w:eastAsia="Arial" w:hAnsi="Arial"/>
          <w:sz w:val="17"/>
          <w:szCs w:val="17"/>
          <w:color w:val="auto"/>
        </w:rPr>
        <w:t>in the case of a Canadian Borrowing, the applicable currency in which the Borrowing will be funded;</w:t>
      </w:r>
    </w:p>
    <w:p>
      <w:pPr>
        <w:spacing w:after="0" w:line="210" w:lineRule="exact"/>
        <w:rPr>
          <w:rFonts w:ascii="Arial" w:cs="Arial" w:eastAsia="Arial" w:hAnsi="Arial"/>
          <w:sz w:val="19"/>
          <w:szCs w:val="19"/>
          <w:color w:val="auto"/>
        </w:rPr>
      </w:pPr>
    </w:p>
    <w:p>
      <w:pPr>
        <w:ind w:left="560" w:right="20" w:firstLine="579"/>
        <w:spacing w:after="0" w:line="281" w:lineRule="auto"/>
        <w:tabs>
          <w:tab w:leader="none" w:pos="1644" w:val="left"/>
        </w:tabs>
        <w:numPr>
          <w:ilvl w:val="0"/>
          <w:numId w:val="23"/>
        </w:numPr>
        <w:rPr>
          <w:rFonts w:ascii="Arial" w:cs="Arial" w:eastAsia="Arial" w:hAnsi="Arial"/>
          <w:sz w:val="19"/>
          <w:szCs w:val="19"/>
          <w:color w:val="auto"/>
        </w:rPr>
      </w:pPr>
      <w:r>
        <w:rPr>
          <w:rFonts w:ascii="Arial" w:cs="Arial" w:eastAsia="Arial" w:hAnsi="Arial"/>
          <w:sz w:val="17"/>
          <w:szCs w:val="17"/>
          <w:color w:val="auto"/>
        </w:rPr>
        <w:t>whether such Borrowing is to be a ABR Borrowing, a Eurodollar Borrowing, a Canadian Prime Rate Borrowing, or a CDOR Rate Borrowing; and</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566" w:val="left"/>
        </w:tabs>
        <w:numPr>
          <w:ilvl w:val="0"/>
          <w:numId w:val="23"/>
        </w:numPr>
        <w:rPr>
          <w:rFonts w:ascii="Arial" w:cs="Arial" w:eastAsia="Arial" w:hAnsi="Arial"/>
          <w:sz w:val="19"/>
          <w:szCs w:val="19"/>
          <w:color w:val="auto"/>
        </w:rPr>
      </w:pPr>
      <w:r>
        <w:rPr>
          <w:rFonts w:ascii="Arial" w:cs="Arial" w:eastAsia="Arial" w:hAnsi="Arial"/>
          <w:sz w:val="17"/>
          <w:szCs w:val="17"/>
          <w:color w:val="auto"/>
        </w:rPr>
        <w:t>in the case of a Eurodollar Borrowing or a CDOR Rate Borrowing, the initial Interest Period to be applicable thereto, which shall be a period contemplated by the definition of the term “Interest Period.”</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 an ABR Borrowing in the case of a U.S. Revolving Loan or Canadian Revolving Loan requested in dollars, or (b) a Canadian Prime Rate Borrowing in the case of a Canadian Revolving Loan requested in Canadian Dollars. If no Interest Period is specified with respect to any requested Eurodollar Revolving Borrowing or CDOR Rate Revolving Borrowing, then the applicable Borrower(s) shall be deemed to have selected an Interest Period of one month’s (or, in the case of a CDOR Rate Revolving Borrowing, 30 days’) duration. Promptly following receipt of a Borrowing Request in accordance with this Section, the Administrative Agent or the Canadian Administrative Agent, as applicable, shall advise each applicable Lender of the details thereof and of the amount of such Lender’s Loan to be made as part of the requested Borrowing.</w:t>
      </w:r>
    </w:p>
    <w:p>
      <w:pPr>
        <w:spacing w:after="0" w:line="146" w:lineRule="exact"/>
        <w:rPr>
          <w:sz w:val="20"/>
          <w:szCs w:val="20"/>
          <w:color w:val="auto"/>
        </w:rPr>
      </w:pPr>
    </w:p>
    <w:p>
      <w:pPr>
        <w:jc w:val="both"/>
        <w:ind w:firstLine="572"/>
        <w:spacing w:after="0" w:line="289"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u w:val="single" w:color="auto"/>
          <w:color w:val="auto"/>
        </w:rPr>
        <w:t>Protective Advances</w:t>
      </w:r>
      <w:r>
        <w:rPr>
          <w:rFonts w:ascii="Arial" w:cs="Arial" w:eastAsia="Arial" w:hAnsi="Arial"/>
          <w:sz w:val="15"/>
          <w:szCs w:val="15"/>
          <w:color w:val="auto"/>
        </w:rPr>
        <w:t>. (1) Subject to the limitations set forth below, each of the Administrative Agent and the Canadian Administrative Agent, as applicable, is authorized by the Borrowers and the Lenders, from time to time in the Administrative Agent’s or the Canadian Administrative Agent’s, as the case may be, sole discretion (but, in either case, shall have absolutely no obligation to), to make (i) in the case of the Administrative Agent, Loans to the U.S. Borrowers in dollars, on behalf of the U.S. Lenders (each such Loan, a “</w:t>
      </w:r>
      <w:r>
        <w:rPr>
          <w:rFonts w:ascii="Arial" w:cs="Arial" w:eastAsia="Arial" w:hAnsi="Arial"/>
          <w:sz w:val="15"/>
          <w:szCs w:val="15"/>
          <w:u w:val="single" w:color="auto"/>
          <w:color w:val="auto"/>
        </w:rPr>
        <w:t>U.S. Protective Advance</w:t>
      </w:r>
      <w:r>
        <w:rPr>
          <w:rFonts w:ascii="Arial" w:cs="Arial" w:eastAsia="Arial" w:hAnsi="Arial"/>
          <w:sz w:val="15"/>
          <w:szCs w:val="15"/>
          <w:color w:val="auto"/>
        </w:rPr>
        <w:t>”), or (ii) in the case of the Canadian Administrative Agent, Loans to the Canadian Borrowers in Canadian Dollars or dollars, on behalf of the Canadian Lenders (each such Loan, a “</w:t>
      </w:r>
      <w:r>
        <w:rPr>
          <w:rFonts w:ascii="Arial" w:cs="Arial" w:eastAsia="Arial" w:hAnsi="Arial"/>
          <w:sz w:val="15"/>
          <w:szCs w:val="15"/>
          <w:u w:val="single" w:color="auto"/>
          <w:color w:val="auto"/>
        </w:rPr>
        <w:t>Canadian Protective Advance</w:t>
      </w:r>
      <w:r>
        <w:rPr>
          <w:rFonts w:ascii="Arial" w:cs="Arial" w:eastAsia="Arial" w:hAnsi="Arial"/>
          <w:sz w:val="15"/>
          <w:szCs w:val="15"/>
          <w:color w:val="auto"/>
        </w:rPr>
        <w:t xml:space="preserve">”), which the Administrative Agent or Canadian Administrative Agent, as applicable,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Section 9.03) and other sums payable under the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the aggregate amount of U.S. Protective Advances outstanding at any time shall not exceed $15,000,000 and (y) the aggregate amount of Canadian Protective Advances</w:t>
      </w:r>
    </w:p>
    <w:p>
      <w:pPr>
        <w:sectPr>
          <w:pgSz w:w="11900" w:h="16838" w:orient="portrait"/>
          <w:cols w:equalWidth="0" w:num="1">
            <w:col w:w="11440"/>
          </w:cols>
          <w:pgMar w:left="240" w:top="244" w:right="219" w:bottom="0" w:gutter="0" w:footer="0" w:header="0"/>
        </w:sectPr>
      </w:pPr>
    </w:p>
    <w:bookmarkStart w:id="33" w:name="page34"/>
    <w:bookmarkEnd w:id="33"/>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outstanding at any time shall not exceed $15,000,000;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(1) the aggregate amount of outstanding U.S. Protective Advances in favor of the U.S. Borrowers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U.S. Revolving Exposure shall not exceed (I) the aggregate U.S.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(X) the Priority Payables Reserve, (Y) the Rent Reserve and (Z) the Wage Earner Protection Act Reserve, (2) the aggregate amount of outstanding Canadian Protective Advances in favor of the Canadian Borrowers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Canadian Revolving Exposure shall not exceed the (I) aggregate Canadian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(X) the Priority Payables Reserve, (Y) the Rent Reserve and (Z) the Wage Earner Protection Act Reserve, (3) the aggregate amount of all outstanding Protective 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Revolving Exposure shall not exceed (I) the Aggregate Revolving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(X) the Priority Payables Reserve, (Y) the Rent Reserve and (Z) the Wage Earner Protection Act Reserve, (4) the sum of (I) the aggregate amount of all outstanding Protective Advances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all outstanding Overadvances shall not exceed $60,000,000, and (5) a Protective Advance shall not be made if such Protective Advance would cause the sum of (I) any Lender’s Revolving Exposure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such Lender’s Applicable Percentage (determined for purposes of this clause (II) in accordance with clause (a) of the definition of Applicable Percentage set forth in Section 1.01) of all outstanding Protective Advances to exceed such Lender’s Revolving Commitment. Protective Advances may be made even if the conditions precedent set forth in Section 4.02 have not been satisfied. The (i) U.S. Protective Advances shall be secured by the Liens in favor of the Administrative Agent (for the benefit of the Lender Parties) in and to the Collateral of the U.S. Loan Parties; and (ii) Canadian Protective Advances shall be secured by the Liens in favor of the Administrative Agent (for the benefit of the Canadian Lender Parties) in and to the Collateral of the Loan Parties. All U.S. Protective Advances shall constitute U.S. Obligations and all Canadian Protective Advances shall constitute Canadian Obligations. All U.S. Protective Advances and Canadian Protective Advances denominated in dollars shall be ABR Borrowings, and all Canadian Protective Advances denominated in Canadian Dollars shall be Canadian Prime Rate Borrowings. The Administrative Agent’s or Canadian Administrative Agent’s, as the case may be, authorization to make Protective Advances may be revoked at any time by the Required Lenders. Any such revocation must be in writing and shall become effective prospectively upon the Administrative Agent’s or the Canadian Administrative Agent’s (as applicable) receipt thereof. At any time that there is sufficient: (I) U.S. Availability and the conditions precedent set forth in Section 4.02 have been satisfied, the Administrative Agent may request the U.S. Lenders to make a U.S. Revolving Loan to repay a U.S. Protective Advance; and (II) Canadian Availability and the conditions precedent set forth in Section 4.02 have been satisfied, the Canadian Administrative Agent may request the Canadian Lenders to make a Canadian Revolving Loan, in the currency in which the applicable Canadian Protective Advance was denominated, to repay a Canadian Protective Advance. At any other time the Administrative Agent or Canadian Administrative Agent (as applicable) may require the Lenders to fund, in the currency in which the applicable Protective Advance was denominated, their risk participations described in Section 2.04(b).</w:t>
      </w:r>
    </w:p>
    <w:p>
      <w:pPr>
        <w:spacing w:after="0" w:line="159" w:lineRule="exact"/>
        <w:rPr>
          <w:sz w:val="20"/>
          <w:szCs w:val="20"/>
          <w:color w:val="auto"/>
        </w:rPr>
      </w:pPr>
    </w:p>
    <w:p>
      <w:pPr>
        <w:jc w:val="both"/>
        <w:ind w:right="20" w:firstLine="1139"/>
        <w:spacing w:after="0" w:line="270" w:lineRule="auto"/>
        <w:tabs>
          <w:tab w:leader="none" w:pos="15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the making of a U.S. Protective Advance by the Administrative Agent (whether before or after the occurrence of a Default), each U.S. Lender shall be deemed, without further action by any party hereto, to have unconditionally and irrevocably purchased from the Administrative Agent without recourse or warranty, an undivided interest and participation in such U.S. Protective Advance in proportion to its Applicable Percentage. Upon the making of a Canadian Protective Advance by the Canadian Administrative Agent (whether before or after the occurrence of a Default), each Canadian Lender shall be deemed, without further action by any party hereto, to have unconditionally and irrevocably purchased from the Canadian Administrative Agent without recourse or warranty, an undivided interest and participation in such Canadian Protective Advance in proportion to its Applicable Percentage. From and after the date, if any, on which any Lender is required to fund its participation in any Protective Advance purchased hereunder, the Administrative Agent or the Canadian Administrative Agent, as applicable, shall promptly distribute to such Lender, such Lender’s Applicable Percentage of all payments of principal and interest and all proceeds of Collateral received by the Administrative Agent or the Canadian Administrative Agent, as applicable, in respect of such Protective Advance.</w:t>
      </w:r>
    </w:p>
    <w:p>
      <w:pPr>
        <w:spacing w:after="0" w:line="151"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Swingline Loans and Overadvances</w:t>
      </w:r>
      <w:r>
        <w:rPr>
          <w:rFonts w:ascii="Arial" w:cs="Arial" w:eastAsia="Arial" w:hAnsi="Arial"/>
          <w:sz w:val="16"/>
          <w:szCs w:val="16"/>
          <w:color w:val="auto"/>
        </w:rPr>
        <w:t>. (1) The Administrative Agent, the U.S. Swingline Lender and the Lenders agree that in order to facilitate the administration of this Agreement and the other Loan Documents, promptly after the Borrower Representative requests that an ABR Borrowing be made to the U.S. Borrowers, the U.S. Swingline Lender may elect to have the terms of this Section 2.05(a) apply to such Borrowing Request by advancing, on behalf of the U.S. Lenders and in the amount requested, same day funds to the U.S. Borrowers, on the date of the applicable Borrowing to the Funding Account(s) (each such Loan made solely by the U.S. Swingline Lender pursuant to this Section 2.05(a) is referred to in this Agreement as a “</w:t>
      </w:r>
      <w:r>
        <w:rPr>
          <w:rFonts w:ascii="Arial" w:cs="Arial" w:eastAsia="Arial" w:hAnsi="Arial"/>
          <w:sz w:val="16"/>
          <w:szCs w:val="16"/>
          <w:u w:val="single" w:color="auto"/>
          <w:color w:val="auto"/>
        </w:rPr>
        <w:t>U.S. Swingline Loan</w:t>
      </w:r>
      <w:r>
        <w:rPr>
          <w:rFonts w:ascii="Arial" w:cs="Arial" w:eastAsia="Arial" w:hAnsi="Arial"/>
          <w:sz w:val="16"/>
          <w:szCs w:val="16"/>
          <w:color w:val="auto"/>
        </w:rPr>
        <w:t>”), with settlement among them as to the U.S. Swingline Loans to take place on a periodic basis as set forth in Section 2.05(g). Each U.S. Swingline Loan shall be subject to all the terms and conditions applicable to other ABR Loans funded by the U.S. Lenders, except that all payments thereon shall be payable to the U.S. Swingline Lender solely for its own account. The aggregate amount of U.S. Swingline Loans outstanding at any time shall not exceed $50,000,000. The U.S. Swingline Lender shall not make any U.S. Swingline Loan if, after giving effect to such U.S. Swingline Loan (i) U.S. Availability would be less than zero or (ii) Aggregate Availability would be less than zero. All U.S. Swingline Loans shall be ABR Borrowings.</w:t>
      </w:r>
    </w:p>
    <w:p>
      <w:pPr>
        <w:spacing w:after="0" w:line="154" w:lineRule="exact"/>
        <w:rPr>
          <w:sz w:val="20"/>
          <w:szCs w:val="20"/>
          <w:color w:val="auto"/>
        </w:rPr>
      </w:pPr>
    </w:p>
    <w:p>
      <w:pPr>
        <w:jc w:val="both"/>
        <w:ind w:firstLine="1139"/>
        <w:spacing w:after="0" w:line="289" w:lineRule="auto"/>
        <w:tabs>
          <w:tab w:leader="none" w:pos="149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Canadian Administrative Agent, the Canadian Swingline Lender and the Lenders agree that in order to facilitate the administration of this Agreement and the other Loan Documents, promptly after the Borrower Representative requests that a Canadian Prime Rate Borrowing be made to the Canadian Borrowers, the Canadian Swingline Lender may elect to have the terms of this Section 2.05(b) apply to such Borrowing Request by advancing, on behalf of the Canadian Lenders and in the amount requested, same day funds to the Canadian Borrowers, on the date of the applicable Borrowing to the Funding Account(s) (each such Loan made solely by the Canadian Swingline Lender pursuant to this Section 2.05(b) is referred to in this Agreement as a “Canadian Swingline Loan”), with settlement among them as to the Canadian Swingline Loans to take place on a periodic basis as set forth in Section 2.05(g). Each Canadian Swingline Loan shall be subject to all the terms and conditions applicable to other Canadian Prime Rate Loans funded by the Canadian Lenders, except that all payments thereon shall be payable to the Canadian Swingline Lender solely for its own account. The aggregate amount of Canadian Swingline Loans outstanding at any time shall not exceed $40,000,000. The Canadian Swingline Lender shall not make any Canadian Swingline Loan if, after giving effect to such Canadian Swingline Loan (i) Canadian Availability would be less than zero or (ii) Aggregate Availability would be less than zero. All Canadian Swingline Loans shall be Canadian Borrowings.</w:t>
      </w:r>
    </w:p>
    <w:p>
      <w:pPr>
        <w:spacing w:after="0" w:line="139" w:lineRule="exact"/>
        <w:rPr>
          <w:rFonts w:ascii="Arial" w:cs="Arial" w:eastAsia="Arial" w:hAnsi="Arial"/>
          <w:sz w:val="15"/>
          <w:szCs w:val="15"/>
          <w:color w:val="auto"/>
        </w:rPr>
      </w:pPr>
    </w:p>
    <w:p>
      <w:pPr>
        <w:jc w:val="both"/>
        <w:ind w:firstLine="1139"/>
        <w:spacing w:after="0" w:line="287" w:lineRule="auto"/>
        <w:tabs>
          <w:tab w:leader="none" w:pos="1554"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Any provision of this Agreement to the contrary notwithstanding, at the request of the Borrower Representative, the Administrative Agent may in its sole discretion (but with absolutely no obligation), make U.S. Revolving Loans to the U.S. Borrowers, on behalf of the U.S. Lenders, in amounts that exceed U.S. Availability (any such excess U.S. Revolving Loans are herein referred to collectively as “</w:t>
      </w:r>
      <w:r>
        <w:rPr>
          <w:rFonts w:ascii="Arial" w:cs="Arial" w:eastAsia="Arial" w:hAnsi="Arial"/>
          <w:sz w:val="15"/>
          <w:szCs w:val="15"/>
          <w:u w:val="single" w:color="auto"/>
          <w:color w:val="auto"/>
        </w:rPr>
        <w:t>U.S. Overadvances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U.S. Overadvance shall result in a Default due to U.S. Borrowers’ failure to comply with Section 2.01 for so long as such U.S. Overadvance remains outstanding in accordance with the terms of this paragraph, but solely with respect to the amount of such U.S. Overadvance. In addition, U.S. Overadvances may be made even if the condition precedent set forth in Section 4.02(c) has not been satisfied, it being understood that the conditions precedent set forth in Sections 4.02(a), (b) and (d) shall continue to apply (subject to the proviso set forth in the immediately preceding sentence). All U.S. Overadvances shall constitute ABR Borrowings. The authority of the Administrative Agent to make U.S. Overadvances is limited to an aggregate amount not to exceed $25,000,000 at any time, no U.S. Overadvance may remain outstanding for more than forty-five (45) days, no U.S. Overadvance shall cause any U.S. Lender’s U.S. Revolving Exposure or Revolving Exposure to exceed its U.S. Commitment or Revolving Commitment (as applicable), no U.S. Overadvance shall cause the Aggregate Revolving Exposure to exceed (i) the Aggregate Revolving Commitments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sum of (A) the Priority Payables Reserve, (B) the Rent Reserve and (C) the Wage Earner Protection Act Reserve and no U.S. Overadvance shall cause the sum of (x) the aggregate amount of all outstanding Overadvances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(y) the aggregate amount of all outstanding Protective Advances to exceed $60,000,000;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Supermajority Revolving Lenders may at any time revoke the Administrative Agent’s authorization to make U.S. Overadvances. Any such revocation must be in writing and shall become effective prospectively upon the Administrative Agent’s receipt thereof.</w:t>
      </w:r>
    </w:p>
    <w:p>
      <w:pPr>
        <w:spacing w:after="0" w:line="138" w:lineRule="exact"/>
        <w:rPr>
          <w:rFonts w:ascii="Arial" w:cs="Arial" w:eastAsia="Arial" w:hAnsi="Arial"/>
          <w:sz w:val="15"/>
          <w:szCs w:val="15"/>
          <w:color w:val="auto"/>
        </w:rPr>
      </w:pPr>
    </w:p>
    <w:p>
      <w:pPr>
        <w:jc w:val="both"/>
        <w:ind w:firstLine="1139"/>
        <w:spacing w:after="0" w:line="269" w:lineRule="auto"/>
        <w:tabs>
          <w:tab w:leader="none" w:pos="14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provision of this Agreement to the contrary notwithstanding, at the request of the Borrower Representative, the Canadian Administrative Agent may in its sole discretion (but with absolutely no obligation), make Canadian Revolving Loans to the Canadian Borrowers, on behalf of the Canadian Lenders, in amounts that exceed Canadian Availability (any such excess Canadian Revolving Loans are herein referred to collectively as “</w:t>
      </w:r>
      <w:r>
        <w:rPr>
          <w:rFonts w:ascii="Arial" w:cs="Arial" w:eastAsia="Arial" w:hAnsi="Arial"/>
          <w:sz w:val="16"/>
          <w:szCs w:val="16"/>
          <w:u w:val="single" w:color="auto"/>
          <w:color w:val="auto"/>
        </w:rPr>
        <w:t>Canadian</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Canadian Overadvance shall result in a Default due to Canadian Borrowers’ failure to comply with Section 2.01 for so long as such Canadian Overadvance remains outstanding in accordance with the terms of this paragraph, but solely with respect to the amount of such Canadian Overadvance. In addition, Canadian Overadvances may be made even if the condition precedent set forth in Section 4.02(c) has not been satisfied, it being understood that the conditions precedent set forth in Sections 4.02(a), (b) and (d) shall continue to apply (subject to the proviso set forth in the immediately preceding sentence). All Canadian Overadvances shall constitute ABR Borrowings or Canadian Prime Rate Borrowings. The authority of the Canadian Administrative Agent to make Canadian Overadvances is limited to an aggregate amount not to exceed $25,000,000 at any time, no Canadian Overadvance may remain outstanding for more than forty-five (45) days, no Canadian Overadvance shall cause any Canadian Lender’s Canadian Revolving Exposure or Revolving</w:t>
      </w:r>
    </w:p>
    <w:p>
      <w:pPr>
        <w:sectPr>
          <w:pgSz w:w="11900" w:h="16911" w:orient="portrait"/>
          <w:cols w:equalWidth="0" w:num="1">
            <w:col w:w="11440"/>
          </w:cols>
          <w:pgMar w:left="240" w:top="124" w:right="219" w:bottom="0" w:gutter="0" w:footer="0" w:header="0"/>
        </w:sectPr>
      </w:pPr>
    </w:p>
    <w:bookmarkStart w:id="34" w:name="page35"/>
    <w:bookmarkEnd w:id="34"/>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Exposure to exceed its Canadian Commitment or Revolving Commitment (as applicable), no Canadian Overadvance shall cause the Aggregate Revolving Exposure to exceed (i) the Aggregate Revolving Commitments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(A) the Priority Payables Reserve, (B) the Rent Reserve and (C) the Wage Earners Protection Act Reserve, and no Canadian Overadvance shall cause the sum of (x) the aggregate amount of all outstanding Overadvances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aggregate amount of all outstanding Protective Advances to exceed $60,000,000;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Supermajority Revolving Lenders may at any time revoke the Canadian Administrative Agent’s authorization to make Canadian Overadvances. Any such revocation must be in writing and shall become effective prospectively upon the Canadian Administrative Agent’s receipt thereof.</w:t>
      </w:r>
    </w:p>
    <w:p>
      <w:pPr>
        <w:spacing w:after="0" w:line="161" w:lineRule="exact"/>
        <w:rPr>
          <w:sz w:val="20"/>
          <w:szCs w:val="20"/>
          <w:color w:val="auto"/>
        </w:rPr>
      </w:pPr>
    </w:p>
    <w:p>
      <w:pPr>
        <w:jc w:val="both"/>
        <w:ind w:firstLine="1139"/>
        <w:spacing w:after="0" w:line="270" w:lineRule="auto"/>
        <w:tabs>
          <w:tab w:leader="none" w:pos="15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the making of a U.S. Swingline Loan or a U.S. Overadvance (whether before or after the occurrence of a Default and regardless of whether a Settlement has been requested with respect to such U.S. Swingline Loan or U.S. Overadvance), each U.S. Lender shall be deemed, without further action by any party hereto, to have unconditionally and irrevocably purchased from the U.S. Swingline Lender or the Administrative Agent, as the case may be, without recourse or warranty, an undivided interest and participation in such U.S. Swingline Loan or U.S. Overadvance equal in amount to such U.S. Lender’s Applicable Percentage of such U.S. Swingline Loan or U.S. Overadvance. The U.S. Swingline Lender or the Administrative Agent may, at any time, require the U.S. Lenders to fund their participations in U.S. Swingline Loans or U.S. Overadvances. From and after the date, if any, on which any U.S. Lender is required to fund its participation in any U.S. Swingline Loan or U.S. Overadvance purchased hereunder, the Administrative Agent shall promptly distribute to such U.S. Lender, such U.S. Lender’s Applicable Percentage of all payments of principal and interest and all proceeds of Collateral received by the Administrative Agent in respect of such U.S. Swingline Loan or U.S. Overadvance.</w:t>
      </w:r>
    </w:p>
    <w:p>
      <w:pPr>
        <w:spacing w:after="0" w:line="150" w:lineRule="exact"/>
        <w:rPr>
          <w:rFonts w:ascii="Arial" w:cs="Arial" w:eastAsia="Arial" w:hAnsi="Arial"/>
          <w:sz w:val="16"/>
          <w:szCs w:val="16"/>
          <w:color w:val="auto"/>
        </w:rPr>
      </w:pPr>
    </w:p>
    <w:p>
      <w:pPr>
        <w:jc w:val="both"/>
        <w:ind w:firstLine="1139"/>
        <w:spacing w:after="0" w:line="269" w:lineRule="auto"/>
        <w:tabs>
          <w:tab w:leader="none" w:pos="15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the making of a Canadian Swingline Loan or a Canadian Overadvance (whether before or after the occurrence of a Default and regardless of whether a Settlement has been requested with respect to such Canadian Swingline Loan or Canadian Overadvance), each Canadian Lender shall be deemed, without further action by any party hereto, to have unconditionally and irrevocably purchased from the Canadian Swingline Lender or the Canadian Administrative Agent, as the case may be, without recourse or warranty, an undivided interest and participation in such Canadian Swingline Loan or Canadian Overadvance equal in amount to such Canadian Lender’s Applicable Percentage of such Canadian Swingline Loan or Canadian Overadvance. The Canadian Swingline Lender or the Canadian Administrative Agent may, at any time, require the Canadian Lenders to fund their participations in Canadian Swingline Loans or Canadian Overadvances. From and after the date, if any, on which any Canadian Lender is required to fund its participation in any Canadian Swingline Loan or Canadian Overadvance purchased hereunder, the Canadian Administrative Agent shall promptly distribute to such Canadian Lender, such Canadian Lender’s Applicable Percentage of all payments of principal and interest and all proceeds of Collateral received by the Canadian Administrative Agent in respect of such Canadian Swingline Loan or Canadian Overadvance, as the case may be.</w:t>
      </w:r>
    </w:p>
    <w:p>
      <w:pPr>
        <w:spacing w:after="0" w:line="153" w:lineRule="exact"/>
        <w:rPr>
          <w:rFonts w:ascii="Arial" w:cs="Arial" w:eastAsia="Arial" w:hAnsi="Arial"/>
          <w:sz w:val="16"/>
          <w:szCs w:val="16"/>
          <w:color w:val="auto"/>
        </w:rPr>
      </w:pPr>
    </w:p>
    <w:p>
      <w:pPr>
        <w:jc w:val="both"/>
        <w:ind w:firstLine="1139"/>
        <w:spacing w:after="0" w:line="266" w:lineRule="auto"/>
        <w:tabs>
          <w:tab w:leader="none" w:pos="147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the Administrative Agent and the Canadian Administrative Agent, on behalf of the U.S. Swingline Lender or the Canadian Swingline Lender, as applicable, shall request settlement (a “</w:t>
      </w:r>
      <w:r>
        <w:rPr>
          <w:rFonts w:ascii="Arial" w:cs="Arial" w:eastAsia="Arial" w:hAnsi="Arial"/>
          <w:sz w:val="16"/>
          <w:szCs w:val="16"/>
          <w:u w:val="single" w:color="auto"/>
          <w:color w:val="auto"/>
        </w:rPr>
        <w:t>Settlement</w:t>
      </w:r>
      <w:r>
        <w:rPr>
          <w:rFonts w:ascii="Arial" w:cs="Arial" w:eastAsia="Arial" w:hAnsi="Arial"/>
          <w:sz w:val="16"/>
          <w:szCs w:val="16"/>
          <w:color w:val="auto"/>
        </w:rPr>
        <w:t>”) with the U.S. Lenders or Canadian Lenders, as applicable, on at least a weekly basis or on any more frequent date that the Administrative Agent or Canadian Administrative Agent, as the case may be, elects, by notifying the applicable Revolving Lenders of such requested Settlement by facsimile, telephone, or electronic mail no later than 11:00 a.m., Chicago time, on the date of such requested Settlement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With respect to Settlements involving U.S. Loans, each U.S. Lender (other than the U.S. Swingline Lender, in the case of the U.S. Swingline Loans) shall transfer in dollars the amount of such U.S. Lender’s Applicable Percentage of the outstanding principal amount of the applicable Loan with respect to which Settlement is requested to the Administrative Agent, to an account of the Administrative Agent as the Administrative Agent may designate, not later than noon, Chicago time, on such Settlement Date. With respect to Settlements involving Canadian Loans, each Canadian Lender (other than the Canadian Swingline Lender, in the case of the Canadian Swingline Loans) shall transfer, in the currency in which the applicable Loan was denominated, the amount of such Canadian Lender’s Applicable Percentage of the outstanding principal amount of the applicable Loan with respect to which Settlement is requested to the Canadian Administrative Agent, to an account of the Canadian Administrative Agent as the Canadian Administrative Agent may designate, not later than noon, Chicago time, on such Settlement Date. Settlements may occur during the existence of a Default and whether or not the applicable conditions precedent set forth in Section 4.02 have then been satisfied. Such amounts transferred to: (i) the Administrative Agent shall be applied against the amounts of the U.S. Swingline Lender’s U.S. Swingline Loans and, together with U.S. Swingline Lender’s Applicable Percentage of such U.S. Swingline Loan, shall constitute U.S. Revolving Loans of such U.S. Lenders, respectively; and (ii) the Canadian Administrative Agent shall be applied against the amounts of the Canadian Swingline Lender’s Canadian Swingline Loans and, together with Canadian Swingline Lender’s Applicable Percentage of such Canadian Swingline Loan, shall constitute Canadian Revolving Loans of such Canadian Lenders, respectively. If any such amount is not transferred to the Administrative Agent or the Canadian Administrative Agent, as applicable, by any Revolving Lender on such Settlement Date, the applicable Swingline Lender shall be entitled to recover such amount on demand from such Lender together with interest thereon as specified in Section 2.07.</w:t>
      </w:r>
    </w:p>
    <w:p>
      <w:pPr>
        <w:spacing w:after="0" w:line="164" w:lineRule="exact"/>
        <w:rPr>
          <w:sz w:val="20"/>
          <w:szCs w:val="20"/>
          <w:color w:val="auto"/>
        </w:rPr>
      </w:pPr>
    </w:p>
    <w:p>
      <w:pPr>
        <w:jc w:val="both"/>
        <w:ind w:firstLine="572"/>
        <w:spacing w:after="0" w:line="26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(1) </w:t>
      </w:r>
      <w:r>
        <w:rPr>
          <w:rFonts w:ascii="Arial" w:cs="Arial" w:eastAsia="Arial" w:hAnsi="Arial"/>
          <w:sz w:val="16"/>
          <w:szCs w:val="16"/>
          <w:u w:val="single" w:color="auto"/>
          <w:color w:val="auto"/>
        </w:rPr>
        <w:t>General Terms; Issuing Bank Commitments; Requests for Letters of Credit</w:t>
      </w:r>
      <w:r>
        <w:rPr>
          <w:rFonts w:ascii="Arial" w:cs="Arial" w:eastAsia="Arial" w:hAnsi="Arial"/>
          <w:sz w:val="16"/>
          <w:szCs w:val="16"/>
          <w:color w:val="auto"/>
        </w:rPr>
        <w:t xml:space="preserve">. Subject to the terms and conditions set forth herein, the Borrower Representative may request the issuance of, and each Issuing Bank agrees, subject to its LC Individual Sublimit and in reliance upon the agreements of the Borrowers and the Lenders set forth in this Section 2.06 and elsewhere in the Agreement, to issue, Letters of Credit (denominated in dollars or in an LC Alternative Currency in the case of U.S. Letters of Credit and denominated in dollars or Canadian Dollars in the case of Canadian Letters of Credit) for the account of a Borrower or for the account of a Restricted Subsidiary, in a form reasonably acceptable to the applicable Issuing Bank, the Administrative Agent in the case of U.S. Letters of Credit, and the Canadian Administrative Agent in the case of Canadian Letters of Credit, at any time and from time to time during the Availability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 respect to any Letter of Credit issued for the account of (x) a Domestic Subsidiary that is not a Borrower or (ii) a Foreign Subsidiary, one or more of the U.S. Borrowers shall be the applicant or co-applicant with respect to such Letter of Credit and (y) a Canadian Subsidiary that is not a Borrower, one or more of the Canadian Borrowers shall be the applicant or co-applicant with respect to such Letter of Credit, (ii) each U.S. Borrower and each other U.S. Loan Party irrevocably agrees that is shall be jointly and severally liable and fully responsible for any and all LC Disbursements and other obligations with respect to any Letter of Credit issued for the account of any Borrower or Restricted Subsidiary hereunder as if such Letter of Credit had been issued for the sole account of such U.S. Borrower or other U.S. Loan Party, (iii) each Canadian Borrower and each other Canadian Loan Party irrevocably agrees that is shall be jointly and severally liable and fully responsible for any and all LC Disbursements and other obligations with respect to any Canadian Letter of Credit issued for the account of any Canadian Borrower or Canadian Subsidiary hereunder as if such Letter of Credit had been issued for the sole account of such Canadian Borrower or other Canadian Loan Party, (iv) each U.S. Lender severally agrees to participate in all U.S. Letters of Credit issued hereunder to the extent of its Applicable Percentage, and (v) each Canadian Lender severally agrees to participate in all Canadian Letters of Credit issued hereunder to the extent of its Applicable Percentage. In the event of any inconsistency between the terms and conditions of this Agreement and the terms and conditions of any form of letter of credit application or other agreement submitted by the Borrowers to, or entered into by the Borrowers with, an Issuing Bank relating to any Letter of Credit, the terms and conditions of this Agreement shall control. Notwithstanding anything herein to the contrary, no Issuing Bank shall have any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or (ii) if any order, judgment or decree of any Governmental Authority or arbitrator shall by its terms enjoin or restrain such Issuing Bank from issuing such Letter of Credit, or any Change in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Second Restatement Date, or shall impose upon such Issuing Bank any unreimbursed loss, cost or expense which was not applicable on the Second Restatement Date and which such Issuing Bank in good faith deems material to it and is not otherwise compensated for hereunder.</w:t>
      </w:r>
    </w:p>
    <w:p>
      <w:pPr>
        <w:spacing w:after="0" w:line="152" w:lineRule="exact"/>
        <w:rPr>
          <w:sz w:val="20"/>
          <w:szCs w:val="20"/>
          <w:color w:val="auto"/>
        </w:rPr>
      </w:pPr>
    </w:p>
    <w:p>
      <w:pPr>
        <w:jc w:val="both"/>
        <w:ind w:firstLine="1139"/>
        <w:spacing w:after="0" w:line="298" w:lineRule="auto"/>
        <w:tabs>
          <w:tab w:leader="none" w:pos="1542"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Notice of Issuance, Amendment, Renewal, Extension; Certain Conditions</w:t>
      </w:r>
      <w:r>
        <w:rPr>
          <w:rFonts w:ascii="Arial" w:cs="Arial" w:eastAsia="Arial" w:hAnsi="Arial"/>
          <w:sz w:val="15"/>
          <w:szCs w:val="15"/>
          <w:color w:val="auto"/>
        </w:rPr>
        <w:t>. To request the issuance of a Letter of Credit (or the amendment, renewal or extension of an outstanding Letter of Credit), the Borrower Representative shall deliver by hand or facsimile (or transmit by electronic communication, if arrangements for doing so have been approved by the applicable Issuing Bank) to the applicable Issuing Bank and the Administrative Agent in the case of U.S. Letters of Credit and the Canadian Administrative Agent in the case of Canadian Letters of Credit (with a copy to the Administrative Agent) (in each case, prior to noon, Chicago time, at least three Business Days prior to the requested date of issuance, amendment, renewal or extension) a notice requesting the issuance of a</w:t>
      </w:r>
    </w:p>
    <w:p>
      <w:pPr>
        <w:sectPr>
          <w:pgSz w:w="11900" w:h="16932" w:orient="portrait"/>
          <w:cols w:equalWidth="0" w:num="1">
            <w:col w:w="11440"/>
          </w:cols>
          <w:pgMar w:left="240" w:top="124" w:right="219" w:bottom="0" w:gutter="0" w:footer="0" w:header="0"/>
        </w:sectPr>
      </w:pPr>
    </w:p>
    <w:bookmarkStart w:id="35" w:name="page36"/>
    <w:bookmarkEnd w:id="35"/>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Loan Party or Restricted Subsidiary for whose account such Letter of Credit is to be issued, the currency in which such Letter of Credit will be denominated (which may be in: (x) dollars or an LC Alternative Currency in the case of U.S. Letters of Credit and (y) dollars or Canadian Dollars in the case of Canadian Letters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the applicable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LC Aggregate Maximum Amount, (ii) U.S. Availability shall not be less than zero, (iii) Canadian Availability shall not be less than zero, (iv) Aggregate Availability shall not be less than zero, (v) the aggregate LC Exposure with respect to all Letters of Credit issued in an LC Alternative Currency shall not exceed the LC Alternative Currency Sublimit, (vi) the LC Exposure of the applicable Issuing Bank shall not exceed such Issuing Bank’s LC Individual Sublimit, and (vii) each Lender’s U.S. Revolving Exposure, Canadian Revolving Exposure and Revolving Exposure shall not exceed such Lender’s U.S. Commitment, Canadian Commitment and Revolving Commitment, respectively.</w:t>
      </w:r>
    </w:p>
    <w:p>
      <w:pPr>
        <w:spacing w:after="0" w:line="154" w:lineRule="exact"/>
        <w:rPr>
          <w:sz w:val="20"/>
          <w:szCs w:val="20"/>
          <w:color w:val="auto"/>
        </w:rPr>
      </w:pPr>
    </w:p>
    <w:p>
      <w:pPr>
        <w:jc w:val="both"/>
        <w:ind w:firstLine="1139"/>
        <w:spacing w:after="0" w:line="254" w:lineRule="auto"/>
        <w:tabs>
          <w:tab w:leader="none" w:pos="150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earlier of (i) the date that is two years (or, at the discretion of the applicable Issuing Bank, with the consent of the Administrative Agent and the Required Lenders, an agreed to longer period of time) after the date of the issuance of such Letter of Credit (or, in the case of any renewal or extension thereof, including, without limitation, any “evergreen” or automatic renewal provisions, one year after such renewal or extension) and (ii) the date that is five Business Days prior to the Maturity Date (unless such Letter of Credit has been cash collateralized in accordance with the provisions of Section 2.06(k)) or otherwise in a manner reasonably satisfactory to the applicable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Letter of Credit providing for annual automatic renewal, such Letter of Credit may, at the discretion of the applicable Issuing Bank, be automatically extended for a period of up to one year after the Maturity Date.</w:t>
      </w:r>
    </w:p>
    <w:p>
      <w:pPr>
        <w:spacing w:after="0" w:line="160" w:lineRule="exact"/>
        <w:rPr>
          <w:rFonts w:ascii="Arial" w:cs="Arial" w:eastAsia="Arial" w:hAnsi="Arial"/>
          <w:sz w:val="17"/>
          <w:szCs w:val="17"/>
          <w:color w:val="auto"/>
        </w:rPr>
      </w:pPr>
    </w:p>
    <w:p>
      <w:pPr>
        <w:jc w:val="both"/>
        <w:ind w:firstLine="1139"/>
        <w:spacing w:after="0" w:line="287" w:lineRule="auto"/>
        <w:tabs>
          <w:tab w:leader="none" w:pos="1542"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Participations</w:t>
      </w:r>
      <w:r>
        <w:rPr>
          <w:rFonts w:ascii="Arial" w:cs="Arial" w:eastAsia="Arial" w:hAnsi="Arial"/>
          <w:sz w:val="15"/>
          <w:szCs w:val="15"/>
          <w:color w:val="auto"/>
        </w:rPr>
        <w:t>. By the issuance of a Letter of Credit (or an amendment to a Letter of Credit increasing the amount thereof) and without any further action on the part of any Issuing Bank or the Revolving Lenders, the applicable Issuing Bank hereby grants to each U.S. Lender, with respect to a U.S. Letter of Credit, and each Canadian Lender, with respect to a Canadian Letter of Credit, and each U.S. Lender and Canadian Lender, as applicable, hereby acquires from the applicable Issuing Bank, a participation in each such Letter of Credit equal to such Lender’s Applicable Percentage of the aggregate amount available to be drawn under such Letter of Credit. In consideration and in furtherance of the foregoing, (i) with respect to each U.S. Letter of Credit, each U.S. Lender hereby absolutely and unconditionally agrees to pay in dollars to the Administrative Agent, and (ii) with respect to any Canadian Letters of Credit, each Canadian Lender hereby absolutely and unconditionally promises to pay, in the same currency in which such Canadian Letter of Credit is issued, the Canadian Administrative Agent, in each case for the account of the applicable Issuing Bank, such Lender’s Applicable Percentage of each LC Disbursement, made by such Issuing Bank and not reimbursed by the applicable Borrower on the date due as provided in paragraph (e) of this Section, or of any reimbursement payment required to be refunded to such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U.S. Commitments or Canadian Commitments, and that each such payment shall be made without any offset, abatement, withholding or reduction whatsoever.</w:t>
      </w:r>
    </w:p>
    <w:p>
      <w:pPr>
        <w:spacing w:after="0" w:line="142" w:lineRule="exact"/>
        <w:rPr>
          <w:rFonts w:ascii="Arial" w:cs="Arial" w:eastAsia="Arial" w:hAnsi="Arial"/>
          <w:sz w:val="15"/>
          <w:szCs w:val="15"/>
          <w:color w:val="auto"/>
        </w:rPr>
      </w:pPr>
    </w:p>
    <w:p>
      <w:pPr>
        <w:jc w:val="both"/>
        <w:ind w:firstLine="1139"/>
        <w:spacing w:after="0" w:line="266" w:lineRule="auto"/>
        <w:tabs>
          <w:tab w:leader="none" w:pos="160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applicable Borrower shall reimburse such LC Disbursement by paying to (i) the Administrative Agent (in the case of any U.S. Letter of Credit) in dollars, and (ii) the Canadian Administrative Agent (in the case of any Canadian Letter of Credit) in the same currency as the applicable LC Disbursement, an amount equal to such LC Disbursement not later than noon, Chicago time, on the date that such LC Disbursement is made, if the Borrower Representative shall have received notice of such LC Disbursement prior to 10:00 a.m., Chicago time, on such date, or, if such notice has not been received by the Borrower Representative prior to such time on such date, then not later than 1:00 p.m., Chicago time, on (x) the Business Day that the Borrower Representative receives such notice, if such notice is received prior to 10:00 a.m., Chicago time, on the date of receipt, or (y) the Business Day immediately following the day that the Borrower Representative receives such notice, if such notice is not received prior to such time on the date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may, subject to the conditions to borrowing set forth herein, request in accordance with Section 2.03 or 2.05 that such payment be financed with an ABR Revolving Borrowing or U.S. Swingline Loan (in the case of U.S. Letters of Credit), or a Canadian Prime Rate Revolving Borrowing or Canadian Swingline Loan (in the case of Canadian Letters of Credit), in an equivalent amount and, to the extent so financed (in the event that such LC Disbursement with respect to a U.S. Letter of Credit was made in an LC Alternative Currency, such Borrowing Request shall be for an amount in dollars equal to the Dollar Amount of such LC Disbursement), the Borrowers’ obligation to make such payment shall be discharged and replaced by the resulting ABR Revolving Borrowing, Canadian Prime Rate Revolving Borrowing or Swingline Loan. If the Borrowers fail to make such payment when due, the Administrative Agent or the Canadian Administrative Agent, as applicable, shall notify each U.S. Lender of the applicable LC Disbursement with respect to U.S. Letters of Credit and each Canadian Lender of the applicable LC Disbursement with respect of Canadian Letters of Credit, the payment then due from the applicable Borrower in respect thereof and such Lender’s Applicable Percentage thereof. Promptly following receipt of such notice with respect to any Letter of Credit, each U.S. Lender (in the case of any U.S. Letter of Credit) and each Canadian Lender (in the case of any Canadian Letter of Credit) shall pay to the Administrative Agent its Applicable Percentage of the payment then due from the applicable Borrower,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applicable Lenders), and the Administrative Agent shall promptly pay to the applicable Issuing Bank the amounts so received by it from such Lenders. Promptly following receipt by the Administrative Agent or the Canadian Administrative Agent, as the case may be, of any payment from the Borrowers pursuant to this paragraph, the Administrative Agent and Canadian Administrative Agent, as applicable, shall distribute such payment to the applicable Issuing Bank or, to the extent that Revolving Lenders have made payments pursuant to this paragraph to reimburse the applicable Issuing Bank, then to such Lenders and the applicable Issuing Bank as their interests may appear. Any payment made by a Revolving Lender pursuant to this paragraph to reimburse any Issuing Bank for any LC Disbursement (other than the funding of ABR Revolving Loans, Canadian Prime Rate Revolving Loans, or a Swingline Loan as contemplated above) shall not constitute a Loan (but shall be a Secured Obligation) and shall not relieve the Borrowers of their obligation to reimburse such LC Disbursement.</w:t>
      </w:r>
    </w:p>
    <w:p>
      <w:pPr>
        <w:spacing w:after="0" w:line="154" w:lineRule="exact"/>
        <w:rPr>
          <w:rFonts w:ascii="Arial" w:cs="Arial" w:eastAsia="Arial" w:hAnsi="Arial"/>
          <w:sz w:val="16"/>
          <w:szCs w:val="16"/>
          <w:color w:val="auto"/>
        </w:rPr>
      </w:pPr>
    </w:p>
    <w:p>
      <w:pPr>
        <w:jc w:val="both"/>
        <w:ind w:firstLine="1139"/>
        <w:spacing w:after="0" w:line="253" w:lineRule="auto"/>
        <w:tabs>
          <w:tab w:leader="none" w:pos="151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Exchange Indemnification and Increased Costs</w:t>
      </w:r>
      <w:r>
        <w:rPr>
          <w:rFonts w:ascii="Arial" w:cs="Arial" w:eastAsia="Arial" w:hAnsi="Arial"/>
          <w:sz w:val="17"/>
          <w:szCs w:val="17"/>
          <w:color w:val="auto"/>
        </w:rPr>
        <w:t>. The U.S. Borrowers shall, upon demand from any Issuing Bank or any U.S. Lender, pay to such Issuing Bank or such U.S. Lender, the amount of (i) any loss or cost or increased cost incurred by such Issuing Bank or such U.S. Lender, (ii) any reduction in any amount payable to or in the effective return on the capital to such Issuing Bank or such U.S. Lender, (iii) any currency exchange loss, in each case with respect to clauses (i), (ii) and (iii), that such Issuing Bank or such U.S. Lender sustains as a result of the U.S. Borrowers’ repayment in dollars of any U.S. Letter of Credit that was denominated in an LC Alternative Currency or (iv) any interest or any other return, including principal, foregone by such Issuing Bank as a result of the introduction of, changeover to or operation of the Euro in any member state participating in the Euro. A certificate of the applicable Issuing Bank setting forth in reasonable detail the basis for determining such additional amount or amounts necessary to compensate such Issuing Bank shall be conclusively presumed to be correct save for manifest error.</w:t>
      </w:r>
    </w:p>
    <w:p>
      <w:pPr>
        <w:spacing w:after="0" w:line="162" w:lineRule="exact"/>
        <w:rPr>
          <w:rFonts w:ascii="Arial" w:cs="Arial" w:eastAsia="Arial" w:hAnsi="Arial"/>
          <w:sz w:val="17"/>
          <w:szCs w:val="17"/>
          <w:color w:val="auto"/>
        </w:rPr>
      </w:pPr>
    </w:p>
    <w:p>
      <w:pPr>
        <w:jc w:val="both"/>
        <w:ind w:firstLine="1139"/>
        <w:spacing w:after="0" w:line="269" w:lineRule="auto"/>
        <w:tabs>
          <w:tab w:leader="none" w:pos="150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joint and several obligations of U.S. Borrowers to reimburse LC Disbursements and the obligation of the Canadian Borrowers to reimburse LC Disbursements on account of Canadian Letters of Credit, in each case, as provided in paragraph (e) of this Section shall be (subject to Section 12.01)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Canadian Administrative Agent, the Revolving Lenders nor any Issuing Bank, nor any of their Related Parties, shall have any liability or responsibility by reason of or in connection with the issuance or transfer of any Letter of Credit or any payment or failure to make any payment thereunder</w:t>
      </w:r>
    </w:p>
    <w:p>
      <w:pPr>
        <w:sectPr>
          <w:pgSz w:w="11900" w:h="16910" w:orient="portrait"/>
          <w:cols w:equalWidth="0" w:num="1">
            <w:col w:w="11440"/>
          </w:cols>
          <w:pgMar w:left="240" w:top="124" w:right="219" w:bottom="0" w:gutter="0" w:footer="0" w:header="0"/>
        </w:sectPr>
      </w:pPr>
    </w:p>
    <w:bookmarkStart w:id="36" w:name="page37"/>
    <w:bookmarkEnd w:id="36"/>
    <w:p>
      <w:pPr>
        <w:spacing w:after="0" w:line="60"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 xml:space="preserve">(irrespective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applicable Issuing Bank from liability to the Borrowers to the extent of any direct damages (as opposed to consequential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7" w:lineRule="exact"/>
        <w:rPr>
          <w:sz w:val="20"/>
          <w:szCs w:val="20"/>
          <w:color w:val="auto"/>
        </w:rPr>
      </w:pPr>
    </w:p>
    <w:p>
      <w:pPr>
        <w:jc w:val="both"/>
        <w:ind w:left="5" w:firstLine="1139"/>
        <w:spacing w:after="0" w:line="255" w:lineRule="auto"/>
        <w:tabs>
          <w:tab w:leader="none" w:pos="1570"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Letter of Credit. The applicable Issuing Bank shall promptly notify the Administrative Agent (in the case of U.S. Letters of Credit), the Canadian Administrative Agent (in the case of Canadian Letters of Credit) and the applicable Borrower by telephone (confirmed by facsimile or electronic mail) of such demand for payment and whether such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Borrowers of their obligation to reimburse the applicable Issuing Bank and the applicable Revolving Lenders with respect to any such LC Disbursement.</w:t>
      </w:r>
    </w:p>
    <w:p>
      <w:pPr>
        <w:spacing w:after="0" w:line="159" w:lineRule="exact"/>
        <w:rPr>
          <w:rFonts w:ascii="Arial" w:cs="Arial" w:eastAsia="Arial" w:hAnsi="Arial"/>
          <w:sz w:val="17"/>
          <w:szCs w:val="17"/>
          <w:color w:val="auto"/>
        </w:rPr>
      </w:pPr>
    </w:p>
    <w:p>
      <w:pPr>
        <w:jc w:val="both"/>
        <w:ind w:left="5" w:firstLine="1139"/>
        <w:spacing w:after="0" w:line="252" w:lineRule="auto"/>
        <w:tabs>
          <w:tab w:leader="none" w:pos="149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(i) then applicable to ABR Revolving Loans in the case of LC Disbursements made in dollars; (ii) then applicable to Canadian Prime Rate Revolving Loans in the case of LC Disbursements made in Canadian Dollars; and (iii) equal to the Overnight LIBO Rate plus the Overnight LIBO Spread as set forth in the definition of “Applicable Rate” in the case of LC Disbursements made in an LC Alternative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applicable Borrowers fail to reimburse such LC Disbursement when due pursuant to paragraph (e) of this Section, then Section 2.13(f) shall apply. Interest accrued pursuant to this paragraph shall be for the account of the applicable Issuing Bank, except that interest accrued on and after the date of payment by any Revolving Lender pursuant to paragraph (e) of this Section to reimburse the Issuing Bank shall be for the account of such Revolving Lender to the extent of such payment.</w:t>
      </w:r>
    </w:p>
    <w:p>
      <w:pPr>
        <w:spacing w:after="0" w:line="166" w:lineRule="exact"/>
        <w:rPr>
          <w:rFonts w:ascii="Arial" w:cs="Arial" w:eastAsia="Arial" w:hAnsi="Arial"/>
          <w:sz w:val="17"/>
          <w:szCs w:val="17"/>
          <w:color w:val="auto"/>
        </w:rPr>
      </w:pPr>
    </w:p>
    <w:p>
      <w:pPr>
        <w:jc w:val="both"/>
        <w:ind w:left="5" w:firstLine="1139"/>
        <w:spacing w:after="0" w:line="252" w:lineRule="auto"/>
        <w:tabs>
          <w:tab w:leader="none" w:pos="149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Replacement of the Issuing Bank</w:t>
      </w:r>
      <w:r>
        <w:rPr>
          <w:rFonts w:ascii="Arial" w:cs="Arial" w:eastAsia="Arial" w:hAnsi="Arial"/>
          <w:sz w:val="17"/>
          <w:szCs w:val="17"/>
          <w:color w:val="auto"/>
        </w:rPr>
        <w:t>. Any Issuing Bank may be replaced at any time by written agreement among the Borrower Representative, the Administrative Agent, the Issuing Bank to be replaced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66" w:lineRule="exact"/>
        <w:rPr>
          <w:rFonts w:ascii="Arial" w:cs="Arial" w:eastAsia="Arial" w:hAnsi="Arial"/>
          <w:sz w:val="17"/>
          <w:szCs w:val="17"/>
          <w:color w:val="auto"/>
        </w:rPr>
      </w:pPr>
    </w:p>
    <w:p>
      <w:pPr>
        <w:jc w:val="both"/>
        <w:ind w:left="5" w:firstLine="1139"/>
        <w:spacing w:after="0" w:line="284" w:lineRule="auto"/>
        <w:tabs>
          <w:tab w:leader="none" w:pos="1522"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Cash Collateralization</w:t>
      </w:r>
      <w:r>
        <w:rPr>
          <w:rFonts w:ascii="Arial" w:cs="Arial" w:eastAsia="Arial" w:hAnsi="Arial"/>
          <w:sz w:val="15"/>
          <w:szCs w:val="15"/>
          <w:color w:val="auto"/>
        </w:rPr>
        <w:t>. If any Event of Default shall occur and be continuing, on the Business Day that the Borrower Representative receives notice from the Administrative Agent, the Canadian Administrative Agent or the Required Lenders demanding the deposit of cash collateral pursuant to this paragraph, (i) the U.S. Borrowers shall deposit in an account with the Administrative Agent, in the name of the Administrative Agent and for the benefit of the Lender Parties (the “</w:t>
      </w:r>
      <w:r>
        <w:rPr>
          <w:rFonts w:ascii="Arial" w:cs="Arial" w:eastAsia="Arial" w:hAnsi="Arial"/>
          <w:sz w:val="15"/>
          <w:szCs w:val="15"/>
          <w:u w:val="single" w:color="auto"/>
          <w:color w:val="auto"/>
        </w:rPr>
        <w:t>LC Collateral Account</w:t>
      </w:r>
      <w:r>
        <w:rPr>
          <w:rFonts w:ascii="Arial" w:cs="Arial" w:eastAsia="Arial" w:hAnsi="Arial"/>
          <w:sz w:val="15"/>
          <w:szCs w:val="15"/>
          <w:color w:val="auto"/>
        </w:rPr>
        <w:t>”), an amount in cash equal to 103% of the U.S. LC Exposure as of such date plus accrued and unpaid interest thereon; and (ii) the Canadian Borrowers shall deposit in an account with the Administrative Agent, in the name of the Administrative Agent and for the benefit of the Canadian Lender Parties (the “</w:t>
      </w:r>
      <w:r>
        <w:rPr>
          <w:rFonts w:ascii="Arial" w:cs="Arial" w:eastAsia="Arial" w:hAnsi="Arial"/>
          <w:sz w:val="15"/>
          <w:szCs w:val="15"/>
          <w:u w:val="single" w:color="auto"/>
          <w:color w:val="auto"/>
        </w:rPr>
        <w:t>Canadian LC Collateral Account</w:t>
      </w:r>
      <w:r>
        <w:rPr>
          <w:rFonts w:ascii="Arial" w:cs="Arial" w:eastAsia="Arial" w:hAnsi="Arial"/>
          <w:sz w:val="15"/>
          <w:szCs w:val="15"/>
          <w:color w:val="auto"/>
        </w:rPr>
        <w:t xml:space="preserve">”), an amount in cash equal to 103% of the Canadian LC Exposure as of such date plus accrued and unpaid interest thereon;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clauses (i) or</w:t>
      </w:r>
    </w:p>
    <w:p>
      <w:pPr>
        <w:spacing w:after="0" w:line="1" w:lineRule="exact"/>
        <w:rPr>
          <w:rFonts w:ascii="Arial" w:cs="Arial" w:eastAsia="Arial" w:hAnsi="Arial"/>
          <w:sz w:val="15"/>
          <w:szCs w:val="15"/>
          <w:color w:val="auto"/>
        </w:rPr>
      </w:pPr>
    </w:p>
    <w:p>
      <w:pPr>
        <w:jc w:val="both"/>
        <w:ind w:left="5" w:hanging="5"/>
        <w:spacing w:after="0" w:line="266" w:lineRule="auto"/>
        <w:tabs>
          <w:tab w:leader="none" w:pos="2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 Article VII. Such deposits shall be held by the Administrative Agent as collateral for the payment and performance of the Secured Obligations in the case of deposits in the LC Collateral Account, and the Canadian Secured Obligations in the case of deposits in the Canadian LC Collateral Account. The Administrative Agent shall have exclusive dominion and control, including the exclusive right of withdrawal, over such accounts; and (x) the U.S. Borrowers hereby grant the Administrative Agent (for the benefit of the Lender Parties) a security interest in the LC Collateral Account and (y) the Canadian Borrowers hereby grant the Administrative Agent (for the benefit of the Canadian Lender Parties) a security interest in the Canadian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Subject to Section 12.01, moneys in such account shall be applied by the Administrative Agent to reimburse the applicable Issuing Bank for LC Disbursements for which it has not been reimbursed and, to the extent not so applied, shall be held for the satisfaction of the reimbursement obligations of the U.S. Borrowers or the Canadian Borrowers, as applicable, for the LC Exposure at such time or, if the maturity of the Loans has been accelerated (but subject to the consent of Required Lenders), be applied, in the case of moneys in the LC Collateral Account, to satisfy other Secured Obligations or, in the case of moneys in the Canadian LC Collateral Account, to satisfy other Canadian Secured Obligations. If the Borrowers are required to provide an amount of cash collateral hereunder as a result of the occurrence of an Event of Default, such amount (to the extent not applied as aforesaid) shall be returned to the Borrowers within three Business Days after all such Events of Default have been cured or waived.</w:t>
      </w:r>
    </w:p>
    <w:p>
      <w:pPr>
        <w:spacing w:after="0" w:line="157" w:lineRule="exact"/>
        <w:rPr>
          <w:rFonts w:ascii="Arial" w:cs="Arial" w:eastAsia="Arial" w:hAnsi="Arial"/>
          <w:sz w:val="16"/>
          <w:szCs w:val="16"/>
          <w:color w:val="auto"/>
        </w:rPr>
      </w:pPr>
    </w:p>
    <w:p>
      <w:pPr>
        <w:jc w:val="both"/>
        <w:ind w:left="5" w:right="20" w:firstLine="1139"/>
        <w:spacing w:after="0" w:line="285" w:lineRule="auto"/>
        <w:tabs>
          <w:tab w:leader="none" w:pos="1508"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t>Treatment of Existing Letters of Credit</w:t>
      </w:r>
      <w:r>
        <w:rPr>
          <w:rFonts w:ascii="Arial" w:cs="Arial" w:eastAsia="Arial" w:hAnsi="Arial"/>
          <w:sz w:val="15"/>
          <w:szCs w:val="15"/>
          <w:color w:val="auto"/>
        </w:rPr>
        <w:t xml:space="preserve">. On the Second Restatement Date, (i) each Existing U.S. Letter of Credit, to the extent outstanding, shall automatically and without further action by the parties thereto be deemed converted into a U.S. Letter of Credit under this Agreement (as reflected on </w:t>
      </w:r>
      <w:r>
        <w:rPr>
          <w:rFonts w:ascii="Arial" w:cs="Arial" w:eastAsia="Arial" w:hAnsi="Arial"/>
          <w:sz w:val="15"/>
          <w:szCs w:val="15"/>
          <w:u w:val="single" w:color="auto"/>
          <w:color w:val="auto"/>
        </w:rPr>
        <w:t>Schedule 2.06</w:t>
      </w:r>
      <w:r>
        <w:rPr>
          <w:rFonts w:ascii="Arial" w:cs="Arial" w:eastAsia="Arial" w:hAnsi="Arial"/>
          <w:sz w:val="15"/>
          <w:szCs w:val="15"/>
          <w:color w:val="auto"/>
        </w:rPr>
        <w:t xml:space="preserve">) and each Existing Canadian Letter of Credit, to the extent outstanding, shall automatically and without further action by the parties thereto be deemed converted into a Canadian Letter of Credit under this Agreement (as reflected on </w:t>
      </w:r>
      <w:r>
        <w:rPr>
          <w:rFonts w:ascii="Arial" w:cs="Arial" w:eastAsia="Arial" w:hAnsi="Arial"/>
          <w:sz w:val="15"/>
          <w:szCs w:val="15"/>
          <w:u w:val="single" w:color="auto"/>
          <w:color w:val="auto"/>
        </w:rPr>
        <w:t>Schedule 2.06</w:t>
      </w:r>
      <w:r>
        <w:rPr>
          <w:rFonts w:ascii="Arial" w:cs="Arial" w:eastAsia="Arial" w:hAnsi="Arial"/>
          <w:sz w:val="15"/>
          <w:szCs w:val="15"/>
          <w:color w:val="auto"/>
        </w:rPr>
        <w:t>), in each case, pursuant to this Section 2.06 and subject to the provisions hereof as if each such Existing U.S. Letter of Credit and each Existing Canadian Letter of Credit had been issued on the Second Restatement Date,</w:t>
      </w:r>
    </w:p>
    <w:p>
      <w:pPr>
        <w:spacing w:after="0" w:line="2" w:lineRule="exact"/>
        <w:rPr>
          <w:rFonts w:ascii="Arial" w:cs="Arial" w:eastAsia="Arial" w:hAnsi="Arial"/>
          <w:sz w:val="15"/>
          <w:szCs w:val="15"/>
          <w:color w:val="auto"/>
        </w:rPr>
      </w:pPr>
    </w:p>
    <w:p>
      <w:pPr>
        <w:jc w:val="both"/>
        <w:ind w:left="5" w:hanging="5"/>
        <w:spacing w:after="0" w:line="256" w:lineRule="auto"/>
        <w:tabs>
          <w:tab w:leader="none" w:pos="2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Existing U.S. Letter of Credit shall be included in the calculation of U.S. LC Exposure and each Existing Canadian Letter of Credit shall be included in the calculation of Canadian LC Exposure, and (iii) all liabilities of the Borrowers and the other Loan Parties with respect to such Existing Letters of Credit shall constitute Obligations.</w:t>
      </w:r>
    </w:p>
    <w:p>
      <w:pPr>
        <w:spacing w:after="0" w:line="158" w:lineRule="exact"/>
        <w:rPr>
          <w:rFonts w:ascii="Arial" w:cs="Arial" w:eastAsia="Arial" w:hAnsi="Arial"/>
          <w:sz w:val="17"/>
          <w:szCs w:val="17"/>
          <w:color w:val="auto"/>
        </w:rPr>
      </w:pPr>
    </w:p>
    <w:p>
      <w:pPr>
        <w:jc w:val="both"/>
        <w:ind w:left="5" w:firstLine="1139"/>
        <w:spacing w:after="0" w:line="269" w:lineRule="auto"/>
        <w:tabs>
          <w:tab w:leader="none" w:pos="165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Administrative Agent</w:t>
      </w:r>
      <w:r>
        <w:rPr>
          <w:rFonts w:ascii="Arial" w:cs="Arial" w:eastAsia="Arial" w:hAnsi="Arial"/>
          <w:sz w:val="16"/>
          <w:szCs w:val="16"/>
          <w:color w:val="auto"/>
        </w:rPr>
        <w:t>. Unless otherwise agreed by the Administrative Agent, such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ectPr>
          <w:pgSz w:w="11900" w:h="16899" w:orient="portrait"/>
          <w:cols w:equalWidth="0" w:num="1">
            <w:col w:w="11445"/>
          </w:cols>
          <w:pgMar w:left="235" w:top="124" w:right="219" w:bottom="0" w:gutter="0" w:footer="0" w:header="0"/>
        </w:sectPr>
      </w:pPr>
    </w:p>
    <w:bookmarkStart w:id="37" w:name="page38"/>
    <w:bookmarkEnd w:id="37"/>
    <w:p>
      <w:pPr>
        <w:jc w:val="both"/>
        <w:ind w:firstLine="667"/>
        <w:spacing w:after="0" w:line="25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(1) Each Lender shall make each Loan to be made by it hereunder on the proposed date thereof by wire transfer of immediately available funds by 1:00 p.m., Chicago time, to the account of the Administrative Agent or the Canadian Administrative Agent, as applicable,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Each of the Administrative Agent and the Canadian Administrative Agent, as applicable, will make such Loans available to the Borrower Representative by promptly crediting the amounts so received, in like funds, to the Funding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(i) an LC Disbursement as provided in Section 2.06(e) shall be remitted by the Administrative Agent or the Canadian Administrative Agent, as applicable, to the applicable Issuing Bank, (ii) a U.S. Protective Advance or a U.S. Overadvance shall be retained by the Administrative Agent, and (iii) a Canadian Protective Advance or a Canadian Overadvance shall be retained by the Canadian Administrative Agent. U.S. Loans and participations in U.S. Swingline Loans and U.S. Letters of Credit will be funded by each U.S. Lender pro rata in accordance with its Applicable Percentage of the U.S. Commitments. Canadian Loans and participations in Canadian Swingline Loans and Canadian Letters of Credit will be funded by each Canadian Lender pro rata in accordance with its Applicable Percentage of the Canadian Commitments.</w:t>
      </w:r>
    </w:p>
    <w:p>
      <w:pPr>
        <w:spacing w:after="0" w:line="170" w:lineRule="exact"/>
        <w:rPr>
          <w:sz w:val="20"/>
          <w:szCs w:val="20"/>
          <w:color w:val="auto"/>
        </w:rPr>
      </w:pPr>
    </w:p>
    <w:p>
      <w:pPr>
        <w:jc w:val="both"/>
        <w:ind w:firstLine="1139"/>
        <w:spacing w:after="0" w:line="267" w:lineRule="auto"/>
        <w:tabs>
          <w:tab w:leader="none" w:pos="1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Unless the Administrative Agent or the Canadian Administrative Agent, as applicable, shall have received notice from a Lender prior to the proposed date of any Borrowing that such Lender will not make available to the Administrative Agent or the Canadian Administrative Agent, as applicable, such Lender’s share of such Borrowing, the Administrative Agent or the Canadian Administrative Agent, as applicable,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or the Canadian Administrative Agent, as applicable, then the applicable Lender and the Borrowers severally agree to pay to the Administrative Agent or the Canadian Administrative Agent, as applicable, forthwith on demand such corresponding amount with interest thereon, for each day from and including the date such amount is made available to the applicable Borrower to but excluding the date of payment to the Administrative Agent or the Canadian Administrative Agent, as applicable, at (i) in the case of such Lender, the greater of either the Federal Funds Effective Rate (in the case of dollar denominated amounts) or the Canadian Administrative Agent’s cost of funds (in the case of Canadian Dollar denominated amounts) and a rate determined by the Administrative Agent or the Canadian Administrative Agent, as applicable, in accordance with banking industry rules on interbank compensation, or (ii) in the case of the Borrowers, the interest rate applicable to ABR Loans (in the case of dollar denominated amounts), or Canadian Prime Rate Loans (in the case of Canadian Dollar denominated amounts). If such Lender pays such amount to the Administrative Agent or the Canadian Administrative Agent, as applicable, then such amount shall constitute such Lender’s Loan included in such Borrowing.</w:t>
      </w:r>
    </w:p>
    <w:p>
      <w:pPr>
        <w:spacing w:after="0" w:line="161"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xml:space="preserve">. (1) Each Revolving Borrowing initially shall be of the Type specified in the applicable Borrowing Request and, in the case of a Eurodollar Revolving Borrowing or a CDOR Rate Revolving Borrowing, shall have an initial Interest Period as specified in such Borrowing Request. Thereafter, the Borrower Representative may elect to convert such Borrowing to a different Type or to continue such Borrowing and, in the case of a Eurodollar Revolving Borrowing or a CDOR Rate Revolving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Borrowing in one currency may only be converted to another Type of Borrowing denominated in the same currency as the Borrowing to be so converted. This Section shall not apply to Swingline Borrowings, Overadvances or Protective Advances, which may not be converted or continued.</w:t>
      </w:r>
    </w:p>
    <w:p>
      <w:pPr>
        <w:spacing w:after="0" w:line="149" w:lineRule="exact"/>
        <w:rPr>
          <w:sz w:val="20"/>
          <w:szCs w:val="20"/>
          <w:color w:val="auto"/>
        </w:rPr>
      </w:pPr>
    </w:p>
    <w:p>
      <w:pPr>
        <w:jc w:val="both"/>
        <w:ind w:right="20" w:firstLine="1139"/>
        <w:spacing w:after="0" w:line="254" w:lineRule="auto"/>
        <w:tabs>
          <w:tab w:leader="none" w:pos="14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make an election pursuant to this Section, the Borrower Representative shall notify the (i) Administrative Agent, with respect to each U.S. Revolving Loan, and (ii) the Canadian Administrative Agent (with a copy to the Administrative Agent) with respect to any Canadian Revolving Loan, of such election by telephone by the time that a Borrowing Request would be required under Section 2.03 if the Borrowers were requesting a Revolving Borrowing of the Type resulting from such election to be made on the effective date of such election. Each such telephonic Interest Election Request shall be irrevocable and shall be confirmed promptly by hand delivery, facsimile or electronic mail delivery to the Administrative Agent or the Canadian Administrative Agent (with a copy to the Administrative Agent), as applicable, of a written Interest Election Request in a form approved by the Administrative Agent or the Canadian Administrative Agent, as applicable, and signed by the Borrower Representative.</w:t>
      </w:r>
    </w:p>
    <w:p>
      <w:pPr>
        <w:spacing w:after="0" w:line="160" w:lineRule="exact"/>
        <w:rPr>
          <w:rFonts w:ascii="Arial" w:cs="Arial" w:eastAsia="Arial" w:hAnsi="Arial"/>
          <w:sz w:val="17"/>
          <w:szCs w:val="17"/>
          <w:color w:val="auto"/>
        </w:rPr>
      </w:pPr>
    </w:p>
    <w:p>
      <w:pPr>
        <w:ind w:left="1500" w:hanging="361"/>
        <w:spacing w:after="0"/>
        <w:tabs>
          <w:tab w:leader="none" w:pos="1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222" w:lineRule="exact"/>
        <w:rPr>
          <w:sz w:val="20"/>
          <w:szCs w:val="20"/>
          <w:color w:val="auto"/>
        </w:rPr>
      </w:pPr>
    </w:p>
    <w:p>
      <w:pPr>
        <w:jc w:val="both"/>
        <w:ind w:left="560" w:right="20" w:firstLine="579"/>
        <w:spacing w:after="0" w:line="277" w:lineRule="auto"/>
        <w:tabs>
          <w:tab w:leader="none" w:pos="1518" w:val="left"/>
        </w:tabs>
        <w:numPr>
          <w:ilvl w:val="0"/>
          <w:numId w:val="34"/>
        </w:numPr>
        <w:rPr>
          <w:rFonts w:ascii="Arial" w:cs="Arial" w:eastAsia="Arial" w:hAnsi="Arial"/>
          <w:sz w:val="19"/>
          <w:szCs w:val="19"/>
          <w:color w:val="auto"/>
        </w:rPr>
      </w:pPr>
      <w:r>
        <w:rPr>
          <w:rFonts w:ascii="Arial" w:cs="Arial" w:eastAsia="Arial" w:hAnsi="Arial"/>
          <w:sz w:val="17"/>
          <w:szCs w:val="17"/>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8" w:lineRule="exact"/>
        <w:rPr>
          <w:rFonts w:ascii="Arial" w:cs="Arial" w:eastAsia="Arial" w:hAnsi="Arial"/>
          <w:sz w:val="19"/>
          <w:szCs w:val="19"/>
          <w:color w:val="auto"/>
        </w:rPr>
      </w:pPr>
    </w:p>
    <w:p>
      <w:pPr>
        <w:ind w:left="1540" w:hanging="401"/>
        <w:spacing w:after="0"/>
        <w:tabs>
          <w:tab w:leader="none" w:pos="1540" w:val="left"/>
        </w:tabs>
        <w:numPr>
          <w:ilvl w:val="0"/>
          <w:numId w:val="34"/>
        </w:numPr>
        <w:rPr>
          <w:rFonts w:ascii="Arial" w:cs="Arial" w:eastAsia="Arial" w:hAnsi="Arial"/>
          <w:sz w:val="19"/>
          <w:szCs w:val="19"/>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10" w:lineRule="exact"/>
        <w:rPr>
          <w:rFonts w:ascii="Arial" w:cs="Arial" w:eastAsia="Arial" w:hAnsi="Arial"/>
          <w:sz w:val="19"/>
          <w:szCs w:val="19"/>
          <w:color w:val="auto"/>
        </w:rPr>
      </w:pPr>
    </w:p>
    <w:p>
      <w:pPr>
        <w:ind w:left="1580" w:hanging="441"/>
        <w:spacing w:after="0"/>
        <w:tabs>
          <w:tab w:leader="none" w:pos="1580" w:val="left"/>
        </w:tabs>
        <w:numPr>
          <w:ilvl w:val="0"/>
          <w:numId w:val="34"/>
        </w:numPr>
        <w:rPr>
          <w:rFonts w:ascii="Arial" w:cs="Arial" w:eastAsia="Arial" w:hAnsi="Arial"/>
          <w:sz w:val="19"/>
          <w:szCs w:val="19"/>
          <w:color w:val="auto"/>
        </w:rPr>
      </w:pPr>
      <w:r>
        <w:rPr>
          <w:rFonts w:ascii="Arial" w:cs="Arial" w:eastAsia="Arial" w:hAnsi="Arial"/>
          <w:sz w:val="17"/>
          <w:szCs w:val="17"/>
          <w:color w:val="auto"/>
        </w:rPr>
        <w:t>the currency in which such Borrowing is to be funded;</w:t>
      </w:r>
    </w:p>
    <w:p>
      <w:pPr>
        <w:spacing w:after="0" w:line="210" w:lineRule="exact"/>
        <w:rPr>
          <w:rFonts w:ascii="Arial" w:cs="Arial" w:eastAsia="Arial" w:hAnsi="Arial"/>
          <w:sz w:val="19"/>
          <w:szCs w:val="19"/>
          <w:color w:val="auto"/>
        </w:rPr>
      </w:pPr>
    </w:p>
    <w:p>
      <w:pPr>
        <w:ind w:left="560" w:firstLine="579"/>
        <w:spacing w:after="0" w:line="281" w:lineRule="auto"/>
        <w:tabs>
          <w:tab w:leader="none" w:pos="1578" w:val="left"/>
        </w:tabs>
        <w:numPr>
          <w:ilvl w:val="0"/>
          <w:numId w:val="34"/>
        </w:numPr>
        <w:rPr>
          <w:rFonts w:ascii="Arial" w:cs="Arial" w:eastAsia="Arial" w:hAnsi="Arial"/>
          <w:sz w:val="19"/>
          <w:szCs w:val="19"/>
          <w:color w:val="auto"/>
        </w:rPr>
      </w:pPr>
      <w:r>
        <w:rPr>
          <w:rFonts w:ascii="Arial" w:cs="Arial" w:eastAsia="Arial" w:hAnsi="Arial"/>
          <w:sz w:val="17"/>
          <w:szCs w:val="17"/>
          <w:color w:val="auto"/>
        </w:rPr>
        <w:t>whether the resulting Borrowing is to be an ABR Borrowing, a Canadian Prime Rate Borrowing, a CDOR Rate Borrowing, or a Eurodollar Borrowing; and</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561" w:val="left"/>
        </w:tabs>
        <w:numPr>
          <w:ilvl w:val="0"/>
          <w:numId w:val="34"/>
        </w:numPr>
        <w:rPr>
          <w:rFonts w:ascii="Arial" w:cs="Arial" w:eastAsia="Arial" w:hAnsi="Arial"/>
          <w:sz w:val="19"/>
          <w:szCs w:val="19"/>
          <w:color w:val="auto"/>
        </w:rPr>
      </w:pPr>
      <w:r>
        <w:rPr>
          <w:rFonts w:ascii="Arial" w:cs="Arial" w:eastAsia="Arial" w:hAnsi="Arial"/>
          <w:sz w:val="17"/>
          <w:szCs w:val="17"/>
          <w:color w:val="auto"/>
        </w:rPr>
        <w:t>if the resulting Borrowing is a Eurodollar Borrowing or a CDOR Rate Borrowing, the Interest Period to be applicable thereto after giving effect to such election, which shall be a period contemplated by the definition of the term “Interest Period”.</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If any such Interest Election Request requests a Eurodollar Borrowing or a CDOR Rate Borrowing but does not specify an Interest Period, then the Borrowers shall be deemed to have selected an Interest Period of one month’s (or, in the case of a CDOR Rate Borrowing, 30 days’) duration.</w:t>
      </w:r>
    </w:p>
    <w:p>
      <w:pPr>
        <w:spacing w:after="0" w:line="163" w:lineRule="exact"/>
        <w:rPr>
          <w:sz w:val="20"/>
          <w:szCs w:val="20"/>
          <w:color w:val="auto"/>
        </w:rPr>
      </w:pPr>
    </w:p>
    <w:p>
      <w:pPr>
        <w:jc w:val="both"/>
        <w:ind w:firstLine="1139"/>
        <w:spacing w:after="0" w:line="301" w:lineRule="auto"/>
        <w:tabs>
          <w:tab w:leader="none" w:pos="1538" w:val="left"/>
        </w:tabs>
        <w:numPr>
          <w:ilvl w:val="0"/>
          <w:numId w:val="35"/>
        </w:numPr>
        <w:rPr>
          <w:rFonts w:ascii="Arial" w:cs="Arial" w:eastAsia="Arial" w:hAnsi="Arial"/>
          <w:sz w:val="18"/>
          <w:szCs w:val="18"/>
          <w:color w:val="auto"/>
        </w:rPr>
      </w:pPr>
      <w:r>
        <w:rPr>
          <w:rFonts w:ascii="Arial" w:cs="Arial" w:eastAsia="Arial" w:hAnsi="Arial"/>
          <w:sz w:val="16"/>
          <w:szCs w:val="16"/>
          <w:color w:val="auto"/>
        </w:rPr>
        <w:t>Promptly following receipt of an Interest Election Request by (i) the Administrative Agent, the Administrative Agent shall advise each U.S. Lender of the details thereof and of such U.S. Lender’s portion of each resulting Borrowing, and (ii) the Canadian Administrative Agent, the Canadian Administrative Agent shall advise each Canadian Lender of the details thereof and of such Canadian Lender’s portion of each resulting Borrowing.</w:t>
      </w:r>
    </w:p>
    <w:p>
      <w:pPr>
        <w:spacing w:after="0" w:line="160" w:lineRule="exact"/>
        <w:rPr>
          <w:rFonts w:ascii="Arial" w:cs="Arial" w:eastAsia="Arial" w:hAnsi="Arial"/>
          <w:sz w:val="18"/>
          <w:szCs w:val="18"/>
          <w:color w:val="auto"/>
        </w:rPr>
      </w:pPr>
    </w:p>
    <w:p>
      <w:pPr>
        <w:jc w:val="both"/>
        <w:ind w:firstLine="1139"/>
        <w:spacing w:after="0" w:line="277" w:lineRule="auto"/>
        <w:tabs>
          <w:tab w:leader="none" w:pos="1549" w:val="left"/>
        </w:tabs>
        <w:numPr>
          <w:ilvl w:val="0"/>
          <w:numId w:val="35"/>
        </w:numPr>
        <w:rPr>
          <w:rFonts w:ascii="Arial" w:cs="Arial" w:eastAsia="Arial" w:hAnsi="Arial"/>
          <w:sz w:val="19"/>
          <w:szCs w:val="19"/>
          <w:color w:val="auto"/>
        </w:rPr>
      </w:pPr>
      <w:r>
        <w:rPr>
          <w:rFonts w:ascii="Arial" w:cs="Arial" w:eastAsia="Arial" w:hAnsi="Arial"/>
          <w:sz w:val="17"/>
          <w:szCs w:val="17"/>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in the case of a Eurodollar Borrowing of either U.S. Revolving Loans or Canadian Revolving Loans denominated in dollars.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Eurodollar Borrowing and (ii) unless repaid, each Eurodollar Borrowing of U.S. Revolving Loans or Canadian Revolving Loans denominated in dollars shall be converted to an ABR Borrowing at the end of the Interest Period applicable thereto.</w:t>
      </w:r>
    </w:p>
    <w:p>
      <w:pPr>
        <w:spacing w:after="0" w:line="181" w:lineRule="exact"/>
        <w:rPr>
          <w:rFonts w:ascii="Arial" w:cs="Arial" w:eastAsia="Arial" w:hAnsi="Arial"/>
          <w:sz w:val="19"/>
          <w:szCs w:val="19"/>
          <w:color w:val="auto"/>
        </w:rPr>
      </w:pPr>
    </w:p>
    <w:p>
      <w:pPr>
        <w:jc w:val="both"/>
        <w:ind w:right="20" w:firstLine="1139"/>
        <w:spacing w:after="0" w:line="301" w:lineRule="auto"/>
        <w:tabs>
          <w:tab w:leader="none" w:pos="1526" w:val="left"/>
        </w:tabs>
        <w:numPr>
          <w:ilvl w:val="0"/>
          <w:numId w:val="35"/>
        </w:numPr>
        <w:rPr>
          <w:rFonts w:ascii="Arial" w:cs="Arial" w:eastAsia="Arial" w:hAnsi="Arial"/>
          <w:sz w:val="18"/>
          <w:szCs w:val="18"/>
          <w:color w:val="auto"/>
        </w:rPr>
      </w:pPr>
      <w:r>
        <w:rPr>
          <w:rFonts w:ascii="Arial" w:cs="Arial" w:eastAsia="Arial" w:hAnsi="Arial"/>
          <w:sz w:val="16"/>
          <w:szCs w:val="16"/>
          <w:color w:val="auto"/>
        </w:rPr>
        <w:t>If the Borrower Representative fails to deliver a timely Interest Election Request with respect to a CDOR Rate Borrowing prior to the end of the Interest Period applicable thereto, then, unless such Borrowing is repaid as provided herein, at the end of such Interest Period such Borrowing shall be converted to a Canadian Prime Rate Borrowing. Notwithstanding any contrary provision hereof, if an Event of Default has occurred and is continuing and the</w:t>
      </w:r>
    </w:p>
    <w:p>
      <w:pPr>
        <w:sectPr>
          <w:pgSz w:w="11900" w:h="16838" w:orient="portrait"/>
          <w:cols w:equalWidth="0" w:num="1">
            <w:col w:w="11440"/>
          </w:cols>
          <w:pgMar w:left="240" w:top="280" w:right="219" w:bottom="0" w:gutter="0" w:footer="0" w:header="0"/>
        </w:sectPr>
      </w:pPr>
    </w:p>
    <w:bookmarkStart w:id="38" w:name="page39"/>
    <w:bookmarkEnd w:id="38"/>
    <w:p>
      <w:pPr>
        <w:jc w:val="both"/>
        <w:ind w:left="5" w:right="20"/>
        <w:spacing w:after="0" w:line="293" w:lineRule="auto"/>
        <w:rPr>
          <w:sz w:val="20"/>
          <w:szCs w:val="20"/>
          <w:color w:val="auto"/>
        </w:rPr>
      </w:pPr>
      <w:r>
        <w:rPr>
          <w:rFonts w:ascii="Arial" w:cs="Arial" w:eastAsia="Arial" w:hAnsi="Arial"/>
          <w:sz w:val="17"/>
          <w:szCs w:val="17"/>
          <w:color w:val="auto"/>
        </w:rPr>
        <w:t>Administrative Agent, at the request of the Required Lenders, so notifies the Borrower Representative, then, so long as an Event of Default is continuing (i) no outstanding Borrowing may be converted to or continued as a CDOR Rate Borrowing and (ii) unless repaid, each CDOR Rate Borrowing shall be converted to a Canadian Prime Rate Borrowing of the same class at the end of the Interest Period applicable thereto.</w:t>
      </w:r>
    </w:p>
    <w:p>
      <w:pPr>
        <w:spacing w:after="0" w:line="142" w:lineRule="exact"/>
        <w:rPr>
          <w:sz w:val="20"/>
          <w:szCs w:val="20"/>
          <w:color w:val="auto"/>
        </w:rPr>
      </w:pPr>
    </w:p>
    <w:p>
      <w:pPr>
        <w:jc w:val="both"/>
        <w:ind w:left="5" w:firstLine="572"/>
        <w:spacing w:after="0" w:line="264"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Termination and Reduction of Commitments; Increase in Revolving Commitments</w:t>
      </w:r>
      <w:r>
        <w:rPr>
          <w:rFonts w:ascii="Arial" w:cs="Arial" w:eastAsia="Arial" w:hAnsi="Arial"/>
          <w:sz w:val="17"/>
          <w:szCs w:val="17"/>
          <w:color w:val="auto"/>
        </w:rPr>
        <w:t>. (1) Unless previously terminated, all Revolving Commitments shall terminate on the Maturity Date. For clarification, all U.S. Commitments and Canadian Commitments, as sub-facilities of the Revolving Commitments, shall terminate upon the termination of the Revolving Commitments.</w:t>
      </w:r>
    </w:p>
    <w:p>
      <w:pPr>
        <w:spacing w:after="0" w:line="177" w:lineRule="exact"/>
        <w:rPr>
          <w:sz w:val="20"/>
          <w:szCs w:val="20"/>
          <w:color w:val="auto"/>
        </w:rPr>
      </w:pPr>
    </w:p>
    <w:p>
      <w:pPr>
        <w:jc w:val="both"/>
        <w:ind w:left="5" w:firstLine="1139"/>
        <w:spacing w:after="0" w:line="296" w:lineRule="auto"/>
        <w:tabs>
          <w:tab w:leader="none" w:pos="1554" w:val="left"/>
        </w:tabs>
        <w:numPr>
          <w:ilvl w:val="1"/>
          <w:numId w:val="36"/>
        </w:numPr>
        <w:rPr>
          <w:rFonts w:ascii="Arial" w:cs="Arial" w:eastAsia="Arial" w:hAnsi="Arial"/>
          <w:sz w:val="18"/>
          <w:szCs w:val="18"/>
          <w:color w:val="auto"/>
        </w:rPr>
      </w:pPr>
      <w:r>
        <w:rPr>
          <w:rFonts w:ascii="Arial" w:cs="Arial" w:eastAsia="Arial" w:hAnsi="Arial"/>
          <w:sz w:val="16"/>
          <w:szCs w:val="16"/>
          <w:color w:val="auto"/>
        </w:rPr>
        <w:t>Subject to Section 12.01, the Borrowers may at any time terminate the Revolving Commitments upon (i) the payment in full in cash of all outstanding U.S. Loans, in the case of the U.S. Commitment, and Canadian Loans, in the case of the Canadian Commitment, together with accrued and unpaid interest thereon and on any U.S. Letters of Credit, in the case of the U.S. Commitment, and Canadian Letters of Credit, in the case of the Canadian Commitment, as applicable, (ii) the cancellation and return of all outstanding U.S. Letters of Credit, in the case of the U.S. Commitment, and Canadian Letters of Credit, in the case of the Canadian Commitment (or alternatively, (A) with respect to each such U.S. Letter of Credit, the deposit in the LC Collateral Account of cash equal to 103% of the U.S. LC Exposure or with respect to each such Canadian Letter of Credit, the deposit in the Canadian LC Collateral Account of cash equal to 103% Canadian LC Exposure, as applicable, as of such date in accordance with Section 2.06(k), or (B) with the consent of the Administrative Agent and the Canadian Administrative Agent, as applicable, and each applicable Issuing Bank, a back-up standby letter of credit equal to 103% of the U.S. LC Exposure or Canadian LC Exposure, as applicable, as of such date), (iii) the payment in full in cash of the accrued and unpaid fees, and (iv) the payment in full in cash of all reimbursable expenses and other U.S. Obligations or Canadian Obligations, as applicable, together with accrued and unpaid interest thereon. For clarification, all U.S. Commitments and Canadian Commitments, as sub-facilities of the Revolving Commitments, shall terminate upon the termination of the Revolving Commitments.</w:t>
      </w:r>
    </w:p>
    <w:p>
      <w:pPr>
        <w:spacing w:after="0" w:line="168" w:lineRule="exact"/>
        <w:rPr>
          <w:rFonts w:ascii="Arial" w:cs="Arial" w:eastAsia="Arial" w:hAnsi="Arial"/>
          <w:sz w:val="18"/>
          <w:szCs w:val="18"/>
          <w:color w:val="auto"/>
        </w:rPr>
      </w:pPr>
    </w:p>
    <w:p>
      <w:pPr>
        <w:jc w:val="both"/>
        <w:ind w:left="5" w:firstLine="1139"/>
        <w:spacing w:after="0" w:line="296" w:lineRule="auto"/>
        <w:tabs>
          <w:tab w:leader="none" w:pos="1625" w:val="left"/>
        </w:tabs>
        <w:numPr>
          <w:ilvl w:val="1"/>
          <w:numId w:val="36"/>
        </w:numPr>
        <w:rPr>
          <w:rFonts w:ascii="Arial" w:cs="Arial" w:eastAsia="Arial" w:hAnsi="Arial"/>
          <w:sz w:val="18"/>
          <w:szCs w:val="18"/>
          <w:color w:val="auto"/>
        </w:rPr>
      </w:pPr>
      <w:r>
        <w:rPr>
          <w:rFonts w:ascii="Arial" w:cs="Arial" w:eastAsia="Arial" w:hAnsi="Arial"/>
          <w:sz w:val="16"/>
          <w:szCs w:val="16"/>
          <w:color w:val="auto"/>
        </w:rPr>
        <w:t xml:space="preserve">Subject to Section 12.01, the Borrowers may from time to time reduce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Aggregate Revolving Commitments shall be in an amount that is an integral multiple of $5,000,000 and not less than $5,000,000 and (ii) the Borrowers shall not reduce the Aggregate Revolving Commitments if, after giving effect to any concurrent prepayment of the Revolving Loans in accordance with Section 2.11, Aggregate Availability would be less than zero. Each reduction of the Aggregate Revolving Commitments shall be made ratably among the Lenders in accordance with their Applicable Percentages. In connection with any reduction of the Aggregate Revolving Commitments, the aggregate U.S. Commitments shall be automatically reduced on a dollar-for-dollar basis by the amount of the reduction in the Aggregate Revolving Commitments, and, to the extent that the reduction in the Aggregate Revolving Commitments would cause the Canadian Sublimit to exceed the aggregate amount of the Canadian Commitments of the Canadian Lenders, the Canadian Sublimit shall be automatically reduced so that after giving effect to the reduction in the Aggregate Revolving Commitments, the Canadian Sublimit does not exceed the aggregate amount of the Canadian Commitments of the Canadian Lenders.</w:t>
      </w:r>
    </w:p>
    <w:p>
      <w:pPr>
        <w:spacing w:after="0" w:line="169" w:lineRule="exact"/>
        <w:rPr>
          <w:rFonts w:ascii="Arial" w:cs="Arial" w:eastAsia="Arial" w:hAnsi="Arial"/>
          <w:sz w:val="18"/>
          <w:szCs w:val="18"/>
          <w:color w:val="auto"/>
        </w:rPr>
      </w:pPr>
    </w:p>
    <w:p>
      <w:pPr>
        <w:jc w:val="both"/>
        <w:ind w:left="5" w:firstLine="1139"/>
        <w:spacing w:after="0" w:line="277" w:lineRule="auto"/>
        <w:tabs>
          <w:tab w:leader="none" w:pos="1554" w:val="left"/>
        </w:tabs>
        <w:numPr>
          <w:ilvl w:val="1"/>
          <w:numId w:val="36"/>
        </w:numPr>
        <w:rPr>
          <w:rFonts w:ascii="Arial" w:cs="Arial" w:eastAsia="Arial" w:hAnsi="Arial"/>
          <w:sz w:val="19"/>
          <w:szCs w:val="19"/>
          <w:color w:val="auto"/>
        </w:rPr>
      </w:pPr>
      <w:r>
        <w:rPr>
          <w:rFonts w:ascii="Arial" w:cs="Arial" w:eastAsia="Arial" w:hAnsi="Arial"/>
          <w:sz w:val="17"/>
          <w:szCs w:val="17"/>
          <w:color w:val="auto"/>
        </w:rPr>
        <w:t xml:space="preserve">The Borrower Representative shall notify the Administrative Agent and the Canadian Administrative Agent of any election to terminate or reduce the Revolving Commitments under paragraphs (b) or (c) of this Section at least three Business Days prior to the effective date of such termination or reduction, specifying such election and the effective date thereof. Promptly following receipt of any notice, the Administrative Agent or the Canadian Administrative Agent, as applicable, shall advise the U.S. Lenders or the Canadian Lenders, as applicable, of the contents thereof. Each notice delivered by the Borrower Representative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Representative may state that such notice is conditioned upon the effectiveness of another transaction, in which case such notice may be revoked by the Borrower Representative (by notice to the Administrative Agent on or prior to the specified effective date) if such condition is not satisfied. Any termination or reduction of the Revolving Commitments shall be permanent.</w:t>
      </w:r>
    </w:p>
    <w:p>
      <w:pPr>
        <w:spacing w:after="0" w:line="182" w:lineRule="exact"/>
        <w:rPr>
          <w:rFonts w:ascii="Arial" w:cs="Arial" w:eastAsia="Arial" w:hAnsi="Arial"/>
          <w:sz w:val="19"/>
          <w:szCs w:val="19"/>
          <w:color w:val="auto"/>
        </w:rPr>
      </w:pPr>
    </w:p>
    <w:p>
      <w:pPr>
        <w:jc w:val="both"/>
        <w:ind w:left="5" w:firstLine="1139"/>
        <w:spacing w:after="0" w:line="283" w:lineRule="auto"/>
        <w:tabs>
          <w:tab w:leader="none" w:pos="1541" w:val="left"/>
        </w:tabs>
        <w:numPr>
          <w:ilvl w:val="1"/>
          <w:numId w:val="36"/>
        </w:numPr>
        <w:rPr>
          <w:rFonts w:ascii="Arial" w:cs="Arial" w:eastAsia="Arial" w:hAnsi="Arial"/>
          <w:sz w:val="18"/>
          <w:szCs w:val="18"/>
          <w:color w:val="auto"/>
        </w:rPr>
      </w:pPr>
      <w:r>
        <w:rPr>
          <w:rFonts w:ascii="Arial" w:cs="Arial" w:eastAsia="Arial" w:hAnsi="Arial"/>
          <w:sz w:val="16"/>
          <w:szCs w:val="16"/>
          <w:color w:val="auto"/>
        </w:rPr>
        <w:t>The Borrowers shall have the right to increase the Aggregate Revolving Commitments (an “</w:t>
      </w:r>
      <w:r>
        <w:rPr>
          <w:rFonts w:ascii="Arial" w:cs="Arial" w:eastAsia="Arial" w:hAnsi="Arial"/>
          <w:sz w:val="16"/>
          <w:szCs w:val="16"/>
          <w:u w:val="single" w:color="auto"/>
          <w:color w:val="auto"/>
        </w:rPr>
        <w:t>Aggregate Commitment Increase</w:t>
      </w:r>
      <w:r>
        <w:rPr>
          <w:rFonts w:ascii="Arial" w:cs="Arial" w:eastAsia="Arial" w:hAnsi="Arial"/>
          <w:sz w:val="16"/>
          <w:szCs w:val="16"/>
          <w:color w:val="auto"/>
        </w:rPr>
        <w:t xml:space="preserve">”) by obtaining additional Revolving Commitments, either from one or more of the Lenders or another lending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Aggregate Commitment Increase shall be in a minimum amount of $25,000,000, (ii) the Borrower Representative, on behalf of the Borrowers, may make a maximum of four</w:t>
      </w:r>
    </w:p>
    <w:p>
      <w:pPr>
        <w:spacing w:after="0" w:line="1" w:lineRule="exact"/>
        <w:rPr>
          <w:rFonts w:ascii="Arial" w:cs="Arial" w:eastAsia="Arial" w:hAnsi="Arial"/>
          <w:sz w:val="18"/>
          <w:szCs w:val="18"/>
          <w:color w:val="auto"/>
        </w:rPr>
      </w:pPr>
    </w:p>
    <w:p>
      <w:pPr>
        <w:jc w:val="both"/>
        <w:ind w:left="5" w:right="20" w:hanging="5"/>
        <w:spacing w:after="0" w:line="284" w:lineRule="auto"/>
        <w:tabs>
          <w:tab w:leader="none" w:pos="2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such requests, (iii) the Administrative Agent has approved the identity of any such new Lender, such approval not to be unreasonably withheld, delayed or conditioned, (iv) any such new Lender assumes all of the rights and obligations of a “Lender” hereunder, (v) the aggregate amount of all such Aggregate Commitment Increases shall not exceed $200,000,000, (vi) the conditions described in Section 2.09(f) shall be satisfied and (vii) no Lender shall have any obligation to increase its Revolving Commitment in connection with any such Aggregate Commitment Increase requested by the Borrowers hereunder. Administrative Agent may, in consultation with the Borrower Representative, allocate the additional Revolving Commitments between U.S. Commitments and Canadian Commitments.</w:t>
      </w:r>
    </w:p>
    <w:p>
      <w:pPr>
        <w:spacing w:after="0" w:line="172" w:lineRule="exact"/>
        <w:rPr>
          <w:rFonts w:ascii="Arial" w:cs="Arial" w:eastAsia="Arial" w:hAnsi="Arial"/>
          <w:sz w:val="17"/>
          <w:szCs w:val="17"/>
          <w:color w:val="auto"/>
        </w:rPr>
      </w:pPr>
    </w:p>
    <w:p>
      <w:pPr>
        <w:jc w:val="both"/>
        <w:ind w:left="5" w:firstLine="1139"/>
        <w:spacing w:after="0" w:line="277" w:lineRule="auto"/>
        <w:tabs>
          <w:tab w:leader="none" w:pos="1673" w:val="left"/>
        </w:tabs>
        <w:numPr>
          <w:ilvl w:val="1"/>
          <w:numId w:val="37"/>
        </w:numPr>
        <w:rPr>
          <w:rFonts w:ascii="Arial" w:cs="Arial" w:eastAsia="Arial" w:hAnsi="Arial"/>
          <w:sz w:val="19"/>
          <w:szCs w:val="19"/>
          <w:color w:val="auto"/>
        </w:rPr>
      </w:pPr>
      <w:r>
        <w:rPr>
          <w:rFonts w:ascii="Arial" w:cs="Arial" w:eastAsia="Arial" w:hAnsi="Arial"/>
          <w:sz w:val="17"/>
          <w:szCs w:val="17"/>
          <w:color w:val="auto"/>
        </w:rPr>
        <w:t>Any amendment hereto for such an Aggregate Commitment Increase shall be in form and substance reasonably satisfactory to the Administrative Agent and shall only require the written signatures of the Administrative Agent, the Borrowers and the Lender(s) being added or increasing their Revolving Commitment(s). As condition precedents to such an increase, the Borrower Representative shall deliver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(1) the representations and warranties 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and warranty shall be true and correct in all material respects as of such earlier date), and (2) no Default exists.</w:t>
      </w:r>
    </w:p>
    <w:p>
      <w:pPr>
        <w:spacing w:after="0" w:line="182" w:lineRule="exact"/>
        <w:rPr>
          <w:rFonts w:ascii="Arial" w:cs="Arial" w:eastAsia="Arial" w:hAnsi="Arial"/>
          <w:sz w:val="19"/>
          <w:szCs w:val="19"/>
          <w:color w:val="auto"/>
        </w:rPr>
      </w:pPr>
    </w:p>
    <w:p>
      <w:pPr>
        <w:jc w:val="both"/>
        <w:ind w:left="5" w:firstLine="1139"/>
        <w:spacing w:after="0" w:line="318" w:lineRule="auto"/>
        <w:tabs>
          <w:tab w:leader="none" w:pos="1521" w:val="left"/>
        </w:tabs>
        <w:numPr>
          <w:ilvl w:val="1"/>
          <w:numId w:val="37"/>
        </w:numPr>
        <w:rPr>
          <w:rFonts w:ascii="Arial" w:cs="Arial" w:eastAsia="Arial" w:hAnsi="Arial"/>
          <w:sz w:val="16"/>
          <w:szCs w:val="16"/>
          <w:color w:val="auto"/>
        </w:rPr>
      </w:pPr>
      <w:r>
        <w:rPr>
          <w:rFonts w:ascii="Arial" w:cs="Arial" w:eastAsia="Arial" w:hAnsi="Arial"/>
          <w:sz w:val="15"/>
          <w:szCs w:val="15"/>
          <w:color w:val="auto"/>
        </w:rPr>
        <w:t>In addition, the Borrowers shall have the right to request in connection with an Aggregate Commitment Increase that the Canadian Sublimit be increased (a “</w:t>
      </w:r>
      <w:r>
        <w:rPr>
          <w:rFonts w:ascii="Arial" w:cs="Arial" w:eastAsia="Arial" w:hAnsi="Arial"/>
          <w:sz w:val="15"/>
          <w:szCs w:val="15"/>
          <w:u w:val="single" w:color="auto"/>
          <w:color w:val="auto"/>
        </w:rPr>
        <w:t>Canadian Sublimit Increase</w:t>
      </w:r>
      <w:r>
        <w:rPr>
          <w:rFonts w:ascii="Arial" w:cs="Arial" w:eastAsia="Arial" w:hAnsi="Arial"/>
          <w:sz w:val="15"/>
          <w:szCs w:val="15"/>
          <w:color w:val="auto"/>
        </w:rPr>
        <w:t>”) through the increase by one or more Canadian Lenders of their Canadian Commitments or the addition of one or more new lending institutions as additional Canadian Lenders hereunder. Any request for a Canadian Sublimit Increase shall be subject to the following conditions (which conditions shall be in addition to the conditions set forth in Sections 2.09(e) and (f) above): (i) such request shall be submitted by the Borrower Representative to the Administrative Agent in writing not less than 15 days prior to the proposed dates of such Canadian Sublimit Increase, (ii) the Borrower Representative, on behalf of the Canadian Borrowers, shall be entitled to submit such a request on only one occasion during the term of this Agreement, (iii) the aggregate amount of the Canadian Sublimit Increase shall not exceed $25,000,000, (iv) the Borrowers shall have executed and delivered to the Administrative Agent an amendment hereto in form and substance reasonably satisfactory to the Administrative Agent effecting such increase, which amendment shall require only the signature of the Borrowers, the Administrative Agent and the Lender(s) increasing their Canadian Commitments, (v) the Borrowers shall have delivered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(1) the representations and warranties 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or warranty shall be true and correct in all material respects</w:t>
      </w:r>
    </w:p>
    <w:p>
      <w:pPr>
        <w:sectPr>
          <w:pgSz w:w="11900" w:h="16838" w:orient="portrait"/>
          <w:cols w:equalWidth="0" w:num="1">
            <w:col w:w="11445"/>
          </w:cols>
          <w:pgMar w:left="235" w:top="137" w:right="219" w:bottom="0" w:gutter="0" w:footer="0" w:header="0"/>
        </w:sectPr>
      </w:pPr>
    </w:p>
    <w:bookmarkStart w:id="39" w:name="page40"/>
    <w:bookmarkEnd w:id="39"/>
    <w:p>
      <w:pPr>
        <w:ind w:left="5" w:right="20"/>
        <w:spacing w:after="0" w:line="310" w:lineRule="auto"/>
        <w:rPr>
          <w:sz w:val="20"/>
          <w:szCs w:val="20"/>
          <w:color w:val="auto"/>
        </w:rPr>
      </w:pPr>
      <w:r>
        <w:rPr>
          <w:rFonts w:ascii="Arial" w:cs="Arial" w:eastAsia="Arial" w:hAnsi="Arial"/>
          <w:sz w:val="17"/>
          <w:szCs w:val="17"/>
          <w:color w:val="auto"/>
        </w:rPr>
        <w:t>as of such earlier date), and (2) no Default exists, and (vi) no Lender shall have any obligation to increase its Canadian Commitment in connection with any such Canadian Sublimit Increase requested by the Borrowers hereunder.</w:t>
      </w:r>
    </w:p>
    <w:p>
      <w:pPr>
        <w:spacing w:after="0" w:line="150" w:lineRule="exact"/>
        <w:rPr>
          <w:sz w:val="20"/>
          <w:szCs w:val="20"/>
          <w:color w:val="auto"/>
        </w:rPr>
      </w:pPr>
    </w:p>
    <w:p>
      <w:pPr>
        <w:jc w:val="both"/>
        <w:ind w:left="5" w:firstLine="1139"/>
        <w:spacing w:after="0" w:line="277" w:lineRule="auto"/>
        <w:tabs>
          <w:tab w:leader="none" w:pos="1553" w:val="left"/>
        </w:tabs>
        <w:numPr>
          <w:ilvl w:val="0"/>
          <w:numId w:val="38"/>
        </w:numPr>
        <w:rPr>
          <w:rFonts w:ascii="Arial" w:cs="Arial" w:eastAsia="Arial" w:hAnsi="Arial"/>
          <w:sz w:val="19"/>
          <w:szCs w:val="19"/>
          <w:color w:val="auto"/>
        </w:rPr>
      </w:pPr>
      <w:r>
        <w:rPr>
          <w:rFonts w:ascii="Arial" w:cs="Arial" w:eastAsia="Arial" w:hAnsi="Arial"/>
          <w:sz w:val="17"/>
          <w:szCs w:val="17"/>
          <w:color w:val="auto"/>
        </w:rPr>
        <w:t xml:space="preserve">Within a reasonable time after the effective date of any Aggregate Commitment Increase or Canadian Sublimit Increase, the Administrative Agent shall, and is hereby authorized and directed to, revise the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to reflect such increase and shall distribute such revised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to each of the Lenders and the Borrowers, whereupon such revised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shall replace the old </w:t>
      </w:r>
      <w:r>
        <w:rPr>
          <w:rFonts w:ascii="Arial" w:cs="Arial" w:eastAsia="Arial" w:hAnsi="Arial"/>
          <w:sz w:val="17"/>
          <w:szCs w:val="17"/>
          <w:u w:val="single" w:color="auto"/>
          <w:color w:val="auto"/>
        </w:rPr>
        <w:t>Revolving Commitment Schedule</w:t>
      </w:r>
      <w:r>
        <w:rPr>
          <w:rFonts w:ascii="Arial" w:cs="Arial" w:eastAsia="Arial" w:hAnsi="Arial"/>
          <w:sz w:val="17"/>
          <w:szCs w:val="17"/>
          <w:color w:val="auto"/>
        </w:rPr>
        <w:t xml:space="preserve"> and become part of this Agreement. On the Business Day following any such Aggregate Commitment Increase, all outstanding ABR Loans and Canadian Prime Rate Loans shall be reallocated among the Lenders (including any newly added Lenders) in accordance with the Lenders’ respective revised Applicable Percentages. Eurodollar Loans and CDOR Rate Loans shall not be reallocated among the Lenders prior to the expiration of the applicable Interest Period in effect at the time of any such increase.</w:t>
      </w:r>
    </w:p>
    <w:p>
      <w:pPr>
        <w:spacing w:after="0" w:line="157" w:lineRule="exact"/>
        <w:rPr>
          <w:sz w:val="20"/>
          <w:szCs w:val="20"/>
          <w:color w:val="auto"/>
        </w:rPr>
      </w:pPr>
    </w:p>
    <w:p>
      <w:pPr>
        <w:jc w:val="both"/>
        <w:ind w:left="5" w:firstLine="572"/>
        <w:spacing w:after="0" w:line="265"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and Amortization of Loans; Evidence of Debt</w:t>
      </w:r>
      <w:r>
        <w:rPr>
          <w:rFonts w:ascii="Arial" w:cs="Arial" w:eastAsia="Arial" w:hAnsi="Arial"/>
          <w:sz w:val="16"/>
          <w:szCs w:val="16"/>
          <w:color w:val="auto"/>
        </w:rPr>
        <w:t>. (1) (i) The U.S. Borrowers hereby unconditionally promise to pay (A) to the Administrative Agent for the account of each U.S. Lender the then unpaid principal amount of each U.S. Revolving Loan on the Maturity Date, (B) to the Administrative Agent the then unpaid principal amount of each U.S. Protective Advance on the earlier of the Maturity Date and demand by the Administrative Agent and (C) to the Administrative Agent the then unpaid principal amount of each U.S. Overadvance on the earliest of the Maturity Date, the forty-fifth (45</w:t>
      </w:r>
      <w:r>
        <w:rPr>
          <w:rFonts w:ascii="Arial" w:cs="Arial" w:eastAsia="Arial" w:hAnsi="Arial"/>
          <w:sz w:val="20"/>
          <w:szCs w:val="20"/>
          <w:color w:val="auto"/>
          <w:vertAlign w:val="superscript"/>
        </w:rPr>
        <w:t>th</w:t>
      </w:r>
      <w:r>
        <w:rPr>
          <w:rFonts w:ascii="Arial" w:cs="Arial" w:eastAsia="Arial" w:hAnsi="Arial"/>
          <w:sz w:val="16"/>
          <w:szCs w:val="16"/>
          <w:color w:val="auto"/>
        </w:rPr>
        <w:t>) day after such U.S. Overadvance is made, and demand by the Administrative Agent; and (ii) the Canadian Borrowers hereby unconditionally promise to pay (A) to the Canadian Administrative Agent for the account of each Canadian Lender the then unpaid principal amount of each Canadian Revolving Loan on the Maturity Date, (B) to the Canadian Administrative Agent the then unpaid amount of each Canadian Protective Advance on the earlier of the Maturity Date and demand by the Canadian Administrative Agent and (C) to the Canadian Administrative Agent the then unpaid principal amount of each Canadian Overadvance on the earliest of the Maturity Date, the forty-fifth (45</w:t>
      </w:r>
      <w:r>
        <w:rPr>
          <w:rFonts w:ascii="Arial" w:cs="Arial" w:eastAsia="Arial" w:hAnsi="Arial"/>
          <w:sz w:val="20"/>
          <w:szCs w:val="20"/>
          <w:color w:val="auto"/>
          <w:vertAlign w:val="superscript"/>
        </w:rPr>
        <w:t>th</w:t>
      </w:r>
      <w:r>
        <w:rPr>
          <w:rFonts w:ascii="Arial" w:cs="Arial" w:eastAsia="Arial" w:hAnsi="Arial"/>
          <w:sz w:val="16"/>
          <w:szCs w:val="16"/>
          <w:color w:val="auto"/>
        </w:rPr>
        <w:t>) day after such Canadian Overadvance is made, and demand by the Canadian Administrative Agent.</w:t>
      </w:r>
    </w:p>
    <w:p>
      <w:pPr>
        <w:spacing w:after="0" w:line="107" w:lineRule="exact"/>
        <w:rPr>
          <w:sz w:val="20"/>
          <w:szCs w:val="20"/>
          <w:color w:val="auto"/>
        </w:rPr>
      </w:pPr>
    </w:p>
    <w:p>
      <w:pPr>
        <w:jc w:val="both"/>
        <w:ind w:left="5" w:firstLine="1139"/>
        <w:spacing w:after="0" w:line="297" w:lineRule="auto"/>
        <w:tabs>
          <w:tab w:leader="none" w:pos="1530" w:val="left"/>
        </w:tabs>
        <w:numPr>
          <w:ilvl w:val="1"/>
          <w:numId w:val="39"/>
        </w:numPr>
        <w:rPr>
          <w:rFonts w:ascii="Arial" w:cs="Arial" w:eastAsia="Arial" w:hAnsi="Arial"/>
          <w:sz w:val="18"/>
          <w:szCs w:val="18"/>
          <w:color w:val="auto"/>
        </w:rPr>
      </w:pPr>
      <w:r>
        <w:rPr>
          <w:rFonts w:ascii="Arial" w:cs="Arial" w:eastAsia="Arial" w:hAnsi="Arial"/>
          <w:sz w:val="16"/>
          <w:szCs w:val="16"/>
          <w:color w:val="auto"/>
        </w:rPr>
        <w:t xml:space="preserve">On each Business Day during any Cash Dominion Period, (i) the Administrative Agent shall apply all funds credited to each U.S. Collection Account on such Business Day or the immediately preceding Business Day (at the discretion of the Administrative Agent, whether or not immediately available)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any U.S. Protective Advances and U.S. Overadvances that may be outstanding, pro rata,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prepay the U.S. Revolving Loans (including U.S. Swingline Loans) and to cash collateralize outstanding U.S. LC Exposure; and (ii) the Canadian Administrative Agent shall apply all funds credited to each Canadian Collection Account on such Business Day or the immediately preceding Business Day (at the discretion of the Canadian Administrative Agent, whether or not immediately available)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any Canadian Protective Advances and Canadian Overadvances that may be outstanding, pro rata,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prepay the Canadian Revolving Loans (including Canadian Swingline Loans) and to cash collateralize outstanding Canadian LC Exposure.</w:t>
      </w:r>
    </w:p>
    <w:p>
      <w:pPr>
        <w:spacing w:after="0" w:line="164" w:lineRule="exact"/>
        <w:rPr>
          <w:rFonts w:ascii="Arial" w:cs="Arial" w:eastAsia="Arial" w:hAnsi="Arial"/>
          <w:sz w:val="18"/>
          <w:szCs w:val="18"/>
          <w:color w:val="auto"/>
        </w:rPr>
      </w:pPr>
    </w:p>
    <w:p>
      <w:pPr>
        <w:jc w:val="both"/>
        <w:ind w:left="5" w:right="20" w:firstLine="1139"/>
        <w:spacing w:after="0" w:line="277" w:lineRule="auto"/>
        <w:tabs>
          <w:tab w:leader="none" w:pos="1589" w:val="left"/>
        </w:tabs>
        <w:numPr>
          <w:ilvl w:val="1"/>
          <w:numId w:val="39"/>
        </w:numPr>
        <w:rPr>
          <w:rFonts w:ascii="Arial" w:cs="Arial" w:eastAsia="Arial" w:hAnsi="Arial"/>
          <w:sz w:val="19"/>
          <w:szCs w:val="19"/>
          <w:color w:val="auto"/>
        </w:rPr>
      </w:pPr>
      <w:r>
        <w:rPr>
          <w:rFonts w:ascii="Arial" w:cs="Arial" w:eastAsia="Arial" w:hAnsi="Arial"/>
          <w:sz w:val="17"/>
          <w:szCs w:val="17"/>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8" w:lineRule="exact"/>
        <w:rPr>
          <w:rFonts w:ascii="Arial" w:cs="Arial" w:eastAsia="Arial" w:hAnsi="Arial"/>
          <w:sz w:val="19"/>
          <w:szCs w:val="19"/>
          <w:color w:val="auto"/>
        </w:rPr>
      </w:pPr>
    </w:p>
    <w:p>
      <w:pPr>
        <w:jc w:val="both"/>
        <w:ind w:left="5" w:firstLine="1139"/>
        <w:spacing w:after="0" w:line="297" w:lineRule="auto"/>
        <w:tabs>
          <w:tab w:leader="none" w:pos="1554" w:val="left"/>
        </w:tabs>
        <w:numPr>
          <w:ilvl w:val="1"/>
          <w:numId w:val="39"/>
        </w:numPr>
        <w:rPr>
          <w:rFonts w:ascii="Arial" w:cs="Arial" w:eastAsia="Arial" w:hAnsi="Arial"/>
          <w:sz w:val="18"/>
          <w:szCs w:val="18"/>
          <w:color w:val="auto"/>
        </w:rPr>
      </w:pPr>
      <w:r>
        <w:rPr>
          <w:rFonts w:ascii="Arial" w:cs="Arial" w:eastAsia="Arial" w:hAnsi="Arial"/>
          <w:sz w:val="16"/>
          <w:szCs w:val="16"/>
          <w:color w:val="auto"/>
        </w:rPr>
        <w:t>(i) The Administrative Agent shall maintain accounts in which it shall record (A) the amount of each U.S. Loan made hereunder, the Class and Type thereof and the Interest Period applicable thereto, (B) the amount of any principal and interest due and payable or to become due and payable from the U.S. Borrowers to each U.S. Lender hereunder and (C) the amount of any sum received by the Administrative Agent hereunder for the account of the U.S. Lenders and each U.S. Lender’s share thereof; and (ii) the Canadian Administrative Agent shall maintain accounts in which it shall record (A) the amount of each Canadian Loan made hereunder, the Class and Type thereof and the Interest Period applicable thereto, (B) the amount of any principal and interest due and payable or to become due and payable from the Canadian Borrowers to each Canadian Lender hereunder and (C) the amount of any sum received by the Canadian Administrative Agent hereunder for the account of the Canadian Lenders and each Canadian Lender’s share thereof.</w:t>
      </w:r>
    </w:p>
    <w:p>
      <w:pPr>
        <w:spacing w:after="0" w:line="164" w:lineRule="exact"/>
        <w:rPr>
          <w:rFonts w:ascii="Arial" w:cs="Arial" w:eastAsia="Arial" w:hAnsi="Arial"/>
          <w:sz w:val="18"/>
          <w:szCs w:val="18"/>
          <w:color w:val="auto"/>
        </w:rPr>
      </w:pPr>
    </w:p>
    <w:p>
      <w:pPr>
        <w:jc w:val="both"/>
        <w:ind w:left="5" w:firstLine="1139"/>
        <w:spacing w:after="0" w:line="304" w:lineRule="auto"/>
        <w:tabs>
          <w:tab w:leader="none" w:pos="1565" w:val="left"/>
        </w:tabs>
        <w:numPr>
          <w:ilvl w:val="1"/>
          <w:numId w:val="39"/>
        </w:numPr>
        <w:rPr>
          <w:rFonts w:ascii="Arial" w:cs="Arial" w:eastAsia="Arial" w:hAnsi="Arial"/>
          <w:sz w:val="16"/>
          <w:szCs w:val="16"/>
          <w:color w:val="auto"/>
        </w:rPr>
      </w:pPr>
      <w:r>
        <w:rPr>
          <w:rFonts w:ascii="Arial" w:cs="Arial" w:eastAsia="Arial" w:hAnsi="Arial"/>
          <w:sz w:val="15"/>
          <w:szCs w:val="15"/>
          <w:color w:val="auto"/>
        </w:rPr>
        <w:t xml:space="preserve">The entries made in the accounts maintained pursuant to paragraph (c) or (d)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of the existence and amounts of the obligations recorded therein subject to manifest error;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 conflict between an account maintained pursuant to clause</w:t>
      </w:r>
    </w:p>
    <w:p>
      <w:pPr>
        <w:spacing w:after="0" w:line="1" w:lineRule="exact"/>
        <w:rPr>
          <w:rFonts w:ascii="Arial" w:cs="Arial" w:eastAsia="Arial" w:hAnsi="Arial"/>
          <w:sz w:val="16"/>
          <w:szCs w:val="16"/>
          <w:color w:val="auto"/>
        </w:rPr>
      </w:pPr>
    </w:p>
    <w:p>
      <w:pPr>
        <w:jc w:val="both"/>
        <w:ind w:left="5" w:right="20" w:hanging="5"/>
        <w:spacing w:after="0" w:line="293" w:lineRule="auto"/>
        <w:tabs>
          <w:tab w:leader="none" w:pos="2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and an account maintained pursuant to clause (d) of this Section, the account maintained under clause (d) shall control; provided further that the failure of any Lender, the Administrative Agent, or the Canadian Administrative Agent to maintain such accounts or any error therein shall not in any manner affect the obligation of the Borrowers to repay the Loans in accordance with the terms of this Agreement.</w:t>
      </w:r>
    </w:p>
    <w:p>
      <w:pPr>
        <w:spacing w:after="0" w:line="165" w:lineRule="exact"/>
        <w:rPr>
          <w:rFonts w:ascii="Arial" w:cs="Arial" w:eastAsia="Arial" w:hAnsi="Arial"/>
          <w:sz w:val="17"/>
          <w:szCs w:val="17"/>
          <w:color w:val="auto"/>
        </w:rPr>
      </w:pPr>
    </w:p>
    <w:p>
      <w:pPr>
        <w:jc w:val="both"/>
        <w:ind w:left="5" w:right="20" w:firstLine="1139"/>
        <w:spacing w:after="0" w:line="277" w:lineRule="auto"/>
        <w:tabs>
          <w:tab w:leader="none" w:pos="1566" w:val="left"/>
        </w:tabs>
        <w:numPr>
          <w:ilvl w:val="1"/>
          <w:numId w:val="40"/>
        </w:numPr>
        <w:rPr>
          <w:rFonts w:ascii="Arial" w:cs="Arial" w:eastAsia="Arial" w:hAnsi="Arial"/>
          <w:sz w:val="19"/>
          <w:szCs w:val="19"/>
          <w:color w:val="auto"/>
        </w:rPr>
      </w:pPr>
      <w:r>
        <w:rPr>
          <w:rFonts w:ascii="Arial" w:cs="Arial" w:eastAsia="Arial" w:hAnsi="Arial"/>
          <w:sz w:val="17"/>
          <w:szCs w:val="17"/>
          <w:color w:val="auto"/>
        </w:rPr>
        <w:t xml:space="preserve">Any Lender may request that Loans made by it be evidenced by a promissory note. In such event, the applicable Borrowers shall prepare, execute and deliver to such Lender a promissory note payable to such Lender and its registered assigns and in a form approved by the Administrative Agent (it being agreed that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is approved by the Administrative Agent). Thereafter, the Loans evidenced by such promissory note and interest thereon shall at all times (including after assignment pursuant to Section 9.04) be represented by one or more promissory notes in such form payable to the applicable Lender and its registered assigns.</w:t>
      </w:r>
    </w:p>
    <w:p>
      <w:pPr>
        <w:spacing w:after="0" w:line="156"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Prepayment of Loans</w:t>
      </w:r>
      <w:r>
        <w:rPr>
          <w:rFonts w:ascii="Arial" w:cs="Arial" w:eastAsia="Arial" w:hAnsi="Arial"/>
          <w:sz w:val="17"/>
          <w:szCs w:val="17"/>
          <w:color w:val="auto"/>
        </w:rPr>
        <w:t>. (1) The Borrowers shall have the right at any time and from time to time, without premium or penalty other than any break funding payments required in accordance with Section 2.16, to prepay any Borrowing in whole or in part, subject to prior notice in accordance with paragraph (f) of this Section and subject to Section 12.01.</w:t>
      </w:r>
    </w:p>
    <w:p>
      <w:pPr>
        <w:spacing w:after="0" w:line="177" w:lineRule="exact"/>
        <w:rPr>
          <w:sz w:val="20"/>
          <w:szCs w:val="20"/>
          <w:color w:val="auto"/>
        </w:rPr>
      </w:pPr>
    </w:p>
    <w:p>
      <w:pPr>
        <w:jc w:val="both"/>
        <w:ind w:left="5" w:right="20" w:firstLine="1139"/>
        <w:spacing w:after="0" w:line="299" w:lineRule="auto"/>
        <w:tabs>
          <w:tab w:leader="none" w:pos="1578" w:val="left"/>
        </w:tabs>
        <w:numPr>
          <w:ilvl w:val="0"/>
          <w:numId w:val="41"/>
        </w:numPr>
        <w:rPr>
          <w:rFonts w:ascii="Arial" w:cs="Arial" w:eastAsia="Arial" w:hAnsi="Arial"/>
          <w:sz w:val="18"/>
          <w:szCs w:val="18"/>
          <w:color w:val="auto"/>
        </w:rPr>
      </w:pPr>
      <w:r>
        <w:rPr>
          <w:rFonts w:ascii="Arial" w:cs="Arial" w:eastAsia="Arial" w:hAnsi="Arial"/>
          <w:sz w:val="16"/>
          <w:szCs w:val="16"/>
          <w:color w:val="auto"/>
        </w:rPr>
        <w:t>Except for Overadvances permitted under Section 2.05, in the event and on such occasion (including after any Revaluation Date) that (i) Aggregate Availability shall be less than zero, subject to Section 12.01, (ii) U.S. Availability shall be less than zero, or (iii) Canadian Availability shall be less than zero, the Borrowers shall immediately prepay (or in the case of the LC Exposure, cash collateralize) the Revolving Loans, LC Exposure and/or Swingline Loans in an aggregate amount sufficient to cause Aggregate Availability, U.S. Availability and Canadian Availability to no longer be less than zero.</w:t>
      </w:r>
    </w:p>
    <w:p>
      <w:pPr>
        <w:spacing w:after="0" w:line="162" w:lineRule="exact"/>
        <w:rPr>
          <w:rFonts w:ascii="Arial" w:cs="Arial" w:eastAsia="Arial" w:hAnsi="Arial"/>
          <w:sz w:val="18"/>
          <w:szCs w:val="18"/>
          <w:color w:val="auto"/>
        </w:rPr>
      </w:pPr>
    </w:p>
    <w:p>
      <w:pPr>
        <w:jc w:val="both"/>
        <w:ind w:left="5" w:firstLine="1139"/>
        <w:spacing w:after="0" w:line="298" w:lineRule="auto"/>
        <w:tabs>
          <w:tab w:leader="none" w:pos="1541" w:val="left"/>
        </w:tabs>
        <w:numPr>
          <w:ilvl w:val="0"/>
          <w:numId w:val="41"/>
        </w:numPr>
        <w:rPr>
          <w:rFonts w:ascii="Arial" w:cs="Arial" w:eastAsia="Arial" w:hAnsi="Arial"/>
          <w:sz w:val="18"/>
          <w:szCs w:val="18"/>
          <w:color w:val="auto"/>
        </w:rPr>
      </w:pPr>
      <w:r>
        <w:rPr>
          <w:rFonts w:ascii="Arial" w:cs="Arial" w:eastAsia="Arial" w:hAnsi="Arial"/>
          <w:sz w:val="16"/>
          <w:szCs w:val="16"/>
          <w:color w:val="auto"/>
        </w:rPr>
        <w:t xml:space="preserve">In the event and on each occasion that any Net Proceeds are received by or on behalf of any Loan Party in respect of any Prepayment Event during any Cash Dominion Period, the Borrowers shall, subject to Section 12.01, immediately after such Net Proceeds are received by any Loan Party, prepay the Obligations as set forth in Section 2.11(d) below in an aggregate amount equal to 100% of such Net Proceeds (without any reduction in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Net Proceeds with respect to any Prepayment Event which are clearly identifiable as proceeds of Term Loan Priority Collateral shall be remitted to the Term Loan Agent in accordance with and to the extent required by the ABL-Term Loan Intercreditor Agreement.</w:t>
      </w:r>
    </w:p>
    <w:p>
      <w:pPr>
        <w:spacing w:after="0" w:line="163" w:lineRule="exact"/>
        <w:rPr>
          <w:rFonts w:ascii="Arial" w:cs="Arial" w:eastAsia="Arial" w:hAnsi="Arial"/>
          <w:sz w:val="18"/>
          <w:szCs w:val="18"/>
          <w:color w:val="auto"/>
        </w:rPr>
      </w:pPr>
    </w:p>
    <w:p>
      <w:pPr>
        <w:jc w:val="both"/>
        <w:ind w:left="5" w:right="20" w:firstLine="1139"/>
        <w:spacing w:after="0" w:line="299" w:lineRule="auto"/>
        <w:tabs>
          <w:tab w:leader="none" w:pos="1614" w:val="left"/>
        </w:tabs>
        <w:numPr>
          <w:ilvl w:val="0"/>
          <w:numId w:val="41"/>
        </w:numPr>
        <w:rPr>
          <w:rFonts w:ascii="Arial" w:cs="Arial" w:eastAsia="Arial" w:hAnsi="Arial"/>
          <w:sz w:val="18"/>
          <w:szCs w:val="18"/>
          <w:color w:val="auto"/>
        </w:rPr>
      </w:pPr>
      <w:r>
        <w:rPr>
          <w:rFonts w:ascii="Arial" w:cs="Arial" w:eastAsia="Arial" w:hAnsi="Arial"/>
          <w:sz w:val="16"/>
          <w:szCs w:val="16"/>
          <w:color w:val="auto"/>
        </w:rPr>
        <w:t xml:space="preserve">All such amounts pursuant to Section 2.11(c)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any Protective Advances and Overadvances that may be outstanding, pro rata,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prepay the Revolving Loans (including Swing Line Loans) without a corresponding reduction in the Aggregate Revolving Commitments and to cash collateralize outstanding LC Exposure (in an amount up to 103% of the outstanding LC Exposure). Notwithstanding the foregoing, any such application of proceeds from the Collateral securing solely the Canadian Obligations shall be made solely in respect of the Canadian Obligations.</w:t>
      </w:r>
    </w:p>
    <w:p>
      <w:pPr>
        <w:spacing w:after="0" w:line="162" w:lineRule="exact"/>
        <w:rPr>
          <w:rFonts w:ascii="Arial" w:cs="Arial" w:eastAsia="Arial" w:hAnsi="Arial"/>
          <w:sz w:val="18"/>
          <w:szCs w:val="18"/>
          <w:color w:val="auto"/>
        </w:rPr>
      </w:pPr>
    </w:p>
    <w:p>
      <w:pPr>
        <w:jc w:val="both"/>
        <w:ind w:left="5" w:right="20" w:firstLine="1139"/>
        <w:spacing w:after="0" w:line="314" w:lineRule="auto"/>
        <w:tabs>
          <w:tab w:leader="none" w:pos="1601" w:val="left"/>
        </w:tabs>
        <w:numPr>
          <w:ilvl w:val="0"/>
          <w:numId w:val="41"/>
        </w:numPr>
        <w:rPr>
          <w:rFonts w:ascii="Arial" w:cs="Arial" w:eastAsia="Arial" w:hAnsi="Arial"/>
          <w:sz w:val="18"/>
          <w:szCs w:val="18"/>
          <w:color w:val="auto"/>
        </w:rPr>
      </w:pPr>
      <w:r>
        <w:rPr>
          <w:rFonts w:ascii="Arial" w:cs="Arial" w:eastAsia="Arial" w:hAnsi="Arial"/>
          <w:sz w:val="16"/>
          <w:szCs w:val="16"/>
          <w:color w:val="auto"/>
        </w:rPr>
        <w:t>The Borrower Representative shall notify the Administrative Agent and the Canadian Administrative Agent by telephone (confirmed by facsimile or electronic mail) of any prepayment hereunder (i) in the case of prepayment of a Eurodollar Revolving Borrowing or a CDOR Rate Revolving</w:t>
      </w:r>
    </w:p>
    <w:p>
      <w:pPr>
        <w:sectPr>
          <w:pgSz w:w="11900" w:h="16838" w:orient="portrait"/>
          <w:cols w:equalWidth="0" w:num="1">
            <w:col w:w="11445"/>
          </w:cols>
          <w:pgMar w:left="235" w:top="137" w:right="219" w:bottom="0" w:gutter="0" w:footer="0" w:header="0"/>
        </w:sectPr>
      </w:pPr>
    </w:p>
    <w:bookmarkStart w:id="40" w:name="page41"/>
    <w:bookmarkEnd w:id="40"/>
    <w:p>
      <w:pPr>
        <w:jc w:val="both"/>
        <w:spacing w:after="0" w:line="281" w:lineRule="auto"/>
        <w:rPr>
          <w:sz w:val="20"/>
          <w:szCs w:val="20"/>
          <w:color w:val="auto"/>
        </w:rPr>
      </w:pPr>
      <w:r>
        <w:rPr>
          <w:rFonts w:ascii="Arial" w:cs="Arial" w:eastAsia="Arial" w:hAnsi="Arial"/>
          <w:sz w:val="17"/>
          <w:szCs w:val="17"/>
          <w:color w:val="auto"/>
        </w:rPr>
        <w:t xml:space="preserve">Borrowing, not later than 11:00 a.m., Chicago time, three (or, in the case of a CDOR Rate Revolving Borrowing, two) Business Days before the date of prepayment, or (ii) in the case of prepayment of an ABR Revolving Borrowing or a Canadian Prime Rate Revolving Borrowing, not later than noon, Chicago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accrued interest to the extent required by Section 2.13.</w:t>
      </w:r>
    </w:p>
    <w:p>
      <w:pPr>
        <w:spacing w:after="0" w:line="15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(1) The Borrowers agree to pay to the Administrative Agent for the account of each Lender a commitment fee, which shall accrue at the Applicable Commitment Fee Rate on the average daily amount of the Available Revolving Commitment of such Lender during the period from and including the Second Restatement Date to but excluding the date on which such Lenders’ Revolving Commitment terminates. Accrued commitment fees shall be payable monthly in arrears on the first day of each calendar month and on the date on which the Revolving Commitments terminate, commencing on the first such date to occur after the Second Restatement Date. All commitment fees shall be computed on the basis of a year of 360 days and shall be payable for the actual number of days elapsed.</w:t>
      </w:r>
    </w:p>
    <w:p>
      <w:pPr>
        <w:spacing w:after="0" w:line="184" w:lineRule="exact"/>
        <w:rPr>
          <w:sz w:val="20"/>
          <w:szCs w:val="20"/>
          <w:color w:val="auto"/>
        </w:rPr>
      </w:pPr>
    </w:p>
    <w:p>
      <w:pPr>
        <w:jc w:val="both"/>
        <w:ind w:firstLine="1139"/>
        <w:spacing w:after="0" w:line="318" w:lineRule="auto"/>
        <w:tabs>
          <w:tab w:leader="none" w:pos="1560" w:val="left"/>
        </w:tabs>
        <w:numPr>
          <w:ilvl w:val="0"/>
          <w:numId w:val="42"/>
        </w:numPr>
        <w:rPr>
          <w:rFonts w:ascii="Arial" w:cs="Arial" w:eastAsia="Arial" w:hAnsi="Arial"/>
          <w:sz w:val="16"/>
          <w:szCs w:val="16"/>
          <w:color w:val="auto"/>
        </w:rPr>
      </w:pPr>
      <w:r>
        <w:rPr>
          <w:rFonts w:ascii="Arial" w:cs="Arial" w:eastAsia="Arial" w:hAnsi="Arial"/>
          <w:sz w:val="15"/>
          <w:szCs w:val="15"/>
          <w:color w:val="auto"/>
        </w:rPr>
        <w:t xml:space="preserve">The (i) U.S. Borrowers agree to pay to the Administrative Agent for the account of each U.S. Lender a participation fee with respect to its participations in U.S. Letters of Credit and (ii) Canadian Borrowers agree to pay to the Canadian Administrative Agent for the account of each Canadian Lender a participation fee with respect to its participations in Canadian Letters of Credit, which, in each case, shall accrue at the same Applicable Rate used to determine the interest rate applicable to Eurodollar Loans on the average daily amount of such Lender’s applicable LC Exposure (excluding any portion thereof attributable to unreimbursed LC Disbursements) during the period from and including the Second Restatement Date to but excluding the later of the date on which such Lender’s Revolving Commitment terminates and the date on which such Revolving Lender ceases to have any LC Exposure. In addition, each Borrower agrees to pay to the applicable Issuing Bank with respect to each Letter of Credit issued for the account of such Borrower by such Issuing Bank a fronting fee in an amount separately agreed upon between the Borrowers and the applicable Issuing Bank, as well as the applicable Issuing Bank’s standard fees with respect to the issuance, amendment, renewal or extension of any Letter of Credit or processing of drawings thereunder. Participation fees accrued through and including the last day of each calendar month shall be payable on the first day of each calendar month following such last day, commencing on the first such date to occur after the Second Restatement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such fees shall be payable on the date on which the Revolving Commitments terminate and any such fees accruing after the date on which the Revolving Commitments terminate shall be payable on demand. Fronting fees in respect of any Letter of Credit shall be payable on the date of the issuance of such Letter of Credit and on the date of any renewal thereof. Any other fees payable to an Issuing Bank pursuant to this paragraph shall be payable within 10 days after demand. All participation fees shall be computed on the basis of a year of 360 days and shall be payable for the actual number of days elapsed.</w:t>
      </w:r>
    </w:p>
    <w:p>
      <w:pPr>
        <w:spacing w:after="0" w:line="156" w:lineRule="exact"/>
        <w:rPr>
          <w:rFonts w:ascii="Arial" w:cs="Arial" w:eastAsia="Arial" w:hAnsi="Arial"/>
          <w:sz w:val="16"/>
          <w:szCs w:val="16"/>
          <w:color w:val="auto"/>
        </w:rPr>
      </w:pPr>
    </w:p>
    <w:p>
      <w:pPr>
        <w:jc w:val="both"/>
        <w:ind w:right="20" w:firstLine="1139"/>
        <w:spacing w:after="0" w:line="301" w:lineRule="auto"/>
        <w:tabs>
          <w:tab w:leader="none" w:pos="1550" w:val="left"/>
        </w:tabs>
        <w:numPr>
          <w:ilvl w:val="0"/>
          <w:numId w:val="42"/>
        </w:numPr>
        <w:rPr>
          <w:rFonts w:ascii="Arial" w:cs="Arial" w:eastAsia="Arial" w:hAnsi="Arial"/>
          <w:sz w:val="18"/>
          <w:szCs w:val="18"/>
          <w:color w:val="auto"/>
        </w:rPr>
      </w:pPr>
      <w:r>
        <w:rPr>
          <w:rFonts w:ascii="Arial" w:cs="Arial" w:eastAsia="Arial" w:hAnsi="Arial"/>
          <w:sz w:val="16"/>
          <w:szCs w:val="16"/>
          <w:color w:val="auto"/>
        </w:rPr>
        <w:t>The U.S. Borrowers agree to pay to the Administrative Agent, for its own account, fees payable in the amounts and at the times separately agreed upon between the U.S. Borrowers and the Administrative Agent. The Canadian Borrowers agree to pay to the Canadian Administrative Agent, for its own account, fees payable in the amounts and at the times separately agreed upon between the Canadian Borrowers and the Canadian Administrative Agent.</w:t>
      </w:r>
    </w:p>
    <w:p>
      <w:pPr>
        <w:spacing w:after="0" w:line="160" w:lineRule="exact"/>
        <w:rPr>
          <w:rFonts w:ascii="Arial" w:cs="Arial" w:eastAsia="Arial" w:hAnsi="Arial"/>
          <w:sz w:val="18"/>
          <w:szCs w:val="18"/>
          <w:color w:val="auto"/>
        </w:rPr>
      </w:pPr>
    </w:p>
    <w:p>
      <w:pPr>
        <w:jc w:val="both"/>
        <w:ind w:firstLine="1139"/>
        <w:spacing w:after="0" w:line="277" w:lineRule="auto"/>
        <w:tabs>
          <w:tab w:leader="none" w:pos="1576" w:val="left"/>
        </w:tabs>
        <w:numPr>
          <w:ilvl w:val="0"/>
          <w:numId w:val="42"/>
        </w:numPr>
        <w:rPr>
          <w:rFonts w:ascii="Arial" w:cs="Arial" w:eastAsia="Arial" w:hAnsi="Arial"/>
          <w:sz w:val="19"/>
          <w:szCs w:val="19"/>
          <w:color w:val="auto"/>
        </w:rPr>
      </w:pPr>
      <w:r>
        <w:rPr>
          <w:rFonts w:ascii="Arial" w:cs="Arial" w:eastAsia="Arial" w:hAnsi="Arial"/>
          <w:sz w:val="17"/>
          <w:szCs w:val="17"/>
          <w:color w:val="auto"/>
        </w:rPr>
        <w:t>All fees payable hereunder shall be paid on the dates due, in immediately available funds, to the Administrative Agent or the Canadian Administrative Agent, as applicable, (or to the applicable Issuing Bank in the case of fees payable to it) for distribution, in the case of commitment fees and participation fees, to the Lenders. Fees paid shall not be refundable under any circumstances.</w:t>
      </w:r>
    </w:p>
    <w:p>
      <w:pPr>
        <w:spacing w:after="0" w:line="154" w:lineRule="exact"/>
        <w:rPr>
          <w:sz w:val="20"/>
          <w:szCs w:val="20"/>
          <w:color w:val="auto"/>
        </w:rPr>
      </w:pPr>
    </w:p>
    <w:p>
      <w:pPr>
        <w:ind w:right="20" w:firstLine="572"/>
        <w:spacing w:after="0" w:line="280"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Interest</w:t>
      </w:r>
      <w:r>
        <w:rPr>
          <w:rFonts w:ascii="Arial" w:cs="Arial" w:eastAsia="Arial" w:hAnsi="Arial"/>
          <w:sz w:val="17"/>
          <w:szCs w:val="17"/>
          <w:color w:val="auto"/>
        </w:rPr>
        <w:t>. (1) The Loans comprising each ABR Borrowing shall bear interest at the Alternate Base Rate plus the Applicable Rate for such Type of Loan.</w:t>
      </w:r>
    </w:p>
    <w:p>
      <w:pPr>
        <w:spacing w:after="0" w:line="163" w:lineRule="exact"/>
        <w:rPr>
          <w:sz w:val="20"/>
          <w:szCs w:val="20"/>
          <w:color w:val="auto"/>
        </w:rPr>
      </w:pPr>
    </w:p>
    <w:p>
      <w:pPr>
        <w:ind w:right="20" w:firstLine="1139"/>
        <w:spacing w:after="0" w:line="281" w:lineRule="auto"/>
        <w:tabs>
          <w:tab w:leader="none" w:pos="1573" w:val="left"/>
        </w:tabs>
        <w:numPr>
          <w:ilvl w:val="0"/>
          <w:numId w:val="43"/>
        </w:numPr>
        <w:rPr>
          <w:rFonts w:ascii="Arial" w:cs="Arial" w:eastAsia="Arial" w:hAnsi="Arial"/>
          <w:sz w:val="19"/>
          <w:szCs w:val="19"/>
          <w:color w:val="auto"/>
        </w:rPr>
      </w:pPr>
      <w:r>
        <w:rPr>
          <w:rFonts w:ascii="Arial" w:cs="Arial" w:eastAsia="Arial" w:hAnsi="Arial"/>
          <w:sz w:val="17"/>
          <w:szCs w:val="17"/>
          <w:color w:val="auto"/>
        </w:rPr>
        <w:t>The Loans comprising each Eurodollar Borrowing shall bear interest at the Adjusted LIBO Rate for the Interest Period in effect for such Borrowing plus the Applicable Rate for such Type of Loan.</w:t>
      </w:r>
    </w:p>
    <w:p>
      <w:pPr>
        <w:spacing w:after="0" w:line="170" w:lineRule="exact"/>
        <w:rPr>
          <w:rFonts w:ascii="Arial" w:cs="Arial" w:eastAsia="Arial" w:hAnsi="Arial"/>
          <w:sz w:val="19"/>
          <w:szCs w:val="19"/>
          <w:color w:val="auto"/>
        </w:rPr>
      </w:pPr>
    </w:p>
    <w:p>
      <w:pPr>
        <w:ind w:left="1520" w:hanging="381"/>
        <w:spacing w:after="0"/>
        <w:tabs>
          <w:tab w:leader="none" w:pos="1520" w:val="left"/>
        </w:tabs>
        <w:numPr>
          <w:ilvl w:val="0"/>
          <w:numId w:val="43"/>
        </w:numPr>
        <w:rPr>
          <w:rFonts w:ascii="Arial" w:cs="Arial" w:eastAsia="Arial" w:hAnsi="Arial"/>
          <w:sz w:val="16"/>
          <w:szCs w:val="16"/>
          <w:color w:val="auto"/>
        </w:rPr>
      </w:pPr>
      <w:r>
        <w:rPr>
          <w:rFonts w:ascii="Arial" w:cs="Arial" w:eastAsia="Arial" w:hAnsi="Arial"/>
          <w:sz w:val="15"/>
          <w:szCs w:val="15"/>
          <w:color w:val="auto"/>
        </w:rPr>
        <w:t>The Loans comprising each Canadian Prime Rate Borrowing shall bear interest at the Canadian Prime Rate plus the Applicable Rate for such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Type of Loan.</w:t>
      </w:r>
    </w:p>
    <w:p>
      <w:pPr>
        <w:spacing w:after="0" w:line="233" w:lineRule="exact"/>
        <w:rPr>
          <w:rFonts w:ascii="Arial" w:cs="Arial" w:eastAsia="Arial" w:hAnsi="Arial"/>
          <w:sz w:val="16"/>
          <w:szCs w:val="16"/>
          <w:color w:val="auto"/>
        </w:rPr>
      </w:pPr>
    </w:p>
    <w:p>
      <w:pPr>
        <w:ind w:right="20" w:firstLine="1139"/>
        <w:spacing w:after="0" w:line="281" w:lineRule="auto"/>
        <w:tabs>
          <w:tab w:leader="none" w:pos="1526" w:val="left"/>
        </w:tabs>
        <w:numPr>
          <w:ilvl w:val="0"/>
          <w:numId w:val="43"/>
        </w:numPr>
        <w:rPr>
          <w:rFonts w:ascii="Arial" w:cs="Arial" w:eastAsia="Arial" w:hAnsi="Arial"/>
          <w:sz w:val="19"/>
          <w:szCs w:val="19"/>
          <w:color w:val="auto"/>
        </w:rPr>
      </w:pPr>
      <w:r>
        <w:rPr>
          <w:rFonts w:ascii="Arial" w:cs="Arial" w:eastAsia="Arial" w:hAnsi="Arial"/>
          <w:sz w:val="17"/>
          <w:szCs w:val="17"/>
          <w:color w:val="auto"/>
        </w:rPr>
        <w:t>The Loans comprising each CDOR Rate Borrowing shall bear interest at the CDOR Rate for the Interest Period in effect for such Borrowing plus the Applicable Rate for such Type of Loan.</w:t>
      </w:r>
    </w:p>
    <w:p>
      <w:pPr>
        <w:spacing w:after="0" w:line="170" w:lineRule="exact"/>
        <w:rPr>
          <w:rFonts w:ascii="Arial" w:cs="Arial" w:eastAsia="Arial" w:hAnsi="Arial"/>
          <w:sz w:val="19"/>
          <w:szCs w:val="19"/>
          <w:color w:val="auto"/>
        </w:rPr>
      </w:pPr>
    </w:p>
    <w:p>
      <w:pPr>
        <w:ind w:right="20" w:firstLine="1139"/>
        <w:spacing w:after="0" w:line="281" w:lineRule="auto"/>
        <w:tabs>
          <w:tab w:leader="none" w:pos="1525" w:val="left"/>
        </w:tabs>
        <w:numPr>
          <w:ilvl w:val="0"/>
          <w:numId w:val="43"/>
        </w:numPr>
        <w:rPr>
          <w:rFonts w:ascii="Arial" w:cs="Arial" w:eastAsia="Arial" w:hAnsi="Arial"/>
          <w:sz w:val="19"/>
          <w:szCs w:val="19"/>
          <w:color w:val="auto"/>
        </w:rPr>
      </w:pPr>
      <w:r>
        <w:rPr>
          <w:rFonts w:ascii="Arial" w:cs="Arial" w:eastAsia="Arial" w:hAnsi="Arial"/>
          <w:sz w:val="17"/>
          <w:szCs w:val="17"/>
          <w:color w:val="auto"/>
        </w:rPr>
        <w:t>Each Protective Advance and each Overadvance shall bear interest at the Canadian Prime Rate, if denominated in Canadian Dollars, or at the Alternate Base Rate, if denominated in dollars, plus the Applicable Rate for corresponding Revolving Loans plus 2% per annum.</w:t>
      </w:r>
    </w:p>
    <w:p>
      <w:pPr>
        <w:spacing w:after="0" w:line="170" w:lineRule="exact"/>
        <w:rPr>
          <w:rFonts w:ascii="Arial" w:cs="Arial" w:eastAsia="Arial" w:hAnsi="Arial"/>
          <w:sz w:val="19"/>
          <w:szCs w:val="19"/>
          <w:color w:val="auto"/>
        </w:rPr>
      </w:pPr>
    </w:p>
    <w:p>
      <w:pPr>
        <w:jc w:val="both"/>
        <w:ind w:firstLine="1139"/>
        <w:spacing w:after="0" w:line="298" w:lineRule="auto"/>
        <w:tabs>
          <w:tab w:leader="none" w:pos="1573" w:val="left"/>
        </w:tabs>
        <w:numPr>
          <w:ilvl w:val="0"/>
          <w:numId w:val="43"/>
        </w:numPr>
        <w:rPr>
          <w:rFonts w:ascii="Arial" w:cs="Arial" w:eastAsia="Arial" w:hAnsi="Arial"/>
          <w:sz w:val="18"/>
          <w:szCs w:val="18"/>
          <w:color w:val="auto"/>
        </w:rPr>
      </w:pPr>
      <w:r>
        <w:rPr>
          <w:rFonts w:ascii="Arial" w:cs="Arial" w:eastAsia="Arial" w:hAnsi="Arial"/>
          <w:sz w:val="16"/>
          <w:szCs w:val="16"/>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above the rate applicable to such fee or other obligation, if any, as provided hereunder.</w:t>
      </w:r>
    </w:p>
    <w:p>
      <w:pPr>
        <w:spacing w:after="0" w:line="163" w:lineRule="exact"/>
        <w:rPr>
          <w:rFonts w:ascii="Arial" w:cs="Arial" w:eastAsia="Arial" w:hAnsi="Arial"/>
          <w:sz w:val="18"/>
          <w:szCs w:val="18"/>
          <w:color w:val="auto"/>
        </w:rPr>
      </w:pPr>
    </w:p>
    <w:p>
      <w:pPr>
        <w:jc w:val="both"/>
        <w:ind w:firstLine="1139"/>
        <w:spacing w:after="0" w:line="277" w:lineRule="auto"/>
        <w:tabs>
          <w:tab w:leader="none" w:pos="1493" w:val="left"/>
        </w:tabs>
        <w:numPr>
          <w:ilvl w:val="0"/>
          <w:numId w:val="43"/>
        </w:numPr>
        <w:rPr>
          <w:rFonts w:ascii="Arial" w:cs="Arial" w:eastAsia="Arial" w:hAnsi="Arial"/>
          <w:sz w:val="19"/>
          <w:szCs w:val="19"/>
          <w:color w:val="auto"/>
        </w:rPr>
      </w:pPr>
      <w:r>
        <w:rPr>
          <w:rFonts w:ascii="Arial" w:cs="Arial" w:eastAsia="Arial" w:hAnsi="Arial"/>
          <w:sz w:val="17"/>
          <w:szCs w:val="17"/>
          <w:color w:val="auto"/>
        </w:rPr>
        <w:t xml:space="preserve">Accrued interest on each Loan shall be payable in arrears on each Interest Payment Date for such Loan and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(f)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Eurodollar Loan or CDOR Rate Loan prior to the end of the current Interest Period therefor, accrued interest on such Loan shall be payable on the effective date of such conversion.</w:t>
      </w:r>
    </w:p>
    <w:p>
      <w:pPr>
        <w:spacing w:after="0" w:line="180" w:lineRule="exact"/>
        <w:rPr>
          <w:rFonts w:ascii="Arial" w:cs="Arial" w:eastAsia="Arial" w:hAnsi="Arial"/>
          <w:sz w:val="19"/>
          <w:szCs w:val="19"/>
          <w:color w:val="auto"/>
        </w:rPr>
      </w:pPr>
    </w:p>
    <w:p>
      <w:pPr>
        <w:jc w:val="both"/>
        <w:ind w:firstLine="1139"/>
        <w:spacing w:after="0" w:line="277" w:lineRule="auto"/>
        <w:tabs>
          <w:tab w:leader="none" w:pos="1537" w:val="left"/>
        </w:tabs>
        <w:numPr>
          <w:ilvl w:val="0"/>
          <w:numId w:val="43"/>
        </w:numPr>
        <w:rPr>
          <w:rFonts w:ascii="Arial" w:cs="Arial" w:eastAsia="Arial" w:hAnsi="Arial"/>
          <w:sz w:val="19"/>
          <w:szCs w:val="19"/>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the Canadian Prime Rate or the CDOR Rate shall be computed on the basis of a year of 365 days (or 366 days in a leap year), and in each case shall be payable for the actual number of days elapsed. The applicable Alternate Base Rate, Canadian Prime Rate, CDOR Rate, Adjusted LIBO Rate or LIBO Rate shall be determined in good faith by the Administrative Agent or the Canadian Administrative Agent, as applicable, and such determination shall be conclusive absent manifest error.</w:t>
      </w:r>
    </w:p>
    <w:p>
      <w:pPr>
        <w:sectPr>
          <w:pgSz w:w="11900" w:h="16838" w:orient="portrait"/>
          <w:cols w:equalWidth="0" w:num="1">
            <w:col w:w="11440"/>
          </w:cols>
          <w:pgMar w:left="240" w:top="137" w:right="219" w:bottom="90" w:gutter="0" w:footer="0" w:header="0"/>
        </w:sectPr>
      </w:pPr>
    </w:p>
    <w:bookmarkStart w:id="41" w:name="page42"/>
    <w:bookmarkEnd w:id="41"/>
    <w:p>
      <w:pPr>
        <w:spacing w:after="0" w:line="51" w:lineRule="exact"/>
        <w:rPr>
          <w:sz w:val="20"/>
          <w:szCs w:val="20"/>
          <w:color w:val="auto"/>
        </w:rPr>
      </w:pPr>
    </w:p>
    <w:p>
      <w:pPr>
        <w:jc w:val="both"/>
        <w:ind w:firstLine="1139"/>
        <w:spacing w:after="0" w:line="277" w:lineRule="auto"/>
        <w:tabs>
          <w:tab w:leader="none" w:pos="1584" w:val="left"/>
        </w:tabs>
        <w:numPr>
          <w:ilvl w:val="0"/>
          <w:numId w:val="44"/>
        </w:numPr>
        <w:rPr>
          <w:rFonts w:ascii="Arial" w:cs="Arial" w:eastAsia="Arial" w:hAnsi="Arial"/>
          <w:sz w:val="19"/>
          <w:szCs w:val="19"/>
          <w:color w:val="auto"/>
        </w:rPr>
      </w:pPr>
      <w:r>
        <w:rPr>
          <w:rFonts w:ascii="Arial" w:cs="Arial" w:eastAsia="Arial" w:hAnsi="Arial"/>
          <w:sz w:val="17"/>
          <w:szCs w:val="17"/>
          <w:color w:val="auto"/>
        </w:rPr>
        <w:t>For purposes of disclosure pursuant to the Interest Act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spacing w:after="0" w:line="155"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(a) If prior to the commencement of any Interest Period for a Eurodollar Borrowing:</w:t>
      </w:r>
    </w:p>
    <w:p>
      <w:pPr>
        <w:spacing w:after="0" w:line="222" w:lineRule="exact"/>
        <w:rPr>
          <w:sz w:val="20"/>
          <w:szCs w:val="20"/>
          <w:color w:val="auto"/>
        </w:rPr>
      </w:pPr>
    </w:p>
    <w:p>
      <w:pPr>
        <w:jc w:val="both"/>
        <w:ind w:left="560" w:firstLine="579"/>
        <w:spacing w:after="0" w:line="277" w:lineRule="auto"/>
        <w:tabs>
          <w:tab w:leader="none" w:pos="1554" w:val="left"/>
        </w:tabs>
        <w:numPr>
          <w:ilvl w:val="0"/>
          <w:numId w:val="45"/>
        </w:numPr>
        <w:rPr>
          <w:rFonts w:ascii="Arial" w:cs="Arial" w:eastAsia="Arial" w:hAnsi="Arial"/>
          <w:sz w:val="19"/>
          <w:szCs w:val="19"/>
          <w:color w:val="auto"/>
        </w:rPr>
      </w:pPr>
      <w:r>
        <w:rPr>
          <w:rFonts w:ascii="Arial" w:cs="Arial" w:eastAsia="Arial" w:hAnsi="Arial"/>
          <w:sz w:val="17"/>
          <w:szCs w:val="17"/>
          <w:color w:val="auto"/>
        </w:rPr>
        <w:t>the Administrative Agent determines (which determination shall be conclusive absent demonstrable or manifest error) that adequate and reasonable means do not exist for ascertaining (including, without limitation, by means of an Interpolated Rate) the Adjusted LIBO Rate or the LIBO Rate, as applicable, for such Interest Period; or</w:t>
      </w:r>
    </w:p>
    <w:p>
      <w:pPr>
        <w:spacing w:after="0" w:line="178" w:lineRule="exact"/>
        <w:rPr>
          <w:rFonts w:ascii="Arial" w:cs="Arial" w:eastAsia="Arial" w:hAnsi="Arial"/>
          <w:sz w:val="19"/>
          <w:szCs w:val="19"/>
          <w:color w:val="auto"/>
        </w:rPr>
      </w:pPr>
    </w:p>
    <w:p>
      <w:pPr>
        <w:jc w:val="both"/>
        <w:ind w:left="560" w:firstLine="579"/>
        <w:spacing w:after="0" w:line="277" w:lineRule="auto"/>
        <w:tabs>
          <w:tab w:leader="none" w:pos="1535" w:val="left"/>
        </w:tabs>
        <w:numPr>
          <w:ilvl w:val="0"/>
          <w:numId w:val="45"/>
        </w:numPr>
        <w:rPr>
          <w:rFonts w:ascii="Arial" w:cs="Arial" w:eastAsia="Arial" w:hAnsi="Arial"/>
          <w:sz w:val="19"/>
          <w:szCs w:val="19"/>
          <w:color w:val="auto"/>
        </w:rPr>
      </w:pPr>
      <w:r>
        <w:rPr>
          <w:rFonts w:ascii="Arial" w:cs="Arial" w:eastAsia="Arial" w:hAnsi="Arial"/>
          <w:sz w:val="17"/>
          <w:szCs w:val="17"/>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then the Administrative Agent shall give notice thereof to the Borrower Representative and the Lenders by telephone, facsimile or electronic mail as promptly as practicable thereafter and, until the Administrative Agent notifies the Borrower Representative and the Lenders that the circumstances giving rise to such notice no longer exist, (A) any Interest Election Request that requests the conversion of any Revolving Borrowing to, or continuation of any Revolving Borrowing as, a Eurodollar Borrowing shall be ineffective, and (B) if any Borrowing Request requests a Eurodollar Revolving Borrowing, such Borrowing shall be made as an ABR Borrowing.</w:t>
      </w:r>
    </w:p>
    <w:p>
      <w:pPr>
        <w:spacing w:after="0" w:line="185" w:lineRule="exact"/>
        <w:rPr>
          <w:sz w:val="20"/>
          <w:szCs w:val="20"/>
          <w:color w:val="auto"/>
        </w:rPr>
      </w:pPr>
    </w:p>
    <w:p>
      <w:pPr>
        <w:ind w:left="1520" w:hanging="381"/>
        <w:spacing w:after="0"/>
        <w:tabs>
          <w:tab w:leader="none" w:pos="1520" w:val="left"/>
        </w:tabs>
        <w:numPr>
          <w:ilvl w:val="0"/>
          <w:numId w:val="46"/>
        </w:numPr>
        <w:rPr>
          <w:rFonts w:ascii="Arial" w:cs="Arial" w:eastAsia="Arial" w:hAnsi="Arial"/>
          <w:sz w:val="19"/>
          <w:szCs w:val="19"/>
          <w:color w:val="auto"/>
        </w:rPr>
      </w:pPr>
      <w:r>
        <w:rPr>
          <w:rFonts w:ascii="Arial" w:cs="Arial" w:eastAsia="Arial" w:hAnsi="Arial"/>
          <w:sz w:val="17"/>
          <w:szCs w:val="17"/>
          <w:color w:val="auto"/>
        </w:rPr>
        <w:t>If prior to the commencement of any Interest Period for a CDOR Rate Borrowing:</w:t>
      </w:r>
    </w:p>
    <w:p>
      <w:pPr>
        <w:spacing w:after="0" w:line="210" w:lineRule="exact"/>
        <w:rPr>
          <w:sz w:val="20"/>
          <w:szCs w:val="20"/>
          <w:color w:val="auto"/>
        </w:rPr>
      </w:pPr>
    </w:p>
    <w:p>
      <w:pPr>
        <w:ind w:left="560" w:right="20" w:firstLine="579"/>
        <w:spacing w:after="0" w:line="281" w:lineRule="auto"/>
        <w:tabs>
          <w:tab w:leader="none" w:pos="1470" w:val="left"/>
        </w:tabs>
        <w:numPr>
          <w:ilvl w:val="0"/>
          <w:numId w:val="47"/>
        </w:numPr>
        <w:rPr>
          <w:rFonts w:ascii="Arial" w:cs="Arial" w:eastAsia="Arial" w:hAnsi="Arial"/>
          <w:sz w:val="19"/>
          <w:szCs w:val="19"/>
          <w:color w:val="auto"/>
        </w:rPr>
      </w:pPr>
      <w:r>
        <w:rPr>
          <w:rFonts w:ascii="Arial" w:cs="Arial" w:eastAsia="Arial" w:hAnsi="Arial"/>
          <w:sz w:val="17"/>
          <w:szCs w:val="17"/>
          <w:color w:val="auto"/>
        </w:rPr>
        <w:t>the Canadian Administrative Agent determines (which determination shall be conclusive absent demonstrable or manifest error) that adequate and reasonable means do not exist for ascertaining the CDOR Rate for such Interest Period; or</w:t>
      </w:r>
    </w:p>
    <w:p>
      <w:pPr>
        <w:spacing w:after="0" w:line="170" w:lineRule="exact"/>
        <w:rPr>
          <w:rFonts w:ascii="Arial" w:cs="Arial" w:eastAsia="Arial" w:hAnsi="Arial"/>
          <w:sz w:val="19"/>
          <w:szCs w:val="19"/>
          <w:color w:val="auto"/>
        </w:rPr>
      </w:pPr>
    </w:p>
    <w:p>
      <w:pPr>
        <w:ind w:left="560" w:right="20" w:firstLine="579"/>
        <w:spacing w:after="0" w:line="314" w:lineRule="auto"/>
        <w:tabs>
          <w:tab w:leader="none" w:pos="1535" w:val="left"/>
        </w:tabs>
        <w:numPr>
          <w:ilvl w:val="0"/>
          <w:numId w:val="47"/>
        </w:numPr>
        <w:rPr>
          <w:rFonts w:ascii="Arial" w:cs="Arial" w:eastAsia="Arial" w:hAnsi="Arial"/>
          <w:sz w:val="18"/>
          <w:szCs w:val="18"/>
          <w:color w:val="auto"/>
        </w:rPr>
      </w:pPr>
      <w:r>
        <w:rPr>
          <w:rFonts w:ascii="Arial" w:cs="Arial" w:eastAsia="Arial" w:hAnsi="Arial"/>
          <w:sz w:val="16"/>
          <w:szCs w:val="16"/>
          <w:color w:val="auto"/>
        </w:rPr>
        <w:t>the Canadian Administrative Agent is advised by the Required Lenders that the CDOR Rate for such Interest Period will not adequately and fairly reflect the cost to such Lenders of making or maintaining their Loans (or its Loan) included in such Borrowing for such Interest Period;</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then the Canadian Administrative Agent shall give notice thereof to the Borrower Representative and the Lenders by telephone, facsimile or electronic mail as promptly as practicable thereafter and, until the Canadian Administrative Agent notifies the Borrower Representative and the Lenders that the circumstances giving rise to such notice no longer exist, (A) any Interest Election Request that requests the conversion of any Borrowing to, or continuation of any Borrowing as, a CDOR Rate Borrowing shall be ineffective, and (B) if any Borrowing Request requests a CDOR Borrowing, such Borrowing shall be made as a Canadian Prime Rate Borrowing.</w:t>
      </w:r>
    </w:p>
    <w:p>
      <w:pPr>
        <w:spacing w:after="0" w:line="161"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 (a) If any Change in Law shall:</w:t>
      </w:r>
    </w:p>
    <w:p>
      <w:pPr>
        <w:spacing w:after="0" w:line="222" w:lineRule="exact"/>
        <w:rPr>
          <w:sz w:val="20"/>
          <w:szCs w:val="20"/>
          <w:color w:val="auto"/>
        </w:rPr>
      </w:pPr>
    </w:p>
    <w:p>
      <w:pPr>
        <w:jc w:val="both"/>
        <w:ind w:left="560" w:right="20" w:firstLine="579"/>
        <w:spacing w:after="0" w:line="277" w:lineRule="auto"/>
        <w:tabs>
          <w:tab w:leader="none" w:pos="1743" w:val="left"/>
        </w:tabs>
        <w:numPr>
          <w:ilvl w:val="0"/>
          <w:numId w:val="48"/>
        </w:numPr>
        <w:rPr>
          <w:rFonts w:ascii="Arial" w:cs="Arial" w:eastAsia="Arial" w:hAnsi="Arial"/>
          <w:sz w:val="19"/>
          <w:szCs w:val="19"/>
          <w:color w:val="auto"/>
        </w:rPr>
      </w:pPr>
      <w:r>
        <w:rPr>
          <w:rFonts w:ascii="Arial" w:cs="Arial" w:eastAsia="Arial" w:hAnsi="Arial"/>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Issuing Bank;</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566" w:val="left"/>
        </w:tabs>
        <w:numPr>
          <w:ilvl w:val="0"/>
          <w:numId w:val="48"/>
        </w:numPr>
        <w:rPr>
          <w:rFonts w:ascii="Arial" w:cs="Arial" w:eastAsia="Arial" w:hAnsi="Arial"/>
          <w:sz w:val="19"/>
          <w:szCs w:val="19"/>
          <w:color w:val="auto"/>
        </w:rPr>
      </w:pPr>
      <w:r>
        <w:rPr>
          <w:rFonts w:ascii="Arial" w:cs="Arial" w:eastAsia="Arial" w:hAnsi="Arial"/>
          <w:sz w:val="17"/>
          <w:szCs w:val="17"/>
          <w:color w:val="auto"/>
        </w:rPr>
        <w:t>impose on any Lender or Issuing Bank or the London interbank market any other condition, cost or expense (other than Taxes) affecting this Agreement or Eurodollar Loans or CDOR Rate Loans made by such Lender or any Letter of Credit or participation therein; or</w:t>
      </w:r>
    </w:p>
    <w:p>
      <w:pPr>
        <w:spacing w:after="0" w:line="170" w:lineRule="exact"/>
        <w:rPr>
          <w:rFonts w:ascii="Arial" w:cs="Arial" w:eastAsia="Arial" w:hAnsi="Arial"/>
          <w:sz w:val="19"/>
          <w:szCs w:val="19"/>
          <w:color w:val="auto"/>
        </w:rPr>
      </w:pPr>
    </w:p>
    <w:p>
      <w:pPr>
        <w:ind w:left="560" w:right="20" w:firstLine="579"/>
        <w:spacing w:after="0" w:line="314" w:lineRule="auto"/>
        <w:tabs>
          <w:tab w:leader="none" w:pos="1537" w:val="left"/>
        </w:tabs>
        <w:numPr>
          <w:ilvl w:val="0"/>
          <w:numId w:val="48"/>
        </w:numPr>
        <w:rPr>
          <w:rFonts w:ascii="Arial" w:cs="Arial" w:eastAsia="Arial" w:hAnsi="Arial"/>
          <w:sz w:val="18"/>
          <w:szCs w:val="18"/>
          <w:color w:val="auto"/>
        </w:rPr>
      </w:pPr>
      <w:r>
        <w:rPr>
          <w:rFonts w:ascii="Arial" w:cs="Arial" w:eastAsia="Arial" w:hAnsi="Arial"/>
          <w:sz w:val="16"/>
          <w:szCs w:val="16"/>
          <w:color w:val="auto"/>
        </w:rPr>
        <w:t>subject any Recipient to any Taxes (other than (A) Indemnified Taxes, (B) Excluded Taxes and (C) Connection Income Taxes) on its loans, loan principal, letters of credit, commitments, or other obligations, or its deposits, reserves, other liabilities or capital attributable thereto;</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or maintaining any Eurodollar Loan or CDOR Rate Loan (or of maintaining its obligation to make any such Loan) or to increase the cost to such Lender or such Issuing Bank (or such other Recipient) of participating in, issuing or maintaining any Letter of Credit or to reduce the amount of any sum received or receivable by such Lender or Issuing Bank (or such other Recipient) hereunder (whether of principal, interest or otherwise), then subject to Section 12.01 the Borrowers will pay to such Lender or Issuing Bank (or such other Recipient), as the case may be, such additional amount or amounts as will compensate such Lender or Issuing Bank (or such other Recipient), as the case may be, for such additional costs incurred or reduction suffered.</w:t>
      </w:r>
    </w:p>
    <w:p>
      <w:pPr>
        <w:spacing w:after="0" w:line="184" w:lineRule="exact"/>
        <w:rPr>
          <w:sz w:val="20"/>
          <w:szCs w:val="20"/>
          <w:color w:val="auto"/>
        </w:rPr>
      </w:pPr>
    </w:p>
    <w:p>
      <w:pPr>
        <w:jc w:val="both"/>
        <w:ind w:firstLine="1139"/>
        <w:spacing w:after="0" w:line="277" w:lineRule="auto"/>
        <w:tabs>
          <w:tab w:leader="none" w:pos="1525" w:val="left"/>
        </w:tabs>
        <w:numPr>
          <w:ilvl w:val="0"/>
          <w:numId w:val="49"/>
        </w:numPr>
        <w:rPr>
          <w:rFonts w:ascii="Arial" w:cs="Arial" w:eastAsia="Arial" w:hAnsi="Arial"/>
          <w:sz w:val="19"/>
          <w:szCs w:val="19"/>
          <w:color w:val="auto"/>
        </w:rPr>
      </w:pPr>
      <w:r>
        <w:rPr>
          <w:rFonts w:ascii="Arial" w:cs="Arial" w:eastAsia="Arial" w:hAnsi="Arial"/>
          <w:sz w:val="17"/>
          <w:szCs w:val="17"/>
          <w:color w:val="auto"/>
        </w:rPr>
        <w:t>If any Lender or Issuing Bank determines that any Change in Law regarding capital adequacy or liquidity requirements has or would have the effect of reducing the rate of return on such Lender’s or Issuing Bank’s capital or on the capital of such Lender’s or Issuing Bank’s holding company, if any, as a consequence of this Agreement, the Commitments of, or the Loans made by, or participations in Letters of Credit held by, such Lender, or the Letters of Credit issued by a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subject to Section 12.01 from time to time the Borrowers will pay to such Lender or Issuing Bank, as the case may be, such additional amount or amounts as will compensate such Lender or Issuing Bank or such Lender’s or Issuing Bank’s holding company for any such reduction suffered.</w:t>
      </w:r>
    </w:p>
    <w:p>
      <w:pPr>
        <w:spacing w:after="0" w:line="182" w:lineRule="exact"/>
        <w:rPr>
          <w:rFonts w:ascii="Arial" w:cs="Arial" w:eastAsia="Arial" w:hAnsi="Arial"/>
          <w:sz w:val="19"/>
          <w:szCs w:val="19"/>
          <w:color w:val="auto"/>
        </w:rPr>
      </w:pPr>
    </w:p>
    <w:p>
      <w:pPr>
        <w:jc w:val="both"/>
        <w:ind w:firstLine="1139"/>
        <w:spacing w:after="0" w:line="277" w:lineRule="auto"/>
        <w:tabs>
          <w:tab w:leader="none" w:pos="1550" w:val="left"/>
        </w:tabs>
        <w:numPr>
          <w:ilvl w:val="0"/>
          <w:numId w:val="49"/>
        </w:numPr>
        <w:rPr>
          <w:rFonts w:ascii="Arial" w:cs="Arial" w:eastAsia="Arial" w:hAnsi="Arial"/>
          <w:sz w:val="19"/>
          <w:szCs w:val="19"/>
          <w:color w:val="auto"/>
        </w:rPr>
      </w:pPr>
      <w:r>
        <w:rPr>
          <w:rFonts w:ascii="Arial" w:cs="Arial" w:eastAsia="Arial" w:hAnsi="Arial"/>
          <w:sz w:val="17"/>
          <w:szCs w:val="17"/>
          <w:color w:val="auto"/>
        </w:rPr>
        <w:t>A certificate of a Lender or Issuing Bank setting forth the amount or amounts necessary to compensate such Lender or Issuing Bank or its holding company, as the case may be, as specified in paragraph (a) or (b) of this Section shall be delivered to the Borrower Representative and shall be conclusive absent manifest error. The Borrowers shall pay such Lender or Issuing Bank, as the case may be, the amount shown as due on any such certificate within 10 days after receipt thereof.</w:t>
      </w:r>
    </w:p>
    <w:p>
      <w:pPr>
        <w:spacing w:after="0" w:line="178" w:lineRule="exact"/>
        <w:rPr>
          <w:rFonts w:ascii="Arial" w:cs="Arial" w:eastAsia="Arial" w:hAnsi="Arial"/>
          <w:sz w:val="19"/>
          <w:szCs w:val="19"/>
          <w:color w:val="auto"/>
        </w:rPr>
      </w:pPr>
    </w:p>
    <w:p>
      <w:pPr>
        <w:jc w:val="both"/>
        <w:ind w:right="20" w:firstLine="1139"/>
        <w:spacing w:after="0" w:line="277" w:lineRule="auto"/>
        <w:tabs>
          <w:tab w:leader="none" w:pos="1549" w:val="left"/>
        </w:tabs>
        <w:numPr>
          <w:ilvl w:val="0"/>
          <w:numId w:val="49"/>
        </w:numPr>
        <w:rPr>
          <w:rFonts w:ascii="Arial" w:cs="Arial" w:eastAsia="Arial" w:hAnsi="Arial"/>
          <w:sz w:val="19"/>
          <w:szCs w:val="19"/>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required to compensate a Lender or Issuing Bank pursuant to this Section for any increased costs or reductions incurred more than 180 days prior to the date that such Lender or Issuing Bank, as the case may be, notifies the Borrower Representative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57" w:lineRule="exact"/>
        <w:rPr>
          <w:sz w:val="20"/>
          <w:szCs w:val="20"/>
          <w:color w:val="auto"/>
        </w:rPr>
      </w:pPr>
    </w:p>
    <w:p>
      <w:pPr>
        <w:ind w:right="20" w:firstLine="572"/>
        <w:spacing w:after="0" w:line="313"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Eurodollar Loan or CDOR Rate Loan other than on the last day of an Interest Period applicable thereto (including as a result of an Event of Default), (b) the conversion of any Eurodollar Loan or CDOR Rate Loan other</w:t>
      </w:r>
    </w:p>
    <w:p>
      <w:pPr>
        <w:sectPr>
          <w:pgSz w:w="11900" w:h="16889" w:orient="portrait"/>
          <w:cols w:equalWidth="0" w:num="1">
            <w:col w:w="11440"/>
          </w:cols>
          <w:pgMar w:left="240" w:top="149" w:right="219" w:bottom="0" w:gutter="0" w:footer="0" w:header="0"/>
        </w:sectPr>
      </w:pPr>
    </w:p>
    <w:bookmarkStart w:id="42" w:name="page43"/>
    <w:bookmarkEnd w:id="42"/>
    <w:p>
      <w:pPr>
        <w:spacing w:after="0" w:line="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than on the last day of the Interest Period applicable thereto, (c) the failure to borrow, convert, continue or prepay any Eurodollar Loan or CDOR Rate Loan on the date specified in any notice delivered pursuant hereto (regardless of whether such notice may be revoked under Section 2.09(c) and is revoked in accordance therewith), or (d) the assignment of any Eurodollar Loan or CDOR Rate Loan other than on the last day of the Interest Period applicable thereto as a result of a request by the Borrower Representative pursuant to Section 2.19, then, in any such event, the U.S. Borrowers shall compensate each U.S. Lender and the Canadian Borrowers shall compensate each Canadian Lender, as applicable, for the loss, cost and expense incurred by such Lender that is attributable to such event. In the case of a Eurodollar Loan or CDOR Rate Loan, such loss, cost or expense to any Lender shall be deemed to include an amount determined by such Lender to be the excess, if any, of (i) the amount of interest which would have accrued on the principal amount of such Loan had such event not occurred, at the Adjusted LIBO Rate or the CDOR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to such Eurodollar Loan from other banks in the eurodollar market, or for Canadian Dollar deposits of a comparable amount and period to such CDOR Rate Loan from other banks in the Canadian bankers’ acceptance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10 days after receipt thereof.</w:t>
      </w:r>
    </w:p>
    <w:p>
      <w:pPr>
        <w:spacing w:after="0" w:line="140"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2.17</w:t>
      </w:r>
      <w:r>
        <w:rPr>
          <w:sz w:val="20"/>
          <w:szCs w:val="20"/>
          <w:color w:val="auto"/>
        </w:rPr>
        <w:tab/>
      </w:r>
      <w:r>
        <w:rPr>
          <w:rFonts w:ascii="Arial" w:cs="Arial" w:eastAsia="Arial" w:hAnsi="Arial"/>
          <w:sz w:val="16"/>
          <w:szCs w:val="16"/>
          <w:u w:val="single" w:color="auto"/>
          <w:color w:val="auto"/>
        </w:rPr>
        <w:t>Withholding of Taxes; Gross-Up</w:t>
      </w:r>
      <w:r>
        <w:rPr>
          <w:rFonts w:ascii="Arial" w:cs="Arial" w:eastAsia="Arial" w:hAnsi="Arial"/>
          <w:sz w:val="16"/>
          <w:szCs w:val="16"/>
          <w:color w:val="auto"/>
        </w:rPr>
        <w:t>.</w:t>
      </w:r>
    </w:p>
    <w:p>
      <w:pPr>
        <w:spacing w:after="0" w:line="198" w:lineRule="exact"/>
        <w:rPr>
          <w:sz w:val="20"/>
          <w:szCs w:val="20"/>
          <w:color w:val="auto"/>
        </w:rPr>
      </w:pPr>
    </w:p>
    <w:p>
      <w:pPr>
        <w:jc w:val="both"/>
        <w:ind w:right="20" w:firstLine="567"/>
        <w:spacing w:after="0" w:line="272" w:lineRule="auto"/>
        <w:tabs>
          <w:tab w:leader="none" w:pos="80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48" w:lineRule="exact"/>
        <w:rPr>
          <w:rFonts w:ascii="Arial" w:cs="Arial" w:eastAsia="Arial" w:hAnsi="Arial"/>
          <w:sz w:val="16"/>
          <w:szCs w:val="16"/>
          <w:color w:val="auto"/>
        </w:rPr>
      </w:pPr>
    </w:p>
    <w:p>
      <w:pPr>
        <w:ind w:right="20" w:firstLine="567"/>
        <w:spacing w:after="0" w:line="280" w:lineRule="auto"/>
        <w:tabs>
          <w:tab w:leader="none" w:pos="81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Borrowers.</w:t>
      </w:r>
      <w:r>
        <w:rPr>
          <w:rFonts w:ascii="Arial" w:cs="Arial" w:eastAsia="Arial" w:hAnsi="Arial"/>
          <w:sz w:val="17"/>
          <w:szCs w:val="17"/>
          <w:color w:val="auto"/>
        </w:rPr>
        <w:t xml:space="preserve"> The Borrowers shall timely pay to the relevant Governmental Authority in accordance with applicable law, or at the option of the Administrative Agent timely reimburse it for the payment of, any Other Taxes.</w:t>
      </w:r>
    </w:p>
    <w:p>
      <w:pPr>
        <w:spacing w:after="0" w:line="139" w:lineRule="exact"/>
        <w:rPr>
          <w:rFonts w:ascii="Arial" w:cs="Arial" w:eastAsia="Arial" w:hAnsi="Arial"/>
          <w:sz w:val="17"/>
          <w:szCs w:val="17"/>
          <w:color w:val="auto"/>
        </w:rPr>
      </w:pPr>
    </w:p>
    <w:p>
      <w:pPr>
        <w:jc w:val="both"/>
        <w:ind w:right="20" w:firstLine="567"/>
        <w:spacing w:after="0" w:line="288" w:lineRule="auto"/>
        <w:tabs>
          <w:tab w:leader="none" w:pos="80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Evidence of Payment.</w:t>
      </w:r>
      <w:r>
        <w:rPr>
          <w:rFonts w:ascii="Arial" w:cs="Arial" w:eastAsia="Arial" w:hAnsi="Arial"/>
          <w:sz w:val="16"/>
          <w:szCs w:val="16"/>
          <w:color w:val="auto"/>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5" w:lineRule="exact"/>
        <w:rPr>
          <w:rFonts w:ascii="Arial" w:cs="Arial" w:eastAsia="Arial" w:hAnsi="Arial"/>
          <w:sz w:val="16"/>
          <w:szCs w:val="16"/>
          <w:color w:val="auto"/>
        </w:rPr>
      </w:pPr>
    </w:p>
    <w:p>
      <w:pPr>
        <w:jc w:val="both"/>
        <w:ind w:firstLine="567"/>
        <w:spacing w:after="0" w:line="274" w:lineRule="auto"/>
        <w:tabs>
          <w:tab w:leader="none" w:pos="81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xml:space="preserve"> Subject to Section 12.01,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45" w:lineRule="exact"/>
        <w:rPr>
          <w:rFonts w:ascii="Arial" w:cs="Arial" w:eastAsia="Arial" w:hAnsi="Arial"/>
          <w:sz w:val="16"/>
          <w:szCs w:val="16"/>
          <w:color w:val="auto"/>
        </w:rPr>
      </w:pPr>
    </w:p>
    <w:p>
      <w:pPr>
        <w:jc w:val="both"/>
        <w:ind w:firstLine="567"/>
        <w:spacing w:after="0" w:line="270" w:lineRule="auto"/>
        <w:tabs>
          <w:tab w:leader="none" w:pos="82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50" w:lineRule="exact"/>
        <w:rPr>
          <w:rFonts w:ascii="Arial" w:cs="Arial" w:eastAsia="Arial" w:hAnsi="Arial"/>
          <w:sz w:val="16"/>
          <w:szCs w:val="16"/>
          <w:color w:val="auto"/>
        </w:rPr>
      </w:pPr>
    </w:p>
    <w:p>
      <w:pPr>
        <w:jc w:val="both"/>
        <w:ind w:firstLine="567"/>
        <w:spacing w:after="0" w:line="269" w:lineRule="auto"/>
        <w:tabs>
          <w:tab w:leader="none" w:pos="79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and at the time or times prescribed by applicable law, such properly completed and executed documentation reasonably requested by the Borrower Representative or the Administrative Agent or prescribed by applicable law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3" w:lineRule="exact"/>
        <w:rPr>
          <w:rFonts w:ascii="Arial" w:cs="Arial" w:eastAsia="Arial" w:hAnsi="Arial"/>
          <w:sz w:val="16"/>
          <w:szCs w:val="16"/>
          <w:color w:val="auto"/>
        </w:rPr>
      </w:pPr>
    </w:p>
    <w:p>
      <w:pPr>
        <w:ind w:left="1400" w:hanging="261"/>
        <w:spacing w:after="0"/>
        <w:tabs>
          <w:tab w:leader="none" w:pos="14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any Borrower is a U.S. Person,</w:t>
      </w:r>
    </w:p>
    <w:p>
      <w:pPr>
        <w:spacing w:after="0" w:line="210" w:lineRule="exact"/>
        <w:rPr>
          <w:sz w:val="20"/>
          <w:szCs w:val="20"/>
          <w:color w:val="auto"/>
        </w:rPr>
      </w:pPr>
    </w:p>
    <w:p>
      <w:pPr>
        <w:jc w:val="both"/>
        <w:ind w:right="20" w:firstLine="1139"/>
        <w:spacing w:after="0" w:line="288" w:lineRule="auto"/>
        <w:tabs>
          <w:tab w:leader="none" w:pos="1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originals of IRS Form W-9 certifying that such Lender is exempt from U.S. Federal backup withholding tax;</w:t>
      </w:r>
    </w:p>
    <w:p>
      <w:pPr>
        <w:spacing w:after="0" w:line="147" w:lineRule="exact"/>
        <w:rPr>
          <w:rFonts w:ascii="Arial" w:cs="Arial" w:eastAsia="Arial" w:hAnsi="Arial"/>
          <w:sz w:val="16"/>
          <w:szCs w:val="16"/>
          <w:color w:val="auto"/>
        </w:rPr>
      </w:pPr>
    </w:p>
    <w:p>
      <w:pPr>
        <w:jc w:val="both"/>
        <w:ind w:right="20" w:firstLine="1139"/>
        <w:spacing w:after="0" w:line="316" w:lineRule="auto"/>
        <w:tabs>
          <w:tab w:leader="none" w:pos="1422"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whichever of the following is applicable:</w:t>
      </w:r>
    </w:p>
    <w:p>
      <w:pPr>
        <w:spacing w:after="0" w:line="128" w:lineRule="exact"/>
        <w:rPr>
          <w:rFonts w:ascii="Arial" w:cs="Arial" w:eastAsia="Arial" w:hAnsi="Arial"/>
          <w:sz w:val="15"/>
          <w:szCs w:val="15"/>
          <w:color w:val="auto"/>
        </w:rPr>
      </w:pPr>
    </w:p>
    <w:p>
      <w:pPr>
        <w:jc w:val="both"/>
        <w:ind w:left="1140" w:firstLine="571"/>
        <w:spacing w:after="0" w:line="276" w:lineRule="auto"/>
        <w:tabs>
          <w:tab w:leader="none" w:pos="1959"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57" w:lineRule="exact"/>
        <w:rPr>
          <w:rFonts w:ascii="Arial" w:cs="Arial" w:eastAsia="Arial" w:hAnsi="Arial"/>
          <w:sz w:val="16"/>
          <w:szCs w:val="16"/>
          <w:color w:val="auto"/>
        </w:rPr>
      </w:pPr>
    </w:p>
    <w:p>
      <w:pPr>
        <w:ind w:left="1140" w:right="20" w:firstLine="571"/>
        <w:spacing w:after="0" w:line="280" w:lineRule="auto"/>
        <w:tabs>
          <w:tab w:leader="none" w:pos="1983"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 the case of a Non-U.S. Lender claiming that its extension of credit will generate U.S. effectively connected income, executed originals of IRS Form W-8ECI;</w:t>
      </w:r>
    </w:p>
    <w:p>
      <w:pPr>
        <w:spacing w:after="0" w:line="151" w:lineRule="exact"/>
        <w:rPr>
          <w:rFonts w:ascii="Arial" w:cs="Arial" w:eastAsia="Arial" w:hAnsi="Arial"/>
          <w:sz w:val="17"/>
          <w:szCs w:val="17"/>
          <w:color w:val="auto"/>
        </w:rPr>
      </w:pPr>
    </w:p>
    <w:p>
      <w:pPr>
        <w:jc w:val="both"/>
        <w:ind w:left="1140" w:firstLine="571"/>
        <w:spacing w:after="0" w:line="273" w:lineRule="auto"/>
        <w:tabs>
          <w:tab w:leader="none" w:pos="19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the exemption for portfolio interest under Section 881(c) of the Code, (x) a certificate substantially in the form of Exhibit C-1 to the effect that such Non-U.S. Lender is not a “bank” within the meaning of Section 881(c)(3)</w:t>
      </w:r>
    </w:p>
    <w:p>
      <w:pPr>
        <w:ind w:left="1440" w:hanging="301"/>
        <w:spacing w:after="0"/>
        <w:tabs>
          <w:tab w:leader="none" w:pos="1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of the Code, a “10 percent shareholder” of a Borrower within the meaning of Section 881(c)(3)(B) of the Code, or a “controlled foreign</w:t>
      </w:r>
    </w:p>
    <w:p>
      <w:pPr>
        <w:sectPr>
          <w:pgSz w:w="11900" w:h="16845" w:orient="portrait"/>
          <w:cols w:equalWidth="0" w:num="1">
            <w:col w:w="11440"/>
          </w:cols>
          <w:pgMar w:left="240" w:top="124" w:right="219" w:bottom="0" w:gutter="0" w:footer="0" w:header="0"/>
        </w:sectPr>
      </w:pPr>
    </w:p>
    <w:bookmarkStart w:id="43" w:name="page44"/>
    <w:bookmarkEnd w:id="43"/>
    <w:p>
      <w:pPr>
        <w:spacing w:after="0" w:line="111" w:lineRule="exact"/>
        <w:rPr>
          <w:sz w:val="20"/>
          <w:szCs w:val="20"/>
          <w:color w:val="auto"/>
        </w:rPr>
      </w:pPr>
    </w:p>
    <w:p>
      <w:pPr>
        <w:ind w:left="1140"/>
        <w:spacing w:after="0" w:line="282" w:lineRule="auto"/>
        <w:rPr>
          <w:sz w:val="20"/>
          <w:szCs w:val="20"/>
          <w:color w:val="auto"/>
        </w:rPr>
      </w:pPr>
      <w:r>
        <w:rPr>
          <w:rFonts w:ascii="Arial" w:cs="Arial" w:eastAsia="Arial" w:hAnsi="Arial"/>
          <w:sz w:val="17"/>
          <w:szCs w:val="17"/>
          <w:color w:val="auto"/>
        </w:rPr>
        <w:t>corporation”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executed originals of IRS Form W-8BEN or W-8BEN-E, as applicable; or</w:t>
      </w:r>
    </w:p>
    <w:p>
      <w:pPr>
        <w:spacing w:after="0" w:line="149" w:lineRule="exact"/>
        <w:rPr>
          <w:sz w:val="20"/>
          <w:szCs w:val="20"/>
          <w:color w:val="auto"/>
        </w:rPr>
      </w:pPr>
    </w:p>
    <w:p>
      <w:pPr>
        <w:jc w:val="both"/>
        <w:ind w:left="1140" w:right="20" w:firstLine="571"/>
        <w:spacing w:after="0" w:line="255" w:lineRule="auto"/>
        <w:tabs>
          <w:tab w:leader="none" w:pos="19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to the extent a Non-U.S. Lender is not the beneficial owner of payments made under any Loan Document, executed originals of IRS Form W-8IMY, accompanied by IRS Form W-8ECI, IRS Form W-8BEN, IRS Form W-8BEN-E, a U.S. Tax Compliance Certificate substantially in the form of Exhibit C-2 or Exhibit C-3,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Exhibit C-4 on behalf of each such direct and indirect partner;</w:t>
      </w:r>
    </w:p>
    <w:p>
      <w:pPr>
        <w:spacing w:after="0" w:line="171" w:lineRule="exact"/>
        <w:rPr>
          <w:rFonts w:ascii="Arial" w:cs="Arial" w:eastAsia="Arial" w:hAnsi="Arial"/>
          <w:sz w:val="17"/>
          <w:szCs w:val="17"/>
          <w:color w:val="auto"/>
        </w:rPr>
      </w:pPr>
    </w:p>
    <w:p>
      <w:pPr>
        <w:jc w:val="both"/>
        <w:ind w:firstLine="1139"/>
        <w:spacing w:after="0" w:line="255" w:lineRule="auto"/>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71" w:lineRule="exact"/>
        <w:rPr>
          <w:rFonts w:ascii="Arial" w:cs="Arial" w:eastAsia="Arial" w:hAnsi="Arial"/>
          <w:sz w:val="17"/>
          <w:szCs w:val="17"/>
          <w:color w:val="auto"/>
        </w:rPr>
      </w:pPr>
    </w:p>
    <w:p>
      <w:pPr>
        <w:jc w:val="both"/>
        <w:ind w:firstLine="1139"/>
        <w:spacing w:after="0" w:line="271" w:lineRule="auto"/>
        <w:tabs>
          <w:tab w:leader="none" w:pos="145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1" w:lineRule="exact"/>
        <w:rPr>
          <w:sz w:val="20"/>
          <w:szCs w:val="20"/>
          <w:color w:val="auto"/>
        </w:rPr>
      </w:pPr>
    </w:p>
    <w:p>
      <w:pPr>
        <w:ind w:firstLine="572"/>
        <w:spacing w:after="0" w:line="280"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52" w:lineRule="exact"/>
        <w:rPr>
          <w:sz w:val="20"/>
          <w:szCs w:val="20"/>
          <w:color w:val="auto"/>
        </w:rPr>
      </w:pPr>
    </w:p>
    <w:p>
      <w:pPr>
        <w:jc w:val="both"/>
        <w:ind w:firstLine="567"/>
        <w:spacing w:after="0" w:line="268" w:lineRule="auto"/>
        <w:tabs>
          <w:tab w:leader="none" w:pos="83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55" w:lineRule="exact"/>
        <w:rPr>
          <w:rFonts w:ascii="Arial" w:cs="Arial" w:eastAsia="Arial" w:hAnsi="Arial"/>
          <w:sz w:val="16"/>
          <w:szCs w:val="16"/>
          <w:color w:val="auto"/>
        </w:rPr>
      </w:pPr>
    </w:p>
    <w:p>
      <w:pPr>
        <w:jc w:val="both"/>
        <w:ind w:firstLine="567"/>
        <w:spacing w:after="0" w:line="264" w:lineRule="auto"/>
        <w:tabs>
          <w:tab w:leader="none" w:pos="819"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3" w:lineRule="exact"/>
        <w:rPr>
          <w:rFonts w:ascii="Arial" w:cs="Arial" w:eastAsia="Arial" w:hAnsi="Arial"/>
          <w:sz w:val="17"/>
          <w:szCs w:val="17"/>
          <w:color w:val="auto"/>
        </w:rPr>
      </w:pPr>
    </w:p>
    <w:p>
      <w:pPr>
        <w:ind w:left="780" w:hanging="213"/>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2.17, the term “Lender” includes any Issuing Bank and the term “applicable law” includes FATCA.</w:t>
      </w:r>
    </w:p>
    <w:p>
      <w:pPr>
        <w:spacing w:after="0" w:line="209" w:lineRule="exact"/>
        <w:rPr>
          <w:sz w:val="20"/>
          <w:szCs w:val="20"/>
          <w:color w:val="auto"/>
        </w:rPr>
      </w:pPr>
    </w:p>
    <w:p>
      <w:pPr>
        <w:jc w:val="both"/>
        <w:ind w:firstLine="572"/>
        <w:spacing w:after="0" w:line="204" w:lineRule="exact"/>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 (1) The Borrowers shall make each payment required to be made by them hereunder (whether of principal, interest, fees or reimbursement of LC Disbursements, or of amounts payable under Section 2.15, 2.16 or 2.17, or otherwise) prior to 2:00 p.m., Chicago time, on the date when due, in immediately available funds, without set</w:t>
      </w:r>
      <w:r>
        <w:rPr>
          <w:rFonts w:ascii="MS PGothic" w:cs="MS PGothic" w:eastAsia="MS PGothic" w:hAnsi="MS PGothic"/>
          <w:sz w:val="16"/>
          <w:szCs w:val="16"/>
          <w:color w:val="auto"/>
        </w:rPr>
        <w:t>‑</w:t>
      </w:r>
      <w:r>
        <w:rPr>
          <w:rFonts w:ascii="Arial" w:cs="Arial" w:eastAsia="Arial" w:hAnsi="Arial"/>
          <w:sz w:val="16"/>
          <w:szCs w:val="16"/>
          <w:color w:val="auto"/>
        </w:rPr>
        <w:t>off or counterclaim. Any amounts received after such time on any date may, in the discretion of the Administrative Agent or the Canadian Administrative Agent, as applicable, be deemed to have been received on the next succeeding Business Day for purposes of calculating interest thereon. All such payments shall be made to the Administrative Agent at its offices at 10 South Dearborn Street, 22nd Floor, Chicago, Illinois, except (i) payments of principal, interest, fees or reimbursements of LC Disbursements relating to any Canadian Loan or Canadian Letter of Credit shall be made to the Canadian Administrative Agent at its offices at 200 Bay Street, Royal Bank Plaza, Floor 18, Toronto M57 2J2 Canada, (ii) payments to be made directly to an Issuing Bank or Swingline Lender as expressly provided herein shall be made to such Issuing Bank or Swingline Lender, and (iii) payments pursuant to Sections 2.15, 2.16, 2.17 and 9.03 shall be made directly to the Persons entitled thereto. Each of the Administrative Agent and the Canadian Administrative Agent shall distribute any such payments received by it for the account of any other Person to the appropriate recipient, in like funds,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(subject to the proviso set forth in the first sentence of Section 1.05), and, if not otherwise specified, in dollars.</w:t>
      </w:r>
    </w:p>
    <w:p>
      <w:pPr>
        <w:spacing w:after="0" w:line="206" w:lineRule="exact"/>
        <w:rPr>
          <w:sz w:val="20"/>
          <w:szCs w:val="20"/>
          <w:color w:val="auto"/>
        </w:rPr>
      </w:pPr>
    </w:p>
    <w:p>
      <w:pPr>
        <w:jc w:val="both"/>
        <w:ind w:firstLine="1139"/>
        <w:spacing w:after="0" w:line="317" w:lineRule="auto"/>
        <w:tabs>
          <w:tab w:leader="none" w:pos="1609" w:val="left"/>
        </w:tabs>
        <w:numPr>
          <w:ilvl w:val="0"/>
          <w:numId w:val="56"/>
        </w:numPr>
        <w:rPr>
          <w:rFonts w:ascii="Arial" w:cs="Arial" w:eastAsia="Arial" w:hAnsi="Arial"/>
          <w:sz w:val="16"/>
          <w:szCs w:val="16"/>
          <w:color w:val="auto"/>
        </w:rPr>
      </w:pPr>
      <w:r>
        <w:rPr>
          <w:rFonts w:ascii="Arial" w:cs="Arial" w:eastAsia="Arial" w:hAnsi="Arial"/>
          <w:sz w:val="15"/>
          <w:szCs w:val="15"/>
          <w:color w:val="auto"/>
        </w:rPr>
        <w:t xml:space="preserve">Subject to the terms of the ABL-Term Loan Intercreditor Agreement and to Section 12.01, any proceeds of Collateral received by the Administrative Agent or the Canadian Administrative Agent after an Event of Default has occurred and is continuing and the Administrative Agent or the Canadian Administrative Agent so elects, or the Required Lenders so direct, shall be applied ratably (based in respect of each of the following separate categories, computed independently of the other categories, on each Lender Party’s interest in the aggregate specific type of outstanding Secured Obligations described within (and only within) each specific category of Secured Obligations listed respectively below)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pay any fees, indemnities, or expense reimbursements including amounts then due to the Administrative Agent, the Canadian Administrative Agent, and each Issuing Bank from the Borrowers (other than in connection with Banking Services or Swap Agreement Obligations),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pay any fees or expense reimbursements then due to the Lenders from the Borrowers (other than in connection with Banking Services or Swap Agreement Obligations),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pay interest due in respect of Swingline Loans, Overadvances and Protective Advances,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to pay the principal of Swingline Loans, Overadvances and Protective Advances,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to pay interest then due and payable on the Loans (other than Swingline Loans, Overadvances and Protective Advances),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prepay principal on the Loans (other than Swingline Loans, Overadvances and Protective Advances) and unreimbursed LC Disbursements,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to pay an amount to the Administrative Agent equal to one hundred three percent (103%) of the U.S. LC Exposure, and to pay an amount to the Canadian Administrative Agent equal to one hundred three percent (103%) of the Canadian LC Exposure, to be held as cash collateral for such Obligations, </w:t>
      </w:r>
      <w:r>
        <w:rPr>
          <w:rFonts w:ascii="Arial" w:cs="Arial" w:eastAsia="Arial" w:hAnsi="Arial"/>
          <w:sz w:val="15"/>
          <w:szCs w:val="15"/>
          <w:u w:val="single" w:color="auto"/>
          <w:color w:val="auto"/>
        </w:rPr>
        <w:t>eighth</w:t>
      </w:r>
      <w:r>
        <w:rPr>
          <w:rFonts w:ascii="Arial" w:cs="Arial" w:eastAsia="Arial" w:hAnsi="Arial"/>
          <w:sz w:val="15"/>
          <w:szCs w:val="15"/>
          <w:color w:val="auto"/>
        </w:rPr>
        <w:t xml:space="preserve">, to pay any amounts owing to the Lenders and their Affiliates with respect to Specified Foreign Credit Extensions up to and including the amount most recently provided to the Administrative Agent pursuant to Section 2.22, </w:t>
      </w:r>
      <w:r>
        <w:rPr>
          <w:rFonts w:ascii="Arial" w:cs="Arial" w:eastAsia="Arial" w:hAnsi="Arial"/>
          <w:sz w:val="15"/>
          <w:szCs w:val="15"/>
          <w:u w:val="single" w:color="auto"/>
          <w:color w:val="auto"/>
        </w:rPr>
        <w:t>ninth</w:t>
      </w:r>
      <w:r>
        <w:rPr>
          <w:rFonts w:ascii="Arial" w:cs="Arial" w:eastAsia="Arial" w:hAnsi="Arial"/>
          <w:sz w:val="15"/>
          <w:szCs w:val="15"/>
          <w:color w:val="auto"/>
        </w:rPr>
        <w:t xml:space="preserve">, to pay any amounts owing to the Lenders and their Affiliates with respect to Banking Services up to and including the amount most recently provided to the Administrative Agent pursuant to Section 2.22, Swap Agreement Obligations up to and including the amount most recently provided to the Administrative Agent pursuant to Section 2.22 and Foreign Credit Extensions (other than Specified Foreign Credit Extensions), and </w:t>
      </w:r>
      <w:r>
        <w:rPr>
          <w:rFonts w:ascii="Arial" w:cs="Arial" w:eastAsia="Arial" w:hAnsi="Arial"/>
          <w:sz w:val="15"/>
          <w:szCs w:val="15"/>
          <w:u w:val="single" w:color="auto"/>
          <w:color w:val="auto"/>
        </w:rPr>
        <w:t>tenth</w:t>
      </w:r>
      <w:r>
        <w:rPr>
          <w:rFonts w:ascii="Arial" w:cs="Arial" w:eastAsia="Arial" w:hAnsi="Arial"/>
          <w:sz w:val="15"/>
          <w:szCs w:val="15"/>
          <w:color w:val="auto"/>
        </w:rPr>
        <w:t>, to pay any other Secured Obligation due to the Administrative Agent, the Canadian Administrative</w:t>
      </w:r>
    </w:p>
    <w:p>
      <w:pPr>
        <w:sectPr>
          <w:pgSz w:w="11900" w:h="16949" w:orient="portrait"/>
          <w:cols w:equalWidth="0" w:num="1">
            <w:col w:w="11440"/>
          </w:cols>
          <w:pgMar w:left="240" w:top="124" w:right="219" w:bottom="0" w:gutter="0" w:footer="0" w:header="0"/>
        </w:sectPr>
      </w:pPr>
    </w:p>
    <w:bookmarkStart w:id="44" w:name="page45"/>
    <w:bookmarkEnd w:id="44"/>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Agent or any Lender by the Borrowers. Notwithstanding anything to the contrary contained in this Agreement, unless so directed by the Borrower Representative, or unless an Event of Default is in existence, neither the Administrative Agent, the Canadian Administrative Agent, nor any Lender shall apply any payment which it receives to any Eurodollar Loan or CDOR Rate Loan of a Class, except (a) on the expiration date of the Interest Period applicable to any such Eurodollar Loan or such CDOR Rate Loan or (b) in the event, and only to the extent, with respect to CDOR Rate Loans, that there are no outstanding Canadian Prime Rate Loans of the same Class, and with respect to Eurodollar Loans, that there are no outstanding ABR Loans of the same Class and, in any such event, the Borrowers shall pay the break funding payment required in accordance with Section 2.16. The Administrative Agent, the Canadian Administrative Agent and the Lenders shall have the continuing and exclusive right to apply and reverse and reapply any and all such proceeds and payments to any portion of the Secured Obligations. Notwithstanding the foregoing but subject to Section 9.20, any such application of proceeds from Collateral securing solely the Canadian Obligations shall be made solely in respect of Canadian Obligations.</w:t>
      </w:r>
    </w:p>
    <w:p>
      <w:pPr>
        <w:spacing w:after="0" w:line="180" w:lineRule="exact"/>
        <w:rPr>
          <w:sz w:val="20"/>
          <w:szCs w:val="20"/>
          <w:color w:val="auto"/>
        </w:rPr>
      </w:pPr>
    </w:p>
    <w:p>
      <w:pPr>
        <w:jc w:val="both"/>
        <w:ind w:firstLine="1139"/>
        <w:spacing w:after="0" w:line="319" w:lineRule="auto"/>
        <w:tabs>
          <w:tab w:leader="none" w:pos="1525" w:val="left"/>
        </w:tabs>
        <w:numPr>
          <w:ilvl w:val="0"/>
          <w:numId w:val="57"/>
        </w:numPr>
        <w:rPr>
          <w:rFonts w:ascii="Arial" w:cs="Arial" w:eastAsia="Arial" w:hAnsi="Arial"/>
          <w:sz w:val="16"/>
          <w:szCs w:val="16"/>
          <w:color w:val="auto"/>
        </w:rPr>
      </w:pPr>
      <w:r>
        <w:rPr>
          <w:rFonts w:ascii="Arial" w:cs="Arial" w:eastAsia="Arial" w:hAnsi="Arial"/>
          <w:sz w:val="15"/>
          <w:szCs w:val="15"/>
          <w:color w:val="auto"/>
        </w:rPr>
        <w:t>At the election of the Administrative Agent or the Canadian Administrative Agent, as the case may be,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or the Canadian Administrative Agent. Each Borrower hereby irrevocably authorizes (i) the Administrative Agent or the Canadian Administrative Agent, as applicable,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Sections 2.03, 2.04 or 2.05, as applicable and (ii) the Administrative Agent or the Canadian Administrative Agent, as applicable, to charge any deposit account of any Borrower maintained with the Administrative Agent or the Canadian Administrative Agent, as applicable, for each payment of principal, interest and fees as it becomes due hereunder or any other amount due under the Loan Documents.</w:t>
      </w:r>
    </w:p>
    <w:p>
      <w:pPr>
        <w:spacing w:after="0" w:line="155" w:lineRule="exact"/>
        <w:rPr>
          <w:rFonts w:ascii="Arial" w:cs="Arial" w:eastAsia="Arial" w:hAnsi="Arial"/>
          <w:sz w:val="16"/>
          <w:szCs w:val="16"/>
          <w:color w:val="auto"/>
        </w:rPr>
      </w:pPr>
    </w:p>
    <w:p>
      <w:pPr>
        <w:jc w:val="both"/>
        <w:ind w:firstLine="1139"/>
        <w:spacing w:after="0" w:line="226" w:lineRule="exact"/>
        <w:tabs>
          <w:tab w:leader="none" w:pos="1538" w:val="left"/>
        </w:tabs>
        <w:numPr>
          <w:ilvl w:val="0"/>
          <w:numId w:val="57"/>
        </w:numPr>
        <w:rPr>
          <w:rFonts w:ascii="Arial" w:cs="Arial" w:eastAsia="Arial" w:hAnsi="Arial"/>
          <w:sz w:val="18"/>
          <w:szCs w:val="18"/>
          <w:color w:val="auto"/>
        </w:rPr>
      </w:pPr>
      <w:r>
        <w:rPr>
          <w:rFonts w:ascii="Arial" w:cs="Arial" w:eastAsia="Arial" w:hAnsi="Arial"/>
          <w:sz w:val="16"/>
          <w:szCs w:val="16"/>
          <w:color w:val="auto"/>
        </w:rPr>
        <w:t>If any Lender shall, by exercising any right of set</w:t>
      </w:r>
      <w:r>
        <w:rPr>
          <w:rFonts w:ascii="MS PGothic" w:cs="MS PGothic" w:eastAsia="MS PGothic" w:hAnsi="MS PGothic"/>
          <w:sz w:val="16"/>
          <w:szCs w:val="16"/>
          <w:color w:val="auto"/>
        </w:rPr>
        <w:t>‑</w:t>
      </w:r>
      <w:r>
        <w:rPr>
          <w:rFonts w:ascii="Arial" w:cs="Arial" w:eastAsia="Arial" w:hAnsi="Arial"/>
          <w:sz w:val="16"/>
          <w:szCs w:val="16"/>
          <w:color w:val="auto"/>
        </w:rPr>
        <w:t xml:space="preserve">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17" w:lineRule="exact"/>
        <w:rPr>
          <w:rFonts w:ascii="Arial" w:cs="Arial" w:eastAsia="Arial" w:hAnsi="Arial"/>
          <w:sz w:val="18"/>
          <w:szCs w:val="18"/>
          <w:color w:val="auto"/>
        </w:rPr>
      </w:pPr>
    </w:p>
    <w:p>
      <w:pPr>
        <w:jc w:val="both"/>
        <w:ind w:firstLine="1139"/>
        <w:spacing w:after="0" w:line="296" w:lineRule="auto"/>
        <w:tabs>
          <w:tab w:leader="none" w:pos="1537" w:val="left"/>
        </w:tabs>
        <w:numPr>
          <w:ilvl w:val="0"/>
          <w:numId w:val="57"/>
        </w:numPr>
        <w:rPr>
          <w:rFonts w:ascii="Arial" w:cs="Arial" w:eastAsia="Arial" w:hAnsi="Arial"/>
          <w:sz w:val="18"/>
          <w:szCs w:val="18"/>
          <w:color w:val="auto"/>
        </w:rPr>
      </w:pPr>
      <w:r>
        <w:rPr>
          <w:rFonts w:ascii="Arial" w:cs="Arial" w:eastAsia="Arial" w:hAnsi="Arial"/>
          <w:sz w:val="16"/>
          <w:szCs w:val="16"/>
          <w:color w:val="auto"/>
        </w:rPr>
        <w:t>Unless the Administrative Agent shall have received notice from the Borrower Representative prior to the date on which any payment is due to the Administrative Agent or the Canadian Administrative Agent, as applicable, for the account of the Lenders or an Issuing Bank hereunder that the Borrowers will not make such payment, the Administrative Agent or the Canadian Administrative Agent, as applicable, may assume that the Borrowers have made such payment on such date in accordance herewith and may, in reliance upon such assumption, distribute to the Lenders or the Issuing Banks, as the case may be, the amount due. In such event, if the Borrowers have not in fact made such payment, then each of the Lenders or the Issuing Banks, as the case may be, severally agrees to repay to the Administrative Agent or the Canadian Administrative Agent, as applicable, forthwith on demand the amount so distributed to such Lender or such Issuing Bank with interest thereon, for each day from and including the date such amount is distributed to it to but excluding the date of payment to the Administrative Agent or the Canadian Administrative Agent, at the greater of the Federal Funds Effective Rate and a rate determined by the Administrative Agent or the Canadian Administrative Agent, as applicable, in accordance with banking industry rules on interbank compensation.</w:t>
      </w:r>
    </w:p>
    <w:p>
      <w:pPr>
        <w:spacing w:after="0" w:line="169" w:lineRule="exact"/>
        <w:rPr>
          <w:rFonts w:ascii="Arial" w:cs="Arial" w:eastAsia="Arial" w:hAnsi="Arial"/>
          <w:sz w:val="18"/>
          <w:szCs w:val="18"/>
          <w:color w:val="auto"/>
        </w:rPr>
      </w:pPr>
    </w:p>
    <w:p>
      <w:pPr>
        <w:jc w:val="both"/>
        <w:ind w:firstLine="1139"/>
        <w:spacing w:after="0" w:line="277" w:lineRule="auto"/>
        <w:tabs>
          <w:tab w:leader="none" w:pos="1585" w:val="left"/>
        </w:tabs>
        <w:numPr>
          <w:ilvl w:val="0"/>
          <w:numId w:val="57"/>
        </w:numPr>
        <w:rPr>
          <w:rFonts w:ascii="Arial" w:cs="Arial" w:eastAsia="Arial" w:hAnsi="Arial"/>
          <w:sz w:val="19"/>
          <w:szCs w:val="19"/>
          <w:color w:val="auto"/>
        </w:rPr>
      </w:pPr>
      <w:r>
        <w:rPr>
          <w:rFonts w:ascii="Arial" w:cs="Arial" w:eastAsia="Arial" w:hAnsi="Arial"/>
          <w:sz w:val="17"/>
          <w:szCs w:val="17"/>
          <w:color w:val="auto"/>
        </w:rPr>
        <w:t>If any Lender shall fail to make any payment required to be made by it hereunder, then the Administrative Agent and, if applicable, the Canadian Administrative Agent, may, in its discretion (notwithstanding any contrary provision hereof), (i) apply any amounts thereafter received by the Administrative Agent or the Canadian Administrative Agent, as applicable,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or the Canadian Administrative Agent, as applicable, in its discretion.</w:t>
      </w:r>
    </w:p>
    <w:p>
      <w:pPr>
        <w:spacing w:after="0" w:line="180" w:lineRule="exact"/>
        <w:rPr>
          <w:rFonts w:ascii="Arial" w:cs="Arial" w:eastAsia="Arial" w:hAnsi="Arial"/>
          <w:sz w:val="19"/>
          <w:szCs w:val="19"/>
          <w:color w:val="auto"/>
        </w:rPr>
      </w:pPr>
    </w:p>
    <w:p>
      <w:pPr>
        <w:ind w:right="20" w:firstLine="1139"/>
        <w:spacing w:after="0" w:line="314" w:lineRule="auto"/>
        <w:tabs>
          <w:tab w:leader="none" w:pos="1588" w:val="left"/>
        </w:tabs>
        <w:numPr>
          <w:ilvl w:val="0"/>
          <w:numId w:val="57"/>
        </w:numPr>
        <w:rPr>
          <w:rFonts w:ascii="Arial" w:cs="Arial" w:eastAsia="Arial" w:hAnsi="Arial"/>
          <w:sz w:val="18"/>
          <w:szCs w:val="18"/>
          <w:color w:val="auto"/>
        </w:rPr>
      </w:pPr>
      <w:r>
        <w:rPr>
          <w:rFonts w:ascii="Arial" w:cs="Arial" w:eastAsia="Arial" w:hAnsi="Arial"/>
          <w:sz w:val="16"/>
          <w:szCs w:val="16"/>
          <w:color w:val="auto"/>
        </w:rPr>
        <w:t>Notwithstanding the foregoing, unless requested otherwise by the Canadian Borrowers (i) no Borrowings shall be made to a Canadian Borrower for the purpose of paying any U.S. Obligations; and (ii) deposit accounts of the Canadian Borrowers may only be charged to pay Canadian Obligations.</w:t>
      </w:r>
    </w:p>
    <w:p>
      <w:pPr>
        <w:spacing w:after="0" w:line="120"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2" w:lineRule="exact"/>
        <w:rPr>
          <w:sz w:val="20"/>
          <w:szCs w:val="20"/>
          <w:color w:val="auto"/>
        </w:rPr>
      </w:pPr>
    </w:p>
    <w:p>
      <w:pPr>
        <w:jc w:val="both"/>
        <w:ind w:firstLine="1139"/>
        <w:spacing w:after="0" w:line="324" w:lineRule="auto"/>
        <w:tabs>
          <w:tab w:leader="none" w:pos="1514" w:val="left"/>
        </w:tabs>
        <w:numPr>
          <w:ilvl w:val="0"/>
          <w:numId w:val="58"/>
        </w:numPr>
        <w:rPr>
          <w:rFonts w:ascii="Arial" w:cs="Arial" w:eastAsia="Arial" w:hAnsi="Arial"/>
          <w:sz w:val="16"/>
          <w:szCs w:val="16"/>
          <w:color w:val="auto"/>
        </w:rPr>
      </w:pPr>
      <w:r>
        <w:rPr>
          <w:rFonts w:ascii="Arial" w:cs="Arial" w:eastAsia="Arial" w:hAnsi="Arial"/>
          <w:sz w:val="15"/>
          <w:szCs w:val="15"/>
          <w:color w:val="auto"/>
        </w:rPr>
        <w:t>If any Lender requests compensation under Section 2.14 or 2.15, or if the Borrowers are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2.15 or 2.17, as the case may be, in the future and (ii) would not subject such Lender to any unreimbursed cost or expense and would not otherwise be disadvantageous to such Lender. The U.S. Borrowers hereby agree to pay all reasonable costs and expenses incurred by any Lender in connection with any such designation or assignment.</w:t>
      </w:r>
    </w:p>
    <w:p>
      <w:pPr>
        <w:spacing w:after="0" w:line="148" w:lineRule="exact"/>
        <w:rPr>
          <w:rFonts w:ascii="Arial" w:cs="Arial" w:eastAsia="Arial" w:hAnsi="Arial"/>
          <w:sz w:val="16"/>
          <w:szCs w:val="16"/>
          <w:color w:val="auto"/>
        </w:rPr>
      </w:pPr>
    </w:p>
    <w:p>
      <w:pPr>
        <w:jc w:val="both"/>
        <w:ind w:firstLine="1139"/>
        <w:spacing w:after="0" w:line="296" w:lineRule="auto"/>
        <w:tabs>
          <w:tab w:leader="none" w:pos="1525" w:val="left"/>
        </w:tabs>
        <w:numPr>
          <w:ilvl w:val="0"/>
          <w:numId w:val="58"/>
        </w:numPr>
        <w:rPr>
          <w:rFonts w:ascii="Arial" w:cs="Arial" w:eastAsia="Arial" w:hAnsi="Arial"/>
          <w:sz w:val="18"/>
          <w:szCs w:val="18"/>
          <w:color w:val="auto"/>
        </w:rPr>
      </w:pPr>
      <w:r>
        <w:rPr>
          <w:rFonts w:ascii="Arial" w:cs="Arial" w:eastAsia="Arial" w:hAnsi="Arial"/>
          <w:sz w:val="16"/>
          <w:szCs w:val="16"/>
          <w:color w:val="auto"/>
        </w:rPr>
        <w:t xml:space="preserve">If any Lender requests compensation under Section 2.14 or 2.15, or if the Borrowers are required to pay any additional amount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Borrowers shall have received the prior written consent of the Administrative Agent and the Issuing Banks,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2.14 or 2.15 or</w:t>
      </w:r>
    </w:p>
    <w:p>
      <w:pPr>
        <w:sectPr>
          <w:pgSz w:w="11900" w:h="16895" w:orient="portrait"/>
          <w:cols w:equalWidth="0" w:num="1">
            <w:col w:w="11440"/>
          </w:cols>
          <w:pgMar w:left="240" w:top="137" w:right="219" w:bottom="0" w:gutter="0" w:footer="0" w:header="0"/>
        </w:sectPr>
      </w:pPr>
    </w:p>
    <w:bookmarkStart w:id="45" w:name="page46"/>
    <w:bookmarkEnd w:id="45"/>
    <w:p>
      <w:pPr>
        <w:spacing w:after="0" w:line="9" w:lineRule="exact"/>
        <w:rPr>
          <w:sz w:val="20"/>
          <w:szCs w:val="20"/>
          <w:color w:val="auto"/>
        </w:rPr>
      </w:pPr>
    </w:p>
    <w:p>
      <w:pPr>
        <w:jc w:val="both"/>
        <w:ind w:right="20"/>
        <w:spacing w:after="0" w:line="293" w:lineRule="auto"/>
        <w:rPr>
          <w:sz w:val="20"/>
          <w:szCs w:val="20"/>
          <w:color w:val="auto"/>
        </w:rPr>
      </w:pPr>
      <w:r>
        <w:rPr>
          <w:rFonts w:ascii="Arial" w:cs="Arial" w:eastAsia="Arial" w:hAnsi="Arial"/>
          <w:sz w:val="17"/>
          <w:szCs w:val="17"/>
          <w:color w:val="auto"/>
        </w:rPr>
        <w:t>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66" w:lineRule="exact"/>
        <w:rPr>
          <w:sz w:val="20"/>
          <w:szCs w:val="20"/>
          <w:color w:val="auto"/>
        </w:rPr>
      </w:pPr>
    </w:p>
    <w:p>
      <w:pPr>
        <w:jc w:val="both"/>
        <w:ind w:right="20" w:firstLine="1139"/>
        <w:spacing w:after="0" w:line="277" w:lineRule="auto"/>
        <w:tabs>
          <w:tab w:leader="none" w:pos="1514" w:val="left"/>
        </w:tabs>
        <w:numPr>
          <w:ilvl w:val="0"/>
          <w:numId w:val="59"/>
        </w:numPr>
        <w:rPr>
          <w:rFonts w:ascii="Arial" w:cs="Arial" w:eastAsia="Arial" w:hAnsi="Arial"/>
          <w:sz w:val="19"/>
          <w:szCs w:val="19"/>
          <w:color w:val="auto"/>
        </w:rPr>
      </w:pPr>
      <w:r>
        <w:rPr>
          <w:rFonts w:ascii="Arial" w:cs="Arial" w:eastAsia="Arial" w:hAnsi="Arial"/>
          <w:sz w:val="17"/>
          <w:szCs w:val="17"/>
          <w:color w:val="auto"/>
        </w:rPr>
        <w:t>If any Lender requests compensation under Section 2.14 or 2.15, or if the Borrowers are required to pay any additional amount to any Lender or any Governmental Authority for the account of any Lender pursuant to Section 2.17, the Lender shall first use reasonable efforts to mitigate its costs or the effects of the applicable law or Change in Law, and any request for additional compensation shall specify in sufficient detail the reasons therefor and the mitigating actions taken.</w:t>
      </w:r>
    </w:p>
    <w:p>
      <w:pPr>
        <w:spacing w:after="0" w:line="155" w:lineRule="exact"/>
        <w:rPr>
          <w:sz w:val="20"/>
          <w:szCs w:val="20"/>
          <w:color w:val="auto"/>
        </w:rPr>
      </w:pPr>
    </w:p>
    <w:p>
      <w:pPr>
        <w:ind w:right="20" w:firstLine="572"/>
        <w:spacing w:after="0" w:line="280"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Defaulting Lenders</w:t>
      </w:r>
      <w:r>
        <w:rPr>
          <w:rFonts w:ascii="Arial" w:cs="Arial" w:eastAsia="Arial" w:hAnsi="Arial"/>
          <w:sz w:val="17"/>
          <w:szCs w:val="17"/>
          <w:color w:val="auto"/>
        </w:rPr>
        <w:t>. Notwithstanding any provision of this Agreement to the contrary, if any Lender becomes a Defaulting Lender, then the following provisions shall apply for so long as such Lender is a Defaulting Lender:</w:t>
      </w:r>
    </w:p>
    <w:p>
      <w:pPr>
        <w:spacing w:after="0" w:line="163" w:lineRule="exact"/>
        <w:rPr>
          <w:sz w:val="20"/>
          <w:szCs w:val="20"/>
          <w:color w:val="auto"/>
        </w:rPr>
      </w:pPr>
    </w:p>
    <w:p>
      <w:pPr>
        <w:ind w:left="1500" w:hanging="361"/>
        <w:spacing w:after="0"/>
        <w:tabs>
          <w:tab w:leader="none" w:pos="1500" w:val="left"/>
        </w:tabs>
        <w:numPr>
          <w:ilvl w:val="0"/>
          <w:numId w:val="60"/>
        </w:numPr>
        <w:rPr>
          <w:rFonts w:ascii="Arial" w:cs="Arial" w:eastAsia="Arial" w:hAnsi="Arial"/>
          <w:sz w:val="18"/>
          <w:szCs w:val="18"/>
          <w:color w:val="auto"/>
        </w:rPr>
      </w:pPr>
      <w:r>
        <w:rPr>
          <w:rFonts w:ascii="Arial" w:cs="Arial" w:eastAsia="Arial" w:hAnsi="Arial"/>
          <w:sz w:val="16"/>
          <w:szCs w:val="16"/>
          <w:color w:val="auto"/>
        </w:rPr>
        <w:t>fees shall cease to accrue on the unfunded portion of the Revolving Commitment of such Defaulting Lender pursuant to Section 2.12(a);</w:t>
      </w:r>
    </w:p>
    <w:p>
      <w:pPr>
        <w:spacing w:after="0" w:line="221" w:lineRule="exact"/>
        <w:rPr>
          <w:rFonts w:ascii="Arial" w:cs="Arial" w:eastAsia="Arial" w:hAnsi="Arial"/>
          <w:sz w:val="18"/>
          <w:szCs w:val="18"/>
          <w:color w:val="auto"/>
        </w:rPr>
      </w:pPr>
    </w:p>
    <w:p>
      <w:pPr>
        <w:jc w:val="both"/>
        <w:ind w:firstLine="1139"/>
        <w:spacing w:after="0" w:line="298" w:lineRule="auto"/>
        <w:tabs>
          <w:tab w:leader="none" w:pos="1537" w:val="left"/>
        </w:tabs>
        <w:numPr>
          <w:ilvl w:val="0"/>
          <w:numId w:val="60"/>
        </w:numPr>
        <w:rPr>
          <w:rFonts w:ascii="Arial" w:cs="Arial" w:eastAsia="Arial" w:hAnsi="Arial"/>
          <w:sz w:val="18"/>
          <w:szCs w:val="18"/>
          <w:color w:val="auto"/>
        </w:rPr>
      </w:pPr>
      <w:r>
        <w:rPr>
          <w:rFonts w:ascii="Arial" w:cs="Arial" w:eastAsia="Arial" w:hAnsi="Arial"/>
          <w:sz w:val="16"/>
          <w:szCs w:val="16"/>
          <w:color w:val="auto"/>
        </w:rPr>
        <w:t xml:space="preserve">such Defaulting Lender shall not have the right to vote on any issue on which voting is required (other than to the extent expressly provided in Section 9.02(b)) and the Revolving Commitment and Credit Exposure of such Defaulting Lender shall not be included in determining whether all Lenders or the Required Lenders or the Supermajority Revolving Lenders have 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each affected Lender which affects such Defaulting Lender differently than other affected Lenders shall require the consent of such Defaulting Lender;</w:t>
      </w:r>
    </w:p>
    <w:p>
      <w:pPr>
        <w:spacing w:after="0" w:line="163" w:lineRule="exact"/>
        <w:rPr>
          <w:rFonts w:ascii="Arial" w:cs="Arial" w:eastAsia="Arial" w:hAnsi="Arial"/>
          <w:sz w:val="18"/>
          <w:szCs w:val="18"/>
          <w:color w:val="auto"/>
        </w:rPr>
      </w:pPr>
    </w:p>
    <w:p>
      <w:pPr>
        <w:ind w:left="1500" w:hanging="361"/>
        <w:spacing w:after="0"/>
        <w:tabs>
          <w:tab w:leader="none" w:pos="1500" w:val="left"/>
        </w:tabs>
        <w:numPr>
          <w:ilvl w:val="0"/>
          <w:numId w:val="60"/>
        </w:numPr>
        <w:rPr>
          <w:rFonts w:ascii="Arial" w:cs="Arial" w:eastAsia="Arial" w:hAnsi="Arial"/>
          <w:sz w:val="19"/>
          <w:szCs w:val="19"/>
          <w:color w:val="auto"/>
        </w:rPr>
      </w:pPr>
      <w:r>
        <w:rPr>
          <w:rFonts w:ascii="Arial" w:cs="Arial" w:eastAsia="Arial" w:hAnsi="Arial"/>
          <w:sz w:val="17"/>
          <w:szCs w:val="17"/>
          <w:color w:val="auto"/>
        </w:rPr>
        <w:t>if any Swingline Exposure or LC Exposure exists at the time a Lender becomes a Defaulting Lender then:</w:t>
      </w:r>
    </w:p>
    <w:p>
      <w:pPr>
        <w:spacing w:after="0" w:line="210" w:lineRule="exact"/>
        <w:rPr>
          <w:sz w:val="20"/>
          <w:szCs w:val="20"/>
          <w:color w:val="auto"/>
        </w:rPr>
      </w:pPr>
    </w:p>
    <w:p>
      <w:pPr>
        <w:jc w:val="both"/>
        <w:ind w:left="560" w:firstLine="579"/>
        <w:spacing w:after="0" w:line="298" w:lineRule="auto"/>
        <w:tabs>
          <w:tab w:leader="none" w:pos="1470" w:val="left"/>
        </w:tabs>
        <w:numPr>
          <w:ilvl w:val="0"/>
          <w:numId w:val="61"/>
        </w:numPr>
        <w:rPr>
          <w:rFonts w:ascii="Arial" w:cs="Arial" w:eastAsia="Arial" w:hAnsi="Arial"/>
          <w:sz w:val="18"/>
          <w:szCs w:val="18"/>
          <w:color w:val="auto"/>
        </w:rPr>
      </w:pPr>
      <w:r>
        <w:rPr>
          <w:rFonts w:ascii="Arial" w:cs="Arial" w:eastAsia="Arial" w:hAnsi="Arial"/>
          <w:sz w:val="16"/>
          <w:szCs w:val="16"/>
          <w:color w:val="auto"/>
        </w:rPr>
        <w:t>all or any part of the Swingline Exposure and LC Exposure of such Defaulting Lender shall be reallocated among the non-Defaulting Lenders in accordance with their respective Applicable Percentages but only (x) to the extent that the conditions set forth in Section 4.02 are satisfied at the time of such reallocation (and, unless the Borrower Representative shall have otherwise notified the Administrative Agent at such time, the Borrowers shall be deemed to have represented that such conditions are satisfied at such time) and (y) to the extent the sum of all non-Defaulting Lenders’ Credit Exposures plus such Defaulting Lender’s Swingline Exposure and LC Exposure does not exceed the total of all non-Defaulting Lenders’ Revolving Commitments;</w:t>
      </w:r>
    </w:p>
    <w:p>
      <w:pPr>
        <w:spacing w:after="0" w:line="163" w:lineRule="exact"/>
        <w:rPr>
          <w:rFonts w:ascii="Arial" w:cs="Arial" w:eastAsia="Arial" w:hAnsi="Arial"/>
          <w:sz w:val="18"/>
          <w:szCs w:val="18"/>
          <w:color w:val="auto"/>
        </w:rPr>
      </w:pPr>
    </w:p>
    <w:p>
      <w:pPr>
        <w:jc w:val="both"/>
        <w:ind w:left="560" w:right="20" w:firstLine="579"/>
        <w:spacing w:after="0" w:line="277" w:lineRule="auto"/>
        <w:tabs>
          <w:tab w:leader="none" w:pos="1607" w:val="left"/>
        </w:tabs>
        <w:numPr>
          <w:ilvl w:val="0"/>
          <w:numId w:val="61"/>
        </w:numPr>
        <w:rPr>
          <w:rFonts w:ascii="Arial" w:cs="Arial" w:eastAsia="Arial" w:hAnsi="Arial"/>
          <w:sz w:val="19"/>
          <w:szCs w:val="19"/>
          <w:color w:val="auto"/>
        </w:rPr>
      </w:pPr>
      <w:r>
        <w:rPr>
          <w:rFonts w:ascii="Arial" w:cs="Arial" w:eastAsia="Arial" w:hAnsi="Arial"/>
          <w:sz w:val="17"/>
          <w:szCs w:val="17"/>
          <w:color w:val="auto"/>
        </w:rPr>
        <w:t>if the reallocation described in clause (i) above cannot, or can only partially, be effected, the Borrowers shall within one Business Day following notice by the Administrative Agent (x) first, prepay such Defaulting Lender’s Swingline Exposure and (y) second, cash collateralize such Defaulting Lender’s LC Exposure (after giving effect to any partial reallocation pursuant to clause (i) above) in accordance with the procedures set forth in Section 2.06(k) for so long as such LC Exposure is outstanding;</w:t>
      </w:r>
    </w:p>
    <w:p>
      <w:pPr>
        <w:spacing w:after="0" w:line="178" w:lineRule="exact"/>
        <w:rPr>
          <w:rFonts w:ascii="Arial" w:cs="Arial" w:eastAsia="Arial" w:hAnsi="Arial"/>
          <w:sz w:val="19"/>
          <w:szCs w:val="19"/>
          <w:color w:val="auto"/>
        </w:rPr>
      </w:pPr>
    </w:p>
    <w:p>
      <w:pPr>
        <w:jc w:val="both"/>
        <w:ind w:left="560" w:firstLine="579"/>
        <w:spacing w:after="0" w:line="277" w:lineRule="auto"/>
        <w:tabs>
          <w:tab w:leader="none" w:pos="1600" w:val="left"/>
        </w:tabs>
        <w:numPr>
          <w:ilvl w:val="0"/>
          <w:numId w:val="61"/>
        </w:numPr>
        <w:rPr>
          <w:rFonts w:ascii="Arial" w:cs="Arial" w:eastAsia="Arial" w:hAnsi="Arial"/>
          <w:sz w:val="19"/>
          <w:szCs w:val="19"/>
          <w:color w:val="auto"/>
        </w:rPr>
      </w:pPr>
      <w:r>
        <w:rPr>
          <w:rFonts w:ascii="Arial" w:cs="Arial" w:eastAsia="Arial" w:hAnsi="Arial"/>
          <w:sz w:val="17"/>
          <w:szCs w:val="17"/>
          <w:color w:val="auto"/>
        </w:rPr>
        <w:t>if the Borrowers cash collateralize any portion of such Defaulting Lender’s LC Exposure pursuant to clause (ii) of this Section 2.20(c), the Borrowers shall not be required to pay any fees to such Defaulting Lender pursuant to Section 2.12(b) with respect to such Defaulting Lender’s LC Exposure during the period such Defaulting Lender’s LC Exposure is cash collateralized;</w:t>
      </w:r>
    </w:p>
    <w:p>
      <w:pPr>
        <w:spacing w:after="0" w:line="178" w:lineRule="exact"/>
        <w:rPr>
          <w:rFonts w:ascii="Arial" w:cs="Arial" w:eastAsia="Arial" w:hAnsi="Arial"/>
          <w:sz w:val="19"/>
          <w:szCs w:val="19"/>
          <w:color w:val="auto"/>
        </w:rPr>
      </w:pPr>
    </w:p>
    <w:p>
      <w:pPr>
        <w:ind w:left="560" w:right="20" w:firstLine="579"/>
        <w:spacing w:after="0" w:line="314" w:lineRule="auto"/>
        <w:tabs>
          <w:tab w:leader="none" w:pos="1602" w:val="left"/>
        </w:tabs>
        <w:numPr>
          <w:ilvl w:val="0"/>
          <w:numId w:val="61"/>
        </w:numPr>
        <w:rPr>
          <w:rFonts w:ascii="Arial" w:cs="Arial" w:eastAsia="Arial" w:hAnsi="Arial"/>
          <w:sz w:val="18"/>
          <w:szCs w:val="18"/>
          <w:color w:val="auto"/>
        </w:rPr>
      </w:pPr>
      <w:r>
        <w:rPr>
          <w:rFonts w:ascii="Arial" w:cs="Arial" w:eastAsia="Arial" w:hAnsi="Arial"/>
          <w:sz w:val="16"/>
          <w:szCs w:val="16"/>
          <w:color w:val="auto"/>
        </w:rPr>
        <w:t>if the LC Exposure of the non-Defaulting Lenders is reallocated pursuant to clause (ii) of this Section 2.20(c), then the fees payable to the Lenders pursuant to Section 2.12(a) and Section 2.12(b) shall be adjusted in accordance with such non-Defaulting Lenders’ Applicable Percentages; or</w:t>
      </w:r>
    </w:p>
    <w:p>
      <w:pPr>
        <w:spacing w:after="0" w:line="143" w:lineRule="exact"/>
        <w:rPr>
          <w:rFonts w:ascii="Arial" w:cs="Arial" w:eastAsia="Arial" w:hAnsi="Arial"/>
          <w:sz w:val="18"/>
          <w:szCs w:val="18"/>
          <w:color w:val="auto"/>
        </w:rPr>
      </w:pPr>
    </w:p>
    <w:p>
      <w:pPr>
        <w:jc w:val="both"/>
        <w:ind w:left="560" w:firstLine="579"/>
        <w:spacing w:after="0" w:line="277" w:lineRule="auto"/>
        <w:tabs>
          <w:tab w:leader="none" w:pos="1549" w:val="left"/>
        </w:tabs>
        <w:numPr>
          <w:ilvl w:val="0"/>
          <w:numId w:val="61"/>
        </w:numPr>
        <w:rPr>
          <w:rFonts w:ascii="Arial" w:cs="Arial" w:eastAsia="Arial" w:hAnsi="Arial"/>
          <w:sz w:val="19"/>
          <w:szCs w:val="19"/>
          <w:color w:val="auto"/>
        </w:rPr>
      </w:pPr>
      <w:r>
        <w:rPr>
          <w:rFonts w:ascii="Arial" w:cs="Arial" w:eastAsia="Arial" w:hAnsi="Arial"/>
          <w:sz w:val="17"/>
          <w:szCs w:val="17"/>
          <w:color w:val="auto"/>
        </w:rPr>
        <w:t>if all or any portion of any Defaulting Lender’s LC Exposure is neither cash collateralized nor reallocated pursuant to this Section 2.20(c), then, without prejudice to any rights or remedies of the applicable Issuing Bank or any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applicable Issuing Bank until such Defaulting Lender’s LC Exposure is cash collateralized and/or reallocated;</w:t>
      </w:r>
    </w:p>
    <w:p>
      <w:pPr>
        <w:spacing w:after="0" w:line="180" w:lineRule="exact"/>
        <w:rPr>
          <w:sz w:val="20"/>
          <w:szCs w:val="20"/>
          <w:color w:val="auto"/>
        </w:rPr>
      </w:pPr>
    </w:p>
    <w:p>
      <w:pPr>
        <w:jc w:val="both"/>
        <w:ind w:right="20" w:firstLine="1139"/>
        <w:spacing w:after="0" w:line="277" w:lineRule="auto"/>
        <w:tabs>
          <w:tab w:leader="none" w:pos="1514" w:val="left"/>
        </w:tabs>
        <w:numPr>
          <w:ilvl w:val="0"/>
          <w:numId w:val="62"/>
        </w:numPr>
        <w:rPr>
          <w:rFonts w:ascii="Arial" w:cs="Arial" w:eastAsia="Arial" w:hAnsi="Arial"/>
          <w:sz w:val="19"/>
          <w:szCs w:val="19"/>
          <w:color w:val="auto"/>
        </w:rPr>
      </w:pPr>
      <w:r>
        <w:rPr>
          <w:rFonts w:ascii="Arial" w:cs="Arial" w:eastAsia="Arial" w:hAnsi="Arial"/>
          <w:sz w:val="17"/>
          <w:szCs w:val="17"/>
          <w:color w:val="auto"/>
        </w:rPr>
        <w:t>no Issuing Bank shall be required to issue, amend or increase any Letter of Credit, unless it is satisfied that the related exposure will be 100% covered by the Revolving Commitments of the non-Defaulting Lenders and/or cash collateral will be provided by the Borrowers in accordance with Section 2.20(c), and participating interests in any such newly issued or increased Letter of Credit shall be allocated among non-Defaulting Lenders in a manner consistent with Section 2.20(c)(i) (and Defaulting Lenders shall not participate therein); and</w:t>
      </w:r>
    </w:p>
    <w:p>
      <w:pPr>
        <w:spacing w:after="0" w:line="155" w:lineRule="exact"/>
        <w:rPr>
          <w:sz w:val="20"/>
          <w:szCs w:val="20"/>
          <w:color w:val="auto"/>
        </w:rPr>
      </w:pPr>
    </w:p>
    <w:p>
      <w:pPr>
        <w:jc w:val="both"/>
        <w:ind w:firstLine="1144"/>
        <w:spacing w:after="0" w:line="255" w:lineRule="auto"/>
        <w:rPr>
          <w:sz w:val="20"/>
          <w:szCs w:val="20"/>
          <w:color w:val="auto"/>
        </w:rPr>
      </w:pPr>
      <w:r>
        <w:rPr>
          <w:rFonts w:ascii="Arial" w:cs="Arial" w:eastAsia="Arial" w:hAnsi="Arial"/>
          <w:sz w:val="17"/>
          <w:szCs w:val="17"/>
          <w:color w:val="auto"/>
        </w:rPr>
        <w:t>If (i) a Bankruptcy Event with respect to the Parent of any Lender shall occur following the Second Restatement Date and for so long as such event shall continue or (ii) the Issuing Bank or the Swingline Lender has a good faith belief that any Lender has defaulted in fulfilling its obligations under one or more other agreements in which such Lender commits to extend credit, the Issuing Bank shall not be required to issue, amend or increase any Letter of Credit and the Swingline Lender shall not be required to fund any Swingline Loan, unless the Issuing Bank or the Swingline Lender, as the case may be, shall have entered into arrangements with the Borrowers or such Lender, satisfactory to the Issuing Bank or the Swingline Lender, as the case may be, to defease any risk in respect of such Lender hereunder;</w:t>
      </w:r>
    </w:p>
    <w:p>
      <w:pPr>
        <w:spacing w:after="0" w:line="184" w:lineRule="exact"/>
        <w:rPr>
          <w:sz w:val="20"/>
          <w:szCs w:val="20"/>
          <w:color w:val="auto"/>
        </w:rPr>
      </w:pPr>
    </w:p>
    <w:p>
      <w:pPr>
        <w:jc w:val="both"/>
        <w:ind w:right="20" w:firstLine="1139"/>
        <w:spacing w:after="0" w:line="277" w:lineRule="auto"/>
        <w:tabs>
          <w:tab w:leader="none" w:pos="1525" w:val="left"/>
        </w:tabs>
        <w:numPr>
          <w:ilvl w:val="0"/>
          <w:numId w:val="63"/>
        </w:numPr>
        <w:rPr>
          <w:rFonts w:ascii="Arial" w:cs="Arial" w:eastAsia="Arial" w:hAnsi="Arial"/>
          <w:sz w:val="19"/>
          <w:szCs w:val="19"/>
          <w:color w:val="auto"/>
        </w:rPr>
      </w:pPr>
      <w:r>
        <w:rPr>
          <w:rFonts w:ascii="Arial" w:cs="Arial" w:eastAsia="Arial" w:hAnsi="Arial"/>
          <w:sz w:val="17"/>
          <w:szCs w:val="17"/>
          <w:color w:val="auto"/>
        </w:rPr>
        <w:t>in the event and on the date that each of the Administrative Agent, the Canadian Administrative Agent, the Borrowers, the Issuing Banks and the Swingline Lenders agrees that a Defaulting Lender has adequately remedied all matters that caused such Lender to be a Defaulting Lender, then the Swingline Exposure and LC Exposure of the other Lenders shall be readjusted to reflect the inclusion of such Lender’s Revolving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79" w:lineRule="exact"/>
        <w:rPr>
          <w:rFonts w:ascii="Arial" w:cs="Arial" w:eastAsia="Arial" w:hAnsi="Arial"/>
          <w:sz w:val="19"/>
          <w:szCs w:val="19"/>
          <w:color w:val="auto"/>
        </w:rPr>
      </w:pPr>
    </w:p>
    <w:p>
      <w:pPr>
        <w:jc w:val="both"/>
        <w:ind w:firstLine="1139"/>
        <w:spacing w:after="0" w:line="298" w:lineRule="auto"/>
        <w:tabs>
          <w:tab w:leader="none" w:pos="1633" w:val="left"/>
        </w:tabs>
        <w:numPr>
          <w:ilvl w:val="0"/>
          <w:numId w:val="63"/>
        </w:numPr>
        <w:rPr>
          <w:rFonts w:ascii="Arial" w:cs="Arial" w:eastAsia="Arial" w:hAnsi="Arial"/>
          <w:sz w:val="18"/>
          <w:szCs w:val="18"/>
          <w:color w:val="auto"/>
        </w:rPr>
      </w:pPr>
      <w:r>
        <w:rPr>
          <w:rFonts w:ascii="Arial" w:cs="Arial" w:eastAsia="Arial" w:hAnsi="Arial"/>
          <w:sz w:val="16"/>
          <w:szCs w:val="16"/>
          <w:color w:val="auto"/>
        </w:rPr>
        <w:t>For purposes of any covenant which permits or restricts actions by any Loan Party or any Subsidiary of a Loan Party or calculates compliance with financial covenants or any other provision of this Agreement, in each case, based in whole or in part upon the calculation of Aggregate Availability, U.S. Availability, Canadian Availability or Combined Availability, with respect to any Defaulting Lender, Aggregate Availability, U.S. Availability, Canadian Availability and Combined Availability shall be calculated (i) as if such Defaulting Lender had funded its Applicable Percentage of all outstanding Borrowings and (ii) including such Defaulting Lender’s Revolving Commitment in the same manner as if such Lender were not a Defaulting Lender.</w:t>
      </w:r>
    </w:p>
    <w:p>
      <w:pPr>
        <w:spacing w:after="0" w:line="14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Returned Payments</w:t>
      </w:r>
      <w:r>
        <w:rPr>
          <w:rFonts w:ascii="Arial" w:cs="Arial" w:eastAsia="Arial" w:hAnsi="Arial"/>
          <w:sz w:val="16"/>
          <w:szCs w:val="16"/>
          <w:color w:val="auto"/>
        </w:rPr>
        <w:t>. If after receipt of any payment which is applied to the payment of all or any part of the Obligations, the Administrative Agent, the Canadian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the Administrative Agent, the Canadian Administrative Agent or such Lender. The provisions of this Section 2.21 shall be and remain effective notwithstanding any contrary action which may have been taken by the Administrative Agent, the</w:t>
      </w:r>
    </w:p>
    <w:p>
      <w:pPr>
        <w:sectPr>
          <w:pgSz w:w="11900" w:h="16847" w:orient="portrait"/>
          <w:cols w:equalWidth="0" w:num="1">
            <w:col w:w="11440"/>
          </w:cols>
          <w:pgMar w:left="240" w:top="137" w:right="219" w:bottom="0" w:gutter="0" w:footer="0" w:header="0"/>
        </w:sectPr>
      </w:pPr>
    </w:p>
    <w:bookmarkStart w:id="46" w:name="page47"/>
    <w:bookmarkEnd w:id="46"/>
    <w:p>
      <w:pPr>
        <w:spacing w:after="0" w:line="26"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7"/>
          <w:szCs w:val="17"/>
          <w:color w:val="auto"/>
        </w:rPr>
        <w:t>Canadian Administrative Agent or any Lender in reliance upon such payment or application of proceeds. The provisions of this Section 2.21 shall survive the termination of this Agreement.</w:t>
      </w:r>
    </w:p>
    <w:p>
      <w:pPr>
        <w:spacing w:after="0" w:line="138" w:lineRule="exact"/>
        <w:rPr>
          <w:sz w:val="20"/>
          <w:szCs w:val="20"/>
          <w:color w:val="auto"/>
        </w:rPr>
      </w:pPr>
    </w:p>
    <w:p>
      <w:pPr>
        <w:jc w:val="both"/>
        <w:ind w:left="5" w:firstLine="572"/>
        <w:spacing w:after="0" w:line="270"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Banking Services and Swap Agreements</w:t>
      </w:r>
      <w:r>
        <w:rPr>
          <w:rFonts w:ascii="Arial" w:cs="Arial" w:eastAsia="Arial" w:hAnsi="Arial"/>
          <w:sz w:val="16"/>
          <w:szCs w:val="16"/>
          <w:color w:val="auto"/>
        </w:rPr>
        <w:t>. Each Lender or Affiliate thereof providing Banking Services for, or having Swap Agreements with, any Loan Party, or providing Foreign Credit Extensions to any Foreign Subsidiary, shall deliver to the Administrative Agent, promptly after entering into such Banking Services, Swap Agreements or Foreign Credit Extensions, written notice setting forth the aggregate amount of all Banking Services Obligations and Swap Agreement Obligations of such Loan Party to such Lender or Affiliate or the aggregate amount of all Foreign Credit Extensions by such Lender to such Foreign Subsidiary, as applicable (in each case,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Swap Agreement Obligations and Foreign Credit Extensions. The most recent information provided to the Administrative Agent shall be used in determining which tier of the waterfall, contained in Section 2.18(b), such Banking Services Obligations, Swap Agreement Obligations and/or Foreign Credit Extensions will be placed.</w:t>
      </w:r>
    </w:p>
    <w:p>
      <w:pPr>
        <w:spacing w:after="0" w:line="151" w:lineRule="exact"/>
        <w:rPr>
          <w:sz w:val="20"/>
          <w:szCs w:val="20"/>
          <w:color w:val="auto"/>
        </w:rPr>
      </w:pPr>
    </w:p>
    <w:p>
      <w:pPr>
        <w:jc w:val="both"/>
        <w:ind w:left="5" w:firstLine="572"/>
        <w:spacing w:after="0" w:line="285" w:lineRule="auto"/>
        <w:rPr>
          <w:sz w:val="20"/>
          <w:szCs w:val="20"/>
          <w:color w:val="auto"/>
        </w:rPr>
      </w:pPr>
      <w:r>
        <w:rPr>
          <w:rFonts w:ascii="Arial" w:cs="Arial" w:eastAsia="Arial" w:hAnsi="Arial"/>
          <w:sz w:val="15"/>
          <w:szCs w:val="15"/>
          <w:color w:val="auto"/>
        </w:rPr>
        <w:t xml:space="preserve">SECTION 2.23 </w:t>
      </w:r>
      <w:r>
        <w:rPr>
          <w:rFonts w:ascii="Arial" w:cs="Arial" w:eastAsia="Arial" w:hAnsi="Arial"/>
          <w:sz w:val="15"/>
          <w:szCs w:val="15"/>
          <w:u w:val="single" w:color="auto"/>
          <w:color w:val="auto"/>
        </w:rPr>
        <w:t>Excess Resulting From Exchange Rate Change</w:t>
      </w:r>
      <w:r>
        <w:rPr>
          <w:rFonts w:ascii="Arial" w:cs="Arial" w:eastAsia="Arial" w:hAnsi="Arial"/>
          <w:sz w:val="15"/>
          <w:szCs w:val="15"/>
          <w:color w:val="auto"/>
        </w:rPr>
        <w:t xml:space="preserve">. (a) With respect to the Canadian Commitments, at any time following one or more fluctuations in the exchange rate of the Canadian Dollar against the dollar, (i) the aggregate Canadian Revolving Exposure of the Canadian Lenders exceeds the lesser of: (A) the Canadian Borrowing Base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U.S. Availability, or (B) (x) the Canadian Sublimit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(y) the sum of (1) the Priority Payables Reserve, (2) the Rent Reserve and (3) the Wage Earner Protection Act Reserve, or (ii) the aggregate Canadian Obligations exceeds any other limit based on dollars set forth herein for such Canadian Obligations, the Canadian Borrowers shall (A) if such excess is an aggregate amount that is less than $1,000,000 and such excess continues to exist in an aggregate amount less than $1,000,000 for at least five Business Days, within two Business Days of notice from the Canadian Administrative Agent,</w:t>
      </w:r>
    </w:p>
    <w:p>
      <w:pPr>
        <w:jc w:val="both"/>
        <w:ind w:left="5" w:right="20" w:hanging="5"/>
        <w:spacing w:after="0" w:line="281" w:lineRule="auto"/>
        <w:tabs>
          <w:tab w:leader="none" w:pos="297"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such excess is in an aggregate amount that is greater than or equal to $1,000,000 but less than $5,000,000, within two Business Days of notice from the Canadian Administrative Agent, or (C) if such excess is in an aggregate amount greater than or equal to $5,000,000 or if any Event of Default has occurred and is continuing, immediately, (x) make the necessary payments or repayments to reduce such Canadian Obligations to an amount necessary to eliminate such excess or</w:t>
      </w:r>
    </w:p>
    <w:p>
      <w:pPr>
        <w:spacing w:after="0" w:line="1" w:lineRule="exact"/>
        <w:rPr>
          <w:rFonts w:ascii="Arial" w:cs="Arial" w:eastAsia="Arial" w:hAnsi="Arial"/>
          <w:sz w:val="15"/>
          <w:szCs w:val="15"/>
          <w:color w:val="auto"/>
        </w:rPr>
      </w:pPr>
    </w:p>
    <w:p>
      <w:pPr>
        <w:jc w:val="both"/>
        <w:ind w:left="5" w:right="20"/>
        <w:spacing w:after="0" w:line="252" w:lineRule="auto"/>
        <w:rPr>
          <w:rFonts w:ascii="Arial" w:cs="Arial" w:eastAsia="Arial" w:hAnsi="Arial"/>
          <w:sz w:val="15"/>
          <w:szCs w:val="15"/>
          <w:color w:val="auto"/>
        </w:rPr>
      </w:pPr>
      <w:r>
        <w:rPr>
          <w:rFonts w:ascii="Arial" w:cs="Arial" w:eastAsia="Arial" w:hAnsi="Arial"/>
          <w:sz w:val="17"/>
          <w:szCs w:val="17"/>
          <w:color w:val="auto"/>
        </w:rPr>
        <w:t>(y) maintain or cause to be maintained with the Administrative Agent (for the benefit of the Canadian Lender Parties) deposits as continuing collateral security for the Canadian Obligations in an amount equal to or greater than the amount of such excess, such deposits to be maintained in such form and upon such terms as are acceptable to the Canadian Administrative Agent. Without in any way limiting the foregoing provisions, the Canadian Administrative Agent shall, weekly or more frequently in the sole discretion of the Canadian Administrative Agent, make the necessary exchange rate calculations to determine whether any such excess exists on such date and advise the Borrowers if such excess exists.</w:t>
      </w:r>
    </w:p>
    <w:p>
      <w:pPr>
        <w:spacing w:after="0" w:line="186" w:lineRule="exact"/>
        <w:rPr>
          <w:rFonts w:ascii="Arial" w:cs="Arial" w:eastAsia="Arial" w:hAnsi="Arial"/>
          <w:sz w:val="15"/>
          <w:szCs w:val="15"/>
          <w:color w:val="auto"/>
        </w:rPr>
      </w:pPr>
    </w:p>
    <w:p>
      <w:pPr>
        <w:jc w:val="both"/>
        <w:ind w:left="5" w:firstLine="1139"/>
        <w:spacing w:after="0" w:line="296" w:lineRule="auto"/>
        <w:tabs>
          <w:tab w:leader="none" w:pos="1542" w:val="left"/>
        </w:tabs>
        <w:numPr>
          <w:ilvl w:val="1"/>
          <w:numId w:val="64"/>
        </w:numPr>
        <w:rPr>
          <w:rFonts w:ascii="Arial" w:cs="Arial" w:eastAsia="Arial" w:hAnsi="Arial"/>
          <w:sz w:val="18"/>
          <w:szCs w:val="18"/>
          <w:color w:val="auto"/>
        </w:rPr>
      </w:pPr>
      <w:r>
        <w:rPr>
          <w:rFonts w:ascii="Arial" w:cs="Arial" w:eastAsia="Arial" w:hAnsi="Arial"/>
          <w:sz w:val="16"/>
          <w:szCs w:val="16"/>
          <w:color w:val="auto"/>
        </w:rPr>
        <w:t xml:space="preserve">With respect to the U.S. Commitments, at any time following one or more fluctuations in the exchange rate of any LC Alternative Currency against the dollar, (i) the sum of the aggregate U.S. Revolving Exposure of the U.S. Lenders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Canadian U.S. Borrowing Base Utilization exceeds the lesser of: (A) the U.S. Borrowing Base, or (B) (x) the total U.S. Commitments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sum of (1) the Priority Payables Reserve, (2) the Rent Reserve and (3) the Wage Earner Protection Act Reserve, or (ii) the aggregate U.S. Obligations exceeds any other limit based on dollars set forth herein for such U.S. Obligations, the U.S. Borrowers shall (A) if such excess is an aggregate amount that is less than $1,000,000 and such excess continues to exist in an aggregate amount less than $1,000,000 for at least five Business Days, within two Business Days of notice from the Administrative Agent, (B) if such excess is in an aggregate amount that is greater than or equal to $1,000,000 but less than $5,000,000, within two Business Days of notice from the Administrative Agent, or (C) if such excess is in an aggregate amount greater than or equal to $5,000,000 or if any Event of Default has occurred and is continuing, immediately, (x) make the necessary payments or repayments to reduce such U.S. Obligations to an amount necessary to eliminate such excess or (y) maintain or cause to be maintained with the Administrative Agent (for the benefit of the Lender Parties) deposits as continuing collateral security for the Obligations in an amount equal to or greater than the amount of such excess, such deposits to be maintained in such form and upon such terms as are acceptable to the Administrative Agent. Without in any way limiting the foregoing provisions, the Administrative Agent shall, weekly or more frequently in the sole discretion of the Administrative Agent, make the necessary exchange rate calculations to determine whether any such excess exists on such date and advise the Borrowers if such excess exists.</w:t>
      </w:r>
    </w:p>
    <w:p>
      <w:pPr>
        <w:spacing w:after="0" w:line="167" w:lineRule="exact"/>
        <w:rPr>
          <w:rFonts w:ascii="Arial" w:cs="Arial" w:eastAsia="Arial" w:hAnsi="Arial"/>
          <w:sz w:val="18"/>
          <w:szCs w:val="18"/>
          <w:color w:val="auto"/>
        </w:rPr>
      </w:pPr>
    </w:p>
    <w:p>
      <w:pPr>
        <w:jc w:val="both"/>
        <w:ind w:left="5" w:right="20" w:firstLine="1139"/>
        <w:spacing w:after="0" w:line="277" w:lineRule="auto"/>
        <w:tabs>
          <w:tab w:leader="none" w:pos="1529" w:val="left"/>
        </w:tabs>
        <w:numPr>
          <w:ilvl w:val="1"/>
          <w:numId w:val="64"/>
        </w:numPr>
        <w:rPr>
          <w:rFonts w:ascii="Arial" w:cs="Arial" w:eastAsia="Arial" w:hAnsi="Arial"/>
          <w:sz w:val="19"/>
          <w:szCs w:val="19"/>
          <w:color w:val="auto"/>
        </w:rPr>
      </w:pPr>
      <w:r>
        <w:rPr>
          <w:rFonts w:ascii="Arial" w:cs="Arial" w:eastAsia="Arial" w:hAnsi="Arial"/>
          <w:sz w:val="17"/>
          <w:szCs w:val="17"/>
          <w:color w:val="auto"/>
        </w:rPr>
        <w:t>If one or more of the U.S. Borrowers provide cash collateral to secure obligations related to U.S. Letters of Credit that are denominated in an LC Alternative Currency (including, without limitation, pursuant to Section 2.06(k), 2.10(b) or 2.18(b)) and, as a result of fluctuations in the applicable exchange rate between dollars and the applicable LC Alternative Currency, the Dollar Amount in dollars of cash collateral held by the Administrative Agent is less than the specified amount of cash collateral so required to be maintained by the U.S. Borrowers, the U.S. Borrowers shall, promptly following a request therefor by the Administrative Agent, deposit in the LC Collateral Account an additional amount of cash collateral in dollars equal to such shortfall to be held as cash collateral in accordance with Section 2.06(k).</w:t>
      </w:r>
    </w:p>
    <w:p>
      <w:pPr>
        <w:spacing w:after="0" w:line="164" w:lineRule="exact"/>
        <w:rPr>
          <w:sz w:val="20"/>
          <w:szCs w:val="20"/>
          <w:color w:val="auto"/>
        </w:rPr>
      </w:pPr>
    </w:p>
    <w:p>
      <w:pPr>
        <w:jc w:val="center"/>
        <w:ind w:right="195"/>
        <w:spacing w:after="0"/>
        <w:rPr>
          <w:sz w:val="20"/>
          <w:szCs w:val="20"/>
          <w:color w:val="auto"/>
        </w:rPr>
      </w:pPr>
      <w:r>
        <w:rPr>
          <w:rFonts w:ascii="Arial" w:cs="Arial" w:eastAsia="Arial" w:hAnsi="Arial"/>
          <w:sz w:val="19"/>
          <w:szCs w:val="19"/>
          <w:color w:val="auto"/>
        </w:rPr>
        <w:t>ARTICLE III.</w:t>
      </w:r>
    </w:p>
    <w:p>
      <w:pPr>
        <w:spacing w:after="0" w:line="250" w:lineRule="exact"/>
        <w:rPr>
          <w:sz w:val="20"/>
          <w:szCs w:val="20"/>
          <w:color w:val="auto"/>
        </w:rPr>
      </w:pPr>
    </w:p>
    <w:p>
      <w:pPr>
        <w:jc w:val="center"/>
        <w:ind w:right="-4"/>
        <w:spacing w:after="0"/>
        <w:rPr>
          <w:sz w:val="20"/>
          <w:szCs w:val="20"/>
          <w:color w:val="auto"/>
        </w:rPr>
      </w:pPr>
      <w:r>
        <w:rPr>
          <w:rFonts w:ascii="Arial" w:cs="Arial" w:eastAsia="Arial" w:hAnsi="Arial"/>
          <w:sz w:val="17"/>
          <w:szCs w:val="17"/>
          <w:u w:val="single" w:color="auto"/>
          <w:color w:val="auto"/>
        </w:rPr>
        <w:t>Representations and Warranties</w:t>
      </w:r>
    </w:p>
    <w:p>
      <w:pPr>
        <w:spacing w:after="0" w:line="210" w:lineRule="exact"/>
        <w:rPr>
          <w:sz w:val="20"/>
          <w:szCs w:val="20"/>
          <w:color w:val="auto"/>
        </w:rPr>
      </w:pPr>
    </w:p>
    <w:p>
      <w:pPr>
        <w:jc w:val="both"/>
        <w:ind w:left="5" w:firstLine="1144"/>
        <w:spacing w:after="0" w:line="280" w:lineRule="auto"/>
        <w:rPr>
          <w:sz w:val="20"/>
          <w:szCs w:val="20"/>
          <w:color w:val="auto"/>
        </w:rPr>
      </w:pPr>
      <w:r>
        <w:rPr>
          <w:rFonts w:ascii="Arial" w:cs="Arial" w:eastAsia="Arial" w:hAnsi="Arial"/>
          <w:sz w:val="17"/>
          <w:szCs w:val="17"/>
          <w:color w:val="auto"/>
        </w:rPr>
        <w:t>Each of Holdings and each Borrower represents and warrants to the Lenders that (and by its execution of the Loan Guaranty to which it is a party, each other Loan Party represents and warrants to the Lenders that):</w:t>
      </w:r>
    </w:p>
    <w:p>
      <w:pPr>
        <w:spacing w:after="0" w:line="140" w:lineRule="exact"/>
        <w:rPr>
          <w:sz w:val="20"/>
          <w:szCs w:val="20"/>
          <w:color w:val="auto"/>
        </w:rPr>
      </w:pPr>
    </w:p>
    <w:p>
      <w:pPr>
        <w:jc w:val="both"/>
        <w:ind w:left="5" w:right="20" w:firstLine="572"/>
        <w:spacing w:after="0" w:line="25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Loan Parties, each Dutch Loan Guarantor and each Pledged Subsidiary is duly organized, validly existing and in good standing under the laws of the jurisdiction of its organization, has all requisite power and authority to carry on its business as now conducted and is qualified to do business in, and is in good standing in, every jurisdiction where the failure to so qualify would reasonably be expected to have a Material Adverse Effect.</w:t>
      </w:r>
    </w:p>
    <w:p>
      <w:pPr>
        <w:spacing w:after="0" w:line="157" w:lineRule="exact"/>
        <w:rPr>
          <w:sz w:val="20"/>
          <w:szCs w:val="20"/>
          <w:color w:val="auto"/>
        </w:rPr>
      </w:pPr>
    </w:p>
    <w:p>
      <w:pPr>
        <w:jc w:val="both"/>
        <w:ind w:left="5" w:firstLine="572"/>
        <w:spacing w:after="0" w:line="25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and each Dutch Loan Guarantor’s organizational powers and have been duly authorized by all necessary organizational actions and, if required, actions by equity holders. The Loan Documents to which each Loan Party and each Dutch Loan Guarantor is a party have been duly executed and delivered by such Loan Party or Dutch Loan Guarantor and constitute a legal, valid and binding obligation of such Loan Party or Dutch Loan Guarantor,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0" w:lineRule="exact"/>
        <w:rPr>
          <w:sz w:val="20"/>
          <w:szCs w:val="20"/>
          <w:color w:val="auto"/>
        </w:rPr>
      </w:pPr>
    </w:p>
    <w:p>
      <w:pPr>
        <w:jc w:val="both"/>
        <w:ind w:left="5" w:firstLine="572"/>
        <w:spacing w:after="0" w:line="27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Restricted Subsidiaries, (c) will not violate or result in a default under any Material Indebtedness, or give rise to a right thereunder to require any payment to be made by any Loan Party or any of its Restricted Subsidiaries, (d) will not violate the certificate of incorporation, by-laws, memorandum of association, management, operating or partnership agreement or other organizational documents of any Loan Party or any of its Restricted Subsidiaries, and (e) except where failure to comply would not reasonably be expected to have a Material Adverse Effect, will not result in the creation or imposition of any Lien on any asset of any Loan Party or any of its Restricted Subsidiaries, except Liens created pursuant to the Loan Documents or the Term Loan Documents.</w:t>
      </w:r>
    </w:p>
    <w:p>
      <w:pPr>
        <w:spacing w:after="0" w:line="149" w:lineRule="exact"/>
        <w:rPr>
          <w:sz w:val="20"/>
          <w:szCs w:val="20"/>
          <w:color w:val="auto"/>
        </w:rPr>
      </w:pPr>
    </w:p>
    <w:p>
      <w:pPr>
        <w:jc w:val="both"/>
        <w:ind w:left="5" w:right="20" w:firstLine="572"/>
        <w:spacing w:after="0" w:line="350" w:lineRule="auto"/>
        <w:rPr>
          <w:sz w:val="20"/>
          <w:szCs w:val="20"/>
          <w:color w:val="auto"/>
        </w:rPr>
      </w:pPr>
      <w:r>
        <w:rPr>
          <w:rFonts w:ascii="Arial" w:cs="Arial" w:eastAsia="Arial" w:hAnsi="Arial"/>
          <w:sz w:val="15"/>
          <w:szCs w:val="15"/>
          <w:color w:val="auto"/>
        </w:rPr>
        <w:t xml:space="preserve">SECTION 3.04 </w:t>
      </w:r>
      <w:r>
        <w:rPr>
          <w:rFonts w:ascii="Arial" w:cs="Arial" w:eastAsia="Arial" w:hAnsi="Arial"/>
          <w:sz w:val="15"/>
          <w:szCs w:val="15"/>
          <w:u w:val="single" w:color="auto"/>
          <w:color w:val="auto"/>
        </w:rPr>
        <w:t>Financial Condition; No Material Adverse Effect</w:t>
      </w:r>
      <w:r>
        <w:rPr>
          <w:rFonts w:ascii="Arial" w:cs="Arial" w:eastAsia="Arial" w:hAnsi="Arial"/>
          <w:sz w:val="15"/>
          <w:szCs w:val="15"/>
          <w:color w:val="auto"/>
        </w:rPr>
        <w:t>. (1) Holdings has heretofore furnished to the Lenders its consolidated balance sheet and statements of income, stockholders equity and cash flows (i) as of and for the fiscal year ended December 31, 2014, reported on by PricewaterhouseCoopers LLP,</w:t>
      </w:r>
    </w:p>
    <w:p>
      <w:pPr>
        <w:sectPr>
          <w:pgSz w:w="11900" w:h="16864" w:orient="portrait"/>
          <w:cols w:equalWidth="0" w:num="1">
            <w:col w:w="11445"/>
          </w:cols>
          <w:pgMar w:left="235" w:top="124" w:right="219" w:bottom="0" w:gutter="0" w:footer="0" w:header="0"/>
        </w:sectPr>
      </w:pPr>
    </w:p>
    <w:bookmarkStart w:id="47" w:name="page48"/>
    <w:bookmarkEnd w:id="47"/>
    <w:p>
      <w:pPr>
        <w:jc w:val="both"/>
        <w:spacing w:after="0" w:line="207" w:lineRule="exact"/>
        <w:rPr>
          <w:sz w:val="20"/>
          <w:szCs w:val="20"/>
          <w:color w:val="auto"/>
        </w:rPr>
      </w:pPr>
      <w:r>
        <w:rPr>
          <w:rFonts w:ascii="Arial" w:cs="Arial" w:eastAsia="Arial" w:hAnsi="Arial"/>
          <w:sz w:val="17"/>
          <w:szCs w:val="17"/>
          <w:color w:val="auto"/>
        </w:rPr>
        <w:t>independent public accountants, and (ii) as of and for the fiscal quarters and the portions of the fiscal year ended March 31, 2015 and June 30, 2015, certified by its chief financial officer. Such financial statements present fairly, in all material respects, the financial position and results of operations and cash flows of Holdings and its consolidated Subsidiaries as of such dates and for such periods in accordance with GAAP, subject to normal year</w:t>
      </w:r>
      <w:r>
        <w:rPr>
          <w:rFonts w:ascii="MS PGothic" w:cs="MS PGothic" w:eastAsia="MS PGothic" w:hAnsi="MS PGothic"/>
          <w:sz w:val="17"/>
          <w:szCs w:val="17"/>
          <w:color w:val="auto"/>
        </w:rPr>
        <w:t>‑</w:t>
      </w:r>
      <w:r>
        <w:rPr>
          <w:rFonts w:ascii="Arial" w:cs="Arial" w:eastAsia="Arial" w:hAnsi="Arial"/>
          <w:sz w:val="17"/>
          <w:szCs w:val="17"/>
          <w:color w:val="auto"/>
        </w:rPr>
        <w:t>end audit adjustments and the absence of footnotes in the case of the statements referred to in clause (ii) above.</w:t>
      </w:r>
    </w:p>
    <w:p>
      <w:pPr>
        <w:spacing w:after="0" w:line="198" w:lineRule="exact"/>
        <w:rPr>
          <w:sz w:val="20"/>
          <w:szCs w:val="20"/>
          <w:color w:val="auto"/>
        </w:rPr>
      </w:pPr>
    </w:p>
    <w:p>
      <w:pPr>
        <w:ind w:left="1500" w:hanging="361"/>
        <w:spacing w:after="0"/>
        <w:tabs>
          <w:tab w:leader="none" w:pos="1500" w:val="left"/>
        </w:tabs>
        <w:numPr>
          <w:ilvl w:val="0"/>
          <w:numId w:val="65"/>
        </w:numPr>
        <w:rPr>
          <w:rFonts w:ascii="Arial" w:cs="Arial" w:eastAsia="Arial" w:hAnsi="Arial"/>
          <w:sz w:val="16"/>
          <w:szCs w:val="16"/>
          <w:color w:val="auto"/>
        </w:rPr>
      </w:pPr>
      <w:r>
        <w:rPr>
          <w:rFonts w:ascii="Arial" w:cs="Arial" w:eastAsia="Arial" w:hAnsi="Arial"/>
          <w:sz w:val="15"/>
          <w:szCs w:val="15"/>
          <w:color w:val="auto"/>
        </w:rPr>
        <w:t>No event, change or condition has occurred that has had, or could reasonably be expected to have, a Material Adverse Effect, since December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31, 2014.</w:t>
      </w:r>
    </w:p>
    <w:p>
      <w:pPr>
        <w:spacing w:after="0" w:line="210"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Properties</w:t>
      </w:r>
      <w:r>
        <w:rPr>
          <w:rFonts w:ascii="Arial" w:cs="Arial" w:eastAsia="Arial" w:hAnsi="Arial"/>
          <w:sz w:val="17"/>
          <w:szCs w:val="17"/>
          <w:color w:val="auto"/>
        </w:rPr>
        <w:t>. (1) As of the Second Restatement Date, the Owned and Leased Property Schedule sets forth the address of each parcel of real property that is owned or leased by any Loan Party. Each of such leases and subleases is valid and enforceable in accordance with its terms and is in full force and effect (subject to applicable bankruptcy, insolvency, reorganization, moratorium or other laws affecting creditors’ rights generally and subject to general principles of equity, regardless of whether considered a proceeding in equity or at law), and no default by any Loan Party to any such lease or sublease exists, which, individually or in the aggregate, would reasonably be expected to result in a Material Adverse Effect. Each Loan Party and each Restricted Subsidiary has good and indefeasible title to, or valid leasehold interests in, all of its real and personal property, except where the failure to have such title or interests, individually or in the aggregate, would not reasonably be expected to result in a Material Adverse Effect. Such real and personal property is free of all Liens other than those permitted by Section 6.02.</w:t>
      </w:r>
    </w:p>
    <w:p>
      <w:pPr>
        <w:spacing w:after="0" w:line="186" w:lineRule="exact"/>
        <w:rPr>
          <w:sz w:val="20"/>
          <w:szCs w:val="20"/>
          <w:color w:val="auto"/>
        </w:rPr>
      </w:pPr>
    </w:p>
    <w:p>
      <w:pPr>
        <w:jc w:val="both"/>
        <w:ind w:right="20" w:firstLine="1139"/>
        <w:spacing w:after="0" w:line="299" w:lineRule="auto"/>
        <w:tabs>
          <w:tab w:leader="none" w:pos="1597" w:val="left"/>
        </w:tabs>
        <w:numPr>
          <w:ilvl w:val="0"/>
          <w:numId w:val="66"/>
        </w:numPr>
        <w:rPr>
          <w:rFonts w:ascii="Arial" w:cs="Arial" w:eastAsia="Arial" w:hAnsi="Arial"/>
          <w:sz w:val="18"/>
          <w:szCs w:val="18"/>
          <w:color w:val="auto"/>
        </w:rPr>
      </w:pPr>
      <w:r>
        <w:rPr>
          <w:rFonts w:ascii="Arial" w:cs="Arial" w:eastAsia="Arial" w:hAnsi="Arial"/>
          <w:sz w:val="16"/>
          <w:szCs w:val="16"/>
          <w:color w:val="auto"/>
        </w:rPr>
        <w:t>Each Loan Party and each Subsidiary owns, or is licensed to use, all trademarks, tradenames, copyrights, patents and other intellectual property necessary to its business as currently conducted, and the use thereof by the Loan Parties and their Restricted Subsidiaries does not infringe in any material respect upon the rights of any other Person, and the Loan Parties’ rights thereto are not subject to any licensing agreement or similar arrangement, except in each case where the failure to do so could not reasonably be expected, individually or in the aggregate, to result in a Material Adverse Effect.</w:t>
      </w:r>
    </w:p>
    <w:p>
      <w:pPr>
        <w:spacing w:after="0" w:line="13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(1) There are no actions, suits or proceedings by or before any arbitrator or Governmental Authority pending against or, to the knowledge of any Loan Party, threatened in writing against or affecting the Loan Parties or any of their Subsidiaries (i) which could reasonably be expected, individually or in the aggregate, to result in a Material Adverse Effect (other than the Disclosed Matters) or (ii) that involve this Agreement or the Transactions.</w:t>
      </w:r>
    </w:p>
    <w:p>
      <w:pPr>
        <w:spacing w:after="0" w:line="181" w:lineRule="exact"/>
        <w:rPr>
          <w:sz w:val="20"/>
          <w:szCs w:val="20"/>
          <w:color w:val="auto"/>
        </w:rPr>
      </w:pPr>
    </w:p>
    <w:p>
      <w:pPr>
        <w:jc w:val="both"/>
        <w:ind w:right="20" w:firstLine="1139"/>
        <w:spacing w:after="0" w:line="277" w:lineRule="auto"/>
        <w:tabs>
          <w:tab w:leader="none" w:pos="1526" w:val="left"/>
        </w:tabs>
        <w:numPr>
          <w:ilvl w:val="0"/>
          <w:numId w:val="67"/>
        </w:numPr>
        <w:rPr>
          <w:rFonts w:ascii="Arial" w:cs="Arial" w:eastAsia="Arial" w:hAnsi="Arial"/>
          <w:sz w:val="19"/>
          <w:szCs w:val="19"/>
          <w:color w:val="auto"/>
        </w:rPr>
      </w:pPr>
      <w:r>
        <w:rPr>
          <w:rFonts w:ascii="Arial" w:cs="Arial" w:eastAsia="Arial" w:hAnsi="Arial"/>
          <w:sz w:val="17"/>
          <w:szCs w:val="17"/>
          <w:color w:val="auto"/>
        </w:rPr>
        <w:t>Except for the Disclosed Matters and except with respect to any other matters that, individually or in the aggregate, would not reasonably be expected to result in a Material Adverse Effect, (i) no Loan Party nor any Restricted Subsidiary has received notice of any claim with respect to any Environmental Liability or knows of any basis for any Environmental Liability and (ii) no Loan Party nor any Restricted Subsidiary (A) has failed to comply with any Environmental Law or to obtain, maintain or comply with any permit, license or other approval required under any Environmental Law or (B) has become subject to any known Environmental Liability.</w:t>
      </w:r>
    </w:p>
    <w:p>
      <w:pPr>
        <w:spacing w:after="0" w:line="179" w:lineRule="exact"/>
        <w:rPr>
          <w:rFonts w:ascii="Arial" w:cs="Arial" w:eastAsia="Arial" w:hAnsi="Arial"/>
          <w:sz w:val="19"/>
          <w:szCs w:val="19"/>
          <w:color w:val="auto"/>
        </w:rPr>
      </w:pPr>
    </w:p>
    <w:p>
      <w:pPr>
        <w:ind w:firstLine="1139"/>
        <w:spacing w:after="0" w:line="281" w:lineRule="auto"/>
        <w:tabs>
          <w:tab w:leader="none" w:pos="1525" w:val="left"/>
        </w:tabs>
        <w:numPr>
          <w:ilvl w:val="0"/>
          <w:numId w:val="67"/>
        </w:numPr>
        <w:rPr>
          <w:rFonts w:ascii="Arial" w:cs="Arial" w:eastAsia="Arial" w:hAnsi="Arial"/>
          <w:sz w:val="19"/>
          <w:szCs w:val="19"/>
          <w:color w:val="auto"/>
        </w:rPr>
      </w:pPr>
      <w:r>
        <w:rPr>
          <w:rFonts w:ascii="Arial" w:cs="Arial" w:eastAsia="Arial" w:hAnsi="Arial"/>
          <w:sz w:val="17"/>
          <w:szCs w:val="17"/>
          <w:color w:val="auto"/>
        </w:rPr>
        <w:t>Since the Second Restatement Date, there has been no change in the status of the Disclosed Matters that, individually or in the aggregate, has resulted, or could reasonably be expected to result, in a Material Adverse Effect.</w:t>
      </w:r>
    </w:p>
    <w:p>
      <w:pPr>
        <w:spacing w:after="0" w:line="147"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3.07</w:t>
      </w:r>
      <w:r>
        <w:rPr>
          <w:sz w:val="20"/>
          <w:szCs w:val="20"/>
          <w:color w:val="auto"/>
        </w:rPr>
        <w:tab/>
      </w:r>
      <w:r>
        <w:rPr>
          <w:rFonts w:ascii="Arial" w:cs="Arial" w:eastAsia="Arial" w:hAnsi="Arial"/>
          <w:sz w:val="15"/>
          <w:szCs w:val="15"/>
          <w:u w:val="single" w:color="auto"/>
          <w:color w:val="auto"/>
        </w:rPr>
        <w:t>Compliance with Laws and Agreements</w:t>
      </w:r>
      <w:r>
        <w:rPr>
          <w:rFonts w:ascii="Arial" w:cs="Arial" w:eastAsia="Arial" w:hAnsi="Arial"/>
          <w:sz w:val="15"/>
          <w:szCs w:val="15"/>
          <w:color w:val="auto"/>
        </w:rPr>
        <w:t>.</w:t>
      </w:r>
    </w:p>
    <w:p>
      <w:pPr>
        <w:spacing w:after="0" w:line="222" w:lineRule="exact"/>
        <w:rPr>
          <w:sz w:val="20"/>
          <w:szCs w:val="20"/>
          <w:color w:val="auto"/>
        </w:rPr>
      </w:pPr>
    </w:p>
    <w:p>
      <w:pPr>
        <w:jc w:val="both"/>
        <w:ind w:firstLine="1139"/>
        <w:spacing w:after="0" w:line="277" w:lineRule="auto"/>
        <w:tabs>
          <w:tab w:leader="none" w:pos="1620" w:val="left"/>
        </w:tabs>
        <w:numPr>
          <w:ilvl w:val="0"/>
          <w:numId w:val="68"/>
        </w:numPr>
        <w:rPr>
          <w:rFonts w:ascii="Arial" w:cs="Arial" w:eastAsia="Arial" w:hAnsi="Arial"/>
          <w:sz w:val="19"/>
          <w:szCs w:val="19"/>
          <w:color w:val="auto"/>
        </w:rPr>
      </w:pPr>
      <w:r>
        <w:rPr>
          <w:rFonts w:ascii="Arial" w:cs="Arial" w:eastAsia="Arial" w:hAnsi="Arial"/>
          <w:sz w:val="17"/>
          <w:szCs w:val="17"/>
          <w:color w:val="auto"/>
        </w:rPr>
        <w:t>Each Loan Party and its Restricted Subsidiaries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 No Default has occurred and is continuing.</w:t>
      </w:r>
    </w:p>
    <w:p>
      <w:pPr>
        <w:spacing w:after="0" w:line="178" w:lineRule="exact"/>
        <w:rPr>
          <w:rFonts w:ascii="Arial" w:cs="Arial" w:eastAsia="Arial" w:hAnsi="Arial"/>
          <w:sz w:val="19"/>
          <w:szCs w:val="19"/>
          <w:color w:val="auto"/>
        </w:rPr>
      </w:pPr>
    </w:p>
    <w:p>
      <w:pPr>
        <w:jc w:val="both"/>
        <w:ind w:right="20" w:firstLine="1139"/>
        <w:spacing w:after="0" w:line="277" w:lineRule="auto"/>
        <w:tabs>
          <w:tab w:leader="none" w:pos="1573" w:val="left"/>
        </w:tabs>
        <w:numPr>
          <w:ilvl w:val="0"/>
          <w:numId w:val="68"/>
        </w:numPr>
        <w:rPr>
          <w:rFonts w:ascii="Arial" w:cs="Arial" w:eastAsia="Arial" w:hAnsi="Arial"/>
          <w:sz w:val="19"/>
          <w:szCs w:val="19"/>
          <w:color w:val="auto"/>
        </w:rPr>
      </w:pPr>
      <w:r>
        <w:rPr>
          <w:rFonts w:ascii="Arial" w:cs="Arial" w:eastAsia="Arial" w:hAnsi="Arial"/>
          <w:sz w:val="17"/>
          <w:szCs w:val="17"/>
          <w:color w:val="auto"/>
        </w:rPr>
        <w:t>No Loan Party nor any Subsidiary thereof, nor any director, officer or employee of any Loan Party or any Subsidiary thereof, nor, to the knowledge of the Borrowers, any agent or Affiliate of any Loan Party or any Subsidiary thereof is currently subject to any U.S. sanctions administered by OFAC. None of the transactions contemplated by the Loan Documents violates the Canadian Economic Sanctions and Export Control Laws. Furthermore, no Loan Party nor any Subsidiary thereof is a Canadian Blocked Person and, to the actual knowledge of each Loan Party, no Loan Party or Subsidiary thereof engages in any dealings or transactions, or is otherwise associated, with a Canadian Blocked Person.</w:t>
      </w:r>
    </w:p>
    <w:p>
      <w:pPr>
        <w:spacing w:after="0" w:line="15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No Loan Party nor any Restricted Subsidiary is an “</w:t>
      </w:r>
      <w:r>
        <w:rPr>
          <w:rFonts w:ascii="Arial" w:cs="Arial" w:eastAsia="Arial" w:hAnsi="Arial"/>
          <w:sz w:val="17"/>
          <w:szCs w:val="17"/>
          <w:u w:val="single" w:color="auto"/>
          <w:color w:val="auto"/>
        </w:rPr>
        <w:t>investment company</w:t>
      </w:r>
      <w:r>
        <w:rPr>
          <w:rFonts w:ascii="Arial" w:cs="Arial" w:eastAsia="Arial" w:hAnsi="Arial"/>
          <w:sz w:val="17"/>
          <w:szCs w:val="17"/>
          <w:color w:val="auto"/>
        </w:rPr>
        <w:t>” as defined in, or subject to regulation under, the Investment Company Act of 1940.</w:t>
      </w:r>
    </w:p>
    <w:p>
      <w:pPr>
        <w:spacing w:after="0" w:line="140"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Each Loan Party and its Restricted Subsidiaries has timely filed or caused to be filed all Tax returns and reports required to have been filed and has paid or caused to be paid all Taxes required to have been paid by it, except (a)(i) Taxes that are being contested in good faith by appropriate proceedings and (ii) for which such Loan Party or such Restricted Subsidiary, as applicable, has set aside on its books adequate reserves, or (b) to the extent the failure to file such Tax returns or pay such Taxes could not reasonably be expected to result in a Material Adverse Effect. No Liens for Taxes (other than Permitted Encumbrances) have been filed with respect to any such Taxes.</w:t>
      </w:r>
    </w:p>
    <w:p>
      <w:pPr>
        <w:spacing w:after="0" w:line="161"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 Canadian Pension Plans</w:t>
      </w:r>
      <w:r>
        <w:rPr>
          <w:rFonts w:ascii="Arial" w:cs="Arial" w:eastAsia="Arial" w:hAnsi="Arial"/>
          <w:sz w:val="17"/>
          <w:szCs w:val="17"/>
          <w:color w:val="auto"/>
        </w:rPr>
        <w:t>. (1) 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Plan (based on the assumptions used for purposes of Financial Accounting Standards Board Accounting Standards Codification 715-30) did not, as of the date of the most recent financial statements reflecting such amounts, exceed the fair market value of the assets of such Plan by an amount that would reasonably be expected to have a Material Adverse Effect.</w:t>
      </w:r>
    </w:p>
    <w:p>
      <w:pPr>
        <w:spacing w:after="0" w:line="185" w:lineRule="exact"/>
        <w:rPr>
          <w:sz w:val="20"/>
          <w:szCs w:val="20"/>
          <w:color w:val="auto"/>
        </w:rPr>
      </w:pPr>
    </w:p>
    <w:p>
      <w:pPr>
        <w:jc w:val="both"/>
        <w:ind w:firstLine="1139"/>
        <w:spacing w:after="0" w:line="318" w:lineRule="auto"/>
        <w:tabs>
          <w:tab w:leader="none" w:pos="1514" w:val="left"/>
        </w:tabs>
        <w:numPr>
          <w:ilvl w:val="0"/>
          <w:numId w:val="69"/>
        </w:numPr>
        <w:rPr>
          <w:rFonts w:ascii="Arial" w:cs="Arial" w:eastAsia="Arial" w:hAnsi="Arial"/>
          <w:sz w:val="16"/>
          <w:szCs w:val="16"/>
          <w:color w:val="auto"/>
        </w:rPr>
      </w:pPr>
      <w:r>
        <w:rPr>
          <w:rFonts w:ascii="Arial" w:cs="Arial" w:eastAsia="Arial" w:hAnsi="Arial"/>
          <w:sz w:val="15"/>
          <w:szCs w:val="15"/>
          <w:color w:val="auto"/>
        </w:rPr>
        <w:t xml:space="preserve">Each Canadian Loan Party and its Subsidiaries is in compliance with the requirements of the Pension Benefits Act (Ontario) and other federal or provincial laws with respect to each Canadian Pension Plan, except where the failure to so comply would not reasonably be expected to have a Material Adverse Effect. No fact or situation that may reasonably be expected to result in a Material Adverse Effect exists in connection with any Canadian Pension Plan. No Pension Event has occurred which has resulted or would reasonably be expected to result in any Loan Party incurring any liability which would reasonably be expected to have a Material Adverse Effect. Except where failure to comply with the following clauses (i) through (iv) would not reasonably be expected to have a Material Adverse Effect: (i) all contributions required to be made by a Loan Party or any of its Subsidiaries under the Canadian Union Plans have been made in the amounts and in the manner set forth in the applicable collective agreement, (ii) as of the Second Restatement Date, except as set forth on </w:t>
      </w:r>
      <w:r>
        <w:rPr>
          <w:rFonts w:ascii="Arial" w:cs="Arial" w:eastAsia="Arial" w:hAnsi="Arial"/>
          <w:sz w:val="15"/>
          <w:szCs w:val="15"/>
          <w:u w:val="single" w:color="auto"/>
          <w:color w:val="auto"/>
        </w:rPr>
        <w:t>Schedule 3.10</w:t>
      </w:r>
      <w:r>
        <w:rPr>
          <w:rFonts w:ascii="Arial" w:cs="Arial" w:eastAsia="Arial" w:hAnsi="Arial"/>
          <w:sz w:val="15"/>
          <w:szCs w:val="15"/>
          <w:color w:val="auto"/>
        </w:rPr>
        <w:t>, each Canadian Pension Plan has no solvency deficiency and is funded as required under the most recent actuarial valuation filed with the applicable Governmental Authority pursuant to generally accepted actuarial practices and principles, (iii) all contributions (including employee contributions made by authorized payroll deductions or other withholdings) required to be made to the appropriate funding agency in accordance with all applicable laws and the terms of each Canadian Pension Plan have been made in accordance with all applicable laws and the terms of each Canadian Pension Plan, and (iv) all contributions required to be made by a Loan Party or any of its Subsidiaries under the Canadian Union Plans have been made, and the sole obligation of a Loan Party or any of its Subsidiaries under any Canadian Union Plan is to make contributions to the Canadian Union Plan, in the amounts and in the manner set forth in the applicable collective agreement.</w:t>
      </w:r>
    </w:p>
    <w:p>
      <w:pPr>
        <w:sectPr>
          <w:pgSz w:w="11900" w:h="16838" w:orient="portrait"/>
          <w:cols w:equalWidth="0" w:num="1">
            <w:col w:w="11440"/>
          </w:cols>
          <w:pgMar w:left="240" w:top="124" w:right="219" w:bottom="0" w:gutter="0" w:footer="0" w:header="0"/>
        </w:sectPr>
      </w:pPr>
    </w:p>
    <w:bookmarkStart w:id="48" w:name="page49"/>
    <w:bookmarkEnd w:id="48"/>
    <w:p>
      <w:pPr>
        <w:spacing w:after="0" w:line="75"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 report, financial statement, certificate or other information (other than projections, forward-looking statements and statements of a general economic nature) furnished by or on behalf of any Loan Party to the Administrative Agent or any Lender in connection with the negotiation of this Agreement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Projections and any other projected financial information or forecasts, the Borrowers and Holdings represent only that such information and materials have been prepared in good faith on the basis of the assumptions stated therein, which assumptions were believed by the Loan Parties to be reasonable at the time delivered and, if such projected financial information was delivered prior to the Second Restatement Date, as of the Second Restatement Date, it being understood and agreed that such Projections and such other projected financial information or forecasts are subject to uncertainties and contingencies, many of which are beyond the control of the Loan Parties, and as such, such Projections and other projected financial information or forecasts are not a guarantee of financial performance and actual results may differ from such Projections and other projected financial information or forecasts and such differences may be material.</w:t>
      </w:r>
    </w:p>
    <w:p>
      <w:pPr>
        <w:spacing w:after="0" w:line="151"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3.12</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Solvency</w:t>
      </w:r>
      <w:r>
        <w:rPr>
          <w:rFonts w:ascii="Arial" w:cs="Arial" w:eastAsia="Arial" w:hAnsi="Arial"/>
          <w:sz w:val="17"/>
          <w:szCs w:val="17"/>
          <w:color w:val="auto"/>
        </w:rPr>
        <w:t xml:space="preserve">. (1) Immediately after the consummation of the Transactions to occur on the Second Restatement Date, (i) the fair value of the assets of the U.S. Borrowers, taken as a whole, at a fair valuation, will exceed their debts and liabilities, subordinated, contingent or otherwise; (ii) the present fair saleable value of the property of the U.S. Borrowers, taken as a whole, will be greater than the amount that will be required to pay the probable liability of their debts and other liabilities, subordinated, contingent or otherwise, as such debts and other liabilities become absolute and matured; (iii) the U.S. Borrowers, taken as a whole, will be able to pay their debts and liabilities, subordinated, contingent or otherwise, as such debts and liabilities become absolute and matured; (iv) the U.S. Borrowers, taken as a whole, will not have unreasonably small capital with which to conduct the business in which they are engaged as such business is now conducted and is proposed to be conducted after the Second Restatement Date, and (v) no Canadian Borrower shall be an “insolvent person” as such term is defined in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w:t>
      </w:r>
    </w:p>
    <w:p>
      <w:pPr>
        <w:spacing w:after="0" w:line="186" w:lineRule="exact"/>
        <w:rPr>
          <w:sz w:val="20"/>
          <w:szCs w:val="20"/>
          <w:color w:val="auto"/>
        </w:rPr>
      </w:pPr>
    </w:p>
    <w:p>
      <w:pPr>
        <w:jc w:val="both"/>
        <w:ind w:firstLine="1139"/>
        <w:spacing w:after="0" w:line="297" w:lineRule="auto"/>
        <w:tabs>
          <w:tab w:leader="none" w:pos="1585" w:val="left"/>
        </w:tabs>
        <w:numPr>
          <w:ilvl w:val="0"/>
          <w:numId w:val="70"/>
        </w:numPr>
        <w:rPr>
          <w:rFonts w:ascii="Arial" w:cs="Arial" w:eastAsia="Arial" w:hAnsi="Arial"/>
          <w:sz w:val="18"/>
          <w:szCs w:val="18"/>
          <w:color w:val="auto"/>
        </w:rPr>
      </w:pPr>
      <w:r>
        <w:rPr>
          <w:rFonts w:ascii="Arial" w:cs="Arial" w:eastAsia="Arial" w:hAnsi="Arial"/>
          <w:sz w:val="16"/>
          <w:szCs w:val="16"/>
          <w:color w:val="auto"/>
        </w:rPr>
        <w:t>Immediately after the consummation of the Transactions to occur on the Second Restatement Date, (i) the fair value of the assets of the Canadian Borrowers, taken as a whole, at a fair valuation, will exceed their debts and liabilities, subordinated, contingent or otherwise; (ii) the present fair saleable value of the property of the Canadian Borrowers, taken as a whole, will be greater than the amount that will be required to pay the probable liability of their debts and other liabilities, subordinated, contingent or otherwise, as such debts and other liabilities become absolute and matured; (iii) the Canadian Borrowers, taken as a whole, will be able to pay their debts and liabilities, subordinated, contingent or otherwise, as such debts and liabilities become absolute and matured; and (iv) the Canadian Borrowers, taken as a whole, will not have unreasonably small capital with which to conduct the business in which they are engaged as such business is now conducted and is proposed to be conducted after the Second Restatement Date.</w:t>
      </w:r>
    </w:p>
    <w:p>
      <w:pPr>
        <w:spacing w:after="0" w:line="164" w:lineRule="exact"/>
        <w:rPr>
          <w:rFonts w:ascii="Arial" w:cs="Arial" w:eastAsia="Arial" w:hAnsi="Arial"/>
          <w:sz w:val="18"/>
          <w:szCs w:val="18"/>
          <w:color w:val="auto"/>
        </w:rPr>
      </w:pPr>
    </w:p>
    <w:p>
      <w:pPr>
        <w:jc w:val="both"/>
        <w:ind w:firstLine="1139"/>
        <w:spacing w:after="0" w:line="277" w:lineRule="auto"/>
        <w:tabs>
          <w:tab w:leader="none" w:pos="1525" w:val="left"/>
        </w:tabs>
        <w:numPr>
          <w:ilvl w:val="0"/>
          <w:numId w:val="70"/>
        </w:numPr>
        <w:rPr>
          <w:rFonts w:ascii="Arial" w:cs="Arial" w:eastAsia="Arial" w:hAnsi="Arial"/>
          <w:sz w:val="19"/>
          <w:szCs w:val="19"/>
          <w:color w:val="auto"/>
        </w:rPr>
      </w:pPr>
      <w:r>
        <w:rPr>
          <w:rFonts w:ascii="Arial" w:cs="Arial" w:eastAsia="Arial" w:hAnsi="Arial"/>
          <w:sz w:val="17"/>
          <w:szCs w:val="17"/>
          <w:color w:val="auto"/>
        </w:rPr>
        <w:t>Immediately after the consummation of the Transactions to occur on the Second Restatement Date,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the Loan Parties, taken as a whole, will not have unreasonably small capital with which to conduct the business in which they are engaged as such business is now conducted and is proposed to be conducted after the Second Restatement Date.</w:t>
      </w:r>
    </w:p>
    <w:p>
      <w:pPr>
        <w:spacing w:after="0" w:line="181" w:lineRule="exact"/>
        <w:rPr>
          <w:rFonts w:ascii="Arial" w:cs="Arial" w:eastAsia="Arial" w:hAnsi="Arial"/>
          <w:sz w:val="19"/>
          <w:szCs w:val="19"/>
          <w:color w:val="auto"/>
        </w:rPr>
      </w:pPr>
    </w:p>
    <w:p>
      <w:pPr>
        <w:jc w:val="both"/>
        <w:ind w:right="20" w:firstLine="1139"/>
        <w:spacing w:after="0" w:line="301" w:lineRule="auto"/>
        <w:tabs>
          <w:tab w:leader="none" w:pos="1550" w:val="left"/>
        </w:tabs>
        <w:numPr>
          <w:ilvl w:val="0"/>
          <w:numId w:val="70"/>
        </w:numPr>
        <w:rPr>
          <w:rFonts w:ascii="Arial" w:cs="Arial" w:eastAsia="Arial" w:hAnsi="Arial"/>
          <w:sz w:val="18"/>
          <w:szCs w:val="18"/>
          <w:color w:val="auto"/>
        </w:rPr>
      </w:pPr>
      <w:r>
        <w:rPr>
          <w:rFonts w:ascii="Arial" w:cs="Arial" w:eastAsia="Arial" w:hAnsi="Arial"/>
          <w:sz w:val="16"/>
          <w:szCs w:val="16"/>
          <w:color w:val="auto"/>
        </w:rPr>
        <w:t>The Loan Parties and their Restricted Subsidiaries (taken as a whole) do not intend to incur debts beyond their ability to pay such debts as they mature, taking into account the timing of and amounts of cash to be received by the Loan Parties and their Restricted Subsidiaries (taken as a whole) and the timing of the amounts of cash to be payable on or in respect of the Indebtedness of the Loan Parties and their Restricted Subsidiaries (taken as a whole).</w:t>
      </w:r>
    </w:p>
    <w:p>
      <w:pPr>
        <w:spacing w:after="0" w:line="137"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Insurance</w:t>
      </w:r>
      <w:r>
        <w:rPr>
          <w:rFonts w:ascii="Arial" w:cs="Arial" w:eastAsia="Arial" w:hAnsi="Arial"/>
          <w:sz w:val="17"/>
          <w:szCs w:val="17"/>
          <w:color w:val="auto"/>
        </w:rPr>
        <w:t>. The Insurance Schedule sets forth a description of all insurance maintained by or on behalf of the Loan Parties and the Subsidiaries as of the Second Restatement Date. As of the Second Restatement Date, all premiums in respect of such insurance have been paid. The Loan Parties believe that the insurance maintained by or on behalf of the Loan Parties is adequate.</w:t>
      </w:r>
    </w:p>
    <w:p>
      <w:pPr>
        <w:spacing w:after="0" w:line="153" w:lineRule="exact"/>
        <w:rPr>
          <w:sz w:val="20"/>
          <w:szCs w:val="20"/>
          <w:color w:val="auto"/>
        </w:rPr>
      </w:pPr>
    </w:p>
    <w:p>
      <w:pPr>
        <w:jc w:val="both"/>
        <w:ind w:right="20" w:firstLine="572"/>
        <w:spacing w:after="0" w:line="206" w:lineRule="exact"/>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Capitalization and Subsidiaries</w:t>
      </w:r>
      <w:r>
        <w:rPr>
          <w:rFonts w:ascii="Arial" w:cs="Arial" w:eastAsia="Arial" w:hAnsi="Arial"/>
          <w:sz w:val="17"/>
          <w:szCs w:val="17"/>
          <w:color w:val="auto"/>
        </w:rPr>
        <w:t xml:space="preserve">. As of the Second Restatement Date, </w:t>
      </w:r>
      <w:r>
        <w:rPr>
          <w:rFonts w:ascii="Arial" w:cs="Arial" w:eastAsia="Arial" w:hAnsi="Arial"/>
          <w:sz w:val="17"/>
          <w:szCs w:val="17"/>
          <w:u w:val="single" w:color="auto"/>
          <w:color w:val="auto"/>
        </w:rPr>
        <w:t>Schedule 3.15</w:t>
      </w:r>
      <w:r>
        <w:rPr>
          <w:rFonts w:ascii="Arial" w:cs="Arial" w:eastAsia="Arial" w:hAnsi="Arial"/>
          <w:sz w:val="17"/>
          <w:szCs w:val="17"/>
          <w:color w:val="auto"/>
        </w:rPr>
        <w:t xml:space="preserve"> sets forth (a) an organizational chart of Holdings and its Subsidiaries showing the name and relationship of each and all of Holdings’ Subsidiaries to Holdings, (b) a true and complete listing of each class of each of the Loan Parties’ authorized Equity Interests, of which all of such issued shares are validly issued, outstanding, fully paid and non-assessable (to the extent such concepts are applicable), and, in the case of the Loan Parties (other than Holdings) and their Subsidiaries, owned beneficially and of record by the Persons identified on </w:t>
      </w:r>
      <w:r>
        <w:rPr>
          <w:rFonts w:ascii="Arial" w:cs="Arial" w:eastAsia="Arial" w:hAnsi="Arial"/>
          <w:sz w:val="17"/>
          <w:szCs w:val="17"/>
          <w:u w:val="single" w:color="auto"/>
          <w:color w:val="auto"/>
        </w:rPr>
        <w:t>Schedule 3.15</w:t>
      </w:r>
      <w:r>
        <w:rPr>
          <w:rFonts w:ascii="Arial" w:cs="Arial" w:eastAsia="Arial" w:hAnsi="Arial"/>
          <w:sz w:val="17"/>
          <w:szCs w:val="17"/>
          <w:color w:val="auto"/>
        </w:rPr>
        <w:t>, and (c) the type of entity of Holdings and each of its Subsidiaries (other than Excluded Subsidiaries). All of the issued and outstanding Equity Interests owned by any Loan Party have been (to the extent such concepts are relevant with respect to such ownership interests) duly authorized and issued and are fully paid and non</w:t>
      </w:r>
      <w:r>
        <w:rPr>
          <w:rFonts w:ascii="MS PGothic" w:cs="MS PGothic" w:eastAsia="MS PGothic" w:hAnsi="MS PGothic"/>
          <w:sz w:val="17"/>
          <w:szCs w:val="17"/>
          <w:color w:val="auto"/>
        </w:rPr>
        <w:t>‑</w:t>
      </w:r>
      <w:r>
        <w:rPr>
          <w:rFonts w:ascii="Arial" w:cs="Arial" w:eastAsia="Arial" w:hAnsi="Arial"/>
          <w:sz w:val="17"/>
          <w:szCs w:val="17"/>
          <w:color w:val="auto"/>
        </w:rPr>
        <w:t>assessable.</w:t>
      </w:r>
    </w:p>
    <w:p>
      <w:pPr>
        <w:spacing w:after="0" w:line="172"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create legal and valid Liens on all the Collateral in favor of the Administrative Agent, for the benefit of the Lender Parties and the Canadian Lender Parties, as the case may be, and upon filing of any UCC financing statements (or the equivalent under the PPSA) as necessary, and the taking of actions or making of filings with respect to Intellectual Property registrations, such Liens constitute perfected and continuing Liens on the Collateral to the extent perfection can be obtained by the filing of an initial UCC financing statement (or the equivalent under the PPSA) or an Intellectual Property registration, securing the Secured Obligations, enforceable against the applicable Loan Party, subject to applicable bankruptcy, insolvency, reorganization, moratorium or other laws affecting creditors’ rights generally and subject to general principles of equity, regardless of whether considered in a proceeding in equity or at law, and having priority over all other Liens on the Collateral except in the case of (a) Permitted Encumbrances, to the extent any such Permitted Encumbrances would have priority over the Liens in favor of the Administrative Agent pursuant to any applicable law or agreement, (b) Liens perfected only by possession (including possession of any certificate of title) to the extent the Administrative Agent has not obtained or does not maintain possession of such Collateral, and (c) Liens in favor of the Term Loan Agent on Term Loan Priority Collateral pursuant to the Term Loan Documents to the extent provided in the ABL-Term Loan Intercreditor Agreement.</w:t>
      </w:r>
    </w:p>
    <w:p>
      <w:pPr>
        <w:spacing w:after="0" w:line="150"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Employment Matters</w:t>
      </w:r>
      <w:r>
        <w:rPr>
          <w:rFonts w:ascii="Arial" w:cs="Arial" w:eastAsia="Arial" w:hAnsi="Arial"/>
          <w:sz w:val="17"/>
          <w:szCs w:val="17"/>
          <w:color w:val="auto"/>
        </w:rPr>
        <w:t xml:space="preserve">. As of the Second Restatement Date, there are no strikes, lockouts or slowdowns against any Loan Party or any Restricted Subsidiary pending or, to the knowledge of the Borrowers, threatened. Except as would not reasonably be expected to have a Material Adverse Effect, the hours worked by and payments made to employees of the Loan Parties and the Restricted Subsidiaries have not been in violation of the Fair Labor Standards Act, the </w:t>
      </w:r>
      <w:r>
        <w:rPr>
          <w:rFonts w:ascii="Arial" w:cs="Arial" w:eastAsia="Arial" w:hAnsi="Arial"/>
          <w:sz w:val="17"/>
          <w:szCs w:val="17"/>
          <w:i w:val="1"/>
          <w:iCs w:val="1"/>
          <w:color w:val="auto"/>
        </w:rPr>
        <w:t>Employee Standards Act</w:t>
      </w:r>
      <w:r>
        <w:rPr>
          <w:rFonts w:ascii="Arial" w:cs="Arial" w:eastAsia="Arial" w:hAnsi="Arial"/>
          <w:sz w:val="17"/>
          <w:szCs w:val="17"/>
          <w:color w:val="auto"/>
        </w:rPr>
        <w:t xml:space="preserve"> (Ontario) or any other applicable federal, provincial, territorial, state, local or foreign law dealing with such matters. All payments due from any Loan Party or any Restricted Subsidiary, or for which any claim may be made against any Loan Party or any Restricted Subsidiary, on account of wages, vacation pay, and employee health and welfare insurance and other benefits, including with respect to the Canada Pensions Plans, have been paid or accrued as a liability on the books of the Loan Party or such Subsidiary, except where the failure to so comply would not reasonably be expected to result in a Material Adverse Effect.</w:t>
      </w:r>
    </w:p>
    <w:p>
      <w:pPr>
        <w:spacing w:after="0" w:line="162" w:lineRule="exact"/>
        <w:rPr>
          <w:sz w:val="20"/>
          <w:szCs w:val="20"/>
          <w:color w:val="auto"/>
        </w:rPr>
      </w:pPr>
    </w:p>
    <w:p>
      <w:pPr>
        <w:jc w:val="both"/>
        <w:ind w:firstLine="572"/>
        <w:spacing w:after="0" w:line="304" w:lineRule="auto"/>
        <w:rPr>
          <w:sz w:val="20"/>
          <w:szCs w:val="20"/>
          <w:color w:val="auto"/>
        </w:rPr>
      </w:pPr>
      <w:r>
        <w:rPr>
          <w:rFonts w:ascii="Arial" w:cs="Arial" w:eastAsia="Arial" w:hAnsi="Arial"/>
          <w:sz w:val="15"/>
          <w:szCs w:val="15"/>
          <w:color w:val="auto"/>
        </w:rPr>
        <w:t xml:space="preserve">SECTION 3.18 </w:t>
      </w:r>
      <w:r>
        <w:rPr>
          <w:rFonts w:ascii="Arial" w:cs="Arial" w:eastAsia="Arial" w:hAnsi="Arial"/>
          <w:sz w:val="15"/>
          <w:szCs w:val="15"/>
          <w:u w:val="single" w:color="auto"/>
          <w:color w:val="auto"/>
        </w:rPr>
        <w:t>Common Enterprise</w:t>
      </w:r>
      <w:r>
        <w:rPr>
          <w:rFonts w:ascii="Arial" w:cs="Arial" w:eastAsia="Arial" w:hAnsi="Arial"/>
          <w:sz w:val="15"/>
          <w:szCs w:val="15"/>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w:t>
      </w:r>
    </w:p>
    <w:p>
      <w:pPr>
        <w:sectPr>
          <w:pgSz w:w="11900" w:h="16914" w:orient="portrait"/>
          <w:cols w:equalWidth="0" w:num="1">
            <w:col w:w="11440"/>
          </w:cols>
          <w:pgMar w:left="240" w:top="124" w:right="219" w:bottom="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6"/>
          <w:szCs w:val="16"/>
          <w:color w:val="auto"/>
        </w:rPr>
        <w:t>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or indirect benefit to such Loan Party, and is in its best interest.</w:t>
      </w:r>
    </w:p>
    <w:p>
      <w:pPr>
        <w:spacing w:after="0" w:line="135"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Ranking; Other Indebtedness</w:t>
      </w:r>
      <w:r>
        <w:rPr>
          <w:rFonts w:ascii="Arial" w:cs="Arial" w:eastAsia="Arial" w:hAnsi="Arial"/>
          <w:sz w:val="17"/>
          <w:szCs w:val="17"/>
          <w:color w:val="auto"/>
        </w:rPr>
        <w:t>. The Obligations constitute “Designated Senior Indebtedness” as such term is defined in each of the 2029 Convertible Debentures Indenture. The Obligations rank, and at all times after the Second Restatement Date will rank, senior in right of payment to the obligations of WESCO Distribution, Inc. and Holdings under the 2029 Convertible Debentures Indenture. The execution, delivery and performance by the Loan Parties of this Agreement and the other Loan Documents and the making of the Loans hereunder do not violate the terms of the 2029 Convertible Debentures Indenture or the Receivables Securitization Agreements.</w:t>
      </w:r>
    </w:p>
    <w:p>
      <w:pPr>
        <w:spacing w:after="0" w:line="161"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Each Loan Party has, in its reasonable business judgment, implemented and maintains in effect policies and procedures designed to ensure compliance in all material respects by such Loan Party, its Subsidiaries and their respective directors, officers, employees and agents with Anti-Corruption Laws applicable to the Loan Parties and their Subsidiaries and applicable Sanctions, and such Loan Party, its Subsidiaries and their respective officers and employees and, to the knowledge of such Loan Party, its directors and agents, are in compliance with Anti-Corruption Laws applicable to the Loan Parties and their Subsidiaries and applicable Sanctions, in each case, in all material respects and are not knowingly engaged in any activity that would reasonably be expected to result in any Loan Party being designated as a Sanctioned Person.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64"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Each of the representations and warranties set forth above in this Article III shall be deemed to be made by the Loan Parties on the Second Restatement Date, on the date of each Borrowing and each issuance, amendment, renewal or extension of any Letter of Credit and at any other time specified in any Loan Document or other document, certificate or instrument delivered in connection with any Loan Document. It is understood and agreed for purposes of this paragraph that, with respect to representations and warranties made or deemed made on the date of any Borrowing, any such representation or warranty which by its terms is made as of a specified date shall be required to be true and correct in all material respects (or, in the case of any representation or warranty already qualified or modified by materiality, in all respects) only as of such specified date.</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ARTICLE IV.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Conditions</w:t>
      </w:r>
    </w:p>
    <w:p>
      <w:pPr>
        <w:spacing w:after="0" w:line="210"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Second Restatement Date</w:t>
      </w:r>
      <w:r>
        <w:rPr>
          <w:rFonts w:ascii="Arial" w:cs="Arial" w:eastAsia="Arial" w:hAnsi="Arial"/>
          <w:sz w:val="17"/>
          <w:szCs w:val="17"/>
          <w:color w:val="auto"/>
        </w:rPr>
        <w:t>. The amendment and restatement of the Existing Credit Agreement and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77" w:lineRule="exact"/>
        <w:rPr>
          <w:sz w:val="20"/>
          <w:szCs w:val="20"/>
          <w:color w:val="auto"/>
        </w:rPr>
      </w:pPr>
    </w:p>
    <w:p>
      <w:pPr>
        <w:jc w:val="both"/>
        <w:ind w:firstLine="1139"/>
        <w:spacing w:after="0" w:line="297" w:lineRule="auto"/>
        <w:tabs>
          <w:tab w:leader="none" w:pos="1514" w:val="left"/>
        </w:tabs>
        <w:numPr>
          <w:ilvl w:val="0"/>
          <w:numId w:val="71"/>
        </w:numPr>
        <w:rPr>
          <w:rFonts w:ascii="Arial" w:cs="Arial" w:eastAsia="Arial" w:hAnsi="Arial"/>
          <w:sz w:val="18"/>
          <w:szCs w:val="18"/>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The Administrative Agent (or its counsel) shall have received (i) from each party hereto either (A) a counterpart of this Agreement signed on behalf of such party or (B) written evidence reasonably satisfactory to the Administrative Agent (which may include facsimile or other electronic transmission of a signed signature page of this Agreement) that such party has signed a counterpart of this Agreement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each such requesting Lender and its registered assigns and written opinions of the Loan Parties’ counsel, addressed to the Administrative Agent, the Canadian Administrative Agent, the Issuing Banks and the Lenders in form and substance reasonably satisfactory to the Agents.</w:t>
      </w:r>
    </w:p>
    <w:p>
      <w:pPr>
        <w:spacing w:after="0" w:line="164" w:lineRule="exact"/>
        <w:rPr>
          <w:rFonts w:ascii="Arial" w:cs="Arial" w:eastAsia="Arial" w:hAnsi="Arial"/>
          <w:sz w:val="18"/>
          <w:szCs w:val="18"/>
          <w:color w:val="auto"/>
        </w:rPr>
      </w:pPr>
    </w:p>
    <w:p>
      <w:pPr>
        <w:jc w:val="both"/>
        <w:ind w:firstLine="1139"/>
        <w:spacing w:after="0" w:line="277" w:lineRule="auto"/>
        <w:tabs>
          <w:tab w:leader="none" w:pos="1537" w:val="left"/>
        </w:tabs>
        <w:numPr>
          <w:ilvl w:val="0"/>
          <w:numId w:val="71"/>
        </w:numPr>
        <w:rPr>
          <w:rFonts w:ascii="Arial" w:cs="Arial" w:eastAsia="Arial" w:hAnsi="Arial"/>
          <w:sz w:val="19"/>
          <w:szCs w:val="19"/>
          <w:color w:val="auto"/>
        </w:rPr>
      </w:pPr>
      <w:r>
        <w:rPr>
          <w:rFonts w:ascii="Arial" w:cs="Arial" w:eastAsia="Arial" w:hAnsi="Arial"/>
          <w:sz w:val="17"/>
          <w:szCs w:val="17"/>
          <w:u w:val="single" w:color="auto"/>
          <w:color w:val="auto"/>
        </w:rPr>
        <w:t>Financial Statements and Projections</w:t>
      </w:r>
      <w:r>
        <w:rPr>
          <w:rFonts w:ascii="Arial" w:cs="Arial" w:eastAsia="Arial" w:hAnsi="Arial"/>
          <w:sz w:val="17"/>
          <w:szCs w:val="17"/>
          <w:color w:val="auto"/>
        </w:rPr>
        <w:t>. The Lenders shall have received (i) audited consolidated financial statements of Holdings for the 2014 fiscal year, (ii) unaudited interim consolidated financial statements of Holdings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Holdings, as reflected in the financial statements delivered pursuant to clause (i) of this paragraph, and (iii) satisfactory projections through 2016.</w:t>
      </w:r>
    </w:p>
    <w:p>
      <w:pPr>
        <w:spacing w:after="0" w:line="179" w:lineRule="exact"/>
        <w:rPr>
          <w:rFonts w:ascii="Arial" w:cs="Arial" w:eastAsia="Arial" w:hAnsi="Arial"/>
          <w:sz w:val="19"/>
          <w:szCs w:val="19"/>
          <w:color w:val="auto"/>
        </w:rPr>
      </w:pPr>
    </w:p>
    <w:p>
      <w:pPr>
        <w:jc w:val="both"/>
        <w:ind w:right="20" w:firstLine="1139"/>
        <w:spacing w:after="0" w:line="226" w:lineRule="exact"/>
        <w:tabs>
          <w:tab w:leader="none" w:pos="1550" w:val="left"/>
        </w:tabs>
        <w:numPr>
          <w:ilvl w:val="0"/>
          <w:numId w:val="71"/>
        </w:numPr>
        <w:rPr>
          <w:rFonts w:ascii="Arial" w:cs="Arial" w:eastAsia="Arial" w:hAnsi="Arial"/>
          <w:sz w:val="18"/>
          <w:szCs w:val="18"/>
          <w:color w:val="auto"/>
        </w:rPr>
      </w:pPr>
      <w:r>
        <w:rPr>
          <w:rFonts w:ascii="Arial" w:cs="Arial" w:eastAsia="Arial" w:hAnsi="Arial"/>
          <w:sz w:val="16"/>
          <w:szCs w:val="16"/>
          <w:u w:val="single" w:color="auto"/>
          <w:color w:val="auto"/>
        </w:rPr>
        <w:t>Closing Certificates; Certified Certificate of Incorporation; Good Standing Certificates</w:t>
      </w:r>
      <w:r>
        <w:rPr>
          <w:rFonts w:ascii="Arial" w:cs="Arial" w:eastAsia="Arial" w:hAnsi="Arial"/>
          <w:sz w:val="16"/>
          <w:szCs w:val="16"/>
          <w:color w:val="auto"/>
        </w:rPr>
        <w:t>. The Administrative Agent shall have received (i) a certificate of each Loan Party, dated the Second Restatement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(or officer of such Loan Party, as is customary in certain jurisdictions other than the United States) and a true and correct copy of its by</w:t>
      </w:r>
      <w:r>
        <w:rPr>
          <w:rFonts w:ascii="MS PGothic" w:cs="MS PGothic" w:eastAsia="MS PGothic" w:hAnsi="MS PGothic"/>
          <w:sz w:val="16"/>
          <w:szCs w:val="16"/>
          <w:color w:val="auto"/>
        </w:rPr>
        <w:t>‑</w:t>
      </w:r>
      <w:r>
        <w:rPr>
          <w:rFonts w:ascii="Arial" w:cs="Arial" w:eastAsia="Arial" w:hAnsi="Arial"/>
          <w:sz w:val="16"/>
          <w:szCs w:val="16"/>
          <w:color w:val="auto"/>
        </w:rPr>
        <w:t>laws or operating, management or partnership agreement (or other equivalent organizational documents), and (ii) a long form good standing certificate (or equivalent, as is customary in certain jurisdictions other than the United States) for each Loan Party from its jurisdiction of organization.</w:t>
      </w:r>
    </w:p>
    <w:p>
      <w:pPr>
        <w:spacing w:after="0" w:line="213" w:lineRule="exact"/>
        <w:rPr>
          <w:rFonts w:ascii="Arial" w:cs="Arial" w:eastAsia="Arial" w:hAnsi="Arial"/>
          <w:sz w:val="18"/>
          <w:szCs w:val="18"/>
          <w:color w:val="auto"/>
        </w:rPr>
      </w:pPr>
    </w:p>
    <w:p>
      <w:pPr>
        <w:jc w:val="both"/>
        <w:ind w:firstLine="1139"/>
        <w:spacing w:after="0" w:line="277" w:lineRule="auto"/>
        <w:tabs>
          <w:tab w:leader="none" w:pos="1680" w:val="left"/>
        </w:tabs>
        <w:numPr>
          <w:ilvl w:val="0"/>
          <w:numId w:val="71"/>
        </w:numPr>
        <w:rPr>
          <w:rFonts w:ascii="Arial" w:cs="Arial" w:eastAsia="Arial" w:hAnsi="Arial"/>
          <w:sz w:val="19"/>
          <w:szCs w:val="19"/>
          <w:color w:val="auto"/>
        </w:rPr>
      </w:pPr>
      <w:r>
        <w:rPr>
          <w:rFonts w:ascii="Arial" w:cs="Arial" w:eastAsia="Arial" w:hAnsi="Arial"/>
          <w:sz w:val="17"/>
          <w:szCs w:val="17"/>
          <w:u w:val="single" w:color="auto"/>
          <w:color w:val="auto"/>
        </w:rPr>
        <w:t>No Default Certificate</w:t>
      </w:r>
      <w:r>
        <w:rPr>
          <w:rFonts w:ascii="Arial" w:cs="Arial" w:eastAsia="Arial" w:hAnsi="Arial"/>
          <w:sz w:val="17"/>
          <w:szCs w:val="17"/>
          <w:color w:val="auto"/>
        </w:rPr>
        <w:t>. The Administrative Agent shall have received a certificate, signed by a Financial Officer of the Borrower Representative, on the initial Borrowing date (i) stating that no Default has occurred and is continuing, (ii) stating that the representations and warranties contained in Article III are true and correct in all material respects (except that such materiality qualifier shall not be applicable to any representations or warranties that already are qualified or modified by materiality in the text thereof) as of such date (or if such representation or warranty relates to an earlier date, such earlier date), and (iii) certifying any other factual matters as may be reasonably requested by the Administrative Agent.</w:t>
      </w:r>
    </w:p>
    <w:p>
      <w:pPr>
        <w:spacing w:after="0" w:line="179" w:lineRule="exact"/>
        <w:rPr>
          <w:rFonts w:ascii="Arial" w:cs="Arial" w:eastAsia="Arial" w:hAnsi="Arial"/>
          <w:sz w:val="19"/>
          <w:szCs w:val="19"/>
          <w:color w:val="auto"/>
        </w:rPr>
      </w:pPr>
    </w:p>
    <w:p>
      <w:pPr>
        <w:jc w:val="both"/>
        <w:ind w:firstLine="1139"/>
        <w:spacing w:after="0" w:line="277" w:lineRule="auto"/>
        <w:tabs>
          <w:tab w:leader="none" w:pos="1526" w:val="left"/>
        </w:tabs>
        <w:numPr>
          <w:ilvl w:val="0"/>
          <w:numId w:val="71"/>
        </w:numPr>
        <w:rPr>
          <w:rFonts w:ascii="Arial" w:cs="Arial" w:eastAsia="Arial" w:hAnsi="Arial"/>
          <w:sz w:val="19"/>
          <w:szCs w:val="19"/>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The Lenders, the Administrative Agent and the Canadian Administrative Agent shall have received all fees required to be paid, and all expenses for which invoices have been presented (including the reasonable fees and expenses of legal counsel), at least one Business Day before the Second Restatement Date. All such amounts will be paid on the Second Restatement Date.</w:t>
      </w:r>
    </w:p>
    <w:p>
      <w:pPr>
        <w:spacing w:after="0" w:line="178" w:lineRule="exact"/>
        <w:rPr>
          <w:rFonts w:ascii="Arial" w:cs="Arial" w:eastAsia="Arial" w:hAnsi="Arial"/>
          <w:sz w:val="19"/>
          <w:szCs w:val="19"/>
          <w:color w:val="auto"/>
        </w:rPr>
      </w:pPr>
    </w:p>
    <w:p>
      <w:pPr>
        <w:jc w:val="both"/>
        <w:ind w:right="20" w:firstLine="1139"/>
        <w:spacing w:after="0" w:line="301" w:lineRule="auto"/>
        <w:tabs>
          <w:tab w:leader="none" w:pos="1529" w:val="left"/>
        </w:tabs>
        <w:numPr>
          <w:ilvl w:val="0"/>
          <w:numId w:val="71"/>
        </w:numPr>
        <w:rPr>
          <w:rFonts w:ascii="Arial" w:cs="Arial" w:eastAsia="Arial" w:hAnsi="Arial"/>
          <w:sz w:val="18"/>
          <w:szCs w:val="18"/>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Administrative Agent shall have received the results of a recent lien search in each of the jurisdictions where the Loan Parties are organized, and such search shall reveal no liens on any of the assets of the Loan Parties except for liens permitted by Section 6.02 or discharged on or prior to the Second Restatement Date pursuant to a pay-off letter or other documentation reasonably satisfactory to the Administrative Agent.</w:t>
      </w:r>
    </w:p>
    <w:p>
      <w:pPr>
        <w:spacing w:after="0" w:line="160" w:lineRule="exact"/>
        <w:rPr>
          <w:rFonts w:ascii="Arial" w:cs="Arial" w:eastAsia="Arial" w:hAnsi="Arial"/>
          <w:sz w:val="18"/>
          <w:szCs w:val="18"/>
          <w:color w:val="auto"/>
        </w:rPr>
      </w:pPr>
    </w:p>
    <w:p>
      <w:pPr>
        <w:jc w:val="both"/>
        <w:ind w:right="20" w:firstLine="1139"/>
        <w:spacing w:after="0" w:line="277" w:lineRule="auto"/>
        <w:tabs>
          <w:tab w:leader="none" w:pos="1632" w:val="left"/>
        </w:tabs>
        <w:numPr>
          <w:ilvl w:val="0"/>
          <w:numId w:val="71"/>
        </w:numPr>
        <w:rPr>
          <w:rFonts w:ascii="Arial" w:cs="Arial" w:eastAsia="Arial" w:hAnsi="Arial"/>
          <w:sz w:val="19"/>
          <w:szCs w:val="19"/>
          <w:color w:val="auto"/>
        </w:rPr>
      </w:pPr>
      <w:r>
        <w:rPr>
          <w:rFonts w:ascii="Arial" w:cs="Arial" w:eastAsia="Arial" w:hAnsi="Arial"/>
          <w:sz w:val="17"/>
          <w:szCs w:val="17"/>
          <w:u w:val="single" w:color="auto"/>
          <w:color w:val="auto"/>
        </w:rPr>
        <w:t>Funding Accounts</w:t>
      </w:r>
      <w:r>
        <w:rPr>
          <w:rFonts w:ascii="Arial" w:cs="Arial" w:eastAsia="Arial" w:hAnsi="Arial"/>
          <w:sz w:val="17"/>
          <w:szCs w:val="17"/>
          <w:color w:val="auto"/>
        </w:rPr>
        <w:t>. The Administrative Agent shall have received a notice from the Borrower Representative setting forth the deposit account(s) of the Borrowers (the “</w:t>
      </w:r>
      <w:r>
        <w:rPr>
          <w:rFonts w:ascii="Arial" w:cs="Arial" w:eastAsia="Arial" w:hAnsi="Arial"/>
          <w:sz w:val="17"/>
          <w:szCs w:val="17"/>
          <w:u w:val="single" w:color="auto"/>
          <w:color w:val="auto"/>
        </w:rPr>
        <w:t>Funding Accounts</w:t>
      </w:r>
      <w:r>
        <w:rPr>
          <w:rFonts w:ascii="Arial" w:cs="Arial" w:eastAsia="Arial" w:hAnsi="Arial"/>
          <w:sz w:val="17"/>
          <w:szCs w:val="17"/>
          <w:color w:val="auto"/>
        </w:rPr>
        <w:t>”) to which the Lender is authorized by the Borrowers to transfer the proceeds of any Borrowings requested or authorized pursuant to this Agreement.</w:t>
      </w:r>
    </w:p>
    <w:p>
      <w:pPr>
        <w:sectPr>
          <w:pgSz w:w="11900" w:h="16838" w:orient="portrait"/>
          <w:cols w:equalWidth="0" w:num="1">
            <w:col w:w="11440"/>
          </w:cols>
          <w:pgMar w:left="240" w:top="124" w:right="219" w:bottom="0" w:gutter="0" w:footer="0" w:header="0"/>
        </w:sectPr>
      </w:pPr>
    </w:p>
    <w:bookmarkStart w:id="50" w:name="page51"/>
    <w:bookmarkEnd w:id="50"/>
    <w:p>
      <w:pPr>
        <w:ind w:right="20" w:firstLine="1139"/>
        <w:spacing w:after="0" w:line="281" w:lineRule="auto"/>
        <w:tabs>
          <w:tab w:leader="none" w:pos="1584"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Control Agreements</w:t>
      </w:r>
      <w:r>
        <w:rPr>
          <w:rFonts w:ascii="Arial" w:cs="Arial" w:eastAsia="Arial" w:hAnsi="Arial"/>
          <w:sz w:val="17"/>
          <w:szCs w:val="17"/>
          <w:color w:val="auto"/>
        </w:rPr>
        <w:t>. The Administrative Agent shall have received each Control Agreement required to be provided pursuant to Section 5.12, to the extent not already provided in connection with the Existing Credit Agreement.</w:t>
      </w:r>
    </w:p>
    <w:p>
      <w:pPr>
        <w:spacing w:after="0" w:line="170" w:lineRule="exact"/>
        <w:rPr>
          <w:rFonts w:ascii="Arial" w:cs="Arial" w:eastAsia="Arial" w:hAnsi="Arial"/>
          <w:sz w:val="19"/>
          <w:szCs w:val="19"/>
          <w:color w:val="auto"/>
        </w:rPr>
      </w:pPr>
    </w:p>
    <w:p>
      <w:pPr>
        <w:ind w:firstLine="1139"/>
        <w:spacing w:after="0" w:line="281" w:lineRule="auto"/>
        <w:tabs>
          <w:tab w:leader="none" w:pos="1589"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Collateral Access Agreements</w:t>
      </w:r>
      <w:r>
        <w:rPr>
          <w:rFonts w:ascii="Arial" w:cs="Arial" w:eastAsia="Arial" w:hAnsi="Arial"/>
          <w:sz w:val="17"/>
          <w:szCs w:val="17"/>
          <w:color w:val="auto"/>
        </w:rPr>
        <w:t xml:space="preserve">. The Administrative Agent shall have received Collateral Access Agreements with respect to the leased locations listed on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hereto, to the extent not already provided in connection with the Existing Credit Agreement.</w:t>
      </w:r>
    </w:p>
    <w:p>
      <w:pPr>
        <w:spacing w:after="0" w:line="170" w:lineRule="exact"/>
        <w:rPr>
          <w:rFonts w:ascii="Arial" w:cs="Arial" w:eastAsia="Arial" w:hAnsi="Arial"/>
          <w:sz w:val="19"/>
          <w:szCs w:val="19"/>
          <w:color w:val="auto"/>
        </w:rPr>
      </w:pPr>
    </w:p>
    <w:p>
      <w:pPr>
        <w:ind w:left="1480" w:hanging="341"/>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The Administrative Agent shall have received a solvency certificate from a Financial Officer of the Borrower Representative.</w:t>
      </w:r>
    </w:p>
    <w:p>
      <w:pPr>
        <w:spacing w:after="0" w:line="221" w:lineRule="exact"/>
        <w:rPr>
          <w:rFonts w:ascii="Arial" w:cs="Arial" w:eastAsia="Arial" w:hAnsi="Arial"/>
          <w:sz w:val="18"/>
          <w:szCs w:val="18"/>
          <w:color w:val="auto"/>
        </w:rPr>
      </w:pPr>
    </w:p>
    <w:p>
      <w:pPr>
        <w:jc w:val="both"/>
        <w:ind w:firstLine="1139"/>
        <w:spacing w:after="0" w:line="277" w:lineRule="auto"/>
        <w:tabs>
          <w:tab w:leader="none" w:pos="1584"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Pledged Stock; Stock Powers; Pledged Notes</w:t>
      </w:r>
      <w:r>
        <w:rPr>
          <w:rFonts w:ascii="Arial" w:cs="Arial" w:eastAsia="Arial" w:hAnsi="Arial"/>
          <w:sz w:val="17"/>
          <w:szCs w:val="17"/>
          <w:color w:val="auto"/>
        </w:rPr>
        <w:t>. The Administrative Agent shall have received (i) to the extent applicable and to extent not already provided in connection with the Existing Credit Agreement, the certificates representing the shares of Equity Interests of WESCO Receivables pledged pursuant to the U.S. Security Agreement, together with an undated stock power for each such certificate executed in blank by a duly authorized officer of the pledgor thereof, (ii) to the extent applicable and to the extent not already provided in connection with the Existing Credit Agreement, copies of the certificates representing the shares of Equity Interests (other than the Equity Interests of WESCO Receivables) pledged pursuant to the U.S. Security Agreement or the Canadian Security Agreement, together with copies of an undated stock power for each such certificate executed in blank by a duly authorized officer of the pledgor thereof (it being understood that the originals of such certificates and stock powers shall be delivered to and held by the Term Loan Agent pursuant to the ABL-Term Loan Intercreditor Agreement), (iii) to the extent applicable and to the extent not already provided in connection with the Existing Credit Agreement, each promissory note issued by WESCO Receivables to any Loan Party pledged to the Administrative Agent pursuant to the U.S. Security Agreement endorsed (without recourse) in blank (or accompanied by an executed transfer form in blank) by the pledgor thereof, and (iv) to the extent required by the U.S. Security Agreement or the Canadian Security Agreement and to the extent not already provided in connection with the Existing Credit Agreement, copies of each promissory note (other than the promissory notes issued by WESCO Receivables) pledged to the Administrative Agent pursuant to the U.S. Security Agreement or the Canadian Security Agreement endorsed (without recourse) in blank (or accompanied by an executed transfer form in blank) by the pledgor thereof (it being understood that the originals of such promissory notes and transfer forms shall be delivered to and held by the Term Loan Agent pursuant to the ABL-Term Loan Intercreditor Agreement).</w:t>
      </w:r>
    </w:p>
    <w:p>
      <w:pPr>
        <w:spacing w:after="0" w:line="187" w:lineRule="exact"/>
        <w:rPr>
          <w:rFonts w:ascii="Arial" w:cs="Arial" w:eastAsia="Arial" w:hAnsi="Arial"/>
          <w:sz w:val="19"/>
          <w:szCs w:val="19"/>
          <w:color w:val="auto"/>
        </w:rPr>
      </w:pPr>
    </w:p>
    <w:p>
      <w:pPr>
        <w:jc w:val="both"/>
        <w:ind w:firstLine="1139"/>
        <w:spacing w:after="0" w:line="277" w:lineRule="auto"/>
        <w:tabs>
          <w:tab w:leader="none" w:pos="1589"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Each document (including any Uniform Commercial Code financing statement, PPSA financing statement or RDPRM recordation) required by the Collateral Documents or under law or reasonably requested by the Administrative Agent to be filed, registered or recorded in order to create in favor of the Administrative Agent, for the benefit of the Lender Parties or the Canadian Lender Parties, as the case may be, a perfected Lien on the Collateral described therein, prior and superior in right to any other Person (other than with respect to Liens expressly permitted by Section 6.02), shall be in proper form for filing, registration or recordation.</w:t>
      </w:r>
    </w:p>
    <w:p>
      <w:pPr>
        <w:spacing w:after="0" w:line="179" w:lineRule="exact"/>
        <w:rPr>
          <w:rFonts w:ascii="Arial" w:cs="Arial" w:eastAsia="Arial" w:hAnsi="Arial"/>
          <w:sz w:val="19"/>
          <w:szCs w:val="19"/>
          <w:color w:val="auto"/>
        </w:rPr>
      </w:pPr>
    </w:p>
    <w:p>
      <w:pPr>
        <w:ind w:firstLine="1139"/>
        <w:spacing w:after="0" w:line="281" w:lineRule="auto"/>
        <w:tabs>
          <w:tab w:leader="none" w:pos="1601"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Administrative Agent shall have received evidence of insurance coverage in compliance with the terms of Section 5.09 and Section 4.12 of the U.S. Security Agreement and Section 4.12 of the Canadian Security Agreement.</w:t>
      </w:r>
    </w:p>
    <w:p>
      <w:pPr>
        <w:spacing w:after="0" w:line="170" w:lineRule="exact"/>
        <w:rPr>
          <w:rFonts w:ascii="Arial" w:cs="Arial" w:eastAsia="Arial" w:hAnsi="Arial"/>
          <w:sz w:val="19"/>
          <w:szCs w:val="19"/>
          <w:color w:val="auto"/>
        </w:rPr>
      </w:pPr>
    </w:p>
    <w:p>
      <w:pPr>
        <w:jc w:val="both"/>
        <w:ind w:right="20" w:firstLine="1139"/>
        <w:spacing w:after="0" w:line="277" w:lineRule="auto"/>
        <w:tabs>
          <w:tab w:leader="none" w:pos="1525"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Receivables Securitization Documents</w:t>
      </w:r>
      <w:r>
        <w:rPr>
          <w:rFonts w:ascii="Arial" w:cs="Arial" w:eastAsia="Arial" w:hAnsi="Arial"/>
          <w:sz w:val="17"/>
          <w:szCs w:val="17"/>
          <w:color w:val="auto"/>
        </w:rPr>
        <w:t>. The Administrative Agent shall have received a true, correct and complete copy of that certain Fourth Amended and Restated Receivables Purchase Agreement, in form and substance reasonably satisfactory to the Administrative Agent, which shall be fully-executed and in full force and effect as of the Second Restatement Date.</w:t>
      </w:r>
    </w:p>
    <w:p>
      <w:pPr>
        <w:spacing w:after="0" w:line="178" w:lineRule="exact"/>
        <w:rPr>
          <w:rFonts w:ascii="Arial" w:cs="Arial" w:eastAsia="Arial" w:hAnsi="Arial"/>
          <w:sz w:val="19"/>
          <w:szCs w:val="19"/>
          <w:color w:val="auto"/>
        </w:rPr>
      </w:pPr>
    </w:p>
    <w:p>
      <w:pPr>
        <w:ind w:left="1520" w:hanging="381"/>
        <w:spacing w:after="0"/>
        <w:tabs>
          <w:tab w:leader="none" w:pos="1520" w:val="left"/>
        </w:tabs>
        <w:numPr>
          <w:ilvl w:val="0"/>
          <w:numId w:val="72"/>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0" w:lineRule="exact"/>
        <w:rPr>
          <w:rFonts w:ascii="Arial" w:cs="Arial" w:eastAsia="Arial" w:hAnsi="Arial"/>
          <w:sz w:val="19"/>
          <w:szCs w:val="19"/>
          <w:color w:val="auto"/>
        </w:rPr>
      </w:pPr>
    </w:p>
    <w:p>
      <w:pPr>
        <w:jc w:val="both"/>
        <w:ind w:firstLine="1139"/>
        <w:spacing w:after="0" w:line="277" w:lineRule="auto"/>
        <w:tabs>
          <w:tab w:leader="none" w:pos="1560"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Necessary Governmental Permits, Licenses, Authorizations and Consents</w:t>
      </w:r>
      <w:r>
        <w:rPr>
          <w:rFonts w:ascii="Arial" w:cs="Arial" w:eastAsia="Arial" w:hAnsi="Arial"/>
          <w:sz w:val="17"/>
          <w:szCs w:val="17"/>
          <w:color w:val="auto"/>
        </w:rPr>
        <w:t>. The Loan Parties shall have obtained all other permits, licenses, authorizations and consents from all Governmental Authorities and all consents of other Persons with respect Material Indebtedness, Liens and material contracts, in each case, that are necessary or advisable in connection with the Transactions and the operation of the business of the Loan Parties as proposed to be conducted by the Loan Parties after the Second Restatement Date, and each of the foregoing shall be in full force and effect. All applicable waiting periods in connection with the Transactions shall have expired or been terminated without any action being taken or threatened by any competent authority which would restrain, prevent or otherwise impose adverse conditions on the Transactions. No action, request for stay, petition for review or rehearing, reconsideration or appeal with respect to any of the foregoing shall be pending, and the time for any applicable Governmental Authority to take action to set aside its consent on its own motion shall have expired.</w:t>
      </w:r>
    </w:p>
    <w:p>
      <w:pPr>
        <w:spacing w:after="0" w:line="182" w:lineRule="exact"/>
        <w:rPr>
          <w:rFonts w:ascii="Arial" w:cs="Arial" w:eastAsia="Arial" w:hAnsi="Arial"/>
          <w:sz w:val="19"/>
          <w:szCs w:val="19"/>
          <w:color w:val="auto"/>
        </w:rPr>
      </w:pPr>
    </w:p>
    <w:p>
      <w:pPr>
        <w:jc w:val="both"/>
        <w:ind w:right="20" w:firstLine="1139"/>
        <w:spacing w:after="0" w:line="277" w:lineRule="auto"/>
        <w:tabs>
          <w:tab w:leader="none" w:pos="1525"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USA PATRIOT Act, Etc</w:t>
      </w:r>
      <w:r>
        <w:rPr>
          <w:rFonts w:ascii="Arial" w:cs="Arial" w:eastAsia="Arial" w:hAnsi="Arial"/>
          <w:sz w:val="17"/>
          <w:szCs w:val="17"/>
          <w:color w:val="auto"/>
        </w:rPr>
        <w:t>. The Administrative Agent and the Lenders shall have received all documentation and other information required by bank regulatory authorities under applicable “know your customer” and anti-money laundering rules and regulations, including the USA PATRIOT Act or the Proceeds of Crime Act, for each Loan Party.</w:t>
      </w:r>
    </w:p>
    <w:p>
      <w:pPr>
        <w:spacing w:after="0" w:line="178" w:lineRule="exact"/>
        <w:rPr>
          <w:rFonts w:ascii="Arial" w:cs="Arial" w:eastAsia="Arial" w:hAnsi="Arial"/>
          <w:sz w:val="19"/>
          <w:szCs w:val="19"/>
          <w:color w:val="auto"/>
        </w:rPr>
      </w:pPr>
    </w:p>
    <w:p>
      <w:pPr>
        <w:ind w:right="20" w:firstLine="1139"/>
        <w:spacing w:after="0" w:line="281" w:lineRule="auto"/>
        <w:tabs>
          <w:tab w:leader="none" w:pos="1648" w:val="left"/>
        </w:tabs>
        <w:numPr>
          <w:ilvl w:val="0"/>
          <w:numId w:val="72"/>
        </w:numPr>
        <w:rPr>
          <w:rFonts w:ascii="Arial" w:cs="Arial" w:eastAsia="Arial" w:hAnsi="Arial"/>
          <w:sz w:val="19"/>
          <w:szCs w:val="19"/>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The Administrative Agent shall have received such other documents as the Administrative Agent, the Canadian Administrative Agent, any Issuing Bank, any Lender or their respective counsel may have reasonably requested.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shall notify the Borrowers and the Lenders of the Second Restatement Date, and such notice shall be conclusive and binding.</w:t>
      </w:r>
    </w:p>
    <w:p>
      <w:pPr>
        <w:spacing w:after="0" w:line="198" w:lineRule="exact"/>
        <w:rPr>
          <w:sz w:val="20"/>
          <w:szCs w:val="20"/>
          <w:color w:val="auto"/>
        </w:rPr>
      </w:pPr>
    </w:p>
    <w:p>
      <w:pPr>
        <w:ind w:firstLine="572"/>
        <w:spacing w:after="0" w:line="280"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Each Credit Event</w:t>
      </w:r>
      <w:r>
        <w:rPr>
          <w:rFonts w:ascii="Arial" w:cs="Arial" w:eastAsia="Arial" w:hAnsi="Arial"/>
          <w:sz w:val="17"/>
          <w:szCs w:val="17"/>
          <w:color w:val="auto"/>
        </w:rPr>
        <w:t>. The obligation of each Lender to make a Loan on the occasion of any Borrowing, and of each Issuing Bank to issue, amend, renew or extend any Letter of Credit, is subject to the satisfaction of the following conditions:</w:t>
      </w:r>
    </w:p>
    <w:p>
      <w:pPr>
        <w:spacing w:after="0" w:line="163" w:lineRule="exact"/>
        <w:rPr>
          <w:sz w:val="20"/>
          <w:szCs w:val="20"/>
          <w:color w:val="auto"/>
        </w:rPr>
      </w:pPr>
    </w:p>
    <w:p>
      <w:pPr>
        <w:jc w:val="both"/>
        <w:ind w:firstLine="1139"/>
        <w:spacing w:after="0" w:line="326" w:lineRule="auto"/>
        <w:tabs>
          <w:tab w:leader="none" w:pos="1550" w:val="left"/>
        </w:tabs>
        <w:numPr>
          <w:ilvl w:val="0"/>
          <w:numId w:val="73"/>
        </w:numPr>
        <w:rPr>
          <w:rFonts w:ascii="Arial" w:cs="Arial" w:eastAsia="Arial" w:hAnsi="Arial"/>
          <w:sz w:val="16"/>
          <w:szCs w:val="16"/>
          <w:color w:val="auto"/>
        </w:rPr>
      </w:pPr>
      <w:r>
        <w:rPr>
          <w:rFonts w:ascii="Arial" w:cs="Arial" w:eastAsia="Arial" w:hAnsi="Arial"/>
          <w:sz w:val="15"/>
          <w:szCs w:val="15"/>
          <w:color w:val="auto"/>
        </w:rPr>
        <w:t>The representations and warranties of the Loan Parties set forth in this Agreement shall be true and correct in all material respects (except that such materiality qualifier shall not be applicable to any representations and warranties that already are qualified or modified by materiality in the text thereof)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47" w:lineRule="exact"/>
        <w:rPr>
          <w:rFonts w:ascii="Arial" w:cs="Arial" w:eastAsia="Arial" w:hAnsi="Arial"/>
          <w:sz w:val="16"/>
          <w:szCs w:val="16"/>
          <w:color w:val="auto"/>
        </w:rPr>
      </w:pPr>
    </w:p>
    <w:p>
      <w:pPr>
        <w:ind w:right="20" w:firstLine="1139"/>
        <w:spacing w:after="0" w:line="281" w:lineRule="auto"/>
        <w:tabs>
          <w:tab w:leader="none" w:pos="1572" w:val="left"/>
        </w:tabs>
        <w:numPr>
          <w:ilvl w:val="0"/>
          <w:numId w:val="73"/>
        </w:numPr>
        <w:rPr>
          <w:rFonts w:ascii="Arial" w:cs="Arial" w:eastAsia="Arial" w:hAnsi="Arial"/>
          <w:sz w:val="19"/>
          <w:szCs w:val="19"/>
          <w:color w:val="auto"/>
        </w:rPr>
      </w:pPr>
      <w:r>
        <w:rPr>
          <w:rFonts w:ascii="Arial" w:cs="Arial" w:eastAsia="Arial" w:hAnsi="Arial"/>
          <w:sz w:val="17"/>
          <w:szCs w:val="17"/>
          <w:color w:val="auto"/>
        </w:rPr>
        <w:t>At the time of and immediately after giving effect to such Borrowing or the issuance, amendment, renewal or extension of such Letter of Credit, as applicable, no Default shall have occurred and be continuing.</w:t>
      </w:r>
    </w:p>
    <w:p>
      <w:pPr>
        <w:spacing w:after="0" w:line="170" w:lineRule="exact"/>
        <w:rPr>
          <w:rFonts w:ascii="Arial" w:cs="Arial" w:eastAsia="Arial" w:hAnsi="Arial"/>
          <w:sz w:val="19"/>
          <w:szCs w:val="19"/>
          <w:color w:val="auto"/>
        </w:rPr>
      </w:pPr>
    </w:p>
    <w:p>
      <w:pPr>
        <w:ind w:firstLine="1139"/>
        <w:spacing w:after="0" w:line="281" w:lineRule="auto"/>
        <w:tabs>
          <w:tab w:leader="none" w:pos="1526" w:val="left"/>
        </w:tabs>
        <w:numPr>
          <w:ilvl w:val="0"/>
          <w:numId w:val="73"/>
        </w:numPr>
        <w:rPr>
          <w:rFonts w:ascii="Arial" w:cs="Arial" w:eastAsia="Arial" w:hAnsi="Arial"/>
          <w:sz w:val="19"/>
          <w:szCs w:val="19"/>
          <w:color w:val="auto"/>
        </w:rPr>
      </w:pPr>
      <w:r>
        <w:rPr>
          <w:rFonts w:ascii="Arial" w:cs="Arial" w:eastAsia="Arial" w:hAnsi="Arial"/>
          <w:sz w:val="17"/>
          <w:szCs w:val="17"/>
          <w:color w:val="auto"/>
        </w:rPr>
        <w:t>After giving effect to any Borrowing or the issuance, amendment, renewal or extension of any Letter of Credit (i) U.S. Availability shall not be less than zero, (ii) Canadian Availability shall not be less than zero, and (iii) Aggregate Availability shall not be less than zero.</w:t>
      </w:r>
    </w:p>
    <w:p>
      <w:pPr>
        <w:spacing w:after="0" w:line="14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Each Borrowing and each issuance, amendment, renewal or extension of a Letter of Credit shall be deemed to constitute a representation and warranty by the Borrowers on the date thereof as to the matters specified in paragraphs (a), (b) and (c) of this Section.</w:t>
      </w:r>
    </w:p>
    <w:p>
      <w:pPr>
        <w:sectPr>
          <w:pgSz w:w="11900" w:h="16838" w:orient="portrait"/>
          <w:cols w:equalWidth="0" w:num="1">
            <w:col w:w="11440"/>
          </w:cols>
          <w:pgMar w:left="240" w:top="149" w:right="219" w:bottom="0" w:gutter="0" w:footer="0" w:header="0"/>
        </w:sectPr>
      </w:pPr>
    </w:p>
    <w:bookmarkStart w:id="51" w:name="page52"/>
    <w:bookmarkEnd w:id="51"/>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ARTICLE 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Affirmative Covenants</w:t>
      </w:r>
    </w:p>
    <w:p>
      <w:pPr>
        <w:spacing w:after="0" w:line="21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6"/>
          <w:szCs w:val="16"/>
          <w:color w:val="auto"/>
        </w:rPr>
        <w:t>Until all the Revolving Commitments have expired or been terminated and the principal of and interest on each Loan and all fees payable hereunder shall have been paid in full and all Letters of Credit shall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w:t>
      </w:r>
    </w:p>
    <w:p>
      <w:pPr>
        <w:spacing w:after="0" w:line="142"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7"/>
          <w:szCs w:val="17"/>
          <w:color w:val="auto"/>
        </w:rPr>
        <w:t>SECTION 5.01</w:t>
      </w:r>
      <w:r>
        <w:rPr>
          <w:sz w:val="20"/>
          <w:szCs w:val="20"/>
          <w:color w:val="auto"/>
        </w:rPr>
        <w:tab/>
      </w:r>
      <w:r>
        <w:rPr>
          <w:rFonts w:ascii="Arial" w:cs="Arial" w:eastAsia="Arial" w:hAnsi="Arial"/>
          <w:sz w:val="16"/>
          <w:szCs w:val="16"/>
          <w:u w:val="single" w:color="auto"/>
          <w:color w:val="auto"/>
        </w:rPr>
        <w:t>Financial Statements; Canadian Borrowing Base; U.S. Borrowing Base and Other Information</w:t>
      </w:r>
      <w:r>
        <w:rPr>
          <w:rFonts w:ascii="Arial" w:cs="Arial" w:eastAsia="Arial" w:hAnsi="Arial"/>
          <w:sz w:val="16"/>
          <w:szCs w:val="16"/>
          <w:color w:val="auto"/>
        </w:rPr>
        <w:t>. The Borrowers will furnish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(for distribution to each Lender):</w:t>
      </w:r>
    </w:p>
    <w:p>
      <w:pPr>
        <w:spacing w:after="0" w:line="208" w:lineRule="exact"/>
        <w:rPr>
          <w:sz w:val="20"/>
          <w:szCs w:val="20"/>
          <w:color w:val="auto"/>
        </w:rPr>
      </w:pPr>
    </w:p>
    <w:p>
      <w:pPr>
        <w:jc w:val="both"/>
        <w:ind w:firstLine="1139"/>
        <w:spacing w:after="0" w:line="296" w:lineRule="auto"/>
        <w:tabs>
          <w:tab w:leader="none" w:pos="1549" w:val="left"/>
        </w:tabs>
        <w:numPr>
          <w:ilvl w:val="0"/>
          <w:numId w:val="74"/>
        </w:numPr>
        <w:rPr>
          <w:rFonts w:ascii="Arial" w:cs="Arial" w:eastAsia="Arial" w:hAnsi="Arial"/>
          <w:sz w:val="18"/>
          <w:szCs w:val="18"/>
          <w:color w:val="auto"/>
        </w:rPr>
      </w:pPr>
      <w:r>
        <w:rPr>
          <w:rFonts w:ascii="Arial" w:cs="Arial" w:eastAsia="Arial" w:hAnsi="Arial"/>
          <w:sz w:val="16"/>
          <w:szCs w:val="16"/>
          <w:color w:val="auto"/>
        </w:rPr>
        <w:t>within 90 days after the end of each fiscal year of Holdings, (i) the audited consolidated balance sheet of Holdings and its Subsidiaries and related statements of operations, stockholders’ equity and cash flows as of the end of and for such year (in the same format as the financial statements historically filed with the Securities and Exchange Commission),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accompanied by any management letter prepared by said accountants, and (ii) the unaudited consolidating balance sheets of Holdings and its Subsidiaries and related consolidating statements of operations as of the end of and for such year (which unaudited consolidating financial statements shall be in a format reasonably satisfactory to the Administrative Agent, it being understood that such financial statements may be delivered to the Administrative Agent in electronic format), all certified by one of the Financial Officers of the Borrower Representative as presenting fairly in all material respects the financial condition and results of operations of Holdings and its Subsidiaries on a consolidating basis;</w:t>
      </w:r>
    </w:p>
    <w:p>
      <w:pPr>
        <w:spacing w:after="0" w:line="168" w:lineRule="exact"/>
        <w:rPr>
          <w:rFonts w:ascii="Arial" w:cs="Arial" w:eastAsia="Arial" w:hAnsi="Arial"/>
          <w:sz w:val="18"/>
          <w:szCs w:val="18"/>
          <w:color w:val="auto"/>
        </w:rPr>
      </w:pPr>
    </w:p>
    <w:p>
      <w:pPr>
        <w:jc w:val="both"/>
        <w:ind w:firstLine="1139"/>
        <w:spacing w:after="0" w:line="297" w:lineRule="auto"/>
        <w:tabs>
          <w:tab w:leader="none" w:pos="1562" w:val="left"/>
        </w:tabs>
        <w:numPr>
          <w:ilvl w:val="0"/>
          <w:numId w:val="74"/>
        </w:numPr>
        <w:rPr>
          <w:rFonts w:ascii="Arial" w:cs="Arial" w:eastAsia="Arial" w:hAnsi="Arial"/>
          <w:sz w:val="18"/>
          <w:szCs w:val="18"/>
          <w:color w:val="auto"/>
        </w:rPr>
      </w:pPr>
      <w:r>
        <w:rPr>
          <w:rFonts w:ascii="Arial" w:cs="Arial" w:eastAsia="Arial" w:hAnsi="Arial"/>
          <w:sz w:val="16"/>
          <w:szCs w:val="16"/>
          <w:color w:val="auto"/>
        </w:rPr>
        <w:t>within 45 days after the end of each fiscal quarter of Holdings (other than the last fiscal quarter of a fiscal year), its consolidated balance sheet and related statements of operations, stockholders’ equity and cash flows as of the end of and for such fiscal quarter and the then elapsed portion of the fiscal year (in the same format as the financial statements historically filed with the Securities and Exchange Commission),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the Financial Officers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64" w:lineRule="exact"/>
        <w:rPr>
          <w:rFonts w:ascii="Arial" w:cs="Arial" w:eastAsia="Arial" w:hAnsi="Arial"/>
          <w:sz w:val="18"/>
          <w:szCs w:val="18"/>
          <w:color w:val="auto"/>
        </w:rPr>
      </w:pPr>
    </w:p>
    <w:p>
      <w:pPr>
        <w:jc w:val="both"/>
        <w:ind w:firstLine="1139"/>
        <w:spacing w:after="0" w:line="277" w:lineRule="auto"/>
        <w:tabs>
          <w:tab w:leader="none" w:pos="1529" w:val="left"/>
        </w:tabs>
        <w:numPr>
          <w:ilvl w:val="0"/>
          <w:numId w:val="74"/>
        </w:numPr>
        <w:rPr>
          <w:rFonts w:ascii="Arial" w:cs="Arial" w:eastAsia="Arial" w:hAnsi="Arial"/>
          <w:sz w:val="19"/>
          <w:szCs w:val="19"/>
          <w:color w:val="auto"/>
        </w:rPr>
      </w:pPr>
      <w:r>
        <w:rPr>
          <w:rFonts w:ascii="Arial" w:cs="Arial" w:eastAsia="Arial" w:hAnsi="Arial"/>
          <w:sz w:val="17"/>
          <w:szCs w:val="17"/>
          <w:color w:val="auto"/>
        </w:rPr>
        <w:t>during any Monthly Financials Reporting Trigger Period, within 30 days after the end of each fiscal month of Holdings (other than months which are the last month of a fiscal quarter), its consolidated balance sheet and related statements of operations, cash flows, and other reports, as of the end of and for such fiscal month and the then elapsed portion of the fiscal year,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81" w:lineRule="exact"/>
        <w:rPr>
          <w:rFonts w:ascii="Arial" w:cs="Arial" w:eastAsia="Arial" w:hAnsi="Arial"/>
          <w:sz w:val="19"/>
          <w:szCs w:val="19"/>
          <w:color w:val="auto"/>
        </w:rPr>
      </w:pPr>
    </w:p>
    <w:p>
      <w:pPr>
        <w:jc w:val="both"/>
        <w:ind w:firstLine="1139"/>
        <w:spacing w:after="0" w:line="296" w:lineRule="auto"/>
        <w:tabs>
          <w:tab w:leader="none" w:pos="1549" w:val="left"/>
        </w:tabs>
        <w:numPr>
          <w:ilvl w:val="0"/>
          <w:numId w:val="74"/>
        </w:numPr>
        <w:rPr>
          <w:rFonts w:ascii="Arial" w:cs="Arial" w:eastAsia="Arial" w:hAnsi="Arial"/>
          <w:sz w:val="18"/>
          <w:szCs w:val="18"/>
          <w:color w:val="auto"/>
        </w:rPr>
      </w:pPr>
      <w:r>
        <w:rPr>
          <w:rFonts w:ascii="Arial" w:cs="Arial" w:eastAsia="Arial" w:hAnsi="Arial"/>
          <w:sz w:val="16"/>
          <w:szCs w:val="16"/>
          <w:color w:val="auto"/>
        </w:rPr>
        <w:t xml:space="preserve">concurrently with any delivery of financial statements under clause (a), (b) or (c) above, a certificate of a Financial Officer of the Borrower Representative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 certifying, in the case of the financial statements delivered under clause (b) or (c),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in the case of certificates provided concurrently with the delivery of financial statements under clauses (a) and (b) above, setting forth reasonably detailed calculations of the Fixed Charge Coverage Ratio (x) demonstrating compliance with Section 6.12 if a Fixed Charge Coverage Trigger Period is then in effect or (y) for informational purposes only if a Fixed Charge Coverage Trigger Period is not then in effect, (iv) in the case of the financial statements delivered under clause (b), setting forth a reasonably detailed calculation of the Total Leverage Ratio, (v)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(vi) certifying, in the case of the certificate delivered concurrently with the financial statements under clause (a) above, a list of names of all Excluded Subsidiaries and Unrestricted Subsidiaries at such time and that each Subsidiary set forth on such list qualifies as an Excluded Subsidiary or Unrestricted Subsidiary, as the case may be;</w:t>
      </w:r>
    </w:p>
    <w:p>
      <w:pPr>
        <w:spacing w:after="0" w:line="167" w:lineRule="exact"/>
        <w:rPr>
          <w:rFonts w:ascii="Arial" w:cs="Arial" w:eastAsia="Arial" w:hAnsi="Arial"/>
          <w:sz w:val="18"/>
          <w:szCs w:val="18"/>
          <w:color w:val="auto"/>
        </w:rPr>
      </w:pPr>
    </w:p>
    <w:p>
      <w:pPr>
        <w:jc w:val="both"/>
        <w:ind w:right="20" w:firstLine="1139"/>
        <w:spacing w:after="0" w:line="277" w:lineRule="auto"/>
        <w:tabs>
          <w:tab w:leader="none" w:pos="1572" w:val="left"/>
        </w:tabs>
        <w:numPr>
          <w:ilvl w:val="0"/>
          <w:numId w:val="74"/>
        </w:numPr>
        <w:rPr>
          <w:rFonts w:ascii="Arial" w:cs="Arial" w:eastAsia="Arial" w:hAnsi="Arial"/>
          <w:sz w:val="19"/>
          <w:szCs w:val="19"/>
          <w:color w:val="auto"/>
        </w:rPr>
      </w:pPr>
      <w:r>
        <w:rPr>
          <w:rFonts w:ascii="Arial" w:cs="Arial" w:eastAsia="Arial" w:hAnsi="Arial"/>
          <w:sz w:val="17"/>
          <w:szCs w:val="17"/>
          <w:color w:val="auto"/>
        </w:rPr>
        <w:t>as soon as available, but in any event not more than 45 days after the end of each fiscal year of Holdings, a copy of the plan and forecast (including a projected consolidated and consolidating balance sheet, income statement and statement of cash flows) of Holdings and its Restricted Subsidiaries for each quarter of the upcoming fiscal year (the “</w:t>
      </w:r>
      <w:r>
        <w:rPr>
          <w:rFonts w:ascii="Arial" w:cs="Arial" w:eastAsia="Arial" w:hAnsi="Arial"/>
          <w:sz w:val="17"/>
          <w:szCs w:val="17"/>
          <w:u w:val="single" w:color="auto"/>
          <w:color w:val="auto"/>
        </w:rPr>
        <w:t>Projections</w:t>
      </w:r>
      <w:r>
        <w:rPr>
          <w:rFonts w:ascii="Arial" w:cs="Arial" w:eastAsia="Arial" w:hAnsi="Arial"/>
          <w:sz w:val="17"/>
          <w:szCs w:val="17"/>
          <w:color w:val="auto"/>
        </w:rPr>
        <w:t>”) in form reasonably satisfactory to the Administrative Agent;</w:t>
      </w:r>
    </w:p>
    <w:p>
      <w:pPr>
        <w:spacing w:after="0" w:line="178" w:lineRule="exact"/>
        <w:rPr>
          <w:rFonts w:ascii="Arial" w:cs="Arial" w:eastAsia="Arial" w:hAnsi="Arial"/>
          <w:sz w:val="19"/>
          <w:szCs w:val="19"/>
          <w:color w:val="auto"/>
        </w:rPr>
      </w:pPr>
    </w:p>
    <w:p>
      <w:pPr>
        <w:jc w:val="both"/>
        <w:ind w:firstLine="1139"/>
        <w:spacing w:after="0" w:line="277" w:lineRule="auto"/>
        <w:tabs>
          <w:tab w:leader="none" w:pos="1482" w:val="left"/>
        </w:tabs>
        <w:numPr>
          <w:ilvl w:val="0"/>
          <w:numId w:val="74"/>
        </w:numPr>
        <w:rPr>
          <w:rFonts w:ascii="Arial" w:cs="Arial" w:eastAsia="Arial" w:hAnsi="Arial"/>
          <w:sz w:val="19"/>
          <w:szCs w:val="19"/>
          <w:color w:val="auto"/>
        </w:rPr>
      </w:pPr>
      <w:r>
        <w:rPr>
          <w:rFonts w:ascii="Arial" w:cs="Arial" w:eastAsia="Arial" w:hAnsi="Arial"/>
          <w:sz w:val="17"/>
          <w:szCs w:val="17"/>
          <w:color w:val="auto"/>
        </w:rPr>
        <w:t>as soon as available but in any event within 20 days after the end of each calendar month (or, by Wednesday of each week, with respect to the most recently ended calendar week during any Weekly Reporting Trigger Period), and at such other times as may be requested by the Administrative Agent, as of the period then ended, Borrowing Base Certificates which calculate the Aggregate Borrowing Base, the U.S. Borrowing Base, and the Canadian Borrowing Base, and supporting information in connection therewith, together with any additional reports with respect to the Canadian Borrowing Base and the U.S. Borrowing Base as the Administrative Agent may reasonably request;</w:t>
      </w:r>
    </w:p>
    <w:p>
      <w:pPr>
        <w:spacing w:after="0" w:line="179" w:lineRule="exact"/>
        <w:rPr>
          <w:rFonts w:ascii="Arial" w:cs="Arial" w:eastAsia="Arial" w:hAnsi="Arial"/>
          <w:sz w:val="19"/>
          <w:szCs w:val="19"/>
          <w:color w:val="auto"/>
        </w:rPr>
      </w:pPr>
    </w:p>
    <w:p>
      <w:pPr>
        <w:jc w:val="both"/>
        <w:ind w:firstLine="1139"/>
        <w:spacing w:after="0" w:line="277" w:lineRule="auto"/>
        <w:tabs>
          <w:tab w:leader="none" w:pos="1554" w:val="left"/>
        </w:tabs>
        <w:numPr>
          <w:ilvl w:val="0"/>
          <w:numId w:val="74"/>
        </w:numPr>
        <w:rPr>
          <w:rFonts w:ascii="Arial" w:cs="Arial" w:eastAsia="Arial" w:hAnsi="Arial"/>
          <w:sz w:val="19"/>
          <w:szCs w:val="19"/>
          <w:color w:val="auto"/>
        </w:rPr>
      </w:pPr>
      <w:r>
        <w:rPr>
          <w:rFonts w:ascii="Arial" w:cs="Arial" w:eastAsia="Arial" w:hAnsi="Arial"/>
          <w:sz w:val="17"/>
          <w:szCs w:val="17"/>
          <w:color w:val="auto"/>
        </w:rPr>
        <w:t>as soon as available but in any event within 20 days after the end of each calendar month and at such other times as may be reasonably requested by the Administrative Agent in its Permitted Discretion, as of the period then ended, all delivered electronically in a text formatted file acceptable to the Administrative Agent:</w:t>
      </w:r>
    </w:p>
    <w:p>
      <w:pPr>
        <w:spacing w:after="0" w:line="178" w:lineRule="exact"/>
        <w:rPr>
          <w:sz w:val="20"/>
          <w:szCs w:val="20"/>
          <w:color w:val="auto"/>
        </w:rPr>
      </w:pPr>
    </w:p>
    <w:p>
      <w:pPr>
        <w:jc w:val="both"/>
        <w:ind w:left="560" w:right="20" w:firstLine="579"/>
        <w:spacing w:after="0" w:line="277" w:lineRule="auto"/>
        <w:tabs>
          <w:tab w:leader="none" w:pos="1506" w:val="left"/>
        </w:tabs>
        <w:numPr>
          <w:ilvl w:val="0"/>
          <w:numId w:val="75"/>
        </w:numPr>
        <w:rPr>
          <w:rFonts w:ascii="Arial" w:cs="Arial" w:eastAsia="Arial" w:hAnsi="Arial"/>
          <w:sz w:val="19"/>
          <w:szCs w:val="19"/>
          <w:color w:val="auto"/>
        </w:rPr>
      </w:pPr>
      <w:r>
        <w:rPr>
          <w:rFonts w:ascii="Arial" w:cs="Arial" w:eastAsia="Arial" w:hAnsi="Arial"/>
          <w:sz w:val="17"/>
          <w:szCs w:val="17"/>
          <w:color w:val="auto"/>
        </w:rPr>
        <w:t>a summary aging of the Canadian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w:t>
      </w:r>
    </w:p>
    <w:p>
      <w:pPr>
        <w:spacing w:after="0" w:line="178" w:lineRule="exact"/>
        <w:rPr>
          <w:rFonts w:ascii="Arial" w:cs="Arial" w:eastAsia="Arial" w:hAnsi="Arial"/>
          <w:sz w:val="19"/>
          <w:szCs w:val="19"/>
          <w:color w:val="auto"/>
        </w:rPr>
      </w:pPr>
    </w:p>
    <w:p>
      <w:pPr>
        <w:jc w:val="both"/>
        <w:ind w:left="560" w:right="20" w:firstLine="579"/>
        <w:spacing w:after="0" w:line="301" w:lineRule="auto"/>
        <w:tabs>
          <w:tab w:leader="none" w:pos="1524" w:val="left"/>
        </w:tabs>
        <w:numPr>
          <w:ilvl w:val="0"/>
          <w:numId w:val="75"/>
        </w:numPr>
        <w:rPr>
          <w:rFonts w:ascii="Arial" w:cs="Arial" w:eastAsia="Arial" w:hAnsi="Arial"/>
          <w:sz w:val="18"/>
          <w:szCs w:val="18"/>
          <w:color w:val="auto"/>
        </w:rPr>
      </w:pPr>
      <w:r>
        <w:rPr>
          <w:rFonts w:ascii="Arial" w:cs="Arial" w:eastAsia="Arial" w:hAnsi="Arial"/>
          <w:sz w:val="16"/>
          <w:szCs w:val="16"/>
          <w:color w:val="auto"/>
        </w:rPr>
        <w:t>a schedule detailing the Borrowers’ Inventory, in form satisfactory to the Administrative Agent by location (showing Inventory in transit, any Inventory located with a third party under any consignment, bailee arrangement, or warehouse agreement) which Inventory shall be valued at the lower of cost (determined on a first-in, first-out basis) or market and adjusted for Reserves as the Administrative Agent has previously indicated to the Borrower</w:t>
      </w:r>
    </w:p>
    <w:p>
      <w:pPr>
        <w:sectPr>
          <w:pgSz w:w="11900" w:h="16940" w:orient="portrait"/>
          <w:cols w:equalWidth="0" w:num="1">
            <w:col w:w="11440"/>
          </w:cols>
          <w:pgMar w:left="240" w:top="132" w:right="219" w:bottom="0" w:gutter="0" w:footer="0" w:header="0"/>
        </w:sectPr>
      </w:pPr>
    </w:p>
    <w:bookmarkStart w:id="52" w:name="page53"/>
    <w:bookmarkEnd w:id="52"/>
    <w:p>
      <w:pPr>
        <w:jc w:val="both"/>
        <w:ind w:left="565" w:right="20"/>
        <w:spacing w:after="0" w:line="311" w:lineRule="auto"/>
        <w:rPr>
          <w:sz w:val="20"/>
          <w:szCs w:val="20"/>
          <w:color w:val="auto"/>
        </w:rPr>
      </w:pPr>
      <w:r>
        <w:rPr>
          <w:rFonts w:ascii="Arial" w:cs="Arial" w:eastAsia="Arial" w:hAnsi="Arial"/>
          <w:sz w:val="16"/>
          <w:szCs w:val="16"/>
          <w:color w:val="auto"/>
        </w:rPr>
        <w:t>Representative are deemed by the Administrative Agent to be appropriate, and, if requested by the Administrative Agent, such schedule to also provide detailing of the Borrowers’ Inventory by class (raw material, work-in-process and finished goods), by product type, and by volume on hand and include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54" w:lineRule="exact"/>
        <w:rPr>
          <w:sz w:val="20"/>
          <w:szCs w:val="20"/>
          <w:color w:val="auto"/>
        </w:rPr>
      </w:pPr>
    </w:p>
    <w:p>
      <w:pPr>
        <w:ind w:left="565" w:firstLine="579"/>
        <w:spacing w:after="0" w:line="281" w:lineRule="auto"/>
        <w:tabs>
          <w:tab w:leader="none" w:pos="1581" w:val="left"/>
        </w:tabs>
        <w:numPr>
          <w:ilvl w:val="0"/>
          <w:numId w:val="76"/>
        </w:numPr>
        <w:rPr>
          <w:rFonts w:ascii="Arial" w:cs="Arial" w:eastAsia="Arial" w:hAnsi="Arial"/>
          <w:sz w:val="19"/>
          <w:szCs w:val="19"/>
          <w:color w:val="auto"/>
        </w:rPr>
      </w:pPr>
      <w:r>
        <w:rPr>
          <w:rFonts w:ascii="Arial" w:cs="Arial" w:eastAsia="Arial" w:hAnsi="Arial"/>
          <w:sz w:val="17"/>
          <w:szCs w:val="17"/>
          <w:color w:val="auto"/>
        </w:rPr>
        <w:t>a worksheet of calculations prepared by the Borrowers to determine Eligible Accounts and Eligible Inventory, such worksheets detailing the Accounts and Inventory excluded from Eligible Accounts and Eligible Inventory and the reason for such exclusion;</w:t>
      </w:r>
    </w:p>
    <w:p>
      <w:pPr>
        <w:spacing w:after="0" w:line="147" w:lineRule="exact"/>
        <w:rPr>
          <w:sz w:val="20"/>
          <w:szCs w:val="20"/>
          <w:color w:val="auto"/>
        </w:rPr>
      </w:pPr>
    </w:p>
    <w:p>
      <w:pPr>
        <w:jc w:val="both"/>
        <w:ind w:left="5" w:firstLine="1139"/>
        <w:spacing w:after="0" w:line="255" w:lineRule="auto"/>
        <w:tabs>
          <w:tab w:leader="none" w:pos="15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soon as available but in any event within 30 days after the end of each calendar quarter (or, within 20 days after the end of each calendar month, with respect to the most recently ended calendar month during any period (a) commencing on the day that (i) an Event of Default occurs or (ii) Aggregate Availability falls below the Aggregate Availability Trigger Amount and (b) continuing until the date on which, at all times during the preceding thirty (30) consecutive days (i) no Event of Default has existed and (ii) Aggregate Availability has exceeded the Aggregate Availability Trigger Amount) and at such other times as may be requested by the Administrative Agent in its Permitted Discretion, as of the period then ended, all delivered electronically in a text formatted file acceptable to the Administrative Agent:</w:t>
      </w:r>
    </w:p>
    <w:p>
      <w:pPr>
        <w:spacing w:after="0" w:line="159" w:lineRule="exact"/>
        <w:rPr>
          <w:rFonts w:ascii="Arial" w:cs="Arial" w:eastAsia="Arial" w:hAnsi="Arial"/>
          <w:sz w:val="17"/>
          <w:szCs w:val="17"/>
          <w:color w:val="auto"/>
        </w:rPr>
      </w:pPr>
    </w:p>
    <w:p>
      <w:pPr>
        <w:jc w:val="both"/>
        <w:ind w:left="565" w:right="20" w:firstLine="579"/>
        <w:spacing w:after="0" w:line="264" w:lineRule="auto"/>
        <w:tabs>
          <w:tab w:leader="none" w:pos="1499"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summary aging of the U.S.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w:t>
      </w:r>
    </w:p>
    <w:p>
      <w:pPr>
        <w:spacing w:after="0" w:line="153" w:lineRule="exact"/>
        <w:rPr>
          <w:sz w:val="20"/>
          <w:szCs w:val="20"/>
          <w:color w:val="auto"/>
        </w:rPr>
      </w:pPr>
    </w:p>
    <w:p>
      <w:pPr>
        <w:ind w:left="565" w:firstLine="579"/>
        <w:spacing w:after="0" w:line="280" w:lineRule="auto"/>
        <w:tabs>
          <w:tab w:leader="none" w:pos="1622"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reconciliation of the Borrowers’ Accounts and Inventory between the amounts shown in the Borrowers’ general ledger and financial statements and the reports delivered pursuant to clauses (i) and (ii) above; and</w:t>
      </w:r>
    </w:p>
    <w:p>
      <w:pPr>
        <w:spacing w:after="0" w:line="139" w:lineRule="exact"/>
        <w:rPr>
          <w:rFonts w:ascii="Arial" w:cs="Arial" w:eastAsia="Arial" w:hAnsi="Arial"/>
          <w:sz w:val="17"/>
          <w:szCs w:val="17"/>
          <w:color w:val="auto"/>
        </w:rPr>
      </w:pPr>
    </w:p>
    <w:p>
      <w:pPr>
        <w:ind w:left="1585" w:hanging="441"/>
        <w:spacing w:after="0"/>
        <w:tabs>
          <w:tab w:leader="none" w:pos="15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reconciliation of the loan balance per the Borrowers’ general ledger to the loan balance under this Agreement;</w:t>
      </w:r>
    </w:p>
    <w:p>
      <w:pPr>
        <w:spacing w:after="0" w:line="222" w:lineRule="exact"/>
        <w:rPr>
          <w:sz w:val="20"/>
          <w:szCs w:val="20"/>
          <w:color w:val="auto"/>
        </w:rPr>
      </w:pPr>
    </w:p>
    <w:p>
      <w:pPr>
        <w:jc w:val="both"/>
        <w:ind w:left="5" w:right="20" w:firstLine="1139"/>
        <w:spacing w:after="0" w:line="277" w:lineRule="auto"/>
        <w:tabs>
          <w:tab w:leader="none" w:pos="1530" w:val="left"/>
        </w:tabs>
        <w:numPr>
          <w:ilvl w:val="0"/>
          <w:numId w:val="79"/>
        </w:numPr>
        <w:rPr>
          <w:rFonts w:ascii="Arial" w:cs="Arial" w:eastAsia="Arial" w:hAnsi="Arial"/>
          <w:sz w:val="19"/>
          <w:szCs w:val="19"/>
          <w:color w:val="auto"/>
        </w:rPr>
      </w:pPr>
      <w:r>
        <w:rPr>
          <w:rFonts w:ascii="Arial" w:cs="Arial" w:eastAsia="Arial" w:hAnsi="Arial"/>
          <w:sz w:val="17"/>
          <w:szCs w:val="17"/>
          <w:color w:val="auto"/>
        </w:rPr>
        <w:t>as soon as available but in any event within 20 days after the end of each calendar month and at such other times as may be requested by the Administrative Agent, a summary of the Borrowers’ accounts payable, delivered electronically in a text formatted file acceptable to the Administrative Agent in its Permitted Discretion;</w:t>
      </w:r>
    </w:p>
    <w:p>
      <w:pPr>
        <w:spacing w:after="0" w:line="178" w:lineRule="exact"/>
        <w:rPr>
          <w:rFonts w:ascii="Arial" w:cs="Arial" w:eastAsia="Arial" w:hAnsi="Arial"/>
          <w:sz w:val="19"/>
          <w:szCs w:val="19"/>
          <w:color w:val="auto"/>
        </w:rPr>
      </w:pPr>
    </w:p>
    <w:p>
      <w:pPr>
        <w:ind w:left="5" w:right="20" w:firstLine="1139"/>
        <w:spacing w:after="0" w:line="281" w:lineRule="auto"/>
        <w:tabs>
          <w:tab w:leader="none" w:pos="1589" w:val="left"/>
        </w:tabs>
        <w:numPr>
          <w:ilvl w:val="0"/>
          <w:numId w:val="79"/>
        </w:numPr>
        <w:rPr>
          <w:rFonts w:ascii="Arial" w:cs="Arial" w:eastAsia="Arial" w:hAnsi="Arial"/>
          <w:sz w:val="19"/>
          <w:szCs w:val="19"/>
          <w:color w:val="auto"/>
        </w:rPr>
      </w:pPr>
      <w:r>
        <w:rPr>
          <w:rFonts w:ascii="Arial" w:cs="Arial" w:eastAsia="Arial" w:hAnsi="Arial"/>
          <w:sz w:val="17"/>
          <w:szCs w:val="17"/>
          <w:color w:val="auto"/>
        </w:rPr>
        <w:t>promptly upon the Administrative Agent’s request during a Weekly Reporting Trigger Period, the Borrowers’ sales journal, cash receipts journal (identifying trade and non-trade cash receipts) and debt memo/credit journal;</w:t>
      </w:r>
    </w:p>
    <w:p>
      <w:pPr>
        <w:spacing w:after="0" w:line="170" w:lineRule="exact"/>
        <w:rPr>
          <w:rFonts w:ascii="Arial" w:cs="Arial" w:eastAsia="Arial" w:hAnsi="Arial"/>
          <w:sz w:val="19"/>
          <w:szCs w:val="19"/>
          <w:color w:val="auto"/>
        </w:rPr>
      </w:pPr>
    </w:p>
    <w:p>
      <w:pPr>
        <w:jc w:val="both"/>
        <w:ind w:left="5" w:right="20" w:firstLine="1139"/>
        <w:spacing w:after="0" w:line="277" w:lineRule="auto"/>
        <w:tabs>
          <w:tab w:leader="none" w:pos="1554" w:val="left"/>
        </w:tabs>
        <w:numPr>
          <w:ilvl w:val="0"/>
          <w:numId w:val="79"/>
        </w:numPr>
        <w:rPr>
          <w:rFonts w:ascii="Arial" w:cs="Arial" w:eastAsia="Arial" w:hAnsi="Arial"/>
          <w:sz w:val="19"/>
          <w:szCs w:val="19"/>
          <w:color w:val="auto"/>
        </w:rPr>
      </w:pPr>
      <w:r>
        <w:rPr>
          <w:rFonts w:ascii="Arial" w:cs="Arial" w:eastAsia="Arial" w:hAnsi="Arial"/>
          <w:sz w:val="17"/>
          <w:szCs w:val="17"/>
          <w:color w:val="auto"/>
        </w:rPr>
        <w:t>within 20 days after each June 30, an updated list of customers from certain divisions of the Borrowers as requested by the Administrative Agent in form and with such details that are satisfactory to the Administrative Agent, which shall be certified as true and correct by a Senior Officer of the Borrower Representative;</w:t>
      </w:r>
    </w:p>
    <w:p>
      <w:pPr>
        <w:spacing w:after="0" w:line="166" w:lineRule="exact"/>
        <w:rPr>
          <w:sz w:val="20"/>
          <w:szCs w:val="20"/>
          <w:color w:val="auto"/>
        </w:rPr>
      </w:pPr>
    </w:p>
    <w:p>
      <w:pPr>
        <w:ind w:left="5" w:right="20" w:firstLine="1139"/>
        <w:spacing w:after="0" w:line="310" w:lineRule="auto"/>
        <w:tabs>
          <w:tab w:leader="none" w:pos="15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after June 30 of each year, a certificate of good standing for each U.S. Borrower and each Canadian Borrower from the appropriate governmental officer in its jurisdiction of incorporation, formation, or organization;</w:t>
      </w:r>
    </w:p>
    <w:p>
      <w:pPr>
        <w:spacing w:after="0" w:line="138" w:lineRule="exact"/>
        <w:rPr>
          <w:rFonts w:ascii="Arial" w:cs="Arial" w:eastAsia="Arial" w:hAnsi="Arial"/>
          <w:sz w:val="17"/>
          <w:szCs w:val="17"/>
          <w:color w:val="auto"/>
        </w:rPr>
      </w:pPr>
    </w:p>
    <w:p>
      <w:pPr>
        <w:jc w:val="both"/>
        <w:ind w:left="5" w:firstLine="1139"/>
        <w:spacing w:after="0" w:line="293" w:lineRule="auto"/>
        <w:tabs>
          <w:tab w:leader="none" w:pos="15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upon the Agent’s request but no more frequently than once each calendar quarter, a list of all Swap Agreements and amendments to Swap Agreements, in each case, having a term of 60 or more days, entered into by any Loan Party, which list shall include the estimated exposure of the Loan Parties under each such Swap Agreement and the counterparty party thereto;</w:t>
      </w:r>
    </w:p>
    <w:p>
      <w:pPr>
        <w:spacing w:after="0" w:line="153" w:lineRule="exact"/>
        <w:rPr>
          <w:rFonts w:ascii="Arial" w:cs="Arial" w:eastAsia="Arial" w:hAnsi="Arial"/>
          <w:sz w:val="17"/>
          <w:szCs w:val="17"/>
          <w:color w:val="auto"/>
        </w:rPr>
      </w:pPr>
    </w:p>
    <w:p>
      <w:pPr>
        <w:jc w:val="both"/>
        <w:ind w:left="5" w:right="20" w:firstLine="1139"/>
        <w:spacing w:after="0" w:line="319" w:lineRule="auto"/>
        <w:tabs>
          <w:tab w:leader="none" w:pos="15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periodic and other reports, proxy statements and other materials filed by any Loan Party with the Securities and Exchange Commission, the Ontario Securities Commission or any Governmental Authority succeeding to any or all of the functions of said Commissions, or with any national securities exchange, or distributed by any Loan Party to its shareholders generally, as the case may be;</w:t>
      </w:r>
    </w:p>
    <w:p>
      <w:pPr>
        <w:spacing w:after="0" w:line="136" w:lineRule="exact"/>
        <w:rPr>
          <w:rFonts w:ascii="Arial" w:cs="Arial" w:eastAsia="Arial" w:hAnsi="Arial"/>
          <w:sz w:val="16"/>
          <w:szCs w:val="16"/>
          <w:color w:val="auto"/>
        </w:rPr>
      </w:pPr>
    </w:p>
    <w:p>
      <w:pPr>
        <w:jc w:val="both"/>
        <w:ind w:left="5" w:firstLine="1139"/>
        <w:spacing w:after="0" w:line="293" w:lineRule="auto"/>
        <w:tabs>
          <w:tab w:leader="none" w:pos="15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after the request by any Lender, all documentation and other information that such Lender reasonably requests in order to comply with its ongoing obligations under applicable “know your customer” and anti-money laundering rules and regulations, including the USA Patriot Act and the AML Legislation; and</w:t>
      </w:r>
    </w:p>
    <w:p>
      <w:pPr>
        <w:spacing w:after="0" w:line="153" w:lineRule="exact"/>
        <w:rPr>
          <w:rFonts w:ascii="Arial" w:cs="Arial" w:eastAsia="Arial" w:hAnsi="Arial"/>
          <w:sz w:val="17"/>
          <w:szCs w:val="17"/>
          <w:color w:val="auto"/>
        </w:rPr>
      </w:pPr>
    </w:p>
    <w:p>
      <w:pPr>
        <w:ind w:left="5" w:right="20" w:firstLine="1139"/>
        <w:spacing w:after="0" w:line="310" w:lineRule="auto"/>
        <w:tabs>
          <w:tab w:leader="none" w:pos="15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any Loan Party or any Restricted Subsidiary, or compliance with the terms of this Agreement, as the Administrative Agent may reasonably request.</w:t>
      </w:r>
    </w:p>
    <w:p>
      <w:pPr>
        <w:spacing w:after="0" w:line="126" w:lineRule="exact"/>
        <w:rPr>
          <w:sz w:val="20"/>
          <w:szCs w:val="20"/>
          <w:color w:val="auto"/>
        </w:rPr>
      </w:pPr>
    </w:p>
    <w:p>
      <w:pPr>
        <w:ind w:left="5" w:right="20" w:firstLine="572"/>
        <w:spacing w:after="0" w:line="28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Borrowers will furnish to the Administrative Agent (for distribution to each Lender) prompt (but in any event within any time period specified below) written notice of the following:</w:t>
      </w:r>
    </w:p>
    <w:p>
      <w:pPr>
        <w:spacing w:after="0" w:line="163" w:lineRule="exact"/>
        <w:rPr>
          <w:sz w:val="20"/>
          <w:szCs w:val="20"/>
          <w:color w:val="auto"/>
        </w:rPr>
      </w:pPr>
    </w:p>
    <w:p>
      <w:pPr>
        <w:ind w:left="1505" w:hanging="361"/>
        <w:spacing w:after="0"/>
        <w:tabs>
          <w:tab w:leader="none" w:pos="1505" w:val="left"/>
        </w:tabs>
        <w:numPr>
          <w:ilvl w:val="1"/>
          <w:numId w:val="81"/>
        </w:numPr>
        <w:rPr>
          <w:rFonts w:ascii="Arial" w:cs="Arial" w:eastAsia="Arial" w:hAnsi="Arial"/>
          <w:sz w:val="19"/>
          <w:szCs w:val="19"/>
          <w:color w:val="auto"/>
        </w:rPr>
      </w:pPr>
      <w:r>
        <w:rPr>
          <w:rFonts w:ascii="Arial" w:cs="Arial" w:eastAsia="Arial" w:hAnsi="Arial"/>
          <w:sz w:val="17"/>
          <w:szCs w:val="17"/>
          <w:color w:val="auto"/>
        </w:rPr>
        <w:t>the occurrence of any Default or Event of Default;</w:t>
      </w:r>
    </w:p>
    <w:p>
      <w:pPr>
        <w:spacing w:after="0" w:line="210" w:lineRule="exact"/>
        <w:rPr>
          <w:rFonts w:ascii="Arial" w:cs="Arial" w:eastAsia="Arial" w:hAnsi="Arial"/>
          <w:sz w:val="19"/>
          <w:szCs w:val="19"/>
          <w:color w:val="auto"/>
        </w:rPr>
      </w:pPr>
    </w:p>
    <w:p>
      <w:pPr>
        <w:ind w:left="1545" w:hanging="401"/>
        <w:spacing w:after="0"/>
        <w:tabs>
          <w:tab w:leader="none" w:pos="1545" w:val="left"/>
        </w:tabs>
        <w:numPr>
          <w:ilvl w:val="1"/>
          <w:numId w:val="81"/>
        </w:numPr>
        <w:rPr>
          <w:rFonts w:ascii="Arial" w:cs="Arial" w:eastAsia="Arial" w:hAnsi="Arial"/>
          <w:sz w:val="16"/>
          <w:szCs w:val="16"/>
          <w:color w:val="auto"/>
        </w:rPr>
      </w:pPr>
      <w:r>
        <w:rPr>
          <w:rFonts w:ascii="Arial" w:cs="Arial" w:eastAsia="Arial" w:hAnsi="Arial"/>
          <w:sz w:val="15"/>
          <w:szCs w:val="15"/>
          <w:color w:val="auto"/>
        </w:rPr>
        <w:t>receipt of any notice of any governmental investigation or any litigation or proceeding commenced or threatened against any Loan Party that</w:t>
      </w:r>
    </w:p>
    <w:p>
      <w:pPr>
        <w:spacing w:after="0" w:line="42" w:lineRule="exact"/>
        <w:rPr>
          <w:rFonts w:ascii="Arial" w:cs="Arial" w:eastAsia="Arial" w:hAnsi="Arial"/>
          <w:sz w:val="16"/>
          <w:szCs w:val="16"/>
          <w:color w:val="auto"/>
        </w:rPr>
      </w:pPr>
    </w:p>
    <w:p>
      <w:pPr>
        <w:jc w:val="both"/>
        <w:ind w:left="5" w:hanging="5"/>
        <w:spacing w:after="0" w:line="288" w:lineRule="auto"/>
        <w:tabs>
          <w:tab w:leader="none" w:pos="2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seeks damages in excess of $25,000,000, (ii) is asserted or instituted against any Plan or any Canadian Pension Plan, its fiduciaries or its assets an amount in excess of $15,000,000, (iii) alleges criminal misconduct by any Loan Party, (iv) alleges the violation of any law regarding, or seeks remedies in connection with, any Environmental Laws to the extent such results in, or could reasonably be expected to result in, damages or liabilities in excess of $25,000,000, or (v) contests any tax, fee, assessment, or other governmental charge in excess of $10,000,000;</w:t>
      </w:r>
    </w:p>
    <w:p>
      <w:pPr>
        <w:spacing w:after="0" w:line="169" w:lineRule="exact"/>
        <w:rPr>
          <w:rFonts w:ascii="Arial" w:cs="Arial" w:eastAsia="Arial" w:hAnsi="Arial"/>
          <w:sz w:val="17"/>
          <w:szCs w:val="17"/>
          <w:color w:val="auto"/>
        </w:rPr>
      </w:pPr>
    </w:p>
    <w:p>
      <w:pPr>
        <w:ind w:left="5" w:right="20" w:firstLine="1139"/>
        <w:spacing w:after="0" w:line="281" w:lineRule="auto"/>
        <w:tabs>
          <w:tab w:leader="none" w:pos="1566" w:val="left"/>
        </w:tabs>
        <w:numPr>
          <w:ilvl w:val="1"/>
          <w:numId w:val="82"/>
        </w:numPr>
        <w:rPr>
          <w:rFonts w:ascii="Arial" w:cs="Arial" w:eastAsia="Arial" w:hAnsi="Arial"/>
          <w:sz w:val="19"/>
          <w:szCs w:val="19"/>
          <w:color w:val="auto"/>
        </w:rPr>
      </w:pPr>
      <w:r>
        <w:rPr>
          <w:rFonts w:ascii="Arial" w:cs="Arial" w:eastAsia="Arial" w:hAnsi="Arial"/>
          <w:sz w:val="17"/>
          <w:szCs w:val="17"/>
          <w:color w:val="auto"/>
        </w:rPr>
        <w:t>any Lien (other than Permitted Encumbrances and Liens in favor of the Administrative Agent (for the benefit of the Lender Parties or the Canadian Lender Parties, as the case may be)) or claim made or asserted in writing against Collateral having a value in excess of $10,000,000;</w:t>
      </w:r>
    </w:p>
    <w:p>
      <w:pPr>
        <w:spacing w:after="0" w:line="170" w:lineRule="exact"/>
        <w:rPr>
          <w:rFonts w:ascii="Arial" w:cs="Arial" w:eastAsia="Arial" w:hAnsi="Arial"/>
          <w:sz w:val="19"/>
          <w:szCs w:val="19"/>
          <w:color w:val="auto"/>
        </w:rPr>
      </w:pPr>
    </w:p>
    <w:p>
      <w:pPr>
        <w:ind w:left="1525" w:hanging="381"/>
        <w:spacing w:after="0"/>
        <w:tabs>
          <w:tab w:leader="none" w:pos="1525" w:val="left"/>
        </w:tabs>
        <w:numPr>
          <w:ilvl w:val="1"/>
          <w:numId w:val="82"/>
        </w:numPr>
        <w:rPr>
          <w:rFonts w:ascii="Arial" w:cs="Arial" w:eastAsia="Arial" w:hAnsi="Arial"/>
          <w:sz w:val="19"/>
          <w:szCs w:val="19"/>
          <w:color w:val="auto"/>
        </w:rPr>
      </w:pPr>
      <w:r>
        <w:rPr>
          <w:rFonts w:ascii="Arial" w:cs="Arial" w:eastAsia="Arial" w:hAnsi="Arial"/>
          <w:sz w:val="17"/>
          <w:szCs w:val="17"/>
          <w:color w:val="auto"/>
        </w:rPr>
        <w:t>any loss, damage, or destruction to the Collateral in the amount of $10,000,000 or more, whether or not covered by insurance;</w:t>
      </w:r>
    </w:p>
    <w:p>
      <w:pPr>
        <w:spacing w:after="0" w:line="210" w:lineRule="exact"/>
        <w:rPr>
          <w:rFonts w:ascii="Arial" w:cs="Arial" w:eastAsia="Arial" w:hAnsi="Arial"/>
          <w:sz w:val="19"/>
          <w:szCs w:val="19"/>
          <w:color w:val="auto"/>
        </w:rPr>
      </w:pPr>
    </w:p>
    <w:p>
      <w:pPr>
        <w:ind w:left="5" w:right="20" w:firstLine="1139"/>
        <w:spacing w:after="0" w:line="281" w:lineRule="auto"/>
        <w:tabs>
          <w:tab w:leader="none" w:pos="1578" w:val="left"/>
        </w:tabs>
        <w:numPr>
          <w:ilvl w:val="1"/>
          <w:numId w:val="82"/>
        </w:numPr>
        <w:rPr>
          <w:rFonts w:ascii="Arial" w:cs="Arial" w:eastAsia="Arial" w:hAnsi="Arial"/>
          <w:sz w:val="19"/>
          <w:szCs w:val="19"/>
          <w:color w:val="auto"/>
        </w:rPr>
      </w:pPr>
      <w:r>
        <w:rPr>
          <w:rFonts w:ascii="Arial" w:cs="Arial" w:eastAsia="Arial" w:hAnsi="Arial"/>
          <w:sz w:val="17"/>
          <w:szCs w:val="17"/>
          <w:color w:val="auto"/>
        </w:rPr>
        <w:t>any and all default notices received with respect to any leased location or public warehouse where Collateral having a value in excess of $10,000,000 is located;</w:t>
      </w:r>
    </w:p>
    <w:p>
      <w:pPr>
        <w:spacing w:after="0" w:line="170" w:lineRule="exact"/>
        <w:rPr>
          <w:rFonts w:ascii="Arial" w:cs="Arial" w:eastAsia="Arial" w:hAnsi="Arial"/>
          <w:sz w:val="19"/>
          <w:szCs w:val="19"/>
          <w:color w:val="auto"/>
        </w:rPr>
      </w:pPr>
    </w:p>
    <w:p>
      <w:pPr>
        <w:ind w:left="5" w:right="20" w:firstLine="1139"/>
        <w:spacing w:after="0" w:line="314" w:lineRule="auto"/>
        <w:tabs>
          <w:tab w:leader="none" w:pos="1557" w:val="left"/>
        </w:tabs>
        <w:numPr>
          <w:ilvl w:val="1"/>
          <w:numId w:val="82"/>
        </w:numPr>
        <w:rPr>
          <w:rFonts w:ascii="Arial" w:cs="Arial" w:eastAsia="Arial" w:hAnsi="Arial"/>
          <w:sz w:val="18"/>
          <w:szCs w:val="18"/>
          <w:color w:val="auto"/>
        </w:rPr>
      </w:pPr>
      <w:r>
        <w:rPr>
          <w:rFonts w:ascii="Arial" w:cs="Arial" w:eastAsia="Arial" w:hAnsi="Arial"/>
          <w:sz w:val="16"/>
          <w:szCs w:val="16"/>
          <w:color w:val="auto"/>
        </w:rPr>
        <w:t>the occurrence of any ERISA Event or Pension Event that, alone or together with any other ERISA Events and Pension Events that have occurred, could reasonably be expected to result in liability of the Borrowers and their Subsidiaries in an aggregate amount exceeding $15,000,000; and</w:t>
      </w:r>
    </w:p>
    <w:p>
      <w:pPr>
        <w:spacing w:after="0" w:line="143" w:lineRule="exact"/>
        <w:rPr>
          <w:rFonts w:ascii="Arial" w:cs="Arial" w:eastAsia="Arial" w:hAnsi="Arial"/>
          <w:sz w:val="18"/>
          <w:szCs w:val="18"/>
          <w:color w:val="auto"/>
        </w:rPr>
      </w:pPr>
    </w:p>
    <w:p>
      <w:pPr>
        <w:ind w:left="1525" w:hanging="381"/>
        <w:spacing w:after="0"/>
        <w:tabs>
          <w:tab w:leader="none" w:pos="1525" w:val="left"/>
        </w:tabs>
        <w:numPr>
          <w:ilvl w:val="1"/>
          <w:numId w:val="82"/>
        </w:numPr>
        <w:rPr>
          <w:rFonts w:ascii="Arial" w:cs="Arial" w:eastAsia="Arial" w:hAnsi="Arial"/>
          <w:sz w:val="19"/>
          <w:szCs w:val="19"/>
          <w:color w:val="auto"/>
        </w:rPr>
      </w:pPr>
      <w:r>
        <w:rPr>
          <w:rFonts w:ascii="Arial" w:cs="Arial" w:eastAsia="Arial" w:hAnsi="Arial"/>
          <w:sz w:val="17"/>
          <w:szCs w:val="17"/>
          <w:color w:val="auto"/>
        </w:rPr>
        <w:t>any other development that results in, or could reasonably be expected to result in, a Material Adverse Effect.</w:t>
      </w:r>
    </w:p>
    <w:p>
      <w:pPr>
        <w:sectPr>
          <w:pgSz w:w="11900" w:h="16838" w:orient="portrait"/>
          <w:cols w:equalWidth="0" w:num="1">
            <w:col w:w="11445"/>
          </w:cols>
          <w:pgMar w:left="235" w:top="137" w:right="219" w:bottom="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7"/>
          <w:szCs w:val="17"/>
          <w:color w:val="auto"/>
        </w:rPr>
        <w:t>Information required to be delivered pursuant to Section 5.01 or this Section 5.02 shall be deemed to have been delivered if such information, or one or more annual, quarterly or current reports containing such information, shall have been posted by the Administrative Agent on a SyndTrak, IntraLinks or similar site to which the Lenders have been granted access or shall be available (the “</w:t>
      </w:r>
      <w:r>
        <w:rPr>
          <w:rFonts w:ascii="Arial" w:cs="Arial" w:eastAsia="Arial" w:hAnsi="Arial"/>
          <w:sz w:val="17"/>
          <w:szCs w:val="17"/>
          <w:u w:val="single" w:color="auto"/>
          <w:color w:val="auto"/>
        </w:rPr>
        <w:t>Platform</w:t>
      </w:r>
      <w:r>
        <w:rPr>
          <w:rFonts w:ascii="Arial" w:cs="Arial" w:eastAsia="Arial" w:hAnsi="Arial"/>
          <w:sz w:val="17"/>
          <w:szCs w:val="17"/>
          <w:color w:val="auto"/>
        </w:rPr>
        <w:t>”) on the website of the Securities and Exchange Commission at http://www.sec.gov or on the website of Holdings. Information required to be delivered pursuant to Section 5.01 or this Section 5.02 may also be delivered by electronic communications pursuant to procedures approved by the Administrative Agent. Each Lender shall be solely responsible for timely accessing posted documents and maintaining its copies of such documents.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Loan Parties hereby acknowledge that (a) the Administrative Agent will make available to the Lenders and the Issuing Banks materials and/or information provided by or on behalf of the Loan Parties hereunder (collectively, “</w:t>
      </w:r>
      <w:r>
        <w:rPr>
          <w:rFonts w:ascii="Arial" w:cs="Arial" w:eastAsia="Arial" w:hAnsi="Arial"/>
          <w:sz w:val="16"/>
          <w:szCs w:val="16"/>
          <w:u w:val="single" w:color="auto"/>
          <w:color w:val="auto"/>
        </w:rPr>
        <w:t>Loan Party Materials</w:t>
      </w:r>
      <w:r>
        <w:rPr>
          <w:rFonts w:ascii="Arial" w:cs="Arial" w:eastAsia="Arial" w:hAnsi="Arial"/>
          <w:sz w:val="16"/>
          <w:szCs w:val="16"/>
          <w:color w:val="auto"/>
        </w:rPr>
        <w:t>”) by posting the Loan Party Materials on the Platform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The Loan Parties hereby agree that they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the Loan Party Materials “PUBLIC,” the Borrower Representative shall be deemed to have authorized the Administrative Agent, the Issuing Banks and the Lenders to treat such Loan Party Materials as not containing any material non-public information (although it may be sensitive and proprietary) with respect to the Loan Parties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to the extent such Loan Party Materials constitute “Information” (as defined in Section 9.12), they shall be treated as set forth in Section 9.12); (y) all Loan Party Materials marked “PUBLIC” are permitted to be made available through a portion of the Platform designated “Public Investor”; and (z) the Administrative Agent shall be entitled to treat any Loan Party Materials that are not marked “PUBLIC” as being suitable only for posting on a portion of the Platform not designated “Public Investor.”</w:t>
      </w:r>
    </w:p>
    <w:p>
      <w:pPr>
        <w:spacing w:after="0" w:line="153"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Each Loan Party will, and will cause each Subsidiary (other than an Excluded Subsidiary or Unrestricted Subsidiary) to, (a) (i) do or cause to be done all things necessary to preserve, renew and keep in full force and effect its legal existence and to maintain December 31 as the last day of its fiscal year (or if such Subsidiary has a last day of a fiscal year other than December 31 as of the date of its acquisition, such last day of its fiscal year applicable to such Subsidiary as of the date of such acquisition), (ii) do or cause to be done all things necessary to preserve, renew and keep in full force and effect the rights, qualifications, licenses, permits, franchises, governmental authorizations, intellectual property rights, licenses and permits material to the conduct of its business, and (iii) maintain all requisite authority to conduct its business in each jurisdiction in which its business is conducted except where the failure to comply with clauses (ii) and (iii) of the Section 5.03 would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 this clause (a) shall not prohibit any merger, consolidation, amalgamation, sale, disposition, liquidation or dissolution permitted under Section 6.03 or otherwise permitted under this Agreement and (b) carry on and conduct its business in substantially the same manner and in substantially the same fields of enterprise as it is presently conducted and any similar or related lines of business and logical extensions thereof.</w:t>
      </w:r>
    </w:p>
    <w:p>
      <w:pPr>
        <w:spacing w:after="0" w:line="154" w:lineRule="exact"/>
        <w:rPr>
          <w:sz w:val="20"/>
          <w:szCs w:val="20"/>
          <w:color w:val="auto"/>
        </w:rPr>
      </w:pPr>
    </w:p>
    <w:p>
      <w:pPr>
        <w:jc w:val="both"/>
        <w:ind w:right="20" w:firstLine="572"/>
        <w:spacing w:after="0" w:line="304"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u w:val="single" w:color="auto"/>
          <w:color w:val="auto"/>
        </w:rPr>
        <w:t>Payment of Obligations</w:t>
      </w:r>
      <w:r>
        <w:rPr>
          <w:rFonts w:ascii="Arial" w:cs="Arial" w:eastAsia="Arial" w:hAnsi="Arial"/>
          <w:sz w:val="15"/>
          <w:szCs w:val="15"/>
          <w:color w:val="auto"/>
        </w:rPr>
        <w:t>. Each Loan Party will, and will cause each Restricted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and such Loan Party or such Restricted Subsidiary has set aside on its books adequate reserves with respect thereto in accordance with GAAP or (b) the failure to make payment would not reasonably be expected to result in a Material Adverse Effect.</w:t>
      </w:r>
    </w:p>
    <w:p>
      <w:pPr>
        <w:spacing w:after="0" w:line="127"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Each Loan Party will, and will cause each material Restricted Subsidiary to, keep and maintain all property material to the conduct of its business, taken as a whole, in good working order and condition, ordinary wear and tear excepted, except where the failure to do so would not reasonably be expected to result in a Material Adverse Effect.</w:t>
      </w:r>
    </w:p>
    <w:p>
      <w:pPr>
        <w:spacing w:after="0" w:line="153"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xml:space="preserve">. Each Loan Party will, and will cause each Restricted Subsidiary to, keep their books of record and account in accordance with GAAP and permit any representatives designated by the Administrative Agent (including employees of the Administrative Agent, or any consultants, accountants, lawyers and appraisers retained by the Administrative Agent), upon reasonable prior notice and during normal business hours, to visit and inspect its properties, to examine and make extracts from its books and records, and to discuss its affairs, finances and condition with its officers and independent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Administrative Agent shall give the Borrower Representative an opportunity to participate in any discussions with its accountants, (b) in the absence of the existence of an Event of Default, (i) only the Administrative Agent on behalf of the Lenders may exercise the rights of the Administrative Agent and the Lenders under this Section 5.06 and (ii) the Administrative Agent shall not exercise its rights under this Section 5.06 more often than two times during any period of twelve consecutive months; and (iii) when an Event of Default exists, the Administrative Agent or any Lender and its respective designees may do any of the foregoing at the expense of the Loan Parties at any time during normal business hours and upon reasonable advance notice. The Loan Parties acknowledge that the Administrative Agent, after exercising its rights of inspection, may prepare and distribute to the Lenders certain Reports pertaining to the Loan Parties and their assets for internal use by the Administrative Agent and the Lenders.</w:t>
      </w:r>
    </w:p>
    <w:p>
      <w:pPr>
        <w:spacing w:after="0" w:line="150" w:lineRule="exact"/>
        <w:rPr>
          <w:sz w:val="20"/>
          <w:szCs w:val="20"/>
          <w:color w:val="auto"/>
        </w:rPr>
      </w:pPr>
    </w:p>
    <w:p>
      <w:pPr>
        <w:jc w:val="both"/>
        <w:ind w:right="20" w:firstLine="572"/>
        <w:spacing w:after="0" w:line="27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Loan Party will, and will cause each Restricted Subsidiary to, comply with each Requirement of Law applicable to it or its property (including without limitation Environmental Laws), except, in each case, where the failure to do so, individually or in the aggregate, would not reasonably be expected to result in a Material Adverse Effect. Each Loan Party will maintain in effect and enforce policies and procedures designed, in such Loan Party’s reasonable business judgment, to ensure compliance in all material respects by such Loan Party, its Subsidiaries and their respective directors, officers, employees and agents with applicable Anti-Corruption Laws and applicable Sanctions, in each case, in all material respects.</w:t>
      </w:r>
    </w:p>
    <w:p>
      <w:pPr>
        <w:spacing w:after="0" w:line="145"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5.08</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2" w:lineRule="exact"/>
        <w:rPr>
          <w:sz w:val="20"/>
          <w:szCs w:val="20"/>
          <w:color w:val="auto"/>
        </w:rPr>
      </w:pPr>
    </w:p>
    <w:p>
      <w:pPr>
        <w:jc w:val="both"/>
        <w:ind w:firstLine="1139"/>
        <w:spacing w:after="0" w:line="277" w:lineRule="auto"/>
        <w:tabs>
          <w:tab w:leader="none" w:pos="1597" w:val="left"/>
        </w:tabs>
        <w:numPr>
          <w:ilvl w:val="0"/>
          <w:numId w:val="83"/>
        </w:numPr>
        <w:rPr>
          <w:rFonts w:ascii="Arial" w:cs="Arial" w:eastAsia="Arial" w:hAnsi="Arial"/>
          <w:sz w:val="19"/>
          <w:szCs w:val="19"/>
          <w:color w:val="auto"/>
        </w:rPr>
      </w:pPr>
      <w:r>
        <w:rPr>
          <w:rFonts w:ascii="Arial" w:cs="Arial" w:eastAsia="Arial" w:hAnsi="Arial"/>
          <w:sz w:val="17"/>
          <w:szCs w:val="17"/>
          <w:color w:val="auto"/>
        </w:rPr>
        <w:t>The proceeds of the Loans will be used only for general corporate purposes of the Borrowers and their Restricted Subsidiaries, to fund Permitted Acquisitions, to fund permitted Restricted Payments, to fund payments, repurchases and prepayments of Indebtedness permitted under this Agreement, to refinance existing Indebtedness and to fund Intercompany Loans and capital contributions to be made by Loan Parties and certain of their Restricted Subsidiaries to other Loan Parties. No part of the proceeds of any Loan and no Letter of Credit will be used, whether directly or indirectly, for any purpose that entails a violation of any of the Regulations of the Board, including Regulations T, U and X. Furthermore, the Borrowers will not directly or indirectly use the proceeds of any Loans or otherwise make available such proceeds to any Person, for the purpose of financing the activities of any Person currently subject to any U.S. sanctions administered by OFAC, or for any payments to any governmental official or employee, political party, official of a political party, candidate for political office, or anyone else acting in an official capacity, in order to obtain, retain or direct business to obtain any improper advantage, in violation of the United States Foreign Corrupt Practices Act of 1977, as amended. Notwithstanding the foregoing, the provisions of clause (t) of the definition of Eligible Accounts, Section 2.06(a), Section 3.07, Section 3.20, Section 5.07 and this Section 5.08 shall not be interpreted to contravene, or require any notification to the Attorney General of Canada under, the Foreign Extraterritorial Measures (United States) Order, 1992, by any Canadian Borrower, any Canadian Loan Guarantor or any Canadian Subsidiary.</w:t>
      </w:r>
    </w:p>
    <w:p>
      <w:pPr>
        <w:spacing w:after="0" w:line="185" w:lineRule="exact"/>
        <w:rPr>
          <w:rFonts w:ascii="Arial" w:cs="Arial" w:eastAsia="Arial" w:hAnsi="Arial"/>
          <w:sz w:val="19"/>
          <w:szCs w:val="19"/>
          <w:color w:val="auto"/>
        </w:rPr>
      </w:pPr>
    </w:p>
    <w:p>
      <w:pPr>
        <w:jc w:val="both"/>
        <w:ind w:firstLine="1139"/>
        <w:spacing w:after="0" w:line="277" w:lineRule="auto"/>
        <w:tabs>
          <w:tab w:leader="none" w:pos="1525" w:val="left"/>
        </w:tabs>
        <w:numPr>
          <w:ilvl w:val="0"/>
          <w:numId w:val="83"/>
        </w:numPr>
        <w:rPr>
          <w:rFonts w:ascii="Arial" w:cs="Arial" w:eastAsia="Arial" w:hAnsi="Arial"/>
          <w:sz w:val="19"/>
          <w:szCs w:val="19"/>
          <w:color w:val="auto"/>
        </w:rPr>
      </w:pPr>
      <w:r>
        <w:rPr>
          <w:rFonts w:ascii="Arial" w:cs="Arial" w:eastAsia="Arial" w:hAnsi="Arial"/>
          <w:sz w:val="17"/>
          <w:szCs w:val="17"/>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applicable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ectPr>
          <w:pgSz w:w="11900" w:h="16838" w:orient="portrait"/>
          <w:cols w:equalWidth="0" w:num="1">
            <w:col w:w="11440"/>
          </w:cols>
          <w:pgMar w:left="240" w:top="124" w:right="219" w:bottom="0" w:gutter="0" w:footer="0" w:header="0"/>
        </w:sectPr>
      </w:pPr>
    </w:p>
    <w:bookmarkStart w:id="54" w:name="page55"/>
    <w:bookmarkEnd w:id="54"/>
    <w:p>
      <w:pPr>
        <w:spacing w:after="0" w:line="118" w:lineRule="exact"/>
        <w:rPr>
          <w:sz w:val="20"/>
          <w:szCs w:val="20"/>
          <w:color w:val="auto"/>
        </w:rPr>
      </w:pPr>
    </w:p>
    <w:p>
      <w:pPr>
        <w:jc w:val="both"/>
        <w:ind w:left="5" w:firstLine="572"/>
        <w:spacing w:after="0" w:line="287"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u w:val="single" w:color="auto"/>
          <w:color w:val="auto"/>
        </w:rPr>
        <w:t>Insurance</w:t>
      </w:r>
      <w:r>
        <w:rPr>
          <w:rFonts w:ascii="Arial" w:cs="Arial" w:eastAsia="Arial" w:hAnsi="Arial"/>
          <w:sz w:val="15"/>
          <w:szCs w:val="15"/>
          <w:color w:val="auto"/>
        </w:rPr>
        <w:t>. The Loan Parties (taken as a whole) will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w:t>
      </w:r>
    </w:p>
    <w:p>
      <w:pPr>
        <w:jc w:val="both"/>
        <w:ind w:left="5" w:hanging="5"/>
        <w:spacing w:after="0" w:line="294" w:lineRule="auto"/>
        <w:tabs>
          <w:tab w:leader="none" w:pos="27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insurance required pursuant to the Collateral Documents. The Borrowers will furnish to the Lenders, upon request of the Administrative Agent in its Permitted Discretion, information in reasonable detail as to the insurance so maintained. Notwithstanding any provision to the contrary contained in this Agreement, if any Loan Party’s insurance carrier at any time becomes insolvent or its financial strength weakens such that such insurance carrier loses the ratings described herein, such event shall not constitute a breach of this Section 5.09 provided that the Loan Parties replace such insurance carrier with a carrier that meets the requirements of this Section 5.09 within sixty (60) days (or such longer period as shall be agreed to by the Administrative Agent in its Permitted Discretion).</w:t>
      </w:r>
    </w:p>
    <w:p>
      <w:pPr>
        <w:spacing w:after="0" w:line="133" w:lineRule="exact"/>
        <w:rPr>
          <w:sz w:val="20"/>
          <w:szCs w:val="20"/>
          <w:color w:val="auto"/>
        </w:rPr>
      </w:pPr>
    </w:p>
    <w:p>
      <w:pPr>
        <w:jc w:val="both"/>
        <w:ind w:left="5" w:right="20" w:firstLine="572"/>
        <w:spacing w:after="0" w:line="264"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Casualty and Condemnation</w:t>
      </w:r>
      <w:r>
        <w:rPr>
          <w:rFonts w:ascii="Arial" w:cs="Arial" w:eastAsia="Arial" w:hAnsi="Arial"/>
          <w:sz w:val="17"/>
          <w:szCs w:val="17"/>
          <w:color w:val="auto"/>
        </w:rPr>
        <w:t>. The Borrowers will ensure that the Net Proceeds of any casualty or other insured damage to any ABL Priority Collateral (whether in the form of insurance proceeds, condemnation awards or otherwise) are collected and applied in accordance with the applicable provisions of this Agreement and the Collateral Documents.</w:t>
      </w:r>
    </w:p>
    <w:p>
      <w:pPr>
        <w:spacing w:after="0" w:line="153" w:lineRule="exact"/>
        <w:rPr>
          <w:sz w:val="20"/>
          <w:szCs w:val="20"/>
          <w:color w:val="auto"/>
        </w:rPr>
      </w:pPr>
    </w:p>
    <w:p>
      <w:pPr>
        <w:jc w:val="both"/>
        <w:ind w:left="5" w:firstLine="572"/>
        <w:spacing w:after="0" w:line="26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Appraisals; Field Examinations</w:t>
      </w:r>
      <w:r>
        <w:rPr>
          <w:rFonts w:ascii="Arial" w:cs="Arial" w:eastAsia="Arial" w:hAnsi="Arial"/>
          <w:sz w:val="16"/>
          <w:szCs w:val="16"/>
          <w:color w:val="auto"/>
        </w:rPr>
        <w:t xml:space="preserve">. (1) Upon request by the Administrative Agent (in its Permitted Discretion or at the direction of the Required Lenders), the Borrowers and their Subsidiaries will provide the Administrative Agent with up to two appraisals or updates thereof of their Inventory during any period of twelve consecutive months from an appraiser selected and engaged by the Administrative Agent, and prepared on a basis satisfactory to the Administrative Agent, such appraisals and updates to include, without limitation, information required by applicable law and regulations;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jc w:val="both"/>
        <w:ind w:left="5" w:hanging="5"/>
        <w:spacing w:after="0" w:line="268" w:lineRule="auto"/>
        <w:tabs>
          <w:tab w:leader="none" w:pos="222"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if Average Utilization for the most recent fiscal quarter was less than twenty percent (20%), the Required Lenders may not direct the Administrative Agent to conduct any such appraisal, (ii) if Average Utilization for the most recent fiscal quarter was greater than twenty percent (20%), the Required Lenders may direct that the Administrative Agent conduct only one such appraisal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appraisals during any period of twelve consecutive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 Event of Default shall have occurred and be continuing, there shall be no limit on the number or frequency of appraisals conducted. For the avoidance of doubt, the Administrative Agent and the Lenders agree that the Administrative Agent shall not conduct any such appraisal prior to July 15, 2016 unless either (x) the Aggregate Availability falls below twenty percent (20%) of the aggregate Revolving Commitments or (y) an Event of Default shall occur.</w:t>
      </w:r>
    </w:p>
    <w:p>
      <w:pPr>
        <w:spacing w:after="0" w:line="177" w:lineRule="exact"/>
        <w:rPr>
          <w:rFonts w:ascii="Arial" w:cs="Arial" w:eastAsia="Arial" w:hAnsi="Arial"/>
          <w:sz w:val="16"/>
          <w:szCs w:val="16"/>
          <w:color w:val="auto"/>
        </w:rPr>
      </w:pPr>
    </w:p>
    <w:p>
      <w:pPr>
        <w:jc w:val="both"/>
        <w:ind w:left="5" w:firstLine="1139"/>
        <w:spacing w:after="0" w:line="296" w:lineRule="auto"/>
        <w:tabs>
          <w:tab w:leader="none" w:pos="1542" w:val="left"/>
        </w:tabs>
        <w:numPr>
          <w:ilvl w:val="1"/>
          <w:numId w:val="85"/>
        </w:numPr>
        <w:rPr>
          <w:rFonts w:ascii="Arial" w:cs="Arial" w:eastAsia="Arial" w:hAnsi="Arial"/>
          <w:sz w:val="18"/>
          <w:szCs w:val="18"/>
          <w:color w:val="auto"/>
        </w:rPr>
      </w:pPr>
      <w:r>
        <w:rPr>
          <w:rFonts w:ascii="Arial" w:cs="Arial" w:eastAsia="Arial" w:hAnsi="Arial"/>
          <w:sz w:val="16"/>
          <w:szCs w:val="16"/>
          <w:color w:val="auto"/>
        </w:rPr>
        <w:t xml:space="preserve">Upon request by the Administrative Agent (in its Permitted Discretion or at the direction of the Required Lenders), the Borrowers and their Subsidiaries will allow the Administrative Agent to conduct up to two field examinations or updates thereof during any period of twelve consecutive months and during normal business hours to ensure the adequacy of Collateral included in the Canadian Borrowing Base or the U.S. Borrowing Base and related reporting and control systems;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Average Utilization for the most recent fiscal quarter was less than twenty percent (20%), the Required Lenders shall not have the right to direct the Administrative Agent to conduct any such field examination, (ii) if Average Utilization for the most recent fiscal quarter was greater than twenty percent (20%), the Required Lenders may direct that the Administrative Agent conduct only one such field examination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field examinations during any period of twelve consecutive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 Event of Default shall have occurred and be continuing, there shall be no limit on the number or frequency of field examinations conducted. For the avoidance of doubt, the Administrative Agent and the Lenders agree that the Administrative Agent shall not conduct any such field examination prior to July 15, 2016 unless either (x) the Aggregate Availability falls below twenty percent (20%) of the aggregate Revolving Commitments or (y) an Event of Default shall occur.</w:t>
      </w:r>
    </w:p>
    <w:p>
      <w:pPr>
        <w:spacing w:after="0" w:line="144" w:lineRule="exact"/>
        <w:rPr>
          <w:sz w:val="20"/>
          <w:szCs w:val="20"/>
          <w:color w:val="auto"/>
        </w:rPr>
      </w:pPr>
    </w:p>
    <w:p>
      <w:pPr>
        <w:ind w:left="565"/>
        <w:spacing w:after="0"/>
        <w:tabs>
          <w:tab w:leader="none" w:pos="1804" w:val="left"/>
        </w:tabs>
        <w:rPr>
          <w:sz w:val="20"/>
          <w:szCs w:val="20"/>
          <w:color w:val="auto"/>
        </w:rPr>
      </w:pPr>
      <w:r>
        <w:rPr>
          <w:rFonts w:ascii="Arial" w:cs="Arial" w:eastAsia="Arial" w:hAnsi="Arial"/>
          <w:sz w:val="17"/>
          <w:szCs w:val="17"/>
          <w:color w:val="auto"/>
        </w:rPr>
        <w:t>SECTION 5.12</w:t>
      </w:r>
      <w:r>
        <w:rPr>
          <w:sz w:val="20"/>
          <w:szCs w:val="20"/>
          <w:color w:val="auto"/>
        </w:rPr>
        <w:tab/>
      </w:r>
      <w:r>
        <w:rPr>
          <w:rFonts w:ascii="Arial" w:cs="Arial" w:eastAsia="Arial" w:hAnsi="Arial"/>
          <w:sz w:val="15"/>
          <w:szCs w:val="15"/>
          <w:u w:val="single" w:color="auto"/>
          <w:color w:val="auto"/>
        </w:rPr>
        <w:t>Depository Banks; Control Agreements</w:t>
      </w:r>
      <w:r>
        <w:rPr>
          <w:rFonts w:ascii="Arial" w:cs="Arial" w:eastAsia="Arial" w:hAnsi="Arial"/>
          <w:sz w:val="15"/>
          <w:szCs w:val="15"/>
          <w:color w:val="auto"/>
        </w:rPr>
        <w:t>.</w:t>
      </w:r>
    </w:p>
    <w:p>
      <w:pPr>
        <w:spacing w:after="0" w:line="222" w:lineRule="exact"/>
        <w:rPr>
          <w:sz w:val="20"/>
          <w:szCs w:val="20"/>
          <w:color w:val="auto"/>
        </w:rPr>
      </w:pPr>
    </w:p>
    <w:p>
      <w:pPr>
        <w:jc w:val="both"/>
        <w:ind w:left="5" w:right="20" w:firstLine="1139"/>
        <w:spacing w:after="0" w:line="299" w:lineRule="auto"/>
        <w:tabs>
          <w:tab w:leader="none" w:pos="1519" w:val="left"/>
        </w:tabs>
        <w:numPr>
          <w:ilvl w:val="0"/>
          <w:numId w:val="86"/>
        </w:numPr>
        <w:rPr>
          <w:rFonts w:ascii="Arial" w:cs="Arial" w:eastAsia="Arial" w:hAnsi="Arial"/>
          <w:sz w:val="18"/>
          <w:szCs w:val="18"/>
          <w:color w:val="auto"/>
        </w:rPr>
      </w:pPr>
      <w:r>
        <w:rPr>
          <w:rFonts w:ascii="Arial" w:cs="Arial" w:eastAsia="Arial" w:hAnsi="Arial"/>
          <w:sz w:val="16"/>
          <w:szCs w:val="16"/>
          <w:color w:val="auto"/>
        </w:rPr>
        <w:t>The U.S. Loan Parties (other than the Canadian Cross-Border Loan Guarantors) will at all times maintain the U.S. Cash Management Bank as their principal depository bank, including for the maintenance of operating, administrative, cash management, collection activity, and other Deposit Accounts for the conduct of their business. The Canadian Loan Parties will at all times maintain the Canadian Cash Management Bank as their principal depository bank, including for the maintenance of operating, administrative, cash management, collection activity, and other Deposit Accounts for the conduct of its business.</w:t>
      </w:r>
    </w:p>
    <w:p>
      <w:pPr>
        <w:spacing w:after="0" w:line="162" w:lineRule="exact"/>
        <w:rPr>
          <w:rFonts w:ascii="Arial" w:cs="Arial" w:eastAsia="Arial" w:hAnsi="Arial"/>
          <w:sz w:val="18"/>
          <w:szCs w:val="18"/>
          <w:color w:val="auto"/>
        </w:rPr>
      </w:pPr>
    </w:p>
    <w:p>
      <w:pPr>
        <w:jc w:val="both"/>
        <w:ind w:left="5" w:firstLine="1139"/>
        <w:spacing w:after="0" w:line="277" w:lineRule="auto"/>
        <w:tabs>
          <w:tab w:leader="none" w:pos="1545" w:val="left"/>
        </w:tabs>
        <w:numPr>
          <w:ilvl w:val="0"/>
          <w:numId w:val="86"/>
        </w:numPr>
        <w:rPr>
          <w:rFonts w:ascii="Arial" w:cs="Arial" w:eastAsia="Arial" w:hAnsi="Arial"/>
          <w:sz w:val="19"/>
          <w:szCs w:val="19"/>
          <w:color w:val="auto"/>
        </w:rPr>
      </w:pPr>
      <w:r>
        <w:rPr>
          <w:rFonts w:ascii="Arial" w:cs="Arial" w:eastAsia="Arial" w:hAnsi="Arial"/>
          <w:sz w:val="17"/>
          <w:szCs w:val="17"/>
          <w:color w:val="auto"/>
        </w:rPr>
        <w:t>On or before the date which is one hundred twenty (120) days following the Second Restatement Date, to the extent that the Loan Parties have not already done so in connection with the Existing Credit Agreement (i) the U.S. Loan Parties (other than the Canadian Cross-Border Loan Guarantors) will cause the U.S. Cash Management Bank to enter into a Control Agreement with respect to all Deposit Accounts and Securities Accounts (other than Excluded Accounts) maintained by the U.S. Loan Parties (other than the Canadian Cross-Border Loan Guarantors) with the U.S. Cash Management Bank as of the Second Restatement Date, (ii) the Canadian Loan Parties will cause the Canadian Cash Management Bank to enter into a Control Agreement with respect to all Deposit Accounts and Securities Accounts (other than Excluded Accounts) maintained with the Canadian Loan Parties at the Canadian Cash Management Bank as of the Second Restatement Date and (iii) the Loan Parties will cause each other depository bank or other institution at which any Deposit Account or Securities Account (other than Excluded Accounts) is maintained as of the Second Restatement Date to enter into a Control Agreement with respect to such Deposit Account or Securities Account.</w:t>
      </w:r>
    </w:p>
    <w:p>
      <w:pPr>
        <w:spacing w:after="0" w:line="182" w:lineRule="exact"/>
        <w:rPr>
          <w:rFonts w:ascii="Arial" w:cs="Arial" w:eastAsia="Arial" w:hAnsi="Arial"/>
          <w:sz w:val="19"/>
          <w:szCs w:val="19"/>
          <w:color w:val="auto"/>
        </w:rPr>
      </w:pPr>
    </w:p>
    <w:p>
      <w:pPr>
        <w:jc w:val="both"/>
        <w:ind w:left="5" w:firstLine="1139"/>
        <w:spacing w:after="0" w:line="277" w:lineRule="auto"/>
        <w:tabs>
          <w:tab w:leader="none" w:pos="1541" w:val="left"/>
        </w:tabs>
        <w:numPr>
          <w:ilvl w:val="0"/>
          <w:numId w:val="86"/>
        </w:numPr>
        <w:rPr>
          <w:rFonts w:ascii="Arial" w:cs="Arial" w:eastAsia="Arial" w:hAnsi="Arial"/>
          <w:sz w:val="19"/>
          <w:szCs w:val="19"/>
          <w:color w:val="auto"/>
        </w:rPr>
      </w:pPr>
      <w:r>
        <w:rPr>
          <w:rFonts w:ascii="Arial" w:cs="Arial" w:eastAsia="Arial" w:hAnsi="Arial"/>
          <w:sz w:val="17"/>
          <w:szCs w:val="17"/>
          <w:color w:val="auto"/>
        </w:rPr>
        <w:t>The Loan Parties will (i) provide prompt written notice to the Administrative Agent of the establishment of any Deposit Account, Securities Account or Lock Box after the Second Restatement Date, and (ii) substantially contemporaneous with the establishment of any such Deposit Account or Securities Account (other than an Excluded Account) or Lock Box (or such later date as agreed to by the Administrative Agent), obtain a Control Agreement with respect to such Deposit Account, Securities Account or Lock Box.</w:t>
      </w:r>
    </w:p>
    <w:p>
      <w:pPr>
        <w:spacing w:after="0" w:line="178" w:lineRule="exact"/>
        <w:rPr>
          <w:rFonts w:ascii="Arial" w:cs="Arial" w:eastAsia="Arial" w:hAnsi="Arial"/>
          <w:sz w:val="19"/>
          <w:szCs w:val="19"/>
          <w:color w:val="auto"/>
        </w:rPr>
      </w:pPr>
    </w:p>
    <w:p>
      <w:pPr>
        <w:jc w:val="both"/>
        <w:ind w:left="5" w:firstLine="1139"/>
        <w:spacing w:after="0" w:line="277" w:lineRule="auto"/>
        <w:tabs>
          <w:tab w:leader="none" w:pos="1529" w:val="left"/>
        </w:tabs>
        <w:numPr>
          <w:ilvl w:val="0"/>
          <w:numId w:val="86"/>
        </w:numPr>
        <w:rPr>
          <w:rFonts w:ascii="Arial" w:cs="Arial" w:eastAsia="Arial" w:hAnsi="Arial"/>
          <w:sz w:val="19"/>
          <w:szCs w:val="19"/>
          <w:color w:val="auto"/>
        </w:rPr>
      </w:pPr>
      <w:r>
        <w:rPr>
          <w:rFonts w:ascii="Arial" w:cs="Arial" w:eastAsia="Arial" w:hAnsi="Arial"/>
          <w:sz w:val="17"/>
          <w:szCs w:val="17"/>
          <w:color w:val="auto"/>
        </w:rPr>
        <w:t>The Loan Parties will (i) provide prompt written notice to the Administrative Agent of any Deposit Account, Securities Account or Lock Box acquired in connection with a Permitted Acquisition, and (ii) to the extent such Deposit Account, Securities Account or Lock Box does not constitute an Excluded Account, within one hundred twenty (120) days after the consummation of such Permitted Acquisition (or such later date as agreed to by the Administrative Agent), either (x) obtain a Control Agreement with respect to such Deposit Account, Securities Account or Lock Box, or (y) close such Deposit Account, Securities Account or Lock Box.</w:t>
      </w:r>
    </w:p>
    <w:p>
      <w:pPr>
        <w:spacing w:after="0" w:line="179" w:lineRule="exact"/>
        <w:rPr>
          <w:rFonts w:ascii="Arial" w:cs="Arial" w:eastAsia="Arial" w:hAnsi="Arial"/>
          <w:sz w:val="19"/>
          <w:szCs w:val="19"/>
          <w:color w:val="auto"/>
        </w:rPr>
      </w:pPr>
    </w:p>
    <w:p>
      <w:pPr>
        <w:jc w:val="both"/>
        <w:ind w:left="5" w:firstLine="1139"/>
        <w:spacing w:after="0" w:line="277" w:lineRule="auto"/>
        <w:tabs>
          <w:tab w:leader="none" w:pos="1511" w:val="left"/>
        </w:tabs>
        <w:numPr>
          <w:ilvl w:val="0"/>
          <w:numId w:val="86"/>
        </w:numPr>
        <w:rPr>
          <w:rFonts w:ascii="Arial" w:cs="Arial" w:eastAsia="Arial" w:hAnsi="Arial"/>
          <w:sz w:val="19"/>
          <w:szCs w:val="19"/>
          <w:color w:val="auto"/>
        </w:rPr>
      </w:pPr>
      <w:r>
        <w:rPr>
          <w:rFonts w:ascii="Arial" w:cs="Arial" w:eastAsia="Arial" w:hAnsi="Arial"/>
          <w:sz w:val="17"/>
          <w:szCs w:val="17"/>
          <w:color w:val="auto"/>
        </w:rPr>
        <w:t>The U.S. Loan Parties (other than the Canadian Cross-Border Loan Guarantors) will (i) provide prompt written notice to the Administrative Agent of any change in the U.S. Cash Management Bank, and (ii) substantially contemporaneously with any change in the U.S. Cash Management Bank, to the extent not already obtained, will obtain a Control Agreement from the successor U.S. Cash Management Bank. The Canadian Loan Parties will (i) provide prompt written notice to the Canadian Administrative Agent of any change in the Canadian Cash Management Bank, and (ii) substantially contemporaneously with any change in the Canadian Cash Management Bank, to the extent not already obtained, will obtain a Control Agreement from the successor Canadian Cash Management Bank.</w:t>
      </w:r>
    </w:p>
    <w:p>
      <w:pPr>
        <w:spacing w:after="0" w:line="180" w:lineRule="exact"/>
        <w:rPr>
          <w:rFonts w:ascii="Arial" w:cs="Arial" w:eastAsia="Arial" w:hAnsi="Arial"/>
          <w:sz w:val="19"/>
          <w:szCs w:val="19"/>
          <w:color w:val="auto"/>
        </w:rPr>
      </w:pPr>
    </w:p>
    <w:p>
      <w:pPr>
        <w:jc w:val="both"/>
        <w:ind w:left="5" w:right="20" w:firstLine="1139"/>
        <w:spacing w:after="0" w:line="314" w:lineRule="auto"/>
        <w:tabs>
          <w:tab w:leader="none" w:pos="1535" w:val="left"/>
        </w:tabs>
        <w:numPr>
          <w:ilvl w:val="0"/>
          <w:numId w:val="86"/>
        </w:numPr>
        <w:rPr>
          <w:rFonts w:ascii="Arial" w:cs="Arial" w:eastAsia="Arial" w:hAnsi="Arial"/>
          <w:sz w:val="18"/>
          <w:szCs w:val="18"/>
          <w:color w:val="auto"/>
        </w:rPr>
      </w:pPr>
      <w:r>
        <w:rPr>
          <w:rFonts w:ascii="Arial" w:cs="Arial" w:eastAsia="Arial" w:hAnsi="Arial"/>
          <w:sz w:val="16"/>
          <w:szCs w:val="16"/>
          <w:color w:val="auto"/>
        </w:rPr>
        <w:t>At all times during the continuance of a Cash Dominion Period (i) the U.S. Cash Management Bank shall be required to remit to the U.S. Collection Account on a daily basis (A) all available funds on deposit in any Deposit Account (other than an Excluded Account) maintained by the U.S. Loan</w:t>
      </w:r>
    </w:p>
    <w:p>
      <w:pPr>
        <w:sectPr>
          <w:pgSz w:w="11900" w:h="16956" w:orient="portrait"/>
          <w:cols w:equalWidth="0" w:num="1">
            <w:col w:w="11445"/>
          </w:cols>
          <w:pgMar w:left="235" w:top="124" w:right="219" w:bottom="0" w:gutter="0" w:footer="0" w:header="0"/>
        </w:sectPr>
      </w:pPr>
    </w:p>
    <w:bookmarkStart w:id="55" w:name="page56"/>
    <w:bookmarkEnd w:id="55"/>
    <w:p>
      <w:pPr>
        <w:jc w:val="both"/>
        <w:spacing w:after="0" w:line="301" w:lineRule="auto"/>
        <w:rPr>
          <w:sz w:val="20"/>
          <w:szCs w:val="20"/>
          <w:color w:val="auto"/>
        </w:rPr>
      </w:pPr>
      <w:r>
        <w:rPr>
          <w:rFonts w:ascii="Arial" w:cs="Arial" w:eastAsia="Arial" w:hAnsi="Arial"/>
          <w:sz w:val="16"/>
          <w:szCs w:val="16"/>
          <w:color w:val="auto"/>
        </w:rPr>
        <w:t>Parties (other than the Canadian Cross-Border Loan Guarantors) with the U.S. Cash Management Bank and (B) collections and other similar payments relating to or constituting payments made in respect of Accounts of the U.S. Loan Parties (other than the Canadian Cross-Border Loan Guarantors) received by the U.S. Cash Management Bank, including any such items remitted to any Deposit Account which is subject to a Control Agreement and maintained or controlled by the U.S. Cash Management Bank (provided that the disbursement of payments received in respect of Accounts that have been sold to WESCO Receivables shall be subject to the provisions of the Intercreditor Agreement), and (ii) the Canadian Cash Management Bank shall be required to remit to the Canadian Collection Account on a daily basis (A) all available funds on deposit in any Deposit Account (other than an Excluded Account) maintained by the Canadian Loan Parties with the Canadian Cash Management Bank and (B) collections and other similar payments relating to or constituting payments made in respect of Accounts of the Canadian Loan Parties received by the Canadian Cash Management Bank, including any such items remitted to any Deposit Account which is subject to a Control Agreement and maintained or controlled by the Canadian Cash Management Bank.</w:t>
      </w:r>
    </w:p>
    <w:p>
      <w:pPr>
        <w:spacing w:after="0" w:line="139"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Additional Collateral; Further Assurances</w:t>
      </w:r>
      <w:r>
        <w:rPr>
          <w:rFonts w:ascii="Arial" w:cs="Arial" w:eastAsia="Arial" w:hAnsi="Arial"/>
          <w:sz w:val="16"/>
          <w:szCs w:val="16"/>
          <w:color w:val="auto"/>
        </w:rPr>
        <w:t xml:space="preserve">. (1) Subject to applicable law, each Loan Party shall cause each of its Domestic Subsidiaries (other than any Domestic Subsidiary constituting an Excluded Subsidiary, an Unrestricted Subsidiary or a CFC Subsidiary Holding Company) formed or acquired after the date of this Agreement in accordance with the terms of this Agreement to become a U.S. Loan Party by executing (i) a U.S. Security Agreement (or a joinder to the U.S. Security Agreement) and (ii) in the case of such Domestic Subsidiary that is to become a U.S. Borrower, the Joinder Agreement set forth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Upon execution and delivery thereof, each such Person (i) shall automatically become a U.S. Borrower or U.S. Loan Guarantor hereunder, as specified by such Person at the time of execution of such Joinder or separate U.S. Loan Party Guaranty, and thereupon shall have all of the rights, benefits, duties, and obligations in such capacity under the Loan Documents and (ii) will grant Liens to the Administrative Agent, for the benefit of the Lender Parties, in all personal property of a type required to be encumbered pursuant to the Collateral Documents.</w:t>
      </w:r>
    </w:p>
    <w:p>
      <w:pPr>
        <w:spacing w:after="0" w:line="173" w:lineRule="exact"/>
        <w:rPr>
          <w:sz w:val="20"/>
          <w:szCs w:val="20"/>
          <w:color w:val="auto"/>
        </w:rPr>
      </w:pPr>
    </w:p>
    <w:p>
      <w:pPr>
        <w:jc w:val="both"/>
        <w:ind w:firstLine="1139"/>
        <w:spacing w:after="0" w:line="296" w:lineRule="auto"/>
        <w:tabs>
          <w:tab w:leader="none" w:pos="1514" w:val="left"/>
        </w:tabs>
        <w:numPr>
          <w:ilvl w:val="0"/>
          <w:numId w:val="87"/>
        </w:numPr>
        <w:rPr>
          <w:rFonts w:ascii="Arial" w:cs="Arial" w:eastAsia="Arial" w:hAnsi="Arial"/>
          <w:sz w:val="18"/>
          <w:szCs w:val="18"/>
          <w:color w:val="auto"/>
        </w:rPr>
      </w:pPr>
      <w:r>
        <w:rPr>
          <w:rFonts w:ascii="Arial" w:cs="Arial" w:eastAsia="Arial" w:hAnsi="Arial"/>
          <w:sz w:val="16"/>
          <w:szCs w:val="16"/>
          <w:color w:val="auto"/>
        </w:rPr>
        <w:t>Subject to applicable law, Holdings, the Canadian Borrowers and each other Canadian Loan Party shall cause each of their Subsidiaries (other than any Subsidiary constituting an Excluded Subsidiary, or an Unrestricted Subsidiary) formed or acquired after the date of this Agreement (i) that is organized under the laws of Canada or any province thereof or is a CFC Subsidiary Holding Company to become a Canadian Loan Party by executing (A) a Canadian Guarantee and a Canadian Security Agreement (which Canadian Security Agreement shall, among other things, pledge 100% of the Equity Interests in each such Subsidiary and grant a security interest in all the personal property of a type required to be encumbered pursuant to the Collateral Documents, the foregoing to be in a form substantially similar to the Canadian Security Agreement) that secures repayment of the Canadian Obligations and (B) in the case of any Subsidiary that is to become a Canadian Borrower, a Joinder Agreement, in each case, together with such other documentation and filings that the Administrative Agent may reasonably require in order to perfect its first priority security interest in the assets subject to the terms of such security agreement, and (ii) that is organized under the laws of the Netherlands (other than such a Subsidiary constituting an Immaterial Foreign Subsidiary) to become a Dutch Loan Guarantor by executing a joinder to a Canadian Guarantee that guarantees repayment of the Canadian Obligations (which guarantee shall be in form and substance reasonably satisfactory to the Administrative Agent).</w:t>
      </w:r>
    </w:p>
    <w:p>
      <w:pPr>
        <w:spacing w:after="0" w:line="168" w:lineRule="exact"/>
        <w:rPr>
          <w:rFonts w:ascii="Arial" w:cs="Arial" w:eastAsia="Arial" w:hAnsi="Arial"/>
          <w:sz w:val="18"/>
          <w:szCs w:val="18"/>
          <w:color w:val="auto"/>
        </w:rPr>
      </w:pPr>
    </w:p>
    <w:p>
      <w:pPr>
        <w:jc w:val="both"/>
        <w:ind w:firstLine="1139"/>
        <w:spacing w:after="0" w:line="296" w:lineRule="auto"/>
        <w:tabs>
          <w:tab w:leader="none" w:pos="1584" w:val="left"/>
        </w:tabs>
        <w:numPr>
          <w:ilvl w:val="0"/>
          <w:numId w:val="87"/>
        </w:numPr>
        <w:rPr>
          <w:rFonts w:ascii="Arial" w:cs="Arial" w:eastAsia="Arial" w:hAnsi="Arial"/>
          <w:sz w:val="18"/>
          <w:szCs w:val="18"/>
          <w:color w:val="auto"/>
        </w:rPr>
      </w:pPr>
      <w:r>
        <w:rPr>
          <w:rFonts w:ascii="Arial" w:cs="Arial" w:eastAsia="Arial" w:hAnsi="Arial"/>
          <w:sz w:val="16"/>
          <w:szCs w:val="16"/>
          <w:color w:val="auto"/>
        </w:rPr>
        <w:t>To secure the prompt payment and performance of all U.S. Secured Obligations, Holdings, each Domestic Subsidiary that is a U.S. Loan Party and each Canadian Cross-Border Loan Guarantor will cause (i) 100% of the issued and outstanding Equity Interests of each Domestic Subsidiary (other than an Excluded Subsidiary, an Unrestricted Subsidiary, a CFC Subsidiary Holding Company or any other Subsidiary that is a special purpose entity which has no assets other than real property) that is formed or acquired after the Second Restatement Date, (ii) 65% of the Equity Interests constituting the total combined classes of Equity Interests entitled to vote in each first-tier Foreign Subsidiary (other than an Immaterial Foreign Subsidiary or an Unrestricted Subsidiary) or CFC Subsidiary Holding Company that is formed or acquired after the Second Restatement Date, and (iii) 100% of the non-voting Equity Interests of each first-tier Foreign Subsidiary (other than an Immaterial Foreign Subsidiary or an Unrestricted Subsidiary) or CFC Subsidiary Holding Company that is formed or acquired after the Second Restatement Date, to become subject to a perfected Lien in favor of the Administrative Agent (for the benefit of the U.S. Lender Parties) pursuant to the terms and conditions of the Loan Documents or other security documents as the Administrative Agent shall reasonably request within thirty (30) days of the formation or acquisition of such Subsidiary, which Lien shall be senior in priority to all other Liens other than the Liens in favor of the Term Loan Agent pursuant to the Term Loan Documents to the extent provided in the ABL-Term Loan Intercreditor Agreement.</w:t>
      </w:r>
    </w:p>
    <w:p>
      <w:pPr>
        <w:spacing w:after="0" w:line="168" w:lineRule="exact"/>
        <w:rPr>
          <w:rFonts w:ascii="Arial" w:cs="Arial" w:eastAsia="Arial" w:hAnsi="Arial"/>
          <w:sz w:val="18"/>
          <w:szCs w:val="18"/>
          <w:color w:val="auto"/>
        </w:rPr>
      </w:pPr>
    </w:p>
    <w:p>
      <w:pPr>
        <w:jc w:val="both"/>
        <w:ind w:firstLine="1139"/>
        <w:spacing w:after="0" w:line="297" w:lineRule="auto"/>
        <w:tabs>
          <w:tab w:leader="none" w:pos="1526" w:val="left"/>
        </w:tabs>
        <w:numPr>
          <w:ilvl w:val="0"/>
          <w:numId w:val="87"/>
        </w:numPr>
        <w:rPr>
          <w:rFonts w:ascii="Arial" w:cs="Arial" w:eastAsia="Arial" w:hAnsi="Arial"/>
          <w:sz w:val="18"/>
          <w:szCs w:val="18"/>
          <w:color w:val="auto"/>
        </w:rPr>
      </w:pPr>
      <w:r>
        <w:rPr>
          <w:rFonts w:ascii="Arial" w:cs="Arial" w:eastAsia="Arial" w:hAnsi="Arial"/>
          <w:sz w:val="16"/>
          <w:szCs w:val="16"/>
          <w:color w:val="auto"/>
        </w:rPr>
        <w:t>To secure the prompt payment and performance of all Canadian Secured Obligations, Holdings and each Subsidiary that is a Canadian Loan Party will cause 100% of the issued and outstanding Equity Interests of each Canadian Subsidiary acquired after the Second Restatement Date (other than any Canadian Subsidiary constituting an Excluded Subsidiary or an Unrestricted Subsidiary), to be subject at all times to a perfected Lien in favor of the Administrative Agent (for the benefit of the Canadian Lender Parties) pursuant to the terms and conditions of the Loan Documents or other security documents as the Administrative Agent shall reasonably request, which Lien shall be senior in priority to all other Liens other than the Liens in favor of the Term Loan Agent pursuant to the Term Loan Documents to the extent provided in the ABL-Term Loan Intercreditor Agreement.</w:t>
      </w:r>
    </w:p>
    <w:p>
      <w:pPr>
        <w:spacing w:after="0" w:line="166" w:lineRule="exact"/>
        <w:rPr>
          <w:rFonts w:ascii="Arial" w:cs="Arial" w:eastAsia="Arial" w:hAnsi="Arial"/>
          <w:sz w:val="18"/>
          <w:szCs w:val="18"/>
          <w:color w:val="auto"/>
        </w:rPr>
      </w:pPr>
    </w:p>
    <w:p>
      <w:pPr>
        <w:jc w:val="both"/>
        <w:ind w:firstLine="1139"/>
        <w:spacing w:after="0" w:line="277" w:lineRule="auto"/>
        <w:tabs>
          <w:tab w:leader="none" w:pos="1608" w:val="left"/>
        </w:tabs>
        <w:numPr>
          <w:ilvl w:val="0"/>
          <w:numId w:val="87"/>
        </w:numPr>
        <w:rPr>
          <w:rFonts w:ascii="Arial" w:cs="Arial" w:eastAsia="Arial" w:hAnsi="Arial"/>
          <w:sz w:val="19"/>
          <w:szCs w:val="19"/>
          <w:color w:val="auto"/>
        </w:rPr>
      </w:pPr>
      <w:r>
        <w:rPr>
          <w:rFonts w:ascii="Arial" w:cs="Arial" w:eastAsia="Arial" w:hAnsi="Arial"/>
          <w:sz w:val="17"/>
          <w:szCs w:val="17"/>
          <w:color w:val="auto"/>
        </w:rPr>
        <w:t>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Loan Parties.</w:t>
      </w:r>
    </w:p>
    <w:p>
      <w:pPr>
        <w:spacing w:after="0" w:line="180" w:lineRule="exact"/>
        <w:rPr>
          <w:rFonts w:ascii="Arial" w:cs="Arial" w:eastAsia="Arial" w:hAnsi="Arial"/>
          <w:sz w:val="19"/>
          <w:szCs w:val="19"/>
          <w:color w:val="auto"/>
        </w:rPr>
      </w:pPr>
    </w:p>
    <w:p>
      <w:pPr>
        <w:jc w:val="both"/>
        <w:ind w:firstLine="1139"/>
        <w:spacing w:after="0" w:line="296" w:lineRule="auto"/>
        <w:tabs>
          <w:tab w:leader="none" w:pos="1585" w:val="left"/>
        </w:tabs>
        <w:numPr>
          <w:ilvl w:val="0"/>
          <w:numId w:val="87"/>
        </w:numPr>
        <w:rPr>
          <w:rFonts w:ascii="Arial" w:cs="Arial" w:eastAsia="Arial" w:hAnsi="Arial"/>
          <w:sz w:val="18"/>
          <w:szCs w:val="18"/>
          <w:color w:val="auto"/>
        </w:rPr>
      </w:pPr>
      <w:r>
        <w:rPr>
          <w:rFonts w:ascii="Arial" w:cs="Arial" w:eastAsia="Arial" w:hAnsi="Arial"/>
          <w:sz w:val="16"/>
          <w:szCs w:val="16"/>
          <w:color w:val="auto"/>
        </w:rPr>
        <w:t>If any assets constituting personal property of a type required to be encumbered under the Collateral Documents (other than equity of a Domestic Subsidiary or Canadian Subsidiary constituting an Excluded Subsidiary, an Unrestricted Subsidiary or any other Subsidiary that is a special purpose entity which has no material assets other than real property) are acquired by any Loan Party (other than assets constituting Collateral under the U.S. Security Agreement or the Canadian Security Agreement that become subject to the Lien in favor of the Administrative Agent (for the benefit of the Lender Parties or the Canadian Lender Parties, as the case may be) upon acquisition thereof), the Borrower Representative will promptly notify the Administrative Agent and the Lenders thereof, and, if requested by the Administrative Agent or the Required Lenders, the Borrowers will cause such assets to be subjected to a Lien in favor of Administrative Agent (for the benefit of the Lender Parties or the Canadian Lender Parties, as the case may be) securing the U.S. Secured Obligations and/or the Canadian Secured Obligations, as applicable, and will take, and cause the applicable Loan Parties to take, such actions as shall be necessary or reasonably requested by the Administrative Agent to grant and perfect such Liens, including actions described in paragraph (c) of this Section, all at the expense of the Loan Parties. Notwithstanding anything herein or in any other Loan Document to the contrary, any provision of this Agreement or any other Loan Document which would otherwise exempt any Excluded Subsidiary or Unrestricted Subsidiary from any requirement under this Agreement or any other Loan Document to Guarantee the Obligations or grant Liens on its assets as security for the Obligations shall not be in effect if and to the extent such Excluded Subsidiary or Unrestricted Subsidiary provides any Guarantee or grants any Lien under or in respect of the Term Loan Documents.</w:t>
      </w:r>
    </w:p>
    <w:p>
      <w:pPr>
        <w:spacing w:after="0" w:line="167" w:lineRule="exact"/>
        <w:rPr>
          <w:rFonts w:ascii="Arial" w:cs="Arial" w:eastAsia="Arial" w:hAnsi="Arial"/>
          <w:sz w:val="18"/>
          <w:szCs w:val="18"/>
          <w:color w:val="auto"/>
        </w:rPr>
      </w:pPr>
    </w:p>
    <w:p>
      <w:pPr>
        <w:jc w:val="both"/>
        <w:ind w:firstLine="1139"/>
        <w:spacing w:after="0" w:line="337" w:lineRule="auto"/>
        <w:tabs>
          <w:tab w:leader="none" w:pos="1505" w:val="left"/>
        </w:tabs>
        <w:numPr>
          <w:ilvl w:val="0"/>
          <w:numId w:val="87"/>
        </w:numPr>
        <w:rPr>
          <w:rFonts w:ascii="Arial" w:cs="Arial" w:eastAsia="Arial" w:hAnsi="Arial"/>
          <w:sz w:val="16"/>
          <w:szCs w:val="16"/>
          <w:color w:val="auto"/>
        </w:rPr>
      </w:pPr>
      <w:r>
        <w:rPr>
          <w:rFonts w:ascii="Arial" w:cs="Arial" w:eastAsia="Arial" w:hAnsi="Arial"/>
          <w:sz w:val="15"/>
          <w:szCs w:val="15"/>
          <w:color w:val="auto"/>
        </w:rPr>
        <w:t>If either (i) the aggregate revenues of all Excluded Subsidiaries and Unrestricted Subsidiaries, as of end of any fiscal year, constitute 15% or more of the consolidated revenues of Holdings and its Subsidiaries for such period or (ii) the aggregate consolidated assets of all Excluded Subsidiaries and Unrestricted Subsidiaries, as of end of any fiscal year, constitute 15% or more of the consolidated total assets of Holdings and its Subsidiaries as of the end of such</w:t>
      </w:r>
    </w:p>
    <w:p>
      <w:pPr>
        <w:sectPr>
          <w:pgSz w:w="11900" w:h="16838" w:orient="portrait"/>
          <w:cols w:equalWidth="0" w:num="1">
            <w:col w:w="11440"/>
          </w:cols>
          <w:pgMar w:left="240" w:top="137" w:right="219" w:bottom="0" w:gutter="0" w:footer="0" w:header="0"/>
        </w:sectPr>
      </w:pPr>
    </w:p>
    <w:bookmarkStart w:id="56" w:name="page57"/>
    <w:bookmarkEnd w:id="56"/>
    <w:p>
      <w:pPr>
        <w:ind w:left="5"/>
        <w:spacing w:after="0"/>
        <w:rPr>
          <w:sz w:val="20"/>
          <w:szCs w:val="20"/>
          <w:color w:val="auto"/>
        </w:rPr>
      </w:pPr>
      <w:r>
        <w:rPr>
          <w:rFonts w:ascii="Arial" w:cs="Arial" w:eastAsia="Arial" w:hAnsi="Arial"/>
          <w:sz w:val="15"/>
          <w:szCs w:val="15"/>
          <w:color w:val="auto"/>
        </w:rPr>
        <w:t>fiscal year, in each case as reflected on the most recent annual or quarterly consolidated financial statements of Holdings and its Subsidiaries, then, the Loan Parties</w:t>
      </w:r>
    </w:p>
    <w:p>
      <w:pPr>
        <w:spacing w:after="0" w:line="54" w:lineRule="exact"/>
        <w:rPr>
          <w:sz w:val="20"/>
          <w:szCs w:val="20"/>
          <w:color w:val="auto"/>
        </w:rPr>
      </w:pPr>
    </w:p>
    <w:p>
      <w:pPr>
        <w:jc w:val="both"/>
        <w:ind w:left="5" w:hanging="5"/>
        <w:spacing w:after="0" w:line="298" w:lineRule="auto"/>
        <w:tabs>
          <w:tab w:leader="none" w:pos="3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submit a written notice (a “</w:t>
      </w:r>
      <w:r>
        <w:rPr>
          <w:rFonts w:ascii="Arial" w:cs="Arial" w:eastAsia="Arial" w:hAnsi="Arial"/>
          <w:sz w:val="16"/>
          <w:szCs w:val="16"/>
          <w:u w:val="single" w:color="auto"/>
          <w:color w:val="auto"/>
        </w:rPr>
        <w:t>Designated Immaterial Subsidiary Notice</w:t>
      </w:r>
      <w:r>
        <w:rPr>
          <w:rFonts w:ascii="Arial" w:cs="Arial" w:eastAsia="Arial" w:hAnsi="Arial"/>
          <w:sz w:val="16"/>
          <w:szCs w:val="16"/>
          <w:color w:val="auto"/>
        </w:rPr>
        <w:t>”) to the Administrative Agent designating one or more Immaterial Domestic Subsidiaries and/or Immaterial Canadian Subsidiaries as Subsidiaries which shall no longer constitute Excluded Subsidiaries (any such Subsidiary so designated being a “</w:t>
      </w:r>
      <w:r>
        <w:rPr>
          <w:rFonts w:ascii="Arial" w:cs="Arial" w:eastAsia="Arial" w:hAnsi="Arial"/>
          <w:sz w:val="16"/>
          <w:szCs w:val="16"/>
          <w:u w:val="single" w:color="auto"/>
          <w:color w:val="auto"/>
        </w:rPr>
        <w:t>Designated Immaterial Subsidiary</w:t>
      </w:r>
      <w:r>
        <w:rPr>
          <w:rFonts w:ascii="Arial" w:cs="Arial" w:eastAsia="Arial" w:hAnsi="Arial"/>
          <w:sz w:val="16"/>
          <w:szCs w:val="16"/>
          <w:color w:val="auto"/>
        </w:rPr>
        <w:t>”) such that, after giving effect to such designation, (x) the aggregate revenues of all Excluded Subsidiaries and Unrestricted Subsidiaries, as of end of such fiscal year (calculated for purposes of this clause (x) on a pro forma basis as if each such Designated Immaterial Subsidiary had not been an Excluded Subsidiary at any time during such fiscal year), constitute less than 15% of the consolidated revenues of Holdings and its Subsidiaries for such period and (y) the consolidated total assets of all Excluded Subsidiaries and Unrestricted Subsidiaries, as of end of such fiscal year (calculated for purposes of this clause (y) on a pro forma basis as if each such Designated Immaterial Subsidiary had not been an Excluded Subsidiary as the last day of such fiscal year), constitute less than 15% of the consolidated total assets of Holdings and its Subsidiaries as of the end of such fiscal year and (B) shall cause each such Designated Immaterial Subsidiary to become a U.S. Loan Guarantor (in the case of a Designated Immaterial Subsidiary which is a Domestic Subsidiary) or a Canadian Loan Guarantor (in the case of a Designated Immaterial Subsidiary which is a Canadian Subsidiary) and shall, and shall cause each such Designated Immaterial Subsidiary to, execute and deliver to the Administrative Agent all Joinder Agreements, guarantees, Collateral Documents and other agreements and documents and shall take, and cause each such Designated Immaterial Subsidiary to take, such other actions as shall be necessary or which the Administrative Agent may reasonably request to comply with this clause (i) and clauses (a) through (f) of this Section 5.13 as to each such Designated Immaterial Subsidiary (it being understood for avoidance of doubt that, solely for purposes of this clause (B), in determining compliance with such clauses (a) through (f) of this Section 5.13, each such Designated Immaterial Subsidiary shall be treated as if it had been acquired or formed by the Loan Parties as of the date of delivery of the Designated Immaterial Subsidiary Notice with respect thereto) .</w:t>
      </w:r>
    </w:p>
    <w:p>
      <w:pPr>
        <w:spacing w:after="0" w:line="145" w:lineRule="exact"/>
        <w:rPr>
          <w:sz w:val="20"/>
          <w:szCs w:val="20"/>
          <w:color w:val="auto"/>
        </w:rPr>
      </w:pPr>
    </w:p>
    <w:p>
      <w:pPr>
        <w:jc w:val="both"/>
        <w:ind w:left="5" w:firstLine="572"/>
        <w:spacing w:after="0" w:line="272"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Covenants Regarding Accounts</w:t>
      </w:r>
      <w:r>
        <w:rPr>
          <w:rFonts w:ascii="Arial" w:cs="Arial" w:eastAsia="Arial" w:hAnsi="Arial"/>
          <w:sz w:val="16"/>
          <w:szCs w:val="16"/>
          <w:color w:val="auto"/>
        </w:rPr>
        <w:t>. In the ordinary course of its business, the Borrowers and WESCO Receivables process their Accounts in a manner such that (i) each payment received by each Borrower or WESCO Receivables in respect of an Account is allocated to a specifically identified invoice, which invoice corresponds to a particular Account owing to such Borrower or WESCO Receivables, and (ii) in the event that, at any time, less than 100% of the Accounts of the U.S. Borrowers are sold to WESCO Receivables under the Receivables Securitization Agreements, payments received in respect of those Accounts that are sold to WESCO Receivables under the Receivables Securitization Agreements would be identifiable and separate from payments received in respect of Accounts that are not sold to WESCO Receivables under the Receivables Securitization Agreements. No Canadian Loan Party shall enter into any Receivables Securitization or any other similar financing or transaction at any time.</w:t>
      </w:r>
    </w:p>
    <w:p>
      <w:pPr>
        <w:spacing w:after="0" w:line="149" w:lineRule="exact"/>
        <w:rPr>
          <w:sz w:val="20"/>
          <w:szCs w:val="20"/>
          <w:color w:val="auto"/>
        </w:rPr>
      </w:pPr>
    </w:p>
    <w:p>
      <w:pPr>
        <w:jc w:val="both"/>
        <w:ind w:left="5" w:firstLine="572"/>
        <w:spacing w:after="0" w:line="274"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Obligations under Term Loan Documents</w:t>
      </w:r>
      <w:r>
        <w:rPr>
          <w:rFonts w:ascii="Arial" w:cs="Arial" w:eastAsia="Arial" w:hAnsi="Arial"/>
          <w:sz w:val="16"/>
          <w:szCs w:val="16"/>
          <w:color w:val="auto"/>
        </w:rPr>
        <w:t xml:space="preserve">. At all times from and after the ninety-first (91st) day prior to the stated maturity date of the Term Loan Agreement, the Borrowers shall maintain on deposit with the Administrative Agent Pledged Cash with respect to the outstanding obligations of the Loan Parties under the Term Loan Documents in an aggregate amount not less than the then outstanding amount of the Loan Parties’ obligations under the Term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any time the Administrative Agent shall have established a Reserve with respect to the outstanding obligations of the Loan Parties under the Term Loan Documents, the aggregate amount of Pledged Cash required to be maintained by the Borrowers on deposit with the Administrative Agent pursuant to this Section 5.15 at such time shall be reduced on a dollar-for-dollar basis by the amount of such Reserve at such time.</w:t>
      </w:r>
    </w:p>
    <w:p>
      <w:pPr>
        <w:spacing w:after="0" w:line="153" w:lineRule="exact"/>
        <w:rPr>
          <w:sz w:val="20"/>
          <w:szCs w:val="20"/>
          <w:color w:val="auto"/>
        </w:rPr>
      </w:pPr>
    </w:p>
    <w:p>
      <w:pPr>
        <w:ind w:left="5085"/>
        <w:spacing w:after="0"/>
        <w:rPr>
          <w:sz w:val="20"/>
          <w:szCs w:val="20"/>
          <w:color w:val="auto"/>
        </w:rPr>
      </w:pPr>
      <w:r>
        <w:rPr>
          <w:rFonts w:ascii="Arial" w:cs="Arial" w:eastAsia="Arial" w:hAnsi="Arial"/>
          <w:sz w:val="19"/>
          <w:szCs w:val="19"/>
          <w:color w:val="auto"/>
        </w:rPr>
        <w:t>ARTICLE VI.</w:t>
      </w:r>
    </w:p>
    <w:p>
      <w:pPr>
        <w:spacing w:after="0" w:line="250" w:lineRule="exact"/>
        <w:rPr>
          <w:sz w:val="20"/>
          <w:szCs w:val="20"/>
          <w:color w:val="auto"/>
        </w:rPr>
      </w:pPr>
    </w:p>
    <w:p>
      <w:pPr>
        <w:jc w:val="center"/>
        <w:ind w:right="-4"/>
        <w:spacing w:after="0"/>
        <w:rPr>
          <w:sz w:val="20"/>
          <w:szCs w:val="20"/>
          <w:color w:val="auto"/>
        </w:rPr>
      </w:pPr>
      <w:r>
        <w:rPr>
          <w:rFonts w:ascii="Arial" w:cs="Arial" w:eastAsia="Arial" w:hAnsi="Arial"/>
          <w:sz w:val="17"/>
          <w:szCs w:val="17"/>
          <w:u w:val="single" w:color="auto"/>
          <w:color w:val="auto"/>
        </w:rPr>
        <w:t>Negative Covenants</w:t>
      </w:r>
    </w:p>
    <w:p>
      <w:pPr>
        <w:spacing w:after="0" w:line="210"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Until all of the Revolving Commitments have expired or terminated and the principal of and interest on each Loan and all fees, expenses and other amounts payable under any Loan Document have been paid in full and all Letters of Credit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w:t>
      </w:r>
    </w:p>
    <w:p>
      <w:pPr>
        <w:spacing w:after="0" w:line="161" w:lineRule="exact"/>
        <w:rPr>
          <w:sz w:val="20"/>
          <w:szCs w:val="20"/>
          <w:color w:val="auto"/>
        </w:rPr>
      </w:pPr>
    </w:p>
    <w:p>
      <w:pPr>
        <w:ind w:left="565"/>
        <w:spacing w:after="0"/>
        <w:tabs>
          <w:tab w:leader="none" w:pos="1804"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No Loan Party will, nor will it permit any Restricted Subsidiary to, create, incur or suffer to exist any Indebtedness, except:</w:t>
      </w:r>
    </w:p>
    <w:p>
      <w:pPr>
        <w:spacing w:after="0" w:line="222" w:lineRule="exact"/>
        <w:rPr>
          <w:sz w:val="20"/>
          <w:szCs w:val="20"/>
          <w:color w:val="auto"/>
        </w:rPr>
      </w:pPr>
    </w:p>
    <w:p>
      <w:pPr>
        <w:ind w:left="1505" w:hanging="361"/>
        <w:spacing w:after="0"/>
        <w:tabs>
          <w:tab w:leader="none" w:pos="1505" w:val="left"/>
        </w:tabs>
        <w:numPr>
          <w:ilvl w:val="0"/>
          <w:numId w:val="89"/>
        </w:numPr>
        <w:rPr>
          <w:rFonts w:ascii="Arial" w:cs="Arial" w:eastAsia="Arial" w:hAnsi="Arial"/>
          <w:sz w:val="19"/>
          <w:szCs w:val="19"/>
          <w:color w:val="auto"/>
        </w:rPr>
      </w:pPr>
      <w:r>
        <w:rPr>
          <w:rFonts w:ascii="Arial" w:cs="Arial" w:eastAsia="Arial" w:hAnsi="Arial"/>
          <w:sz w:val="17"/>
          <w:szCs w:val="17"/>
          <w:color w:val="auto"/>
        </w:rPr>
        <w:t>the Secured Obligations;</w:t>
      </w:r>
    </w:p>
    <w:p>
      <w:pPr>
        <w:spacing w:after="0" w:line="210" w:lineRule="exact"/>
        <w:rPr>
          <w:rFonts w:ascii="Arial" w:cs="Arial" w:eastAsia="Arial" w:hAnsi="Arial"/>
          <w:sz w:val="19"/>
          <w:szCs w:val="19"/>
          <w:color w:val="auto"/>
        </w:rPr>
      </w:pPr>
    </w:p>
    <w:p>
      <w:pPr>
        <w:ind w:left="5" w:right="20" w:firstLine="1139"/>
        <w:spacing w:after="0" w:line="314" w:lineRule="auto"/>
        <w:tabs>
          <w:tab w:leader="none" w:pos="1577" w:val="left"/>
        </w:tabs>
        <w:numPr>
          <w:ilvl w:val="0"/>
          <w:numId w:val="89"/>
        </w:numPr>
        <w:rPr>
          <w:rFonts w:ascii="Arial" w:cs="Arial" w:eastAsia="Arial" w:hAnsi="Arial"/>
          <w:sz w:val="18"/>
          <w:szCs w:val="18"/>
          <w:color w:val="auto"/>
        </w:rPr>
      </w:pPr>
      <w:r>
        <w:rPr>
          <w:rFonts w:ascii="Arial" w:cs="Arial" w:eastAsia="Arial" w:hAnsi="Arial"/>
          <w:sz w:val="16"/>
          <w:szCs w:val="16"/>
          <w:color w:val="auto"/>
        </w:rPr>
        <w:t xml:space="preserve">Indebtedness existing on the Second Restatement Date as set forth in </w:t>
      </w:r>
      <w:r>
        <w:rPr>
          <w:rFonts w:ascii="Arial" w:cs="Arial" w:eastAsia="Arial" w:hAnsi="Arial"/>
          <w:sz w:val="16"/>
          <w:szCs w:val="16"/>
          <w:u w:val="single" w:color="auto"/>
          <w:color w:val="auto"/>
        </w:rPr>
        <w:t>Schedule 6.01</w:t>
      </w:r>
      <w:r>
        <w:rPr>
          <w:rFonts w:ascii="Arial" w:cs="Arial" w:eastAsia="Arial" w:hAnsi="Arial"/>
          <w:sz w:val="16"/>
          <w:szCs w:val="16"/>
          <w:color w:val="auto"/>
        </w:rPr>
        <w:t xml:space="preserve"> (which scheduled Indebtedness shall include, without limitation, the 2029 Convertible Debentures) and extensions, renewals and replacements of any such Indebtedness in accordance with clause (f) hereof;</w:t>
      </w:r>
    </w:p>
    <w:p>
      <w:pPr>
        <w:spacing w:after="0" w:line="143" w:lineRule="exact"/>
        <w:rPr>
          <w:rFonts w:ascii="Arial" w:cs="Arial" w:eastAsia="Arial" w:hAnsi="Arial"/>
          <w:sz w:val="18"/>
          <w:szCs w:val="18"/>
          <w:color w:val="auto"/>
        </w:rPr>
      </w:pPr>
    </w:p>
    <w:p>
      <w:pPr>
        <w:ind w:left="1605" w:hanging="461"/>
        <w:spacing w:after="0"/>
        <w:tabs>
          <w:tab w:leader="none" w:pos="1605" w:val="left"/>
        </w:tabs>
        <w:numPr>
          <w:ilvl w:val="0"/>
          <w:numId w:val="89"/>
        </w:numPr>
        <w:rPr>
          <w:rFonts w:ascii="Arial" w:cs="Arial" w:eastAsia="Arial" w:hAnsi="Arial"/>
          <w:sz w:val="18"/>
          <w:szCs w:val="18"/>
          <w:color w:val="auto"/>
        </w:rPr>
      </w:pPr>
      <w:r>
        <w:rPr>
          <w:rFonts w:ascii="Arial" w:cs="Arial" w:eastAsia="Arial" w:hAnsi="Arial"/>
          <w:sz w:val="16"/>
          <w:szCs w:val="16"/>
          <w:color w:val="auto"/>
        </w:rPr>
        <w:t>Indebtedness of WESCO Receivables under the Receivables Securitization Agreements (including for greater certainty any replacement</w:t>
      </w:r>
    </w:p>
    <w:p>
      <w:pPr>
        <w:spacing w:after="0" w:line="19"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7"/>
          <w:szCs w:val="17"/>
          <w:color w:val="auto"/>
        </w:rPr>
        <w:t>thereof);</w:t>
      </w:r>
    </w:p>
    <w:p>
      <w:pPr>
        <w:spacing w:after="0" w:line="233" w:lineRule="exact"/>
        <w:rPr>
          <w:rFonts w:ascii="Arial" w:cs="Arial" w:eastAsia="Arial" w:hAnsi="Arial"/>
          <w:sz w:val="18"/>
          <w:szCs w:val="18"/>
          <w:color w:val="auto"/>
        </w:rPr>
      </w:pPr>
    </w:p>
    <w:p>
      <w:pPr>
        <w:jc w:val="both"/>
        <w:ind w:left="5" w:firstLine="1139"/>
        <w:spacing w:after="0" w:line="277" w:lineRule="auto"/>
        <w:tabs>
          <w:tab w:leader="none" w:pos="1529" w:val="left"/>
        </w:tabs>
        <w:numPr>
          <w:ilvl w:val="0"/>
          <w:numId w:val="89"/>
        </w:numPr>
        <w:rPr>
          <w:rFonts w:ascii="Arial" w:cs="Arial" w:eastAsia="Arial" w:hAnsi="Arial"/>
          <w:sz w:val="19"/>
          <w:szCs w:val="19"/>
          <w:color w:val="auto"/>
        </w:rPr>
      </w:pPr>
      <w:r>
        <w:rPr>
          <w:rFonts w:ascii="Arial" w:cs="Arial" w:eastAsia="Arial" w:hAnsi="Arial"/>
          <w:sz w:val="17"/>
          <w:szCs w:val="17"/>
          <w:color w:val="auto"/>
        </w:rPr>
        <w:t>Indebtedness of any Loan Party or any Restricted Subsidiary of a Loan Party incurred to finance the acquisition, construction or improvement of any fixed or capital assets, including equipment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hereof; provided that (i) such Indebtedness is incurred prior to or within 90 days after such acquisition or the completion of such construction or improvement and (ii) the aggregate principal amount of Indebtedness permitted by this clause (d) shall not exceed $50,000,000 at any time outstanding;</w:t>
      </w:r>
    </w:p>
    <w:p>
      <w:pPr>
        <w:spacing w:after="0" w:line="180" w:lineRule="exact"/>
        <w:rPr>
          <w:rFonts w:ascii="Arial" w:cs="Arial" w:eastAsia="Arial" w:hAnsi="Arial"/>
          <w:sz w:val="19"/>
          <w:szCs w:val="19"/>
          <w:color w:val="auto"/>
        </w:rPr>
      </w:pPr>
    </w:p>
    <w:p>
      <w:pPr>
        <w:jc w:val="both"/>
        <w:ind w:left="5" w:firstLine="1139"/>
        <w:spacing w:after="0" w:line="277" w:lineRule="auto"/>
        <w:tabs>
          <w:tab w:leader="none" w:pos="1566" w:val="left"/>
        </w:tabs>
        <w:numPr>
          <w:ilvl w:val="0"/>
          <w:numId w:val="89"/>
        </w:numPr>
        <w:rPr>
          <w:rFonts w:ascii="Arial" w:cs="Arial" w:eastAsia="Arial" w:hAnsi="Arial"/>
          <w:sz w:val="19"/>
          <w:szCs w:val="19"/>
          <w:color w:val="auto"/>
        </w:rPr>
      </w:pPr>
      <w:r>
        <w:rPr>
          <w:rFonts w:ascii="Arial" w:cs="Arial" w:eastAsia="Arial" w:hAnsi="Arial"/>
          <w:sz w:val="17"/>
          <w:szCs w:val="17"/>
          <w:color w:val="auto"/>
        </w:rPr>
        <w:t xml:space="preserve">Indebtedness of any Loan Party or any Restricted Subsidiary secured by a Lien on any real property (including any fixtures, equipment or other fixed or capital assets located at any such real property) and extensions, renewals and replacements of any such Indebtedness in accordance with clause (f)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Loan Party or Restricted Subsidiary has used commercially reasonable efforts to obtain an access agreement with respect to any such property subject to a Lien, in form and substance reasonably satisfactory to Administrative Agent, from the holder of such Indebtedness (it being understood that to the extent such an access agreement is not obtained, Administrative Agent may establish a Reserve in its Permitted Discretion); (ii) the aggregate outstanding principal amount of Indebtedness permitted by this clause (e) shall not at any time exceed an amount equal to 85% of the value of real estate owned or hereafter acquired by such Loan Party or such Restricted Subsidiary; and (iii) no Event of Default has occurred and is continuing at the time any such Indebtedness is incurred, or would result therefrom;</w:t>
      </w:r>
    </w:p>
    <w:p>
      <w:pPr>
        <w:spacing w:after="0" w:line="182" w:lineRule="exact"/>
        <w:rPr>
          <w:rFonts w:ascii="Arial" w:cs="Arial" w:eastAsia="Arial" w:hAnsi="Arial"/>
          <w:sz w:val="19"/>
          <w:szCs w:val="19"/>
          <w:color w:val="auto"/>
        </w:rPr>
      </w:pPr>
    </w:p>
    <w:p>
      <w:pPr>
        <w:jc w:val="both"/>
        <w:ind w:left="5" w:firstLine="1139"/>
        <w:spacing w:after="0" w:line="297" w:lineRule="auto"/>
        <w:tabs>
          <w:tab w:leader="none" w:pos="1509" w:val="left"/>
        </w:tabs>
        <w:numPr>
          <w:ilvl w:val="0"/>
          <w:numId w:val="89"/>
        </w:numPr>
        <w:rPr>
          <w:rFonts w:ascii="Arial" w:cs="Arial" w:eastAsia="Arial" w:hAnsi="Arial"/>
          <w:sz w:val="18"/>
          <w:szCs w:val="18"/>
          <w:color w:val="auto"/>
        </w:rPr>
      </w:pPr>
      <w:r>
        <w:rPr>
          <w:rFonts w:ascii="Arial" w:cs="Arial" w:eastAsia="Arial" w:hAnsi="Arial"/>
          <w:sz w:val="16"/>
          <w:szCs w:val="16"/>
          <w:color w:val="auto"/>
        </w:rPr>
        <w:t xml:space="preserve">Indebtedness which represents an extension, refinancing, replacement or renewal of any of the Indebtedness described in clauses (b), (d), (e), (k), (n), (p), (r) or (s)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Indebtedness of the type described in clauses (b) or (d), (i) the principal amount of such Indebtedness is not increased, (ii) any Liens securing such Indebtedness are not extended to any additional property of any Loan Party, (iii) no Loan Party that is not originally obligated with respect to repayment of such Indebtedness is required to become obligated with respect thereto, (iv) in the case of any extension, refinancing, replacement or renewal of any of the Indebtedness described in clauses (b) or (d), such extension, refinancing, replacement or renewal does not result in a shortening of the average weighted maturity of the Indebtedness so extended, refinanced, replaced or renewed, (v) the terms of any such extension, refinancing, replacement or renewal are not materially less favorable to the obligor thereunder than the original terms of such Indebtedness, and (vi) if the</w:t>
      </w:r>
    </w:p>
    <w:p>
      <w:pPr>
        <w:sectPr>
          <w:pgSz w:w="11900" w:h="16838" w:orient="portrait"/>
          <w:cols w:equalWidth="0" w:num="1">
            <w:col w:w="11445"/>
          </w:cols>
          <w:pgMar w:left="235" w:top="137" w:right="219" w:bottom="0" w:gutter="0" w:footer="0" w:header="0"/>
        </w:sectPr>
      </w:pPr>
    </w:p>
    <w:bookmarkStart w:id="57" w:name="page58"/>
    <w:bookmarkEnd w:id="57"/>
    <w:p>
      <w:pPr>
        <w:jc w:val="both"/>
        <w:ind w:right="20"/>
        <w:spacing w:after="0" w:line="285" w:lineRule="auto"/>
        <w:rPr>
          <w:sz w:val="20"/>
          <w:szCs w:val="20"/>
          <w:color w:val="auto"/>
        </w:rPr>
      </w:pPr>
      <w:r>
        <w:rPr>
          <w:rFonts w:ascii="Arial" w:cs="Arial" w:eastAsia="Arial" w:hAnsi="Arial"/>
          <w:sz w:val="17"/>
          <w:szCs w:val="17"/>
          <w:color w:val="auto"/>
        </w:rPr>
        <w:t xml:space="preserve">Indebtedness that is refinanced, renewed, replaced or extended was subordinated in right of payment to the Secured Obligations, then the terms and conditions of the refinancing, renewal, replacement or extension Indebtedness must include subordination terms and conditions that are substantially similar to those that were applicable to the refinanced, renewed, replaced or extended Indebtedness;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any such extension, refinancing, replacement or renewal of the Indebtedness described in clause (p), such extension, refinancing, replacement or renewal does not violate and continues to be subject to the ABL-Term Loan Intercreditor Agreement;</w:t>
      </w:r>
    </w:p>
    <w:p>
      <w:pPr>
        <w:spacing w:after="0" w:line="174" w:lineRule="exact"/>
        <w:rPr>
          <w:sz w:val="20"/>
          <w:szCs w:val="20"/>
          <w:color w:val="auto"/>
        </w:rPr>
      </w:pPr>
    </w:p>
    <w:p>
      <w:pPr>
        <w:jc w:val="both"/>
        <w:ind w:firstLine="1139"/>
        <w:spacing w:after="0" w:line="296" w:lineRule="auto"/>
        <w:tabs>
          <w:tab w:leader="none" w:pos="1549" w:val="left"/>
        </w:tabs>
        <w:numPr>
          <w:ilvl w:val="0"/>
          <w:numId w:val="90"/>
        </w:numPr>
        <w:rPr>
          <w:rFonts w:ascii="Arial" w:cs="Arial" w:eastAsia="Arial" w:hAnsi="Arial"/>
          <w:sz w:val="18"/>
          <w:szCs w:val="18"/>
          <w:color w:val="auto"/>
        </w:rPr>
      </w:pPr>
      <w:r>
        <w:rPr>
          <w:rFonts w:ascii="Arial" w:cs="Arial" w:eastAsia="Arial" w:hAnsi="Arial"/>
          <w:sz w:val="16"/>
          <w:szCs w:val="16"/>
          <w:color w:val="auto"/>
        </w:rPr>
        <w:t xml:space="preserve">(i) Indebtedness owing by any U.S. Loan Party to any U.S. Loan Party and Guarantees by any U.S. Loan Party of Indebtedness of any U.S. Loan Party, (ii) Indebtedness owing by any Canadian Loan Party to any other Canadian Loan Party and Guarantees by any Canadian Loan Party of Indebtedness of any other Canadian Loan Party, and (iii) Indebtedness owing by any U.S. Loan Party to any Canadian Loan Party and Guarantees by any Canadian Loan Party of Indebtedness of any U.S.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(1) any Indebtedness owing by any U.S. Loan Party to any other U.S. Loan Party or to any Canadian Loan Party and (2) any Indebtedness owing by any Canadian Loan Party to any other Canadian Loan Party, such Indebtedness shall be subordinated to the Secured Obligations on terms reasonably satisfactory to the Administrative Agent (it being agreed that the terms of the Affiliate Subordination Agreement are satisfactory to the Administrative Agent), (B) to the extent applicable, Guarantees permitted under this clause (g) shall be subordinated to the Secured Obligations on the same terms as the Indebtedness so Guaranteed is subordinated to the Secured Obligations and (C) for purposes of this Section 6.01(g), a Canadian Cross-Border Loan Guarantor shall be treated only as a Canadian Loan Party and not as a U.S. Loan Party;</w:t>
      </w:r>
    </w:p>
    <w:p>
      <w:pPr>
        <w:spacing w:after="0" w:line="169" w:lineRule="exact"/>
        <w:rPr>
          <w:rFonts w:ascii="Arial" w:cs="Arial" w:eastAsia="Arial" w:hAnsi="Arial"/>
          <w:sz w:val="18"/>
          <w:szCs w:val="18"/>
          <w:color w:val="auto"/>
        </w:rPr>
      </w:pPr>
    </w:p>
    <w:p>
      <w:pPr>
        <w:jc w:val="both"/>
        <w:ind w:firstLine="1139"/>
        <w:spacing w:after="0" w:line="296" w:lineRule="auto"/>
        <w:tabs>
          <w:tab w:leader="none" w:pos="1549" w:val="left"/>
        </w:tabs>
        <w:numPr>
          <w:ilvl w:val="0"/>
          <w:numId w:val="90"/>
        </w:numPr>
        <w:rPr>
          <w:rFonts w:ascii="Arial" w:cs="Arial" w:eastAsia="Arial" w:hAnsi="Arial"/>
          <w:sz w:val="18"/>
          <w:szCs w:val="18"/>
          <w:color w:val="auto"/>
        </w:rPr>
      </w:pPr>
      <w:r>
        <w:rPr>
          <w:rFonts w:ascii="Arial" w:cs="Arial" w:eastAsia="Arial" w:hAnsi="Arial"/>
          <w:sz w:val="16"/>
          <w:szCs w:val="16"/>
          <w:color w:val="auto"/>
        </w:rPr>
        <w:t>Indebtedness (i) owing by any Canadian Loan Party to any U.S. Loan Party (provided that for purposes of this Section 6.01(h), a Canadian Cross-Border Loan Guarantor shall be treated only as a Canadian Loan Party and not as a U.S. Loan Party), (ii) owing by any Foreign Subsidiary to any Loan Party, (iii) owing by any Canadian Loan Party to any unaffiliated third party for which a U.S. Loan Party has issued a Guarantee, and (iv) owing by any Foreign Subsidiary to any unaffiliated third party for which a Loan Party has issued a Guarantee, so long as: (i) the aggregate amount of all such Indebtedness owing or Guaranteed (together with the aggregate amount of all investments made pursuant to Section 6.04(c)(iii)) does not exceed at one time outstanding the sum of (x) $150,000,000 and (y) the net proceeds of any issuance of Equity Interests by Holdings or incurrence of Indebtedness by any U.S. Loan Party permitted under Section 6.01 (other than Indebtedness incurred under the Receivables Securitization Agreements) which Equity Interests or Indebtedness is incurred for the purpose of funding a loan or advance by such U.S. Loan Party to a Canadian Loan Party or to a Foreign Subsidiary; (ii) no Event of Default has occurred and is continuing at the time of the incurrence of any such Indebtedness or execution of such Guarantee, or would result therefrom; and (iii) in the case of Indebtedness owing by any Canadian Loan Party to any U.S. Loan Party, such Indebtedness shall be subordinated to the Secured Obligations on terms reasonably satisfactory to the Administrative Agent; and (v) Guarantees permitted under this clause (h) shall be subordinated to the Secured Obligations on the same terms as the Indebtedness so Guaranteed is subordinated to the Secured Obligations;</w:t>
      </w:r>
    </w:p>
    <w:p>
      <w:pPr>
        <w:spacing w:after="0" w:line="167" w:lineRule="exact"/>
        <w:rPr>
          <w:rFonts w:ascii="Arial" w:cs="Arial" w:eastAsia="Arial" w:hAnsi="Arial"/>
          <w:sz w:val="18"/>
          <w:szCs w:val="18"/>
          <w:color w:val="auto"/>
        </w:rPr>
      </w:pPr>
    </w:p>
    <w:p>
      <w:pPr>
        <w:jc w:val="both"/>
        <w:ind w:right="20" w:firstLine="1139"/>
        <w:spacing w:after="0" w:line="277" w:lineRule="auto"/>
        <w:tabs>
          <w:tab w:leader="none" w:pos="1554" w:val="left"/>
        </w:tabs>
        <w:numPr>
          <w:ilvl w:val="0"/>
          <w:numId w:val="90"/>
        </w:numPr>
        <w:rPr>
          <w:rFonts w:ascii="Arial" w:cs="Arial" w:eastAsia="Arial" w:hAnsi="Arial"/>
          <w:sz w:val="19"/>
          <w:szCs w:val="19"/>
          <w:color w:val="auto"/>
        </w:rPr>
      </w:pPr>
      <w:r>
        <w:rPr>
          <w:rFonts w:ascii="Arial" w:cs="Arial" w:eastAsia="Arial" w:hAnsi="Arial"/>
          <w:sz w:val="17"/>
          <w:szCs w:val="17"/>
          <w:color w:val="auto"/>
        </w:rPr>
        <w:t>Indebtedness of any Loan Party under performance bonds or with respect to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8" w:lineRule="exact"/>
        <w:rPr>
          <w:rFonts w:ascii="Arial" w:cs="Arial" w:eastAsia="Arial" w:hAnsi="Arial"/>
          <w:sz w:val="19"/>
          <w:szCs w:val="19"/>
          <w:color w:val="auto"/>
        </w:rPr>
      </w:pPr>
    </w:p>
    <w:p>
      <w:pPr>
        <w:jc w:val="both"/>
        <w:ind w:right="20" w:firstLine="1139"/>
        <w:spacing w:after="0" w:line="277" w:lineRule="auto"/>
        <w:tabs>
          <w:tab w:leader="none" w:pos="1542" w:val="left"/>
        </w:tabs>
        <w:numPr>
          <w:ilvl w:val="0"/>
          <w:numId w:val="90"/>
        </w:numPr>
        <w:rPr>
          <w:rFonts w:ascii="Arial" w:cs="Arial" w:eastAsia="Arial" w:hAnsi="Arial"/>
          <w:sz w:val="19"/>
          <w:szCs w:val="19"/>
          <w:color w:val="auto"/>
        </w:rPr>
      </w:pPr>
      <w:r>
        <w:rPr>
          <w:rFonts w:ascii="Arial" w:cs="Arial" w:eastAsia="Arial" w:hAnsi="Arial"/>
          <w:sz w:val="17"/>
          <w:szCs w:val="17"/>
          <w:color w:val="auto"/>
        </w:rPr>
        <w:t>Indebtedness of any Loan Party or any Restricted Subsidiary in respect of performance bonds, bid bonds, appeal bonds, surety bonds and similar obligations, in each case provided in the ordinary course of business and so long as the aggregate amount of all Indebtedness pursuant to this clause (j) does not exceed $75,000,000 at any one time outstanding;</w:t>
      </w:r>
    </w:p>
    <w:p>
      <w:pPr>
        <w:spacing w:after="0" w:line="178" w:lineRule="exact"/>
        <w:rPr>
          <w:rFonts w:ascii="Arial" w:cs="Arial" w:eastAsia="Arial" w:hAnsi="Arial"/>
          <w:sz w:val="19"/>
          <w:szCs w:val="19"/>
          <w:color w:val="auto"/>
        </w:rPr>
      </w:pPr>
    </w:p>
    <w:p>
      <w:pPr>
        <w:jc w:val="both"/>
        <w:ind w:firstLine="1139"/>
        <w:spacing w:after="0" w:line="277" w:lineRule="auto"/>
        <w:tabs>
          <w:tab w:leader="none" w:pos="1584" w:val="left"/>
        </w:tabs>
        <w:numPr>
          <w:ilvl w:val="0"/>
          <w:numId w:val="90"/>
        </w:numPr>
        <w:rPr>
          <w:rFonts w:ascii="Arial" w:cs="Arial" w:eastAsia="Arial" w:hAnsi="Arial"/>
          <w:sz w:val="19"/>
          <w:szCs w:val="19"/>
          <w:color w:val="auto"/>
        </w:rPr>
      </w:pPr>
      <w:r>
        <w:rPr>
          <w:rFonts w:ascii="Arial" w:cs="Arial" w:eastAsia="Arial" w:hAnsi="Arial"/>
          <w:sz w:val="17"/>
          <w:szCs w:val="17"/>
          <w:color w:val="auto"/>
        </w:rPr>
        <w:t>Indebtedness of any Person that becomes a Restricted Subsidiary after the Second Restatement Date; provided that (i) such Indebtedness exists at the time such Person becomes a Subsidiary and is not created in contemplation of or in connection with such Person becoming a Subsidiary and (ii) the aggregate principal amount of Indebtedness permitted by this clause (k) shall not exceed $50,000,000 at any time outstanding;</w:t>
      </w:r>
    </w:p>
    <w:p>
      <w:pPr>
        <w:spacing w:after="0" w:line="178" w:lineRule="exact"/>
        <w:rPr>
          <w:rFonts w:ascii="Arial" w:cs="Arial" w:eastAsia="Arial" w:hAnsi="Arial"/>
          <w:sz w:val="19"/>
          <w:szCs w:val="19"/>
          <w:color w:val="auto"/>
        </w:rPr>
      </w:pPr>
    </w:p>
    <w:p>
      <w:pPr>
        <w:jc w:val="both"/>
        <w:ind w:firstLine="1139"/>
        <w:spacing w:after="0" w:line="277" w:lineRule="auto"/>
        <w:tabs>
          <w:tab w:leader="none" w:pos="1661" w:val="left"/>
        </w:tabs>
        <w:numPr>
          <w:ilvl w:val="0"/>
          <w:numId w:val="90"/>
        </w:numPr>
        <w:rPr>
          <w:rFonts w:ascii="Arial" w:cs="Arial" w:eastAsia="Arial" w:hAnsi="Arial"/>
          <w:sz w:val="19"/>
          <w:szCs w:val="19"/>
          <w:color w:val="auto"/>
        </w:rPr>
      </w:pPr>
      <w:r>
        <w:rPr>
          <w:rFonts w:ascii="Arial" w:cs="Arial" w:eastAsia="Arial" w:hAnsi="Arial"/>
          <w:sz w:val="17"/>
          <w:szCs w:val="17"/>
          <w:color w:val="auto"/>
        </w:rPr>
        <w:t xml:space="preserve">other unsecured Indebtedness of any Loan Party (including, without limitation, Subordinated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Indebtedness constitutes Material Indebtedness, (i) the stated maturity date of such Material Indebtedness is not earlier than 180 days after the Maturity Date (as such Maturity Date is in effect at the time of issuance of such Indebtedness), (ii) the scheduled annual principal amortization of such Indebtedness to occur prior to the Maturity Date (excluding any payments due at maturity of such Indebtedness) does not exceed five percent (5%) of the original principal amount of such Indebtedness, (iii) the events of default and financial covenants applicable to such Material Indebtedness, taken as a whole, are not more restrictive than those set forth in this Agreement, and (iv) no Event of Default has occurred and is continuing at the time of the incurrence of any such Material Indebtedness or shall result therefrom;</w:t>
      </w:r>
    </w:p>
    <w:p>
      <w:pPr>
        <w:spacing w:after="0" w:line="181" w:lineRule="exact"/>
        <w:rPr>
          <w:rFonts w:ascii="Arial" w:cs="Arial" w:eastAsia="Arial" w:hAnsi="Arial"/>
          <w:sz w:val="19"/>
          <w:szCs w:val="19"/>
          <w:color w:val="auto"/>
        </w:rPr>
      </w:pPr>
    </w:p>
    <w:p>
      <w:pPr>
        <w:jc w:val="both"/>
        <w:ind w:firstLine="1139"/>
        <w:spacing w:after="0" w:line="277" w:lineRule="auto"/>
        <w:tabs>
          <w:tab w:leader="none" w:pos="1649" w:val="left"/>
        </w:tabs>
        <w:numPr>
          <w:ilvl w:val="0"/>
          <w:numId w:val="90"/>
        </w:numPr>
        <w:rPr>
          <w:rFonts w:ascii="Arial" w:cs="Arial" w:eastAsia="Arial" w:hAnsi="Arial"/>
          <w:sz w:val="19"/>
          <w:szCs w:val="19"/>
          <w:color w:val="auto"/>
        </w:rPr>
      </w:pPr>
      <w:r>
        <w:rPr>
          <w:rFonts w:ascii="Arial" w:cs="Arial" w:eastAsia="Arial" w:hAnsi="Arial"/>
          <w:sz w:val="17"/>
          <w:szCs w:val="17"/>
          <w:color w:val="auto"/>
        </w:rPr>
        <w:t>secured or unsecured Indebtedness of any Foreign Subsidiary which is a Restricted Subsidiary or any other Excluded Subsidiary to any financial institution or other Person that (i) is not Guaranteed by any Loan Party or (ii) if Guaranteed by any Loan Party, such Guarantee is permitted under Section 6.01(h);</w:t>
      </w:r>
    </w:p>
    <w:p>
      <w:pPr>
        <w:spacing w:after="0" w:line="178" w:lineRule="exact"/>
        <w:rPr>
          <w:rFonts w:ascii="Arial" w:cs="Arial" w:eastAsia="Arial" w:hAnsi="Arial"/>
          <w:sz w:val="19"/>
          <w:szCs w:val="19"/>
          <w:color w:val="auto"/>
        </w:rPr>
      </w:pPr>
    </w:p>
    <w:p>
      <w:pPr>
        <w:jc w:val="both"/>
        <w:ind w:firstLine="1139"/>
        <w:spacing w:after="0" w:line="317" w:lineRule="auto"/>
        <w:tabs>
          <w:tab w:leader="none" w:pos="1596" w:val="left"/>
        </w:tabs>
        <w:numPr>
          <w:ilvl w:val="0"/>
          <w:numId w:val="90"/>
        </w:numPr>
        <w:rPr>
          <w:rFonts w:ascii="Arial" w:cs="Arial" w:eastAsia="Arial" w:hAnsi="Arial"/>
          <w:sz w:val="16"/>
          <w:szCs w:val="16"/>
          <w:color w:val="auto"/>
        </w:rPr>
      </w:pPr>
      <w:r>
        <w:rPr>
          <w:rFonts w:ascii="Arial" w:cs="Arial" w:eastAsia="Arial" w:hAnsi="Arial"/>
          <w:sz w:val="15"/>
          <w:szCs w:val="15"/>
          <w:color w:val="auto"/>
        </w:rPr>
        <w:t>other Indebtedness (i) owing by any Canadian Loan Party to any U.S. Loan Party (provided that for purposes of this Section 6.01(n), a Canadian Cross-Border Loan Guarantor shall be treated only as a Canadian Loan Party and not as a U.S. Loan Party), (ii) owing by any Foreign Subsidiary that is a Restricted Subsidiary to any Loan Party, (iii) owing by any Canadian Loan Party to any unaffiliated third party for which a U.S. Loan Party has issued a Guarantee, and (iv) owing by any Foreign Subsidiary that is a Restricted Subsidiary to any unaffiliated third party for which a Loan Party has issued a Guarantee, so long as: (A) at the time of and after giving effect to the incurrence of such Indebtedness or the execution of such Guarantee, the Adjusted Fixed Charge Coverage Ratio (calculated for the period of four consecutive fiscal quarters then most recently ended as if such Indebtedness had been incurred or such Guarantee executed on the first day of such period) shall be not less than 1.1 to 1.0; (B) for the period of thirty (30) consecutive days prior to, and as of the date of, the incurrence of any such Indebtedness or execution and delivery of such Guarantee, in each case, after giving effect to the incurrence of such Indebtedness or execution and delivery of such Guarantee, Combined Availability exceeds the Combined Availability Trigger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in calculating Combined Availability for the thirty day period prior to the incurrence of any such Indebtedness or execution and delivery of any such Guarantee for purposes of this clause (B), Combined Availability for such thirty day period shall be determined on a pro forma basis, as if such Indebtedness had been incurred or such Guarantee had been executed and delivered on the first day of such period and (2), if at any time during such thirty day period,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(C) the Borrower Representative shall have delivered to the Administrative Agent a written certification as to and reasonably detailed calculations of the Adjusted Fixed Charge Coverage Ratio demonstrating compliance with the foregoing clause (A) and of Combined Availability demonstrating compliance with the foregoing clause (B), which certification and calculations shall be reasonably</w:t>
      </w:r>
    </w:p>
    <w:p>
      <w:pPr>
        <w:sectPr>
          <w:pgSz w:w="11900" w:h="16838" w:orient="portrait"/>
          <w:cols w:equalWidth="0" w:num="1">
            <w:col w:w="11440"/>
          </w:cols>
          <w:pgMar w:left="240" w:top="137" w:right="219" w:bottom="0" w:gutter="0" w:footer="0" w:header="0"/>
        </w:sectPr>
      </w:pPr>
    </w:p>
    <w:bookmarkStart w:id="58" w:name="page59"/>
    <w:bookmarkEnd w:id="58"/>
    <w:p>
      <w:pPr>
        <w:jc w:val="both"/>
        <w:spacing w:after="0" w:line="285" w:lineRule="auto"/>
        <w:rPr>
          <w:sz w:val="20"/>
          <w:szCs w:val="20"/>
          <w:color w:val="auto"/>
        </w:rPr>
      </w:pPr>
      <w:r>
        <w:rPr>
          <w:rFonts w:ascii="Arial" w:cs="Arial" w:eastAsia="Arial" w:hAnsi="Arial"/>
          <w:sz w:val="17"/>
          <w:szCs w:val="17"/>
          <w:color w:val="auto"/>
        </w:rPr>
        <w:t>satisfactory in form and substance to the Administrative Agent; (D) no Event of Default has occurred and is continuing at the time of the incurrence of any such Indebtedness or execution of such Guarantee, or would result therefrom; (E) in the case of Indebtedness owing by any Canadian Loan Party to any U.S. Loan Party or by any Foreign Subsidiary to any Loan Party, such Indebtedness shall be subordinated to the Secured Obligations on terms reasonably satisfactory to the Administrative Agent; and (F) Guarantees permitted under this clause (n) shall be unsecured and subordinated to the Secured Obligations on the same terms as the Indebtedness so Guaranteed is subordinated to the Secured Obligations;</w:t>
      </w:r>
    </w:p>
    <w:p>
      <w:pPr>
        <w:spacing w:after="0" w:line="174" w:lineRule="exact"/>
        <w:rPr>
          <w:sz w:val="20"/>
          <w:szCs w:val="20"/>
          <w:color w:val="auto"/>
        </w:rPr>
      </w:pPr>
    </w:p>
    <w:p>
      <w:pPr>
        <w:ind w:left="1520" w:hanging="381"/>
        <w:spacing w:after="0"/>
        <w:tabs>
          <w:tab w:leader="none" w:pos="1520" w:val="left"/>
        </w:tabs>
        <w:numPr>
          <w:ilvl w:val="0"/>
          <w:numId w:val="91"/>
        </w:numPr>
        <w:rPr>
          <w:rFonts w:ascii="Arial" w:cs="Arial" w:eastAsia="Arial" w:hAnsi="Arial"/>
          <w:sz w:val="19"/>
          <w:szCs w:val="19"/>
          <w:color w:val="auto"/>
        </w:rPr>
      </w:pPr>
      <w:r>
        <w:rPr>
          <w:rFonts w:ascii="Arial" w:cs="Arial" w:eastAsia="Arial" w:hAnsi="Arial"/>
          <w:sz w:val="17"/>
          <w:szCs w:val="17"/>
          <w:color w:val="auto"/>
        </w:rPr>
        <w:t>Indebtedness with respect to Swap Agreements permitted under Section 6.07;</w:t>
      </w:r>
    </w:p>
    <w:p>
      <w:pPr>
        <w:spacing w:after="0" w:line="210" w:lineRule="exact"/>
        <w:rPr>
          <w:rFonts w:ascii="Arial" w:cs="Arial" w:eastAsia="Arial" w:hAnsi="Arial"/>
          <w:sz w:val="19"/>
          <w:szCs w:val="19"/>
          <w:color w:val="auto"/>
        </w:rPr>
      </w:pPr>
    </w:p>
    <w:p>
      <w:pPr>
        <w:jc w:val="both"/>
        <w:ind w:firstLine="1139"/>
        <w:spacing w:after="0" w:line="296" w:lineRule="auto"/>
        <w:tabs>
          <w:tab w:leader="none" w:pos="1549" w:val="left"/>
        </w:tabs>
        <w:numPr>
          <w:ilvl w:val="0"/>
          <w:numId w:val="91"/>
        </w:numPr>
        <w:rPr>
          <w:rFonts w:ascii="Arial" w:cs="Arial" w:eastAsia="Arial" w:hAnsi="Arial"/>
          <w:sz w:val="18"/>
          <w:szCs w:val="18"/>
          <w:color w:val="auto"/>
        </w:rPr>
      </w:pPr>
      <w:r>
        <w:rPr>
          <w:rFonts w:ascii="Arial" w:cs="Arial" w:eastAsia="Arial" w:hAnsi="Arial"/>
          <w:sz w:val="16"/>
          <w:szCs w:val="16"/>
          <w:color w:val="auto"/>
        </w:rPr>
        <w:t xml:space="preserve">Indebtedness under the Term Loan Documents, including any refinancing or replacement of the Existing 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such Indebtedness is incurred or increased after the Second Restatement Date, and after giving effect thereto, (x) the Secured Leverage Ratio does not exceed 4.50 to 1.00, and (y) no Event of Default shall have occurred and be continuing, (ii) the stated maturity date of such Indebtedness is not earlier than 181 days after the Maturity Date (as such Maturity Date is in effect at the time of issuance of such Indebtedness), (iii) the scheduled annual principal amortization of such Indebtedness to occur prior to the Maturity Date (excluding any payments due at maturity of such Indebtedness) does not exceed five percent (5%) of the original principal amount of such Indebtedness, (v) the events of default and financial covenants applicable to such Indebtedness, taken as a whole, are not more restrictive than those set forth in this Agreement (it being agreed that the terms of the Term Loan Documents as in effect on the Second Restatement Date and thereafter, amended, restated, amended and restated, supplemented or otherwise modified in accordance with the ABL-Term Loan Intercreditor Agreement are not more restrictive), and (v) any Liens securing such Indebtedness do not extend to the ABL Priority Collateral or, if such Liens extend to the ABL Priority Collateral, such Liens are second in priority to the Liens on the ABL Priority Collateral securing the Obligations and the Liens on the Non-ABL Priority Collateral securing the Obligations shall be second in priority to the Liens on the Non-ABL Priority Collateral, all pursuant to an intercreditor agreement reasonably acceptable to the Administrative Agent in its Permitted Discretion (it being agreed that the terms of the ABL-Term Loan Intercreditor Agreement are acceptable);</w:t>
      </w:r>
    </w:p>
    <w:p>
      <w:pPr>
        <w:spacing w:after="0" w:line="167" w:lineRule="exact"/>
        <w:rPr>
          <w:rFonts w:ascii="Arial" w:cs="Arial" w:eastAsia="Arial" w:hAnsi="Arial"/>
          <w:sz w:val="18"/>
          <w:szCs w:val="18"/>
          <w:color w:val="auto"/>
        </w:rPr>
      </w:pPr>
    </w:p>
    <w:p>
      <w:pPr>
        <w:jc w:val="both"/>
        <w:ind w:right="20" w:firstLine="1139"/>
        <w:spacing w:after="0" w:line="299" w:lineRule="auto"/>
        <w:tabs>
          <w:tab w:leader="none" w:pos="1584" w:val="left"/>
        </w:tabs>
        <w:numPr>
          <w:ilvl w:val="0"/>
          <w:numId w:val="91"/>
        </w:numPr>
        <w:rPr>
          <w:rFonts w:ascii="Arial" w:cs="Arial" w:eastAsia="Arial" w:hAnsi="Arial"/>
          <w:sz w:val="18"/>
          <w:szCs w:val="18"/>
          <w:color w:val="auto"/>
        </w:rPr>
      </w:pPr>
      <w:r>
        <w:rPr>
          <w:rFonts w:ascii="Arial" w:cs="Arial" w:eastAsia="Arial" w:hAnsi="Arial"/>
          <w:sz w:val="16"/>
          <w:szCs w:val="16"/>
          <w:color w:val="auto"/>
        </w:rPr>
        <w:t xml:space="preserve">Indebtedness of WESCO Canada I to WDC Holding under the WESCO Canada I $150,000,000 Intercompany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WDC Holding shall have collaterally assigned and pledged all of its right, title and interest in and to the WESCO Canada I $150,000,000 Loan and the WESCO Canada I Intercompany Note to the Administrative Agent, for the benefit of the Lender Parties, pursuant to the U.S. Security Agreement (it being understood that the original of such promissory note shall be delivered to and held by the Term Loan Agent in accordance with the ABL-Term Loan Intercreditor Agreement);</w:t>
      </w:r>
    </w:p>
    <w:p>
      <w:pPr>
        <w:spacing w:after="0" w:line="162" w:lineRule="exact"/>
        <w:rPr>
          <w:rFonts w:ascii="Arial" w:cs="Arial" w:eastAsia="Arial" w:hAnsi="Arial"/>
          <w:sz w:val="18"/>
          <w:szCs w:val="18"/>
          <w:color w:val="auto"/>
        </w:rPr>
      </w:pPr>
    </w:p>
    <w:p>
      <w:pPr>
        <w:ind w:left="1480" w:hanging="341"/>
        <w:spacing w:after="0"/>
        <w:tabs>
          <w:tab w:leader="none" w:pos="1480" w:val="left"/>
        </w:tabs>
        <w:numPr>
          <w:ilvl w:val="0"/>
          <w:numId w:val="91"/>
        </w:numPr>
        <w:rPr>
          <w:rFonts w:ascii="Arial" w:cs="Arial" w:eastAsia="Arial" w:hAnsi="Arial"/>
          <w:sz w:val="19"/>
          <w:szCs w:val="19"/>
          <w:color w:val="auto"/>
        </w:rPr>
      </w:pPr>
      <w:r>
        <w:rPr>
          <w:rFonts w:ascii="Arial" w:cs="Arial" w:eastAsia="Arial" w:hAnsi="Arial"/>
          <w:sz w:val="17"/>
          <w:szCs w:val="17"/>
          <w:color w:val="auto"/>
        </w:rPr>
        <w:t>to the extent constituting Indebtedness, Indebtedness of WDCC Enterprises to WDC Holding in respect of the Hybrid Security;</w:t>
      </w:r>
    </w:p>
    <w:p>
      <w:pPr>
        <w:spacing w:after="0" w:line="210" w:lineRule="exact"/>
        <w:rPr>
          <w:rFonts w:ascii="Arial" w:cs="Arial" w:eastAsia="Arial" w:hAnsi="Arial"/>
          <w:sz w:val="19"/>
          <w:szCs w:val="19"/>
          <w:color w:val="auto"/>
        </w:rPr>
      </w:pPr>
    </w:p>
    <w:p>
      <w:pPr>
        <w:ind w:right="20" w:firstLine="1139"/>
        <w:spacing w:after="0" w:line="281" w:lineRule="auto"/>
        <w:tabs>
          <w:tab w:leader="none" w:pos="1611" w:val="left"/>
        </w:tabs>
        <w:numPr>
          <w:ilvl w:val="0"/>
          <w:numId w:val="91"/>
        </w:numPr>
        <w:rPr>
          <w:rFonts w:ascii="Arial" w:cs="Arial" w:eastAsia="Arial" w:hAnsi="Arial"/>
          <w:sz w:val="19"/>
          <w:szCs w:val="19"/>
          <w:color w:val="auto"/>
        </w:rPr>
      </w:pPr>
      <w:r>
        <w:rPr>
          <w:rFonts w:ascii="Arial" w:cs="Arial" w:eastAsia="Arial" w:hAnsi="Arial"/>
          <w:sz w:val="17"/>
          <w:szCs w:val="17"/>
          <w:color w:val="auto"/>
        </w:rPr>
        <w:t>to the extent constituting Indebtedness, Indebtedness owing by the Canadian Loan Parties in respect of loans constituting Investments permitted by Section 6.04(b);</w:t>
      </w:r>
    </w:p>
    <w:p>
      <w:pPr>
        <w:spacing w:after="0" w:line="170" w:lineRule="exact"/>
        <w:rPr>
          <w:rFonts w:ascii="Arial" w:cs="Arial" w:eastAsia="Arial" w:hAnsi="Arial"/>
          <w:sz w:val="19"/>
          <w:szCs w:val="19"/>
          <w:color w:val="auto"/>
        </w:rPr>
      </w:pPr>
    </w:p>
    <w:p>
      <w:pPr>
        <w:ind w:left="1480" w:hanging="341"/>
        <w:spacing w:after="0"/>
        <w:tabs>
          <w:tab w:leader="none" w:pos="1480" w:val="left"/>
        </w:tabs>
        <w:numPr>
          <w:ilvl w:val="0"/>
          <w:numId w:val="91"/>
        </w:numPr>
        <w:rPr>
          <w:rFonts w:ascii="Arial" w:cs="Arial" w:eastAsia="Arial" w:hAnsi="Arial"/>
          <w:sz w:val="19"/>
          <w:szCs w:val="19"/>
          <w:color w:val="auto"/>
        </w:rPr>
      </w:pPr>
      <w:r>
        <w:rPr>
          <w:rFonts w:ascii="Arial" w:cs="Arial" w:eastAsia="Arial" w:hAnsi="Arial"/>
          <w:sz w:val="17"/>
          <w:szCs w:val="17"/>
          <w:color w:val="auto"/>
        </w:rPr>
        <w:t>to the extent constituting Indebtedness, judgments not constituting Events of Default under clause (l) of Article VIII; and</w:t>
      </w:r>
    </w:p>
    <w:p>
      <w:pPr>
        <w:spacing w:after="0" w:line="210" w:lineRule="exact"/>
        <w:rPr>
          <w:rFonts w:ascii="Arial" w:cs="Arial" w:eastAsia="Arial" w:hAnsi="Arial"/>
          <w:sz w:val="19"/>
          <w:szCs w:val="19"/>
          <w:color w:val="auto"/>
        </w:rPr>
      </w:pPr>
    </w:p>
    <w:p>
      <w:pPr>
        <w:ind w:right="20" w:firstLine="1139"/>
        <w:spacing w:after="0" w:line="281" w:lineRule="auto"/>
        <w:tabs>
          <w:tab w:leader="none" w:pos="1549" w:val="left"/>
        </w:tabs>
        <w:numPr>
          <w:ilvl w:val="0"/>
          <w:numId w:val="91"/>
        </w:numPr>
        <w:rPr>
          <w:rFonts w:ascii="Arial" w:cs="Arial" w:eastAsia="Arial" w:hAnsi="Arial"/>
          <w:sz w:val="19"/>
          <w:szCs w:val="19"/>
          <w:color w:val="auto"/>
        </w:rPr>
      </w:pPr>
      <w:r>
        <w:rPr>
          <w:rFonts w:ascii="Arial" w:cs="Arial" w:eastAsia="Arial" w:hAnsi="Arial"/>
          <w:sz w:val="17"/>
          <w:szCs w:val="17"/>
          <w:color w:val="auto"/>
        </w:rPr>
        <w:t>Indebtedness not otherwise permitted by this Section 6.01 so long as the aggregate outstanding principal amount of such Indebtedness does not exceed $35,000,000 at any time.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greater certainty, the Borrowers may elect from time to time to consider Indebtedness as falling within one or more of the categories above and may divide Indebtedness among two or more categories. The restrictions set forth in any subpart of this Section 6.01 by way of description of Indebtedness shall not be deemed to require that Indebtedness meeting such description be placed in such subpart for purposes of determining compliance with this Section. The accrual of interest, the accretion of accreted value, the accretion of original issue discount, the accretion of liquidation preference and increases in the amount of Indebtedness or other obligations solely as a result of fluctuations in the exchange rate of currencies shall not be deemed to be an incurrence of Indebtedness or other obligations for purposes of this Section 6.01.</w:t>
      </w:r>
    </w:p>
    <w:p>
      <w:pPr>
        <w:spacing w:after="0" w:line="16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Liens</w:t>
      </w:r>
      <w:r>
        <w:rPr>
          <w:rFonts w:ascii="Arial" w:cs="Arial" w:eastAsia="Arial" w:hAnsi="Arial"/>
          <w:sz w:val="17"/>
          <w:szCs w:val="17"/>
          <w:color w:val="auto"/>
        </w:rPr>
        <w:t>. No Loan Party will, nor will it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7" w:lineRule="exact"/>
        <w:rPr>
          <w:sz w:val="20"/>
          <w:szCs w:val="20"/>
          <w:color w:val="auto"/>
        </w:rPr>
      </w:pPr>
    </w:p>
    <w:p>
      <w:pPr>
        <w:ind w:left="1500" w:hanging="361"/>
        <w:spacing w:after="0"/>
        <w:tabs>
          <w:tab w:leader="none" w:pos="1500" w:val="left"/>
        </w:tabs>
        <w:numPr>
          <w:ilvl w:val="0"/>
          <w:numId w:val="92"/>
        </w:numPr>
        <w:rPr>
          <w:rFonts w:ascii="Arial" w:cs="Arial" w:eastAsia="Arial" w:hAnsi="Arial"/>
          <w:sz w:val="19"/>
          <w:szCs w:val="19"/>
          <w:color w:val="auto"/>
        </w:rPr>
      </w:pPr>
      <w:r>
        <w:rPr>
          <w:rFonts w:ascii="Arial" w:cs="Arial" w:eastAsia="Arial" w:hAnsi="Arial"/>
          <w:sz w:val="17"/>
          <w:szCs w:val="17"/>
          <w:color w:val="auto"/>
        </w:rPr>
        <w:t>Liens created pursuant to any Loan Document;</w:t>
      </w:r>
    </w:p>
    <w:p>
      <w:pPr>
        <w:spacing w:after="0" w:line="210" w:lineRule="exact"/>
        <w:rPr>
          <w:rFonts w:ascii="Arial" w:cs="Arial" w:eastAsia="Arial" w:hAnsi="Arial"/>
          <w:sz w:val="19"/>
          <w:szCs w:val="19"/>
          <w:color w:val="auto"/>
        </w:rPr>
      </w:pPr>
    </w:p>
    <w:p>
      <w:pPr>
        <w:jc w:val="both"/>
        <w:ind w:right="20" w:firstLine="1139"/>
        <w:spacing w:after="0" w:line="277" w:lineRule="auto"/>
        <w:tabs>
          <w:tab w:leader="none" w:pos="1572" w:val="left"/>
        </w:tabs>
        <w:numPr>
          <w:ilvl w:val="0"/>
          <w:numId w:val="92"/>
        </w:numPr>
        <w:rPr>
          <w:rFonts w:ascii="Arial" w:cs="Arial" w:eastAsia="Arial" w:hAnsi="Arial"/>
          <w:sz w:val="19"/>
          <w:szCs w:val="19"/>
          <w:color w:val="auto"/>
        </w:rPr>
      </w:pPr>
      <w:r>
        <w:rPr>
          <w:rFonts w:ascii="Arial" w:cs="Arial" w:eastAsia="Arial" w:hAnsi="Arial"/>
          <w:sz w:val="17"/>
          <w:szCs w:val="17"/>
          <w:color w:val="auto"/>
        </w:rPr>
        <w:t xml:space="preserve">any Lien on any property or asset of any Borrower or any Restricted Subsidiary existing on the Second Restatement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or asset of such Borrower or Restricted Subsidiary and (ii) such Lien shall secure only those obligations which it secures on the Second Restatement Date and extensions, renewals and replacements thereof that do not increase the outstanding principal amount thereof to the extent permitted by Section 6.01(f);</w:t>
      </w:r>
    </w:p>
    <w:p>
      <w:pPr>
        <w:spacing w:after="0" w:line="178" w:lineRule="exact"/>
        <w:rPr>
          <w:rFonts w:ascii="Arial" w:cs="Arial" w:eastAsia="Arial" w:hAnsi="Arial"/>
          <w:sz w:val="19"/>
          <w:szCs w:val="19"/>
          <w:color w:val="auto"/>
        </w:rPr>
      </w:pPr>
    </w:p>
    <w:p>
      <w:pPr>
        <w:ind w:left="1500" w:hanging="361"/>
        <w:spacing w:after="0"/>
        <w:tabs>
          <w:tab w:leader="none" w:pos="1500" w:val="left"/>
        </w:tabs>
        <w:numPr>
          <w:ilvl w:val="0"/>
          <w:numId w:val="92"/>
        </w:numPr>
        <w:rPr>
          <w:rFonts w:ascii="Arial" w:cs="Arial" w:eastAsia="Arial" w:hAnsi="Arial"/>
          <w:sz w:val="19"/>
          <w:szCs w:val="19"/>
          <w:color w:val="auto"/>
        </w:rPr>
      </w:pPr>
      <w:r>
        <w:rPr>
          <w:rFonts w:ascii="Arial" w:cs="Arial" w:eastAsia="Arial" w:hAnsi="Arial"/>
          <w:sz w:val="17"/>
          <w:szCs w:val="17"/>
          <w:color w:val="auto"/>
        </w:rPr>
        <w:t>Liens on Accounts sold to WESCO Receivables pursuant to the Receivables Securitization Agreements;</w:t>
      </w:r>
    </w:p>
    <w:p>
      <w:pPr>
        <w:spacing w:after="0" w:line="210" w:lineRule="exact"/>
        <w:rPr>
          <w:rFonts w:ascii="Arial" w:cs="Arial" w:eastAsia="Arial" w:hAnsi="Arial"/>
          <w:sz w:val="19"/>
          <w:szCs w:val="19"/>
          <w:color w:val="auto"/>
        </w:rPr>
      </w:pPr>
    </w:p>
    <w:p>
      <w:pPr>
        <w:jc w:val="both"/>
        <w:ind w:right="20" w:firstLine="1139"/>
        <w:spacing w:after="0" w:line="277" w:lineRule="auto"/>
        <w:tabs>
          <w:tab w:leader="none" w:pos="1632" w:val="left"/>
        </w:tabs>
        <w:numPr>
          <w:ilvl w:val="0"/>
          <w:numId w:val="92"/>
        </w:numPr>
        <w:rPr>
          <w:rFonts w:ascii="Arial" w:cs="Arial" w:eastAsia="Arial" w:hAnsi="Arial"/>
          <w:sz w:val="19"/>
          <w:szCs w:val="19"/>
          <w:color w:val="auto"/>
        </w:rPr>
      </w:pPr>
      <w:r>
        <w:rPr>
          <w:rFonts w:ascii="Arial" w:cs="Arial" w:eastAsia="Arial" w:hAnsi="Arial"/>
          <w:sz w:val="17"/>
          <w:szCs w:val="17"/>
          <w:color w:val="auto"/>
        </w:rPr>
        <w:t xml:space="preserve">Liens on fixed or capital assets acquired, constructed or improved by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(d) of Section 6.01, (ii) such security interests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such Borrower or Subsidiary or any other Borrower or Subsidiary;</w:t>
      </w:r>
    </w:p>
    <w:p>
      <w:pPr>
        <w:spacing w:after="0" w:line="179" w:lineRule="exact"/>
        <w:rPr>
          <w:rFonts w:ascii="Arial" w:cs="Arial" w:eastAsia="Arial" w:hAnsi="Arial"/>
          <w:sz w:val="19"/>
          <w:szCs w:val="19"/>
          <w:color w:val="auto"/>
        </w:rPr>
      </w:pPr>
    </w:p>
    <w:p>
      <w:pPr>
        <w:jc w:val="both"/>
        <w:ind w:right="20" w:firstLine="1139"/>
        <w:spacing w:after="0" w:line="277" w:lineRule="auto"/>
        <w:tabs>
          <w:tab w:leader="none" w:pos="1609" w:val="left"/>
        </w:tabs>
        <w:numPr>
          <w:ilvl w:val="0"/>
          <w:numId w:val="92"/>
        </w:numPr>
        <w:rPr>
          <w:rFonts w:ascii="Arial" w:cs="Arial" w:eastAsia="Arial" w:hAnsi="Arial"/>
          <w:sz w:val="19"/>
          <w:szCs w:val="19"/>
          <w:color w:val="auto"/>
        </w:rPr>
      </w:pPr>
      <w:r>
        <w:rPr>
          <w:rFonts w:ascii="Arial" w:cs="Arial" w:eastAsia="Arial" w:hAnsi="Arial"/>
          <w:sz w:val="17"/>
          <w:szCs w:val="17"/>
          <w:color w:val="auto"/>
        </w:rPr>
        <w:t xml:space="preserve">Liens on real property, and fixed and capital assets (including equipment);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(e) of Section 6.01, and (ii) such security interests shall not apply to any other property or assets of such Borrower or Subsidiary or any other Borrower or Subsidiary;</w:t>
      </w:r>
    </w:p>
    <w:p>
      <w:pPr>
        <w:spacing w:after="0" w:line="178" w:lineRule="exact"/>
        <w:rPr>
          <w:rFonts w:ascii="Arial" w:cs="Arial" w:eastAsia="Arial" w:hAnsi="Arial"/>
          <w:sz w:val="19"/>
          <w:szCs w:val="19"/>
          <w:color w:val="auto"/>
        </w:rPr>
      </w:pPr>
    </w:p>
    <w:p>
      <w:pPr>
        <w:jc w:val="both"/>
        <w:ind w:firstLine="1139"/>
        <w:spacing w:after="0" w:line="277" w:lineRule="auto"/>
        <w:tabs>
          <w:tab w:leader="none" w:pos="1505" w:val="left"/>
        </w:tabs>
        <w:numPr>
          <w:ilvl w:val="0"/>
          <w:numId w:val="92"/>
        </w:numPr>
        <w:rPr>
          <w:rFonts w:ascii="Arial" w:cs="Arial" w:eastAsia="Arial" w:hAnsi="Arial"/>
          <w:sz w:val="19"/>
          <w:szCs w:val="19"/>
          <w:color w:val="auto"/>
        </w:rPr>
      </w:pPr>
      <w:r>
        <w:rPr>
          <w:rFonts w:ascii="Arial" w:cs="Arial" w:eastAsia="Arial" w:hAnsi="Arial"/>
          <w:sz w:val="17"/>
          <w:szCs w:val="17"/>
          <w:color w:val="auto"/>
        </w:rPr>
        <w:t xml:space="preserve">any Lien existing on any property or asset (other than Accounts and Inventory) prior to the acquisition thereof by any Loan Party or existing on any property or asset (other than Accounts and Inventory) of any Person that becomes a Loan Party after the Second Restatement Date prior to the time such Person becomes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to the extent permitted by Section 6.01(f);</w:t>
      </w:r>
    </w:p>
    <w:p>
      <w:pPr>
        <w:spacing w:after="0" w:line="180" w:lineRule="exact"/>
        <w:rPr>
          <w:rFonts w:ascii="Arial" w:cs="Arial" w:eastAsia="Arial" w:hAnsi="Arial"/>
          <w:sz w:val="19"/>
          <w:szCs w:val="19"/>
          <w:color w:val="auto"/>
        </w:rPr>
      </w:pPr>
    </w:p>
    <w:p>
      <w:pPr>
        <w:ind w:right="20" w:firstLine="1139"/>
        <w:spacing w:after="0" w:line="224" w:lineRule="exact"/>
        <w:tabs>
          <w:tab w:leader="none" w:pos="1560" w:val="left"/>
        </w:tabs>
        <w:numPr>
          <w:ilvl w:val="0"/>
          <w:numId w:val="92"/>
        </w:numPr>
        <w:rPr>
          <w:rFonts w:ascii="Arial" w:cs="Arial" w:eastAsia="Arial" w:hAnsi="Arial"/>
          <w:sz w:val="19"/>
          <w:szCs w:val="19"/>
          <w:color w:val="auto"/>
        </w:rPr>
      </w:pPr>
      <w:r>
        <w:rPr>
          <w:rFonts w:ascii="Arial" w:cs="Arial" w:eastAsia="Arial" w:hAnsi="Arial"/>
          <w:sz w:val="17"/>
          <w:szCs w:val="17"/>
          <w:color w:val="auto"/>
        </w:rPr>
        <w:t>Liens of a collecting bank arising in the ordinary course of business under Section 4</w:t>
      </w:r>
      <w:r>
        <w:rPr>
          <w:rFonts w:ascii="MS PGothic" w:cs="MS PGothic" w:eastAsia="MS PGothic" w:hAnsi="MS PGothic"/>
          <w:sz w:val="17"/>
          <w:szCs w:val="17"/>
          <w:color w:val="auto"/>
        </w:rPr>
        <w:t>‑</w:t>
      </w:r>
      <w:r>
        <w:rPr>
          <w:rFonts w:ascii="Arial" w:cs="Arial" w:eastAsia="Arial" w:hAnsi="Arial"/>
          <w:sz w:val="17"/>
          <w:szCs w:val="17"/>
          <w:color w:val="auto"/>
        </w:rPr>
        <w:t>208 of the Uniform Commercial Code in effect in the relevant jurisdiction covering only the items being collected upon;</w:t>
      </w:r>
    </w:p>
    <w:p>
      <w:pPr>
        <w:sectPr>
          <w:pgSz w:w="11900" w:h="16838" w:orient="portrait"/>
          <w:cols w:equalWidth="0" w:num="1">
            <w:col w:w="11440"/>
          </w:cols>
          <w:pgMar w:left="240" w:top="137" w:right="219" w:bottom="0" w:gutter="0" w:footer="0" w:header="0"/>
        </w:sectPr>
      </w:pPr>
    </w:p>
    <w:bookmarkStart w:id="59" w:name="page60"/>
    <w:bookmarkEnd w:id="59"/>
    <w:p>
      <w:pPr>
        <w:ind w:left="1525" w:hanging="381"/>
        <w:spacing w:after="0"/>
        <w:tabs>
          <w:tab w:leader="none" w:pos="1525" w:val="left"/>
        </w:tabs>
        <w:numPr>
          <w:ilvl w:val="0"/>
          <w:numId w:val="93"/>
        </w:numPr>
        <w:rPr>
          <w:rFonts w:ascii="Arial" w:cs="Arial" w:eastAsia="Arial" w:hAnsi="Arial"/>
          <w:sz w:val="19"/>
          <w:szCs w:val="19"/>
          <w:color w:val="auto"/>
        </w:rPr>
      </w:pPr>
      <w:r>
        <w:rPr>
          <w:rFonts w:ascii="Arial" w:cs="Arial" w:eastAsia="Arial" w:hAnsi="Arial"/>
          <w:sz w:val="17"/>
          <w:szCs w:val="17"/>
          <w:color w:val="auto"/>
        </w:rPr>
        <w:t>Liens arising out of sale and leaseback transactions permitted by Section 6.06;</w:t>
      </w:r>
    </w:p>
    <w:p>
      <w:pPr>
        <w:spacing w:after="0" w:line="210" w:lineRule="exact"/>
        <w:rPr>
          <w:rFonts w:ascii="Arial" w:cs="Arial" w:eastAsia="Arial" w:hAnsi="Arial"/>
          <w:sz w:val="19"/>
          <w:szCs w:val="19"/>
          <w:color w:val="auto"/>
        </w:rPr>
      </w:pPr>
    </w:p>
    <w:p>
      <w:pPr>
        <w:ind w:left="5" w:right="20" w:firstLine="1139"/>
        <w:spacing w:after="0" w:line="281" w:lineRule="auto"/>
        <w:tabs>
          <w:tab w:leader="none" w:pos="1511" w:val="left"/>
        </w:tabs>
        <w:numPr>
          <w:ilvl w:val="0"/>
          <w:numId w:val="93"/>
        </w:numPr>
        <w:rPr>
          <w:rFonts w:ascii="Arial" w:cs="Arial" w:eastAsia="Arial" w:hAnsi="Arial"/>
          <w:sz w:val="19"/>
          <w:szCs w:val="19"/>
          <w:color w:val="auto"/>
        </w:rPr>
      </w:pPr>
      <w:r>
        <w:rPr>
          <w:rFonts w:ascii="Arial" w:cs="Arial" w:eastAsia="Arial" w:hAnsi="Arial"/>
          <w:sz w:val="17"/>
          <w:szCs w:val="17"/>
          <w:color w:val="auto"/>
        </w:rPr>
        <w:t>any interest of title of a lessor under, and Liens arising from UCC financing statements (or equivalent filings, registrations or agreements in foreign jurisdictions) relating to, leases permitted by this Agreement;</w:t>
      </w:r>
    </w:p>
    <w:p>
      <w:pPr>
        <w:spacing w:after="0" w:line="170" w:lineRule="exact"/>
        <w:rPr>
          <w:rFonts w:ascii="Arial" w:cs="Arial" w:eastAsia="Arial" w:hAnsi="Arial"/>
          <w:sz w:val="19"/>
          <w:szCs w:val="19"/>
          <w:color w:val="auto"/>
        </w:rPr>
      </w:pPr>
    </w:p>
    <w:p>
      <w:pPr>
        <w:ind w:left="1485" w:hanging="341"/>
        <w:spacing w:after="0"/>
        <w:tabs>
          <w:tab w:leader="none" w:pos="1485" w:val="left"/>
        </w:tabs>
        <w:numPr>
          <w:ilvl w:val="0"/>
          <w:numId w:val="93"/>
        </w:numPr>
        <w:rPr>
          <w:rFonts w:ascii="Arial" w:cs="Arial" w:eastAsia="Arial" w:hAnsi="Arial"/>
          <w:sz w:val="19"/>
          <w:szCs w:val="19"/>
          <w:color w:val="auto"/>
        </w:rPr>
      </w:pPr>
      <w:r>
        <w:rPr>
          <w:rFonts w:ascii="Arial" w:cs="Arial" w:eastAsia="Arial" w:hAnsi="Arial"/>
          <w:sz w:val="17"/>
          <w:szCs w:val="17"/>
          <w:color w:val="auto"/>
        </w:rPr>
        <w:t>Permitted Encumbrances;</w:t>
      </w:r>
    </w:p>
    <w:p>
      <w:pPr>
        <w:spacing w:after="0" w:line="210" w:lineRule="exact"/>
        <w:rPr>
          <w:rFonts w:ascii="Arial" w:cs="Arial" w:eastAsia="Arial" w:hAnsi="Arial"/>
          <w:sz w:val="19"/>
          <w:szCs w:val="19"/>
          <w:color w:val="auto"/>
        </w:rPr>
      </w:pPr>
    </w:p>
    <w:p>
      <w:pPr>
        <w:ind w:left="5" w:right="20" w:firstLine="1139"/>
        <w:spacing w:after="0" w:line="281" w:lineRule="auto"/>
        <w:tabs>
          <w:tab w:leader="none" w:pos="1553" w:val="left"/>
        </w:tabs>
        <w:numPr>
          <w:ilvl w:val="0"/>
          <w:numId w:val="93"/>
        </w:numPr>
        <w:rPr>
          <w:rFonts w:ascii="Arial" w:cs="Arial" w:eastAsia="Arial" w:hAnsi="Arial"/>
          <w:sz w:val="19"/>
          <w:szCs w:val="19"/>
          <w:color w:val="auto"/>
        </w:rPr>
      </w:pPr>
      <w:r>
        <w:rPr>
          <w:rFonts w:ascii="Arial" w:cs="Arial" w:eastAsia="Arial" w:hAnsi="Arial"/>
          <w:sz w:val="17"/>
          <w:szCs w:val="17"/>
          <w:color w:val="auto"/>
        </w:rPr>
        <w:t>Liens granted by a Restricted Subsidiary that is not a Loan Party in favor of any Borrower or another Loan Party in respect of Indebtedness owed by such Restricted Subsidiary;</w:t>
      </w:r>
    </w:p>
    <w:p>
      <w:pPr>
        <w:spacing w:after="0" w:line="170" w:lineRule="exact"/>
        <w:rPr>
          <w:rFonts w:ascii="Arial" w:cs="Arial" w:eastAsia="Arial" w:hAnsi="Arial"/>
          <w:sz w:val="19"/>
          <w:szCs w:val="19"/>
          <w:color w:val="auto"/>
        </w:rPr>
      </w:pPr>
    </w:p>
    <w:p>
      <w:pPr>
        <w:ind w:left="1485" w:hanging="341"/>
        <w:spacing w:after="0"/>
        <w:tabs>
          <w:tab w:leader="none" w:pos="1485" w:val="left"/>
        </w:tabs>
        <w:numPr>
          <w:ilvl w:val="0"/>
          <w:numId w:val="93"/>
        </w:numPr>
        <w:rPr>
          <w:rFonts w:ascii="Arial" w:cs="Arial" w:eastAsia="Arial" w:hAnsi="Arial"/>
          <w:sz w:val="18"/>
          <w:szCs w:val="18"/>
          <w:color w:val="auto"/>
        </w:rPr>
      </w:pPr>
      <w:r>
        <w:rPr>
          <w:rFonts w:ascii="Arial" w:cs="Arial" w:eastAsia="Arial" w:hAnsi="Arial"/>
          <w:sz w:val="16"/>
          <w:szCs w:val="16"/>
          <w:color w:val="auto"/>
        </w:rPr>
        <w:t>Liens granted by any Foreign Subsidiary which is a Restricted Subsidiary on assets of such Foreign Subsidiary not constituting Collateral;</w:t>
      </w:r>
    </w:p>
    <w:p>
      <w:pPr>
        <w:spacing w:after="0" w:line="221" w:lineRule="exact"/>
        <w:rPr>
          <w:rFonts w:ascii="Arial" w:cs="Arial" w:eastAsia="Arial" w:hAnsi="Arial"/>
          <w:sz w:val="18"/>
          <w:szCs w:val="18"/>
          <w:color w:val="auto"/>
        </w:rPr>
      </w:pPr>
    </w:p>
    <w:p>
      <w:pPr>
        <w:jc w:val="both"/>
        <w:ind w:left="5" w:firstLine="1139"/>
        <w:spacing w:after="0" w:line="277" w:lineRule="auto"/>
        <w:tabs>
          <w:tab w:leader="none" w:pos="1630" w:val="left"/>
        </w:tabs>
        <w:numPr>
          <w:ilvl w:val="0"/>
          <w:numId w:val="93"/>
        </w:numPr>
        <w:rPr>
          <w:rFonts w:ascii="Arial" w:cs="Arial" w:eastAsia="Arial" w:hAnsi="Arial"/>
          <w:sz w:val="19"/>
          <w:szCs w:val="19"/>
          <w:color w:val="auto"/>
        </w:rPr>
      </w:pPr>
      <w:r>
        <w:rPr>
          <w:rFonts w:ascii="Arial" w:cs="Arial" w:eastAsia="Arial" w:hAnsi="Arial"/>
          <w:sz w:val="17"/>
          <w:szCs w:val="17"/>
          <w:color w:val="auto"/>
        </w:rPr>
        <w:t xml:space="preserve">Liens in favor of any Term Loan Agent on the Collateral or on any property of other asset owned by any Real Estate Subsidiary, in each case, securing the Indebtedness permitted by Section 6.01(p),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Liens of any Term Loan Agent on ABL Priority Collateral shall be junior and subordinate to the Liens of the Administrative Agent on such Collateral as provided by the ABL-Term Loan Intercreditor Agreement (or any similar intercreditor agreement) and (ii) the rights and remedies of the Term Loan Agent and the Term Loan Lenders with respect to the Collateral shall be subject to the ABL-Term Loan Intercreditor Agreement (or, to the extent applicable, any similar intercreditor agreement);</w:t>
      </w:r>
    </w:p>
    <w:p>
      <w:pPr>
        <w:spacing w:after="0" w:line="179" w:lineRule="exact"/>
        <w:rPr>
          <w:rFonts w:ascii="Arial" w:cs="Arial" w:eastAsia="Arial" w:hAnsi="Arial"/>
          <w:sz w:val="19"/>
          <w:szCs w:val="19"/>
          <w:color w:val="auto"/>
        </w:rPr>
      </w:pPr>
    </w:p>
    <w:p>
      <w:pPr>
        <w:ind w:left="5" w:right="20" w:firstLine="1139"/>
        <w:spacing w:after="0" w:line="281" w:lineRule="auto"/>
        <w:tabs>
          <w:tab w:leader="none" w:pos="1553" w:val="left"/>
        </w:tabs>
        <w:numPr>
          <w:ilvl w:val="0"/>
          <w:numId w:val="93"/>
        </w:numPr>
        <w:rPr>
          <w:rFonts w:ascii="Arial" w:cs="Arial" w:eastAsia="Arial" w:hAnsi="Arial"/>
          <w:sz w:val="19"/>
          <w:szCs w:val="19"/>
          <w:color w:val="auto"/>
        </w:rPr>
      </w:pPr>
      <w:r>
        <w:rPr>
          <w:rFonts w:ascii="Arial" w:cs="Arial" w:eastAsia="Arial" w:hAnsi="Arial"/>
          <w:sz w:val="17"/>
          <w:szCs w:val="17"/>
          <w:color w:val="auto"/>
        </w:rPr>
        <w:t>all reservations in the original grant from the Crown in right of Canada or any Province or Territory thereof of any lands or interests therein and all statutory exceptions, qualifications and reservations in respect of title with respect thereto;</w:t>
      </w:r>
    </w:p>
    <w:p>
      <w:pPr>
        <w:spacing w:after="0" w:line="170" w:lineRule="exact"/>
        <w:rPr>
          <w:rFonts w:ascii="Arial" w:cs="Arial" w:eastAsia="Arial" w:hAnsi="Arial"/>
          <w:sz w:val="19"/>
          <w:szCs w:val="19"/>
          <w:color w:val="auto"/>
        </w:rPr>
      </w:pPr>
    </w:p>
    <w:p>
      <w:pPr>
        <w:jc w:val="both"/>
        <w:ind w:left="5" w:right="20" w:firstLine="1139"/>
        <w:spacing w:after="0" w:line="299" w:lineRule="auto"/>
        <w:tabs>
          <w:tab w:leader="none" w:pos="1565" w:val="left"/>
        </w:tabs>
        <w:numPr>
          <w:ilvl w:val="0"/>
          <w:numId w:val="93"/>
        </w:numPr>
        <w:rPr>
          <w:rFonts w:ascii="Arial" w:cs="Arial" w:eastAsia="Arial" w:hAnsi="Arial"/>
          <w:sz w:val="18"/>
          <w:szCs w:val="18"/>
          <w:color w:val="auto"/>
        </w:rPr>
      </w:pPr>
      <w:r>
        <w:rPr>
          <w:rFonts w:ascii="Arial" w:cs="Arial" w:eastAsia="Arial" w:hAnsi="Arial"/>
          <w:sz w:val="16"/>
          <w:szCs w:val="16"/>
          <w:color w:val="auto"/>
        </w:rPr>
        <w:t xml:space="preserve">security given by any Loan Party or Restricted Subsidiary to a public utility or any municipality or governmental or other public authority when required by such public utility or municipality or other governmental authority in the ordinary course of business of any Loan Party or Restricted Subsidiary in connection with such Loan Party’s or Restricted Subsidiary’s operations;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security does not either alone or in the aggregate materially detract from the value of the property or assets affected thereby or materially impair its use in the conduct of such Loan Party’s or Restricted Subsidiary’s business;</w:t>
      </w:r>
    </w:p>
    <w:p>
      <w:pPr>
        <w:spacing w:after="0" w:line="162" w:lineRule="exact"/>
        <w:rPr>
          <w:rFonts w:ascii="Arial" w:cs="Arial" w:eastAsia="Arial" w:hAnsi="Arial"/>
          <w:sz w:val="18"/>
          <w:szCs w:val="18"/>
          <w:color w:val="auto"/>
        </w:rPr>
      </w:pPr>
    </w:p>
    <w:p>
      <w:pPr>
        <w:jc w:val="both"/>
        <w:ind w:left="5" w:right="20" w:firstLine="1139"/>
        <w:spacing w:after="0" w:line="277" w:lineRule="auto"/>
        <w:tabs>
          <w:tab w:leader="none" w:pos="1577" w:val="left"/>
        </w:tabs>
        <w:numPr>
          <w:ilvl w:val="0"/>
          <w:numId w:val="93"/>
        </w:numPr>
        <w:rPr>
          <w:rFonts w:ascii="Arial" w:cs="Arial" w:eastAsia="Arial" w:hAnsi="Arial"/>
          <w:sz w:val="19"/>
          <w:szCs w:val="19"/>
          <w:color w:val="auto"/>
        </w:rPr>
      </w:pPr>
      <w:r>
        <w:rPr>
          <w:rFonts w:ascii="Arial" w:cs="Arial" w:eastAsia="Arial" w:hAnsi="Arial"/>
          <w:sz w:val="17"/>
          <w:szCs w:val="17"/>
          <w:color w:val="auto"/>
        </w:rPr>
        <w:t>the right reserved to or vested in any municipality or governmental of other public authority by the terms of any lease, license, franchise, grant or permit acquired by any Loan Party or Restricted Subsidiary or by any statutory provision to terminate any such lease, license, franchise, grant or permit or to require annual or other periodic payments as a condition of the continuance thereof;</w:t>
      </w:r>
    </w:p>
    <w:p>
      <w:pPr>
        <w:spacing w:after="0" w:line="178" w:lineRule="exact"/>
        <w:rPr>
          <w:rFonts w:ascii="Arial" w:cs="Arial" w:eastAsia="Arial" w:hAnsi="Arial"/>
          <w:sz w:val="19"/>
          <w:szCs w:val="19"/>
          <w:color w:val="auto"/>
        </w:rPr>
      </w:pPr>
    </w:p>
    <w:p>
      <w:pPr>
        <w:jc w:val="both"/>
        <w:ind w:left="5" w:right="20" w:firstLine="1139"/>
        <w:spacing w:after="0" w:line="277" w:lineRule="auto"/>
        <w:tabs>
          <w:tab w:leader="none" w:pos="1577" w:val="left"/>
        </w:tabs>
        <w:numPr>
          <w:ilvl w:val="0"/>
          <w:numId w:val="93"/>
        </w:numPr>
        <w:rPr>
          <w:rFonts w:ascii="Arial" w:cs="Arial" w:eastAsia="Arial" w:hAnsi="Arial"/>
          <w:sz w:val="19"/>
          <w:szCs w:val="19"/>
          <w:color w:val="auto"/>
        </w:rPr>
      </w:pPr>
      <w:r>
        <w:rPr>
          <w:rFonts w:ascii="Arial" w:cs="Arial" w:eastAsia="Arial" w:hAnsi="Arial"/>
          <w:sz w:val="17"/>
          <w:szCs w:val="17"/>
          <w:color w:val="auto"/>
        </w:rPr>
        <w:t>subdivision agreements, site plan control agreements, development agreements, servicing agreements, utility agreements and other similar agreements with a Governmental Authority or public utilities that do not materially impair the use, operation or marketability of the applicable real property, provided such have in each case been complied with in all material respects;</w:t>
      </w:r>
    </w:p>
    <w:p>
      <w:pPr>
        <w:spacing w:after="0" w:line="178" w:lineRule="exact"/>
        <w:rPr>
          <w:rFonts w:ascii="Arial" w:cs="Arial" w:eastAsia="Arial" w:hAnsi="Arial"/>
          <w:sz w:val="19"/>
          <w:szCs w:val="19"/>
          <w:color w:val="auto"/>
        </w:rPr>
      </w:pPr>
    </w:p>
    <w:p>
      <w:pPr>
        <w:ind w:left="1525" w:hanging="381"/>
        <w:spacing w:after="0"/>
        <w:tabs>
          <w:tab w:leader="none" w:pos="1525" w:val="left"/>
        </w:tabs>
        <w:numPr>
          <w:ilvl w:val="0"/>
          <w:numId w:val="93"/>
        </w:numPr>
        <w:rPr>
          <w:rFonts w:ascii="Arial" w:cs="Arial" w:eastAsia="Arial" w:hAnsi="Arial"/>
          <w:sz w:val="18"/>
          <w:szCs w:val="18"/>
          <w:color w:val="auto"/>
        </w:rPr>
      </w:pPr>
      <w:r>
        <w:rPr>
          <w:rFonts w:ascii="Arial" w:cs="Arial" w:eastAsia="Arial" w:hAnsi="Arial"/>
          <w:sz w:val="16"/>
          <w:szCs w:val="16"/>
          <w:color w:val="auto"/>
        </w:rPr>
        <w:t>any rights of expropriation, access or user or any similar rights conferred or reserved by or in any statutes of any Governmental Authority;</w:t>
      </w:r>
    </w:p>
    <w:p>
      <w:pPr>
        <w:spacing w:after="0" w:line="19"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7"/>
          <w:szCs w:val="17"/>
          <w:color w:val="auto"/>
        </w:rPr>
        <w:t>and</w:t>
      </w:r>
    </w:p>
    <w:p>
      <w:pPr>
        <w:spacing w:after="0" w:line="233" w:lineRule="exact"/>
        <w:rPr>
          <w:rFonts w:ascii="Arial" w:cs="Arial" w:eastAsia="Arial" w:hAnsi="Arial"/>
          <w:sz w:val="18"/>
          <w:szCs w:val="18"/>
          <w:color w:val="auto"/>
        </w:rPr>
      </w:pPr>
    </w:p>
    <w:p>
      <w:pPr>
        <w:ind w:left="5" w:firstLine="1139"/>
        <w:spacing w:after="0" w:line="314" w:lineRule="auto"/>
        <w:tabs>
          <w:tab w:leader="none" w:pos="1591" w:val="left"/>
        </w:tabs>
        <w:numPr>
          <w:ilvl w:val="0"/>
          <w:numId w:val="93"/>
        </w:numPr>
        <w:rPr>
          <w:rFonts w:ascii="Arial" w:cs="Arial" w:eastAsia="Arial" w:hAnsi="Arial"/>
          <w:sz w:val="18"/>
          <w:szCs w:val="18"/>
          <w:color w:val="auto"/>
        </w:rPr>
      </w:pPr>
      <w:r>
        <w:rPr>
          <w:rFonts w:ascii="Arial" w:cs="Arial" w:eastAsia="Arial" w:hAnsi="Arial"/>
          <w:sz w:val="16"/>
          <w:szCs w:val="16"/>
          <w:color w:val="auto"/>
        </w:rPr>
        <w:t>Liens not otherwise permitted by this Section 6.02 so long as (i) the aggregate outstanding principal amount of the obligations secured thereby does not exceed $35,000,000 at any time and (ii) not more than $5,000,000 of obligations secured by such Liens shall cover any ABL Priority Collateral.</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color w:val="auto"/>
        </w:rPr>
        <w:t>Notwithstanding the foregoing, (1) none of the Liens permitted pursuant to this Section 6.02 may at any time attach to any Loan Party’s (A) Accounts, other than</w:t>
      </w:r>
    </w:p>
    <w:p>
      <w:pPr>
        <w:spacing w:after="0" w:line="33" w:lineRule="exact"/>
        <w:rPr>
          <w:sz w:val="20"/>
          <w:szCs w:val="20"/>
          <w:color w:val="auto"/>
        </w:rPr>
      </w:pPr>
    </w:p>
    <w:p>
      <w:pPr>
        <w:jc w:val="both"/>
        <w:ind w:left="5" w:right="20" w:hanging="5"/>
        <w:spacing w:after="0" w:line="253" w:lineRule="auto"/>
        <w:tabs>
          <w:tab w:leader="none" w:pos="261"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those permitted under clause (a) of the definition of Permitted Encumbrance and clauses (a), (g), (m), (n) and (o) above, (y) to the extent expressly permitted under clause (s) above, and (z) Accounts sold to WESCO Receivables pursuant to the Receivables Securitization Agreements or (B) Inventory, other than (x) those permitted under clauses (a) and (b) of the definition of Permitted Encumbrance and clauses (a), (m) and (n) above and (y) to the extent expressly permitted under clause (s) above.</w:t>
      </w:r>
    </w:p>
    <w:p>
      <w:pPr>
        <w:spacing w:after="0" w:line="163" w:lineRule="exact"/>
        <w:rPr>
          <w:sz w:val="20"/>
          <w:szCs w:val="20"/>
          <w:color w:val="auto"/>
        </w:rPr>
      </w:pPr>
    </w:p>
    <w:p>
      <w:pPr>
        <w:jc w:val="both"/>
        <w:ind w:left="5" w:firstLine="572"/>
        <w:spacing w:after="0" w:line="26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No Loan Party will, nor will it permit any Restricted Subsidiary to, merge into or consolidate or amalgamate with any other Person, or permit any other Person to merge into or consolidate or amalgamate with it, or liquidate or dissolve (and distribute its assets), except that, if at the time thereof and immediately after giving effect thereto no Event of Default shall have occurred and be continuing (i) any U.S. Loan Party (other than a Canadian Cross-Border Loan Guarantor) may merge into another U.S. Loan Party (including the merger of any U.S. Borrower into another U.S. Borrower but excluding any merger involving a Canadian Cross-Border Loan Guarantor) so long as in a transaction in which a U.S. Borrower is involved, such U.S. Borrower is the surviving corporation, (ii) any Canadian Loan Party may merge or amalgamate into another Canadian Loan Party so long as in a transaction in which a Canadian Borrower is involved, such Canadian Borrower is the surviving corporation, (iii) TVC Canada Corp. may merge or amalgamate into WDCH, LP or another Canadian Loan Party or may liquidate or dissolve, (iv) any Restricted Subsidiary that is not a Loan Party may liquidate or dissolve (and distribute its assets to its immediate parent) if Holdings determines in good faith that such liquidation or dissolution is in the best interests of Holdings and is not materially disadvantageous to the Lenders, (v) any Restricted Subsidiary may transfer its assets to a Loan Party and any Restricted Subsidiary which is not a Loan Party may transfer its assets to another Restricted Subsidiary which is not a Loan Party, (vi) any Loan Party (other than Holdings or a Borrower) may liquidate or dissolve so long as the assets and properties of such Loan Party are received by or distributed to another Loan Party organized or formed in the same country as such dissolving or liquidating Loan Party and such dissolution or liquidation would not reasonably be expected to have a Material Adverse Effect and (vii) any Loan Party may merge or amalgamate with any other Person in connection with the consummation of a Permitted Acquisition so long as (A) no Change of Control results therefrom, (B) in the case of a merger of any Loan Party with any other Person, such Loan Party is the surviving entity, or, in the case such Loan Party is not Holdings or a Borrower, such other Person is the surviving entity, so long as such other Person shall be organized in the same jurisdiction as such Loan Party and shall substantially contemporaneously with the consummation of such merger become a Loan Party hereunder and otherwise comply with the requirements of Section 5.13 hereof and (C) in the case of the amalgamation of any Canadian Loan Party (the “</w:t>
      </w:r>
      <w:r>
        <w:rPr>
          <w:rFonts w:ascii="Arial" w:cs="Arial" w:eastAsia="Arial" w:hAnsi="Arial"/>
          <w:sz w:val="16"/>
          <w:szCs w:val="16"/>
          <w:u w:val="single" w:color="auto"/>
          <w:color w:val="auto"/>
        </w:rPr>
        <w:t>Constituent Canadian Loan Party</w:t>
      </w:r>
      <w:r>
        <w:rPr>
          <w:rFonts w:ascii="Arial" w:cs="Arial" w:eastAsia="Arial" w:hAnsi="Arial"/>
          <w:sz w:val="16"/>
          <w:szCs w:val="16"/>
          <w:color w:val="auto"/>
        </w:rPr>
        <w:t>”) with any other Person, the entity resulting from such amalgamation shall confirm in writing that it is a Canadian Loan Party and has succeeded to and is bound by all of the obligations of the Constituent Canadian Loan Party under the Loan Documents in the same manner and to the same extent as the Constituent Canadian Loan Party was so bound immediately prior to such amalgamation and shall take such other actions and execute and deliver such other documents as the Administrative Agent may reasonably request to ratify and confirm such obligations and the continuing validity, perfection and priority of the Administrative Agent’s Liens in the Collateral of the Constituent Canadian Loan Party after giving effect to such amalgamation, all of which shall be satisfactory in form and substance to the Administrative Agent.</w:t>
      </w:r>
    </w:p>
    <w:p>
      <w:pPr>
        <w:spacing w:after="0" w:line="181" w:lineRule="exact"/>
        <w:rPr>
          <w:sz w:val="20"/>
          <w:szCs w:val="20"/>
          <w:color w:val="auto"/>
        </w:rPr>
      </w:pPr>
    </w:p>
    <w:p>
      <w:pPr>
        <w:jc w:val="both"/>
        <w:ind w:left="5" w:firstLine="1139"/>
        <w:spacing w:after="0" w:line="277" w:lineRule="auto"/>
        <w:tabs>
          <w:tab w:leader="none" w:pos="1566" w:val="left"/>
        </w:tabs>
        <w:numPr>
          <w:ilvl w:val="0"/>
          <w:numId w:val="95"/>
        </w:numPr>
        <w:rPr>
          <w:rFonts w:ascii="Arial" w:cs="Arial" w:eastAsia="Arial" w:hAnsi="Arial"/>
          <w:sz w:val="19"/>
          <w:szCs w:val="19"/>
          <w:color w:val="auto"/>
        </w:rPr>
      </w:pPr>
      <w:r>
        <w:rPr>
          <w:rFonts w:ascii="Arial" w:cs="Arial" w:eastAsia="Arial" w:hAnsi="Arial"/>
          <w:sz w:val="17"/>
          <w:szCs w:val="17"/>
          <w:color w:val="auto"/>
        </w:rPr>
        <w:t>No Loan Party will, nor will it permit any of its Restricted Subsidiaries (other than Excluded Subsidiaries which are not Loan Parties), to engage to any material extent in any business other than businesses substantially similar to the type conducted by the Loan Parties on the date of execution of this Agreement and businesses reasonably related thereto and logical extensions thereof.</w:t>
      </w:r>
    </w:p>
    <w:p>
      <w:pPr>
        <w:spacing w:after="0" w:line="178" w:lineRule="exact"/>
        <w:rPr>
          <w:rFonts w:ascii="Arial" w:cs="Arial" w:eastAsia="Arial" w:hAnsi="Arial"/>
          <w:sz w:val="19"/>
          <w:szCs w:val="19"/>
          <w:color w:val="auto"/>
        </w:rPr>
      </w:pPr>
    </w:p>
    <w:p>
      <w:pPr>
        <w:jc w:val="both"/>
        <w:ind w:left="5" w:right="20" w:firstLine="1139"/>
        <w:spacing w:after="0" w:line="314" w:lineRule="auto"/>
        <w:tabs>
          <w:tab w:leader="none" w:pos="1553" w:val="left"/>
        </w:tabs>
        <w:numPr>
          <w:ilvl w:val="0"/>
          <w:numId w:val="95"/>
        </w:numPr>
        <w:rPr>
          <w:rFonts w:ascii="Arial" w:cs="Arial" w:eastAsia="Arial" w:hAnsi="Arial"/>
          <w:sz w:val="18"/>
          <w:szCs w:val="18"/>
          <w:color w:val="auto"/>
        </w:rPr>
      </w:pPr>
      <w:r>
        <w:rPr>
          <w:rFonts w:ascii="Arial" w:cs="Arial" w:eastAsia="Arial" w:hAnsi="Arial"/>
          <w:sz w:val="16"/>
          <w:szCs w:val="16"/>
          <w:color w:val="auto"/>
        </w:rPr>
        <w:t>Holdings will not engage in any business or activity other than the ownership of Equity Interests in its Subsidiaries and activities incidental thereto. Holdings will not own or acquire any material assets (other than Equity Interests in its Subsidiaries and the cash proceeds of any Restricted Payments</w:t>
      </w:r>
    </w:p>
    <w:p>
      <w:pPr>
        <w:sectPr>
          <w:pgSz w:w="11900" w:h="16838" w:orient="portrait"/>
          <w:cols w:equalWidth="0" w:num="1">
            <w:col w:w="11445"/>
          </w:cols>
          <w:pgMar w:left="235" w:top="149" w:right="219" w:bottom="0" w:gutter="0" w:footer="0" w:header="0"/>
        </w:sectPr>
      </w:pPr>
    </w:p>
    <w:bookmarkStart w:id="60" w:name="page61"/>
    <w:bookmarkEnd w:id="60"/>
    <w:p>
      <w:pPr>
        <w:spacing w:after="0" w:line="310" w:lineRule="auto"/>
        <w:rPr>
          <w:sz w:val="20"/>
          <w:szCs w:val="20"/>
          <w:color w:val="auto"/>
        </w:rPr>
      </w:pPr>
      <w:r>
        <w:rPr>
          <w:rFonts w:ascii="Arial" w:cs="Arial" w:eastAsia="Arial" w:hAnsi="Arial"/>
          <w:sz w:val="17"/>
          <w:szCs w:val="17"/>
          <w:color w:val="auto"/>
        </w:rPr>
        <w:t>permitted by Section 6.08) or incur any liabilities (other than liabilities under the Loan Documents, Indebtedness permitted under Section 6.01, and liabilities reasonably incurred in connection with its maintenance of its existence).</w:t>
      </w:r>
    </w:p>
    <w:p>
      <w:pPr>
        <w:spacing w:after="0" w:line="150" w:lineRule="exact"/>
        <w:rPr>
          <w:sz w:val="20"/>
          <w:szCs w:val="20"/>
          <w:color w:val="auto"/>
        </w:rPr>
      </w:pPr>
    </w:p>
    <w:p>
      <w:pPr>
        <w:jc w:val="both"/>
        <w:ind w:firstLine="1139"/>
        <w:spacing w:after="0" w:line="277" w:lineRule="auto"/>
        <w:tabs>
          <w:tab w:leader="none" w:pos="1550" w:val="left"/>
        </w:tabs>
        <w:numPr>
          <w:ilvl w:val="0"/>
          <w:numId w:val="96"/>
        </w:numPr>
        <w:rPr>
          <w:rFonts w:ascii="Arial" w:cs="Arial" w:eastAsia="Arial" w:hAnsi="Arial"/>
          <w:sz w:val="19"/>
          <w:szCs w:val="19"/>
          <w:color w:val="auto"/>
        </w:rPr>
      </w:pPr>
      <w:r>
        <w:rPr>
          <w:rFonts w:ascii="Arial" w:cs="Arial" w:eastAsia="Arial" w:hAnsi="Arial"/>
          <w:sz w:val="17"/>
          <w:szCs w:val="17"/>
          <w:color w:val="auto"/>
        </w:rPr>
        <w:t>WESCO Receivables will not engage in any business or activity other than the ownership of Accounts sold to WESCO Receivables by the U.S. Borrowers pursuant to the Receivables Securitization Agreements and the incurrence of Indebtedness pursuant to the Receivables Securitization Agreements and activities incidental thereto. WESCO Receivables will not own or acquire any material assets other than Accounts sold to WESCO Receivables by the U.S. Borrowers or incur any liabilities, in each case, except pursuant to and in accordance with the Receivables Securitization Agreements (other than liabilities reasonably incurred in connection with its maintenance of its existence).</w:t>
      </w:r>
    </w:p>
    <w:p>
      <w:pPr>
        <w:spacing w:after="0" w:line="179" w:lineRule="exact"/>
        <w:rPr>
          <w:rFonts w:ascii="Arial" w:cs="Arial" w:eastAsia="Arial" w:hAnsi="Arial"/>
          <w:sz w:val="19"/>
          <w:szCs w:val="19"/>
          <w:color w:val="auto"/>
        </w:rPr>
      </w:pPr>
    </w:p>
    <w:p>
      <w:pPr>
        <w:jc w:val="both"/>
        <w:ind w:firstLine="1139"/>
        <w:spacing w:after="0" w:line="299" w:lineRule="auto"/>
        <w:tabs>
          <w:tab w:leader="none" w:pos="1608" w:val="left"/>
        </w:tabs>
        <w:numPr>
          <w:ilvl w:val="0"/>
          <w:numId w:val="96"/>
        </w:numPr>
        <w:rPr>
          <w:rFonts w:ascii="Arial" w:cs="Arial" w:eastAsia="Arial" w:hAnsi="Arial"/>
          <w:sz w:val="18"/>
          <w:szCs w:val="18"/>
          <w:color w:val="auto"/>
        </w:rPr>
      </w:pPr>
      <w:r>
        <w:rPr>
          <w:rFonts w:ascii="Arial" w:cs="Arial" w:eastAsia="Arial" w:hAnsi="Arial"/>
          <w:sz w:val="16"/>
          <w:szCs w:val="16"/>
          <w:color w:val="auto"/>
        </w:rPr>
        <w:t>The Real Estate Subsidiaries will not engage in any business or activity other than the ownership and leasing of real property (and the fixtures and equipment located thereon) and the incurrence of Indebtedness permitted by Sections 6.01(e) and 6.01(p) and activities incidental thereto. The Real Estate Subsidiaries will not own or acquire any material assets other than real property (and the fixtures and equipment located thereon) or incur any liabilities, in each case, except permitted by Section 6.01(e) (other than liabilities reasonably incurred in connection with its maintenance of its existence).</w:t>
      </w:r>
    </w:p>
    <w:p>
      <w:pPr>
        <w:spacing w:after="0" w:line="162" w:lineRule="exact"/>
        <w:rPr>
          <w:rFonts w:ascii="Arial" w:cs="Arial" w:eastAsia="Arial" w:hAnsi="Arial"/>
          <w:sz w:val="18"/>
          <w:szCs w:val="18"/>
          <w:color w:val="auto"/>
        </w:rPr>
      </w:pPr>
    </w:p>
    <w:p>
      <w:pPr>
        <w:ind w:left="1500" w:hanging="361"/>
        <w:spacing w:after="0"/>
        <w:tabs>
          <w:tab w:leader="none" w:pos="1500" w:val="left"/>
        </w:tabs>
        <w:numPr>
          <w:ilvl w:val="0"/>
          <w:numId w:val="96"/>
        </w:numPr>
        <w:rPr>
          <w:rFonts w:ascii="Arial" w:cs="Arial" w:eastAsia="Arial" w:hAnsi="Arial"/>
          <w:sz w:val="18"/>
          <w:szCs w:val="18"/>
          <w:color w:val="auto"/>
        </w:rPr>
      </w:pPr>
      <w:r>
        <w:rPr>
          <w:rFonts w:ascii="Arial" w:cs="Arial" w:eastAsia="Arial" w:hAnsi="Arial"/>
          <w:sz w:val="16"/>
          <w:szCs w:val="16"/>
          <w:color w:val="auto"/>
        </w:rPr>
        <w:t>Unless such entity shall have complied with the applicable provisions of Section 5.13 within the time periods set forth in such Section:</w:t>
      </w:r>
    </w:p>
    <w:p>
      <w:pPr>
        <w:spacing w:after="0" w:line="222" w:lineRule="exact"/>
        <w:rPr>
          <w:sz w:val="20"/>
          <w:szCs w:val="20"/>
          <w:color w:val="auto"/>
        </w:rPr>
      </w:pPr>
    </w:p>
    <w:p>
      <w:pPr>
        <w:ind w:left="560" w:right="20" w:firstLine="579"/>
        <w:spacing w:after="0" w:line="314" w:lineRule="auto"/>
        <w:tabs>
          <w:tab w:leader="none" w:pos="1482" w:val="left"/>
        </w:tabs>
        <w:numPr>
          <w:ilvl w:val="0"/>
          <w:numId w:val="97"/>
        </w:numPr>
        <w:rPr>
          <w:rFonts w:ascii="Arial" w:cs="Arial" w:eastAsia="Arial" w:hAnsi="Arial"/>
          <w:sz w:val="18"/>
          <w:szCs w:val="18"/>
          <w:color w:val="auto"/>
        </w:rPr>
      </w:pPr>
      <w:r>
        <w:rPr>
          <w:rFonts w:ascii="Arial" w:cs="Arial" w:eastAsia="Arial" w:hAnsi="Arial"/>
          <w:sz w:val="16"/>
          <w:szCs w:val="16"/>
          <w:color w:val="auto"/>
        </w:rPr>
        <w:t>WESCO Distribution III ULC, and Carlton Bates Company of Texas GP, Inc. will not engage in any business or activity and will not own or acquire any material assets or incur any liabilities (other than liabilities reasonably incurred in connection with the maintenance of their existence);</w:t>
      </w:r>
    </w:p>
    <w:p>
      <w:pPr>
        <w:spacing w:after="0" w:line="143" w:lineRule="exact"/>
        <w:rPr>
          <w:rFonts w:ascii="Arial" w:cs="Arial" w:eastAsia="Arial" w:hAnsi="Arial"/>
          <w:sz w:val="18"/>
          <w:szCs w:val="18"/>
          <w:color w:val="auto"/>
        </w:rPr>
      </w:pPr>
    </w:p>
    <w:p>
      <w:pPr>
        <w:ind w:left="560" w:right="20" w:firstLine="579"/>
        <w:spacing w:after="0" w:line="281" w:lineRule="auto"/>
        <w:tabs>
          <w:tab w:leader="none" w:pos="1547" w:val="left"/>
        </w:tabs>
        <w:numPr>
          <w:ilvl w:val="0"/>
          <w:numId w:val="97"/>
        </w:numPr>
        <w:rPr>
          <w:rFonts w:ascii="Arial" w:cs="Arial" w:eastAsia="Arial" w:hAnsi="Arial"/>
          <w:sz w:val="19"/>
          <w:szCs w:val="19"/>
          <w:color w:val="auto"/>
        </w:rPr>
      </w:pPr>
      <w:r>
        <w:rPr>
          <w:rFonts w:ascii="Arial" w:cs="Arial" w:eastAsia="Arial" w:hAnsi="Arial"/>
          <w:sz w:val="17"/>
          <w:szCs w:val="17"/>
          <w:color w:val="auto"/>
        </w:rPr>
        <w:t>TVC Canada Corp. will not engage in any business or activity other than the ownership of Equity Interests in WESCO Distribution Canada Co. and activities incidental thereto; and</w:t>
      </w:r>
    </w:p>
    <w:p>
      <w:pPr>
        <w:spacing w:after="0" w:line="170" w:lineRule="exact"/>
        <w:rPr>
          <w:rFonts w:ascii="Arial" w:cs="Arial" w:eastAsia="Arial" w:hAnsi="Arial"/>
          <w:sz w:val="19"/>
          <w:szCs w:val="19"/>
          <w:color w:val="auto"/>
        </w:rPr>
      </w:pPr>
    </w:p>
    <w:p>
      <w:pPr>
        <w:ind w:left="560" w:right="20" w:firstLine="579"/>
        <w:spacing w:after="0" w:line="314" w:lineRule="auto"/>
        <w:tabs>
          <w:tab w:leader="none" w:pos="1612" w:val="left"/>
        </w:tabs>
        <w:numPr>
          <w:ilvl w:val="0"/>
          <w:numId w:val="97"/>
        </w:numPr>
        <w:rPr>
          <w:rFonts w:ascii="Arial" w:cs="Arial" w:eastAsia="Arial" w:hAnsi="Arial"/>
          <w:sz w:val="18"/>
          <w:szCs w:val="18"/>
          <w:color w:val="auto"/>
        </w:rPr>
      </w:pPr>
      <w:r>
        <w:rPr>
          <w:rFonts w:ascii="Arial" w:cs="Arial" w:eastAsia="Arial" w:hAnsi="Arial"/>
          <w:sz w:val="16"/>
          <w:szCs w:val="16"/>
          <w:color w:val="auto"/>
        </w:rPr>
        <w:t>TVC Canada Corp. will not own or acquire any material assets (other than Equity Interests in WESCO Distribution Canada Co.) or incur any liabilities (other than Indebtedness under the Loan Documents and liabilities reasonably incurred in connection with the maintenance of its existence).</w:t>
      </w:r>
    </w:p>
    <w:p>
      <w:pPr>
        <w:spacing w:after="0" w:line="120" w:lineRule="exact"/>
        <w:rPr>
          <w:sz w:val="20"/>
          <w:szCs w:val="20"/>
          <w:color w:val="auto"/>
        </w:rPr>
      </w:pPr>
    </w:p>
    <w:p>
      <w:pPr>
        <w:jc w:val="both"/>
        <w:ind w:firstLine="1139"/>
        <w:spacing w:after="0" w:line="256" w:lineRule="auto"/>
        <w:tabs>
          <w:tab w:leader="none" w:pos="1543" w:val="left"/>
        </w:tabs>
        <w:numPr>
          <w:ilvl w:val="1"/>
          <w:numId w:val="98"/>
        </w:numPr>
        <w:rPr>
          <w:rFonts w:ascii="Arial" w:cs="Arial" w:eastAsia="Arial" w:hAnsi="Arial"/>
          <w:sz w:val="17"/>
          <w:szCs w:val="17"/>
          <w:color w:val="auto"/>
        </w:rPr>
      </w:pPr>
      <w:r>
        <w:rPr>
          <w:rFonts w:ascii="Arial" w:cs="Arial" w:eastAsia="Arial" w:hAnsi="Arial"/>
          <w:sz w:val="17"/>
          <w:szCs w:val="17"/>
          <w:color w:val="auto"/>
        </w:rPr>
        <w:t>WDINESCO II B.V. will not engage in any business or activity other than the ownership of Equity interests in WDCH, LP and in Excluded Subsidiaries and in Unrestricted Subsidiaries and activities incidental thereto. WDINESCO II B.V. will not own or acquire any material assets (other than Equity Interests in WDCH, LP and in Excluded Subsidiaries and in Unrestricted Subsidiaries and intercompany Indebtedness owing from Holdings or one or more of its Subsidiaries to WDINESCO II B.V.) or incur any liabilities (other than liabilities reasonably incurred in connection with the maintenance of its existence and intercompany Indebtedness owing from WDINESCO II B.V. to Holdings or one or more of its Subsidiaries).</w:t>
      </w:r>
    </w:p>
    <w:p>
      <w:pPr>
        <w:spacing w:after="0" w:line="160" w:lineRule="exact"/>
        <w:rPr>
          <w:rFonts w:ascii="Arial" w:cs="Arial" w:eastAsia="Arial" w:hAnsi="Arial"/>
          <w:sz w:val="17"/>
          <w:szCs w:val="17"/>
          <w:color w:val="auto"/>
        </w:rPr>
      </w:pPr>
    </w:p>
    <w:p>
      <w:pPr>
        <w:jc w:val="both"/>
        <w:ind w:firstLine="1139"/>
        <w:spacing w:after="0" w:line="276" w:lineRule="auto"/>
        <w:tabs>
          <w:tab w:leader="none" w:pos="15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WDINESCO II C.V. will not engage in any business or activity other than the ownership of Equity interests in WDINESCO C.V. and in Excluded Subsidiaries and in Unrestricted Subsidiaries and activities incidental thereto. WDINESCO II C.V. will not own or acquire any material assets (other than Equity Interests in WDINESCO C.V. and in Excluded Subsidiaries and in Unrestricted Subsidiaries and intercompany Indebtedness owing from Holdings or one or more it its Subsidiaries to WDINESCO II C.V.) or incur any liabilities (other than liabilities reasonably incurred in connection with the maintenance of its existence and intercompany Indebtedness owing from WDINESCO II C.V. to Holdings or one or more of its Subsidiaries).</w:t>
      </w:r>
    </w:p>
    <w:p>
      <w:pPr>
        <w:spacing w:after="0" w:line="145" w:lineRule="exact"/>
        <w:rPr>
          <w:rFonts w:ascii="Arial" w:cs="Arial" w:eastAsia="Arial" w:hAnsi="Arial"/>
          <w:sz w:val="16"/>
          <w:szCs w:val="16"/>
          <w:color w:val="auto"/>
        </w:rPr>
      </w:pPr>
    </w:p>
    <w:p>
      <w:pPr>
        <w:jc w:val="both"/>
        <w:ind w:firstLine="1139"/>
        <w:spacing w:after="0" w:line="255" w:lineRule="auto"/>
        <w:tabs>
          <w:tab w:leader="none" w:pos="1486" w:val="left"/>
        </w:tabs>
        <w:numPr>
          <w:ilvl w:val="1"/>
          <w:numId w:val="98"/>
        </w:numPr>
        <w:rPr>
          <w:rFonts w:ascii="Arial" w:cs="Arial" w:eastAsia="Arial" w:hAnsi="Arial"/>
          <w:sz w:val="17"/>
          <w:szCs w:val="17"/>
          <w:color w:val="auto"/>
        </w:rPr>
      </w:pPr>
      <w:r>
        <w:rPr>
          <w:rFonts w:ascii="Arial" w:cs="Arial" w:eastAsia="Arial" w:hAnsi="Arial"/>
          <w:sz w:val="17"/>
          <w:szCs w:val="17"/>
          <w:color w:val="auto"/>
        </w:rPr>
        <w:t>WDINESCO C.V. will not engage in any business or activity other than the ownership of Equity interests in WESCO Distribution Canada GP Inc., in WESCO Distribution Canada LP, in Excluded Subsidiaries and in Unrestricted Subsidiaries and activities incidental thereto. WDINESCO C.V. will not own or acquire any material assets (other than Equity Interests in WESCO Distribution Canada GP, in WESCO Distribution Canada LP, in Excluded Subsidiaries and in Unrestricted Subsidiaries and intercompany Indebtedness owing to WDINESCO C.V. from Holdings or one or more of its Subsidiaries) or incur any liabilities (other than liabilities reasonably incurred in connection with the maintenance of its existence and intercompany Indebtedness owing from WDINESCO C.V. to Holdings or one or more of its Subsidiaries).</w:t>
      </w:r>
    </w:p>
    <w:p>
      <w:pPr>
        <w:spacing w:after="0" w:line="159" w:lineRule="exact"/>
        <w:rPr>
          <w:rFonts w:ascii="Arial" w:cs="Arial" w:eastAsia="Arial" w:hAnsi="Arial"/>
          <w:sz w:val="17"/>
          <w:szCs w:val="17"/>
          <w:color w:val="auto"/>
        </w:rPr>
      </w:pPr>
    </w:p>
    <w:p>
      <w:pPr>
        <w:jc w:val="both"/>
        <w:ind w:right="20" w:firstLine="1139"/>
        <w:spacing w:after="0" w:line="276" w:lineRule="auto"/>
        <w:tabs>
          <w:tab w:leader="none" w:pos="1515" w:val="left"/>
        </w:tabs>
        <w:numPr>
          <w:ilvl w:val="1"/>
          <w:numId w:val="98"/>
        </w:numPr>
        <w:rPr>
          <w:rFonts w:ascii="Arial" w:cs="Arial" w:eastAsia="Arial" w:hAnsi="Arial"/>
          <w:sz w:val="16"/>
          <w:szCs w:val="16"/>
          <w:color w:val="auto"/>
        </w:rPr>
      </w:pPr>
      <w:r>
        <w:rPr>
          <w:rFonts w:ascii="Arial" w:cs="Arial" w:eastAsia="Arial" w:hAnsi="Arial"/>
          <w:sz w:val="16"/>
          <w:szCs w:val="16"/>
          <w:color w:val="auto"/>
        </w:rPr>
        <w:t>WDINESCO III C.V. will not engage in any business or activity other than the ownership of Equity interests in WDINESCO II C.V. and in Excluded Subsidiaries and in Unrestricted Subsidiaries and activities incidental thereto. WDINESCO III C.V. will not own or acquire any material assets (other than Equity Interests in WDINESCO II C.V. and in Excluded Subsidiaries and in Unrestricted Subsidiaries and intercompany Indebtedness owing to WDINESCO III C.V. from Holdings or one or more of its Subsidiaries) or incur any liabilities (other than liabilities reasonably incurred in connection with the maintenance of its existence and intercompany Indebtedness owing from WDINESCO III C.V. to Holdings or one or more of its Subsidiaries).</w:t>
      </w:r>
    </w:p>
    <w:p>
      <w:pPr>
        <w:spacing w:after="0" w:line="157" w:lineRule="exact"/>
        <w:rPr>
          <w:rFonts w:ascii="Arial" w:cs="Arial" w:eastAsia="Arial" w:hAnsi="Arial"/>
          <w:sz w:val="16"/>
          <w:szCs w:val="16"/>
          <w:color w:val="auto"/>
        </w:rPr>
      </w:pPr>
    </w:p>
    <w:p>
      <w:pPr>
        <w:jc w:val="both"/>
        <w:ind w:right="20" w:firstLine="1139"/>
        <w:spacing w:after="0" w:line="276" w:lineRule="auto"/>
        <w:tabs>
          <w:tab w:leader="none" w:pos="1563" w:val="left"/>
        </w:tabs>
        <w:numPr>
          <w:ilvl w:val="1"/>
          <w:numId w:val="98"/>
        </w:numPr>
        <w:rPr>
          <w:rFonts w:ascii="Arial" w:cs="Arial" w:eastAsia="Arial" w:hAnsi="Arial"/>
          <w:sz w:val="16"/>
          <w:szCs w:val="16"/>
          <w:color w:val="auto"/>
        </w:rPr>
      </w:pPr>
      <w:r>
        <w:rPr>
          <w:rFonts w:ascii="Arial" w:cs="Arial" w:eastAsia="Arial" w:hAnsi="Arial"/>
          <w:sz w:val="16"/>
          <w:szCs w:val="16"/>
          <w:color w:val="auto"/>
        </w:rPr>
        <w:t>WDINESCO III B.V. will not engage in any business or activity other than the ownership of Equity interests in WDCC Enterprises and in Excluded Subsidiaries and in Unrestricted Subsidiaries and activities incidental thereto. WDINESCO III B.V. will not own or acquire any material assets (other than Equity Interests in WDCC Enterprises and in Excluded Subsidiaries and in Unrestricted Subsidiaries and intercompany Indebtedness owing to WDINESCO III B.V. from Holdings or one or more of its Subsidiaries) or incur any liabilities (other than liabilities reasonably incurred in connection with the maintenance of its existence and intercompany Indebtedness owing from WDINESCO III B.V. to Holdings or one or more of its Subsidiaries.</w:t>
      </w:r>
    </w:p>
    <w:p>
      <w:pPr>
        <w:spacing w:after="0" w:line="157" w:lineRule="exact"/>
        <w:rPr>
          <w:sz w:val="20"/>
          <w:szCs w:val="20"/>
          <w:color w:val="auto"/>
        </w:rPr>
      </w:pPr>
    </w:p>
    <w:p>
      <w:pPr>
        <w:jc w:val="both"/>
        <w:ind w:right="20" w:firstLine="572"/>
        <w:spacing w:after="0" w:line="255"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 Loans, Advances, Guarantees and Acquisitions</w:t>
      </w:r>
      <w:r>
        <w:rPr>
          <w:rFonts w:ascii="Arial" w:cs="Arial" w:eastAsia="Arial" w:hAnsi="Arial"/>
          <w:sz w:val="17"/>
          <w:szCs w:val="17"/>
          <w:color w:val="auto"/>
        </w:rPr>
        <w:t>. No Loan Party will, nor will it permit any Subsidiary (other than Excluded Subsidiaries and Unrestricted Subsidiaries)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4" w:lineRule="exact"/>
        <w:rPr>
          <w:sz w:val="20"/>
          <w:szCs w:val="20"/>
          <w:color w:val="auto"/>
        </w:rPr>
      </w:pPr>
    </w:p>
    <w:p>
      <w:pPr>
        <w:ind w:left="1500" w:hanging="361"/>
        <w:spacing w:after="0"/>
        <w:tabs>
          <w:tab w:leader="none" w:pos="1500" w:val="left"/>
        </w:tabs>
        <w:numPr>
          <w:ilvl w:val="0"/>
          <w:numId w:val="99"/>
        </w:numPr>
        <w:rPr>
          <w:rFonts w:ascii="Arial" w:cs="Arial" w:eastAsia="Arial" w:hAnsi="Arial"/>
          <w:sz w:val="19"/>
          <w:szCs w:val="19"/>
          <w:color w:val="auto"/>
        </w:rPr>
      </w:pPr>
      <w:r>
        <w:rPr>
          <w:rFonts w:ascii="Arial" w:cs="Arial" w:eastAsia="Arial" w:hAnsi="Arial"/>
          <w:sz w:val="17"/>
          <w:szCs w:val="17"/>
          <w:color w:val="auto"/>
        </w:rPr>
        <w:t>Permitted Investments;</w:t>
      </w:r>
    </w:p>
    <w:p>
      <w:pPr>
        <w:spacing w:after="0" w:line="210" w:lineRule="exact"/>
        <w:rPr>
          <w:rFonts w:ascii="Arial" w:cs="Arial" w:eastAsia="Arial" w:hAnsi="Arial"/>
          <w:sz w:val="19"/>
          <w:szCs w:val="19"/>
          <w:color w:val="auto"/>
        </w:rPr>
      </w:pPr>
    </w:p>
    <w:p>
      <w:pPr>
        <w:ind w:left="1560" w:hanging="421"/>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6"/>
          <w:szCs w:val="16"/>
          <w:color w:val="auto"/>
        </w:rPr>
        <w:t>Investments in existence on the Second Restatement Date (including Investments by the Loan Parties in Equity Interests in their respective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Subsidiaries);</w:t>
      </w:r>
    </w:p>
    <w:p>
      <w:pPr>
        <w:spacing w:after="0" w:line="233" w:lineRule="exact"/>
        <w:rPr>
          <w:sz w:val="20"/>
          <w:szCs w:val="20"/>
          <w:color w:val="auto"/>
        </w:rPr>
      </w:pPr>
    </w:p>
    <w:p>
      <w:pPr>
        <w:jc w:val="both"/>
        <w:ind w:firstLine="1139"/>
        <w:spacing w:after="0" w:line="296" w:lineRule="auto"/>
        <w:tabs>
          <w:tab w:leader="none" w:pos="1550" w:val="left"/>
        </w:tabs>
        <w:numPr>
          <w:ilvl w:val="0"/>
          <w:numId w:val="100"/>
        </w:numPr>
        <w:rPr>
          <w:rFonts w:ascii="Arial" w:cs="Arial" w:eastAsia="Arial" w:hAnsi="Arial"/>
          <w:sz w:val="18"/>
          <w:szCs w:val="18"/>
          <w:color w:val="auto"/>
        </w:rPr>
      </w:pPr>
      <w:r>
        <w:rPr>
          <w:rFonts w:ascii="Arial" w:cs="Arial" w:eastAsia="Arial" w:hAnsi="Arial"/>
          <w:sz w:val="16"/>
          <w:szCs w:val="16"/>
          <w:color w:val="auto"/>
        </w:rPr>
        <w:t xml:space="preserve">Investments made after the Second Restatement Date by: (i) a U.S. Loan Party in any other U.S. Loan Party; (ii) a Canadian Loan Party in any other Canadian Loan Party or a U.S. Loan Party; or (iii) (x) a U.S. Loan Party in a Canadian Loan Party, or (y) a Loan Party in a Foreign Subsidiary, Unrestricted Subsidiary or Intermediate Holding Company so long as, in the case of this subclause (iii): (A) the aggregate amount of such Investments (together with the aggregate Indebtedness and Guarantees outstanding pursuant to Section 6.01(h)) shall not exceed at any time outstanding (in each case determined without regarding to any write-downs or write-offs) the sum of (x) $150,000,000 and (y) the net proceeds of any issuance of Equity Interests by Holdings or any incurrence of Indebtedness by any U.S. Loan Party permitted under Section 6.01 (other than Indebtedness incurred under the Receivables Securitization Agreements) which Indebtedness is incurred for the purpose of funding an investment in a Canadian Loan Party or Foreign Subsidiary, and (B) no Event of Default has occurred and is continuing at the time of such Investment, or would result therefrom;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this Section 6.04(c), a Canadian Cross-Border Loan Guarantor shall be treated only as a Canadian Loan Party and not as a U.S. Loan Party;</w:t>
      </w:r>
    </w:p>
    <w:p>
      <w:pPr>
        <w:sectPr>
          <w:pgSz w:w="11900" w:h="16838" w:orient="portrait"/>
          <w:cols w:equalWidth="0" w:num="1">
            <w:col w:w="11440"/>
          </w:cols>
          <w:pgMar w:left="240" w:top="137" w:right="219" w:bottom="0" w:gutter="0" w:footer="0" w:header="0"/>
        </w:sectPr>
      </w:pPr>
    </w:p>
    <w:bookmarkStart w:id="61" w:name="page62"/>
    <w:bookmarkEnd w:id="61"/>
    <w:p>
      <w:pPr>
        <w:spacing w:after="0" w:line="24" w:lineRule="exact"/>
        <w:rPr>
          <w:sz w:val="20"/>
          <w:szCs w:val="20"/>
          <w:color w:val="auto"/>
        </w:rPr>
      </w:pPr>
    </w:p>
    <w:p>
      <w:pPr>
        <w:jc w:val="both"/>
        <w:ind w:firstLine="1139"/>
        <w:spacing w:after="0" w:line="330" w:lineRule="auto"/>
        <w:tabs>
          <w:tab w:leader="none" w:pos="1549" w:val="left"/>
        </w:tabs>
        <w:numPr>
          <w:ilvl w:val="0"/>
          <w:numId w:val="101"/>
        </w:numPr>
        <w:rPr>
          <w:rFonts w:ascii="Arial" w:cs="Arial" w:eastAsia="Arial" w:hAnsi="Arial"/>
          <w:sz w:val="16"/>
          <w:szCs w:val="16"/>
          <w:color w:val="auto"/>
        </w:rPr>
      </w:pPr>
      <w:r>
        <w:rPr>
          <w:rFonts w:ascii="Arial" w:cs="Arial" w:eastAsia="Arial" w:hAnsi="Arial"/>
          <w:sz w:val="15"/>
          <w:szCs w:val="15"/>
          <w:color w:val="auto"/>
        </w:rPr>
        <w:t>loans or advances made by the Loan Parties (i) to employees of the Loan Parties on an arms-length basis in the ordinary course of business consistent with past practices for travel and entertainment expenses, relocation costs and similar purposes up to a maximum of $1,000,000 in the aggregate at any one time outstanding and (ii) to executive officers of Holdings on an arms-length basis in the ordinary course of business to permit such officers to purchase Equity Interests in Holdings (or to exercise options to purchase Equity Interests in Holdings) up to a maximum of $5,000,000 in the aggregate at any one time outstanding;</w:t>
      </w:r>
    </w:p>
    <w:p>
      <w:pPr>
        <w:spacing w:after="0" w:line="143" w:lineRule="exact"/>
        <w:rPr>
          <w:rFonts w:ascii="Arial" w:cs="Arial" w:eastAsia="Arial" w:hAnsi="Arial"/>
          <w:sz w:val="16"/>
          <w:szCs w:val="16"/>
          <w:color w:val="auto"/>
        </w:rPr>
      </w:pPr>
    </w:p>
    <w:p>
      <w:pPr>
        <w:jc w:val="both"/>
        <w:ind w:right="20" w:firstLine="1139"/>
        <w:spacing w:after="0" w:line="277" w:lineRule="auto"/>
        <w:tabs>
          <w:tab w:leader="none" w:pos="1573" w:val="left"/>
        </w:tabs>
        <w:numPr>
          <w:ilvl w:val="0"/>
          <w:numId w:val="101"/>
        </w:numPr>
        <w:rPr>
          <w:rFonts w:ascii="Arial" w:cs="Arial" w:eastAsia="Arial" w:hAnsi="Arial"/>
          <w:sz w:val="19"/>
          <w:szCs w:val="19"/>
          <w:color w:val="auto"/>
        </w:rPr>
      </w:pPr>
      <w:r>
        <w:rPr>
          <w:rFonts w:ascii="Arial" w:cs="Arial" w:eastAsia="Arial" w:hAnsi="Arial"/>
          <w:sz w:val="17"/>
          <w:szCs w:val="17"/>
          <w:color w:val="auto"/>
        </w:rPr>
        <w:t>subject to Sections 4.2(a) and 4.4 of the U.S. Security Agreement and the Canadian Security Agreement, 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78" w:lineRule="exact"/>
        <w:rPr>
          <w:rFonts w:ascii="Arial" w:cs="Arial" w:eastAsia="Arial" w:hAnsi="Arial"/>
          <w:sz w:val="19"/>
          <w:szCs w:val="19"/>
          <w:color w:val="auto"/>
        </w:rPr>
      </w:pPr>
    </w:p>
    <w:p>
      <w:pPr>
        <w:ind w:left="1480" w:hanging="341"/>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in the form of Swap Agreements permitted by Section 6.07;</w:t>
      </w:r>
    </w:p>
    <w:p>
      <w:pPr>
        <w:spacing w:after="0" w:line="210" w:lineRule="exact"/>
        <w:rPr>
          <w:rFonts w:ascii="Arial" w:cs="Arial" w:eastAsia="Arial" w:hAnsi="Arial"/>
          <w:sz w:val="19"/>
          <w:szCs w:val="19"/>
          <w:color w:val="auto"/>
        </w:rPr>
      </w:pPr>
    </w:p>
    <w:p>
      <w:pPr>
        <w:ind w:left="1520" w:hanging="381"/>
        <w:spacing w:after="0"/>
        <w:tabs>
          <w:tab w:leader="none" w:pos="152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received in connection with the dispositions of assets permitted by Section 6.05;</w:t>
      </w:r>
    </w:p>
    <w:p>
      <w:pPr>
        <w:spacing w:after="0" w:line="210" w:lineRule="exact"/>
        <w:rPr>
          <w:rFonts w:ascii="Arial" w:cs="Arial" w:eastAsia="Arial" w:hAnsi="Arial"/>
          <w:sz w:val="19"/>
          <w:szCs w:val="19"/>
          <w:color w:val="auto"/>
        </w:rPr>
      </w:pPr>
    </w:p>
    <w:p>
      <w:pPr>
        <w:ind w:left="1520" w:hanging="381"/>
        <w:spacing w:after="0"/>
        <w:tabs>
          <w:tab w:leader="none" w:pos="152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constituting deposits described in clauses (c) and (d) of the definition of the term “Permitted Encumbrances;”</w:t>
      </w:r>
    </w:p>
    <w:p>
      <w:pPr>
        <w:spacing w:after="0" w:line="210" w:lineRule="exact"/>
        <w:rPr>
          <w:rFonts w:ascii="Arial" w:cs="Arial" w:eastAsia="Arial" w:hAnsi="Arial"/>
          <w:sz w:val="19"/>
          <w:szCs w:val="19"/>
          <w:color w:val="auto"/>
        </w:rPr>
      </w:pPr>
    </w:p>
    <w:p>
      <w:pPr>
        <w:ind w:left="1480" w:hanging="341"/>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Permitted Acquisitions;</w:t>
      </w:r>
    </w:p>
    <w:p>
      <w:pPr>
        <w:spacing w:after="0" w:line="210" w:lineRule="exact"/>
        <w:rPr>
          <w:rFonts w:ascii="Arial" w:cs="Arial" w:eastAsia="Arial" w:hAnsi="Arial"/>
          <w:sz w:val="19"/>
          <w:szCs w:val="19"/>
          <w:color w:val="auto"/>
        </w:rPr>
      </w:pPr>
    </w:p>
    <w:p>
      <w:pPr>
        <w:ind w:left="1480" w:hanging="341"/>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constituting Indebtedness permitted under Section 6.01(j);</w:t>
      </w:r>
    </w:p>
    <w:p>
      <w:pPr>
        <w:spacing w:after="0" w:line="210" w:lineRule="exact"/>
        <w:rPr>
          <w:rFonts w:ascii="Arial" w:cs="Arial" w:eastAsia="Arial" w:hAnsi="Arial"/>
          <w:sz w:val="19"/>
          <w:szCs w:val="19"/>
          <w:color w:val="auto"/>
        </w:rPr>
      </w:pPr>
    </w:p>
    <w:p>
      <w:pPr>
        <w:jc w:val="both"/>
        <w:ind w:right="20" w:firstLine="1139"/>
        <w:spacing w:after="0" w:line="301" w:lineRule="auto"/>
        <w:tabs>
          <w:tab w:leader="none" w:pos="1572" w:val="left"/>
        </w:tabs>
        <w:numPr>
          <w:ilvl w:val="0"/>
          <w:numId w:val="101"/>
        </w:numPr>
        <w:rPr>
          <w:rFonts w:ascii="Arial" w:cs="Arial" w:eastAsia="Arial" w:hAnsi="Arial"/>
          <w:sz w:val="18"/>
          <w:szCs w:val="18"/>
          <w:color w:val="auto"/>
        </w:rPr>
      </w:pPr>
      <w:r>
        <w:rPr>
          <w:rFonts w:ascii="Arial" w:cs="Arial" w:eastAsia="Arial" w:hAnsi="Arial"/>
          <w:sz w:val="16"/>
          <w:szCs w:val="16"/>
          <w:color w:val="auto"/>
        </w:rPr>
        <w:t>the formation by (i) any U.S. Loan Party of any Domestic Subsidiary, Canadian Subsidiary or Foreign Subsidiary, (ii) any Canadian Loan Party of any Canadian Subsidiary or Foreign Subsidiary, and (iii) any Foreign Subsidiary of any other Foreign Subsidiary, so long as, in each case: (i) the Loan Parties comply with Section 5.13, and (ii) no Event of Default has occurred and is continuing or would result after giving effect to such formation;</w:t>
      </w:r>
    </w:p>
    <w:p>
      <w:pPr>
        <w:spacing w:after="0" w:line="160" w:lineRule="exact"/>
        <w:rPr>
          <w:rFonts w:ascii="Arial" w:cs="Arial" w:eastAsia="Arial" w:hAnsi="Arial"/>
          <w:sz w:val="18"/>
          <w:szCs w:val="18"/>
          <w:color w:val="auto"/>
        </w:rPr>
      </w:pPr>
    </w:p>
    <w:p>
      <w:pPr>
        <w:ind w:left="1480" w:hanging="341"/>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made by Foreign Subsidiaries which are Restricted Subsidiaries;</w:t>
      </w:r>
    </w:p>
    <w:p>
      <w:pPr>
        <w:spacing w:after="0" w:line="210" w:lineRule="exact"/>
        <w:rPr>
          <w:rFonts w:ascii="Arial" w:cs="Arial" w:eastAsia="Arial" w:hAnsi="Arial"/>
          <w:sz w:val="19"/>
          <w:szCs w:val="19"/>
          <w:color w:val="auto"/>
        </w:rPr>
      </w:pPr>
    </w:p>
    <w:p>
      <w:pPr>
        <w:ind w:right="20" w:firstLine="1139"/>
        <w:spacing w:after="0" w:line="281" w:lineRule="auto"/>
        <w:tabs>
          <w:tab w:leader="none" w:pos="1578" w:val="left"/>
        </w:tabs>
        <w:numPr>
          <w:ilvl w:val="0"/>
          <w:numId w:val="101"/>
        </w:numPr>
        <w:rPr>
          <w:rFonts w:ascii="Arial" w:cs="Arial" w:eastAsia="Arial" w:hAnsi="Arial"/>
          <w:sz w:val="19"/>
          <w:szCs w:val="19"/>
          <w:color w:val="auto"/>
        </w:rPr>
      </w:pPr>
      <w:r>
        <w:rPr>
          <w:rFonts w:ascii="Arial" w:cs="Arial" w:eastAsia="Arial" w:hAnsi="Arial"/>
          <w:sz w:val="17"/>
          <w:szCs w:val="17"/>
          <w:color w:val="auto"/>
        </w:rPr>
        <w:t>Guarantees of obligations of Canadian Subsidiaries or Foreign Subsidiaries which are Restricted Subsidiaries incurred in the ordinary course of business and not constituting Indebtedness for borrowed money;</w:t>
      </w:r>
    </w:p>
    <w:p>
      <w:pPr>
        <w:spacing w:after="0" w:line="170" w:lineRule="exact"/>
        <w:rPr>
          <w:rFonts w:ascii="Arial" w:cs="Arial" w:eastAsia="Arial" w:hAnsi="Arial"/>
          <w:sz w:val="19"/>
          <w:szCs w:val="19"/>
          <w:color w:val="auto"/>
        </w:rPr>
      </w:pPr>
    </w:p>
    <w:p>
      <w:pPr>
        <w:ind w:firstLine="1139"/>
        <w:spacing w:after="0" w:line="281" w:lineRule="auto"/>
        <w:tabs>
          <w:tab w:leader="none" w:pos="1656"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(other than those made in reliance on any other paragraph of this Section 6.04) in an aggregate amount not to exceed $35,000,000, so long as no Event of Default has occurred and is continuing or would result after giving effect to any such Investment;</w:t>
      </w:r>
    </w:p>
    <w:p>
      <w:pPr>
        <w:spacing w:after="0" w:line="170" w:lineRule="exact"/>
        <w:rPr>
          <w:rFonts w:ascii="Arial" w:cs="Arial" w:eastAsia="Arial" w:hAnsi="Arial"/>
          <w:sz w:val="19"/>
          <w:szCs w:val="19"/>
          <w:color w:val="auto"/>
        </w:rPr>
      </w:pPr>
    </w:p>
    <w:p>
      <w:pPr>
        <w:jc w:val="both"/>
        <w:ind w:firstLine="1139"/>
        <w:spacing w:after="0" w:line="295" w:lineRule="auto"/>
        <w:tabs>
          <w:tab w:leader="none" w:pos="1525" w:val="left"/>
        </w:tabs>
        <w:numPr>
          <w:ilvl w:val="0"/>
          <w:numId w:val="101"/>
        </w:numPr>
        <w:rPr>
          <w:rFonts w:ascii="Arial" w:cs="Arial" w:eastAsia="Arial" w:hAnsi="Arial"/>
          <w:sz w:val="18"/>
          <w:szCs w:val="18"/>
          <w:color w:val="auto"/>
        </w:rPr>
      </w:pPr>
      <w:r>
        <w:rPr>
          <w:rFonts w:ascii="Arial" w:cs="Arial" w:eastAsia="Arial" w:hAnsi="Arial"/>
          <w:sz w:val="16"/>
          <w:szCs w:val="16"/>
          <w:color w:val="auto"/>
        </w:rPr>
        <w:t>other Investments (other than those made in reliance on any other paragraph of this Section 6.04), so long as (i) at the time of and after giving effect to such Investment, the Adjusted Fixed Charge Coverage Ratio (calculated for the period of four consecutive fiscal quarters then most recently ended as if such Investment had been made on the first day of such period) shall be not less than 1.1 to 1.0; (ii) for the period of thirty (30) consecutive days prior to, and as of the date of, the making of any such Investment, in each case, after giving effect to the making of such Investment, Combined Availability exceeds the Combined Availability Trigger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calculating Combined Availability for the thirty day period prior to the making of any such Investment for purposes of this clause (ii), Combined Availability for such thirty day period shall be determined on a pro forma basis, as if such Investment had been made on the first day of such period and (B), if at any time during such thirty day period,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(iii) the Borrower Representative shall have delivered to the Administrative Agent a written certification as to (and reasonably detailed calculations of) the Adjusted Fixed Charge Coverage Ratio demonstrating compliance with the foregoing clause (i) and of Combined Availability demonstrating compliance with the foregoing clause (ii), which certification and calculations shall be reasonably satisfactory in form and substance to the Administrative Agent; and (iv) no Event of Default has occurred and is continuing at the time of the making of such Investment, or would result after giving effect to any such Investment;</w:t>
      </w:r>
    </w:p>
    <w:p>
      <w:pPr>
        <w:spacing w:after="0" w:line="178" w:lineRule="exact"/>
        <w:rPr>
          <w:rFonts w:ascii="Arial" w:cs="Arial" w:eastAsia="Arial" w:hAnsi="Arial"/>
          <w:sz w:val="18"/>
          <w:szCs w:val="18"/>
          <w:color w:val="auto"/>
        </w:rPr>
      </w:pPr>
    </w:p>
    <w:p>
      <w:pPr>
        <w:ind w:left="1520" w:hanging="381"/>
        <w:spacing w:after="0"/>
        <w:tabs>
          <w:tab w:leader="none" w:pos="152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the WESCO Canada I $150,000,000 Intercompany Loan;</w:t>
      </w:r>
    </w:p>
    <w:p>
      <w:pPr>
        <w:spacing w:after="0" w:line="210" w:lineRule="exact"/>
        <w:rPr>
          <w:rFonts w:ascii="Arial" w:cs="Arial" w:eastAsia="Arial" w:hAnsi="Arial"/>
          <w:sz w:val="19"/>
          <w:szCs w:val="19"/>
          <w:color w:val="auto"/>
        </w:rPr>
      </w:pPr>
    </w:p>
    <w:p>
      <w:pPr>
        <w:ind w:left="1520" w:hanging="381"/>
        <w:spacing w:after="0"/>
        <w:tabs>
          <w:tab w:leader="none" w:pos="152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the WDCC Enterprises $90,000,000 Intercompany Loan;</w:t>
      </w:r>
    </w:p>
    <w:p>
      <w:pPr>
        <w:spacing w:after="0" w:line="210" w:lineRule="exact"/>
        <w:rPr>
          <w:rFonts w:ascii="Arial" w:cs="Arial" w:eastAsia="Arial" w:hAnsi="Arial"/>
          <w:sz w:val="19"/>
          <w:szCs w:val="19"/>
          <w:color w:val="auto"/>
        </w:rPr>
      </w:pPr>
    </w:p>
    <w:p>
      <w:pPr>
        <w:ind w:left="1480" w:hanging="341"/>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7"/>
          <w:szCs w:val="17"/>
          <w:color w:val="auto"/>
        </w:rPr>
        <w:t>the issuance by WDCC Enterprises to WDC Holding of the Hybrid Security; and</w:t>
      </w:r>
    </w:p>
    <w:p>
      <w:pPr>
        <w:spacing w:after="0" w:line="210" w:lineRule="exact"/>
        <w:rPr>
          <w:rFonts w:ascii="Arial" w:cs="Arial" w:eastAsia="Arial" w:hAnsi="Arial"/>
          <w:sz w:val="19"/>
          <w:szCs w:val="19"/>
          <w:color w:val="auto"/>
        </w:rPr>
      </w:pPr>
    </w:p>
    <w:p>
      <w:pPr>
        <w:ind w:right="20" w:firstLine="1139"/>
        <w:spacing w:after="0" w:line="281" w:lineRule="auto"/>
        <w:tabs>
          <w:tab w:leader="none" w:pos="1623" w:val="left"/>
        </w:tabs>
        <w:numPr>
          <w:ilvl w:val="0"/>
          <w:numId w:val="101"/>
        </w:numPr>
        <w:rPr>
          <w:rFonts w:ascii="Arial" w:cs="Arial" w:eastAsia="Arial" w:hAnsi="Arial"/>
          <w:sz w:val="19"/>
          <w:szCs w:val="19"/>
          <w:color w:val="auto"/>
        </w:rPr>
      </w:pPr>
      <w:r>
        <w:rPr>
          <w:rFonts w:ascii="Arial" w:cs="Arial" w:eastAsia="Arial" w:hAnsi="Arial"/>
          <w:sz w:val="17"/>
          <w:szCs w:val="17"/>
          <w:color w:val="auto"/>
        </w:rPr>
        <w:t>Investments received in connection with bankruptcy or reorganization of, or the settlement of delinquent accounts and disputes with, customers and suppliers, in each case in the ordinary course of business.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greater certainty, the Borrowers may elect from time to time to consider Investments as falling within one or more of the categories above and may divide Investments among two or more categories. The restrictions set forth in any subpart of this Section by way of description of Investments shall not be deemed to require that Investments meeting such description be placed in such subpart for purposes of determining compliance with this Section. The accrual of interest, the accretion of accreted value, the accretion of original issue discount, the accretion of liquidation preference and increases in the amount of Investments or other obligations solely as a result of fluctuations in the exchange rate of currencies or increases in the value of such Investments shall not be deemed to be an increase in the amount of any Investment for purposes of this Section.</w:t>
      </w:r>
    </w:p>
    <w:p>
      <w:pPr>
        <w:spacing w:after="0" w:line="16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Asset Sales</w:t>
      </w:r>
      <w:r>
        <w:rPr>
          <w:rFonts w:ascii="Arial" w:cs="Arial" w:eastAsia="Arial" w:hAnsi="Arial"/>
          <w:sz w:val="17"/>
          <w:szCs w:val="17"/>
          <w:color w:val="auto"/>
        </w:rPr>
        <w:t>. No Loan Party will, nor will it permit any Subsidiary (other than Excluded Subsidiaries which are not Loan Parties and Unrestricted Subsidiaries) to, sell, transfer, lease or otherwise dispose of any asset, including any Equity Interest owned by it, nor will any Borrower permit any Subsidiary (other than Excluded Subsidiaries and Unrestricted Subsidiaries) to issue any additional Equity Interest in such Subsidiary (other than to another Loan Party in compliance with Section 6.04), except:</w:t>
      </w:r>
    </w:p>
    <w:p>
      <w:pPr>
        <w:spacing w:after="0" w:line="181" w:lineRule="exact"/>
        <w:rPr>
          <w:sz w:val="20"/>
          <w:szCs w:val="20"/>
          <w:color w:val="auto"/>
        </w:rPr>
      </w:pPr>
    </w:p>
    <w:p>
      <w:pPr>
        <w:ind w:left="1500" w:hanging="361"/>
        <w:spacing w:after="0"/>
        <w:tabs>
          <w:tab w:leader="none" w:pos="1500" w:val="left"/>
        </w:tabs>
        <w:numPr>
          <w:ilvl w:val="0"/>
          <w:numId w:val="102"/>
        </w:numPr>
        <w:rPr>
          <w:rFonts w:ascii="Arial" w:cs="Arial" w:eastAsia="Arial" w:hAnsi="Arial"/>
          <w:sz w:val="19"/>
          <w:szCs w:val="19"/>
          <w:color w:val="auto"/>
        </w:rPr>
      </w:pPr>
      <w:r>
        <w:rPr>
          <w:rFonts w:ascii="Arial" w:cs="Arial" w:eastAsia="Arial" w:hAnsi="Arial"/>
          <w:sz w:val="17"/>
          <w:szCs w:val="17"/>
          <w:color w:val="auto"/>
        </w:rPr>
        <w:t>sales, transfers and dispositions of Inventory in the ordinary course of business;</w:t>
      </w:r>
    </w:p>
    <w:p>
      <w:pPr>
        <w:spacing w:after="0" w:line="210" w:lineRule="exact"/>
        <w:rPr>
          <w:rFonts w:ascii="Arial" w:cs="Arial" w:eastAsia="Arial" w:hAnsi="Arial"/>
          <w:sz w:val="19"/>
          <w:szCs w:val="19"/>
          <w:color w:val="auto"/>
        </w:rPr>
      </w:pPr>
    </w:p>
    <w:p>
      <w:pPr>
        <w:jc w:val="both"/>
        <w:ind w:right="20" w:firstLine="1139"/>
        <w:spacing w:after="0" w:line="277" w:lineRule="auto"/>
        <w:tabs>
          <w:tab w:leader="none" w:pos="1525" w:val="left"/>
        </w:tabs>
        <w:numPr>
          <w:ilvl w:val="0"/>
          <w:numId w:val="102"/>
        </w:numPr>
        <w:rPr>
          <w:rFonts w:ascii="Arial" w:cs="Arial" w:eastAsia="Arial" w:hAnsi="Arial"/>
          <w:sz w:val="19"/>
          <w:szCs w:val="19"/>
          <w:color w:val="auto"/>
        </w:rPr>
      </w:pPr>
      <w:r>
        <w:rPr>
          <w:rFonts w:ascii="Arial" w:cs="Arial" w:eastAsia="Arial" w:hAnsi="Arial"/>
          <w:sz w:val="17"/>
          <w:szCs w:val="17"/>
          <w:color w:val="auto"/>
        </w:rPr>
        <w:t xml:space="preserve">sales, transfers, leases and dispositions by: (i) any U.S. Loan Party to any other U.S. Loan Party, or (ii) any Canadian Loan Party to any other Canadian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this Section 6.05(b), a Canadian Cross-Border Loan Guarantor shall be treated only as a Canadian Loan Party and not as a U.S. Loan Party;</w:t>
      </w:r>
    </w:p>
    <w:p>
      <w:pPr>
        <w:sectPr>
          <w:pgSz w:w="11900" w:h="16862" w:orient="portrait"/>
          <w:cols w:equalWidth="0" w:num="1">
            <w:col w:w="11440"/>
          </w:cols>
          <w:pgMar w:left="240" w:top="149" w:right="219" w:bottom="0" w:gutter="0" w:footer="0" w:header="0"/>
        </w:sectPr>
      </w:pPr>
    </w:p>
    <w:bookmarkStart w:id="62" w:name="page63"/>
    <w:bookmarkEnd w:id="62"/>
    <w:p>
      <w:pPr>
        <w:spacing w:after="0" w:line="32" w:lineRule="exact"/>
        <w:rPr>
          <w:sz w:val="20"/>
          <w:szCs w:val="20"/>
          <w:color w:val="auto"/>
        </w:rPr>
      </w:pPr>
    </w:p>
    <w:p>
      <w:pPr>
        <w:ind w:left="1505" w:hanging="361"/>
        <w:spacing w:after="0"/>
        <w:tabs>
          <w:tab w:leader="none" w:pos="150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of Accounts by the U.S. Borrowers to WESCO Receivables pursuant to the Receivables Securitization Agreements;</w:t>
      </w:r>
    </w:p>
    <w:p>
      <w:pPr>
        <w:spacing w:after="0" w:line="210" w:lineRule="exact"/>
        <w:rPr>
          <w:rFonts w:ascii="Arial" w:cs="Arial" w:eastAsia="Arial" w:hAnsi="Arial"/>
          <w:sz w:val="19"/>
          <w:szCs w:val="19"/>
          <w:color w:val="auto"/>
        </w:rPr>
      </w:pPr>
    </w:p>
    <w:p>
      <w:pPr>
        <w:ind w:left="1525" w:hanging="381"/>
        <w:spacing w:after="0"/>
        <w:tabs>
          <w:tab w:leader="none" w:pos="152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transfers and dispositions of Accounts in connection with the compromise, settlement or collection thereof;</w:t>
      </w:r>
    </w:p>
    <w:p>
      <w:pPr>
        <w:spacing w:after="0" w:line="210" w:lineRule="exact"/>
        <w:rPr>
          <w:rFonts w:ascii="Arial" w:cs="Arial" w:eastAsia="Arial" w:hAnsi="Arial"/>
          <w:sz w:val="19"/>
          <w:szCs w:val="19"/>
          <w:color w:val="auto"/>
        </w:rPr>
      </w:pPr>
    </w:p>
    <w:p>
      <w:pPr>
        <w:ind w:left="1505" w:hanging="361"/>
        <w:spacing w:after="0"/>
        <w:tabs>
          <w:tab w:leader="none" w:pos="150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transfers and dispositions of Permitted Investments and other investments permitted by clause (h) of Section 6.04;</w:t>
      </w:r>
    </w:p>
    <w:p>
      <w:pPr>
        <w:spacing w:after="0" w:line="210" w:lineRule="exact"/>
        <w:rPr>
          <w:rFonts w:ascii="Arial" w:cs="Arial" w:eastAsia="Arial" w:hAnsi="Arial"/>
          <w:sz w:val="19"/>
          <w:szCs w:val="19"/>
          <w:color w:val="auto"/>
        </w:rPr>
      </w:pPr>
    </w:p>
    <w:p>
      <w:pPr>
        <w:ind w:left="1485" w:hanging="341"/>
        <w:spacing w:after="0"/>
        <w:tabs>
          <w:tab w:leader="none" w:pos="148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 and leaseback transactions permitted by Section 6.06;</w:t>
      </w:r>
    </w:p>
    <w:p>
      <w:pPr>
        <w:spacing w:after="0" w:line="210" w:lineRule="exact"/>
        <w:rPr>
          <w:rFonts w:ascii="Arial" w:cs="Arial" w:eastAsia="Arial" w:hAnsi="Arial"/>
          <w:sz w:val="19"/>
          <w:szCs w:val="19"/>
          <w:color w:val="auto"/>
        </w:rPr>
      </w:pPr>
    </w:p>
    <w:p>
      <w:pPr>
        <w:ind w:left="5" w:right="20" w:firstLine="1139"/>
        <w:spacing w:after="0" w:line="281" w:lineRule="auto"/>
        <w:tabs>
          <w:tab w:leader="none" w:pos="156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dispositions resulting from any casualty or other insured damage to, or any taking under power of eminent domain or by condemnation or similar proceeding of, any property or asset of any Borrower or any Restricted Subsidiary;</w:t>
      </w:r>
    </w:p>
    <w:p>
      <w:pPr>
        <w:spacing w:after="0" w:line="170" w:lineRule="exact"/>
        <w:rPr>
          <w:rFonts w:ascii="Arial" w:cs="Arial" w:eastAsia="Arial" w:hAnsi="Arial"/>
          <w:sz w:val="19"/>
          <w:szCs w:val="19"/>
          <w:color w:val="auto"/>
        </w:rPr>
      </w:pPr>
    </w:p>
    <w:p>
      <w:pPr>
        <w:ind w:left="5" w:right="20" w:firstLine="1139"/>
        <w:spacing w:after="0" w:line="281" w:lineRule="auto"/>
        <w:tabs>
          <w:tab w:leader="none" w:pos="156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the licensing, on a non-exclusive basis (other than with respect to licenses of the MaxCell Patents), of patents, trademarks, copyrights, and other intellectual property rights in the ordinary course of business;</w:t>
      </w:r>
    </w:p>
    <w:p>
      <w:pPr>
        <w:spacing w:after="0" w:line="170" w:lineRule="exact"/>
        <w:rPr>
          <w:rFonts w:ascii="Arial" w:cs="Arial" w:eastAsia="Arial" w:hAnsi="Arial"/>
          <w:sz w:val="19"/>
          <w:szCs w:val="19"/>
          <w:color w:val="auto"/>
        </w:rPr>
      </w:pPr>
    </w:p>
    <w:p>
      <w:pPr>
        <w:ind w:left="1485" w:hanging="341"/>
        <w:spacing w:after="0"/>
        <w:tabs>
          <w:tab w:leader="none" w:pos="148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the granting of Permitted Liens;</w:t>
      </w:r>
    </w:p>
    <w:p>
      <w:pPr>
        <w:spacing w:after="0" w:line="210" w:lineRule="exact"/>
        <w:rPr>
          <w:rFonts w:ascii="Arial" w:cs="Arial" w:eastAsia="Arial" w:hAnsi="Arial"/>
          <w:sz w:val="19"/>
          <w:szCs w:val="19"/>
          <w:color w:val="auto"/>
        </w:rPr>
      </w:pPr>
    </w:p>
    <w:p>
      <w:pPr>
        <w:ind w:left="5" w:right="20" w:firstLine="1139"/>
        <w:spacing w:after="0" w:line="281" w:lineRule="auto"/>
        <w:tabs>
          <w:tab w:leader="none" w:pos="153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transfers and dispositions to the extent constituting Investments permitted under Section 6.04 (other than sales of Equity Interests in Loan Parties or in any Parent of any Loan Party);</w:t>
      </w:r>
    </w:p>
    <w:p>
      <w:pPr>
        <w:spacing w:after="0" w:line="170" w:lineRule="exact"/>
        <w:rPr>
          <w:rFonts w:ascii="Arial" w:cs="Arial" w:eastAsia="Arial" w:hAnsi="Arial"/>
          <w:sz w:val="19"/>
          <w:szCs w:val="19"/>
          <w:color w:val="auto"/>
        </w:rPr>
      </w:pPr>
    </w:p>
    <w:p>
      <w:pPr>
        <w:ind w:left="5" w:right="20" w:firstLine="1139"/>
        <w:spacing w:after="0" w:line="281" w:lineRule="auto"/>
        <w:tabs>
          <w:tab w:leader="none" w:pos="156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transfers and other dispositions of real property, equipment or other assets that are damaged, worn out, obsolete or no longer used or useful to the business operations of the Loan Parties;</w:t>
      </w:r>
    </w:p>
    <w:p>
      <w:pPr>
        <w:spacing w:after="0" w:line="170" w:lineRule="exact"/>
        <w:rPr>
          <w:rFonts w:ascii="Arial" w:cs="Arial" w:eastAsia="Arial" w:hAnsi="Arial"/>
          <w:sz w:val="19"/>
          <w:szCs w:val="19"/>
          <w:color w:val="auto"/>
        </w:rPr>
      </w:pPr>
    </w:p>
    <w:p>
      <w:pPr>
        <w:ind w:left="1485" w:hanging="341"/>
        <w:spacing w:after="0"/>
        <w:tabs>
          <w:tab w:leader="none" w:pos="148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sales, transfers and other dispositions of Equity Interests in Excluded Subsidiaries;</w:t>
      </w:r>
    </w:p>
    <w:p>
      <w:pPr>
        <w:spacing w:after="0" w:line="210" w:lineRule="exact"/>
        <w:rPr>
          <w:rFonts w:ascii="Arial" w:cs="Arial" w:eastAsia="Arial" w:hAnsi="Arial"/>
          <w:sz w:val="19"/>
          <w:szCs w:val="19"/>
          <w:color w:val="auto"/>
        </w:rPr>
      </w:pPr>
    </w:p>
    <w:p>
      <w:pPr>
        <w:ind w:left="5" w:firstLine="1139"/>
        <w:spacing w:after="0" w:line="281" w:lineRule="auto"/>
        <w:tabs>
          <w:tab w:leader="none" w:pos="1582" w:val="left"/>
        </w:tabs>
        <w:numPr>
          <w:ilvl w:val="0"/>
          <w:numId w:val="103"/>
        </w:numPr>
        <w:rPr>
          <w:rFonts w:ascii="Arial" w:cs="Arial" w:eastAsia="Arial" w:hAnsi="Arial"/>
          <w:sz w:val="19"/>
          <w:szCs w:val="19"/>
          <w:color w:val="auto"/>
        </w:rPr>
      </w:pPr>
      <w:r>
        <w:rPr>
          <w:rFonts w:ascii="Arial" w:cs="Arial" w:eastAsia="Arial" w:hAnsi="Arial"/>
          <w:sz w:val="17"/>
          <w:szCs w:val="17"/>
          <w:color w:val="auto"/>
        </w:rPr>
        <w:t>any sale, transfer and other disposition of assets (whether in an individual transaction or a series of related transactions) having a fair market value of less than $2,500,000;</w:t>
      </w:r>
    </w:p>
    <w:p>
      <w:pPr>
        <w:spacing w:after="0" w:line="170" w:lineRule="exact"/>
        <w:rPr>
          <w:rFonts w:ascii="Arial" w:cs="Arial" w:eastAsia="Arial" w:hAnsi="Arial"/>
          <w:sz w:val="19"/>
          <w:szCs w:val="19"/>
          <w:color w:val="auto"/>
        </w:rPr>
      </w:pPr>
    </w:p>
    <w:p>
      <w:pPr>
        <w:jc w:val="both"/>
        <w:ind w:left="5" w:firstLine="1139"/>
        <w:spacing w:after="0" w:line="277" w:lineRule="auto"/>
        <w:tabs>
          <w:tab w:leader="none" w:pos="1529" w:val="left"/>
        </w:tabs>
        <w:numPr>
          <w:ilvl w:val="0"/>
          <w:numId w:val="103"/>
        </w:numPr>
        <w:rPr>
          <w:rFonts w:ascii="Arial" w:cs="Arial" w:eastAsia="Arial" w:hAnsi="Arial"/>
          <w:sz w:val="19"/>
          <w:szCs w:val="19"/>
          <w:color w:val="auto"/>
        </w:rPr>
      </w:pPr>
      <w:r>
        <w:rPr>
          <w:rFonts w:ascii="Arial" w:cs="Arial" w:eastAsia="Arial" w:hAnsi="Arial"/>
          <w:sz w:val="17"/>
          <w:szCs w:val="17"/>
          <w:color w:val="auto"/>
        </w:rPr>
        <w:t xml:space="preserve">so long as no Event of Default has occurred and is continuing or would result therefrom, transfers and other dispositions of assets (other than assets constituting Collateral or Equity Interests in Loan Parties or in any Parent of any Loan Party) that are not permitted by any other paragraph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fair market value of all assets sold, transferred or otherwise disposed of in reliance upon this paragraph (n) shall not exceed $35,000,000 during any fiscal year,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subject to the condition set forth at the beginning of this Section 6.05(m), any portion of the basket amount set forth in the foregoing proviso that is not utilized by the Loan Parties in any particular fiscal year may be carried forward and utilized in any subsequent fiscal year;</w:t>
      </w:r>
    </w:p>
    <w:p>
      <w:pPr>
        <w:spacing w:after="0" w:line="180" w:lineRule="exact"/>
        <w:rPr>
          <w:rFonts w:ascii="Arial" w:cs="Arial" w:eastAsia="Arial" w:hAnsi="Arial"/>
          <w:sz w:val="19"/>
          <w:szCs w:val="19"/>
          <w:color w:val="auto"/>
        </w:rPr>
      </w:pPr>
    </w:p>
    <w:p>
      <w:pPr>
        <w:jc w:val="both"/>
        <w:ind w:left="5" w:right="20" w:firstLine="1139"/>
        <w:spacing w:after="0" w:line="277" w:lineRule="auto"/>
        <w:tabs>
          <w:tab w:leader="none" w:pos="1625" w:val="left"/>
        </w:tabs>
        <w:numPr>
          <w:ilvl w:val="0"/>
          <w:numId w:val="103"/>
        </w:numPr>
        <w:rPr>
          <w:rFonts w:ascii="Arial" w:cs="Arial" w:eastAsia="Arial" w:hAnsi="Arial"/>
          <w:sz w:val="19"/>
          <w:szCs w:val="19"/>
          <w:color w:val="auto"/>
        </w:rPr>
      </w:pPr>
      <w:r>
        <w:rPr>
          <w:rFonts w:ascii="Arial" w:cs="Arial" w:eastAsia="Arial" w:hAnsi="Arial"/>
          <w:sz w:val="17"/>
          <w:szCs w:val="17"/>
          <w:color w:val="auto"/>
        </w:rPr>
        <w:t xml:space="preserve">sales of Accounts in connection with factoring arrangements entered into by Loan Parties and non-Affiliates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total amount of all such Accounts sold pursuant to such factoring arrangements shall not exceed $10,000,000 in the aggregate at any one time outstanding;</w:t>
      </w:r>
    </w:p>
    <w:p>
      <w:pPr>
        <w:spacing w:after="0" w:line="178" w:lineRule="exact"/>
        <w:rPr>
          <w:rFonts w:ascii="Arial" w:cs="Arial" w:eastAsia="Arial" w:hAnsi="Arial"/>
          <w:sz w:val="19"/>
          <w:szCs w:val="19"/>
          <w:color w:val="auto"/>
        </w:rPr>
      </w:pPr>
    </w:p>
    <w:p>
      <w:pPr>
        <w:jc w:val="both"/>
        <w:ind w:left="5" w:firstLine="1139"/>
        <w:spacing w:after="0" w:line="277" w:lineRule="auto"/>
        <w:tabs>
          <w:tab w:leader="none" w:pos="1672" w:val="left"/>
        </w:tabs>
        <w:numPr>
          <w:ilvl w:val="0"/>
          <w:numId w:val="103"/>
        </w:numPr>
        <w:rPr>
          <w:rFonts w:ascii="Arial" w:cs="Arial" w:eastAsia="Arial" w:hAnsi="Arial"/>
          <w:sz w:val="19"/>
          <w:szCs w:val="19"/>
          <w:color w:val="auto"/>
        </w:rPr>
      </w:pPr>
      <w:r>
        <w:rPr>
          <w:rFonts w:ascii="Arial" w:cs="Arial" w:eastAsia="Arial" w:hAnsi="Arial"/>
          <w:sz w:val="17"/>
          <w:szCs w:val="17"/>
          <w:color w:val="auto"/>
        </w:rPr>
        <w:t>any sale, transfer, lease or other disposition of non-core assets, including Equity Interests, acquired in connection with a Permitted Acquisition or other Investment permitted by this Agreement to the extent the Borrower Representative identified such assets to the Administrative Agent promptly after such Permitted Acquisition or Investment; and</w:t>
      </w:r>
    </w:p>
    <w:p>
      <w:pPr>
        <w:spacing w:after="0" w:line="178" w:lineRule="exact"/>
        <w:rPr>
          <w:rFonts w:ascii="Arial" w:cs="Arial" w:eastAsia="Arial" w:hAnsi="Arial"/>
          <w:sz w:val="19"/>
          <w:szCs w:val="19"/>
          <w:color w:val="auto"/>
        </w:rPr>
      </w:pPr>
    </w:p>
    <w:p>
      <w:pPr>
        <w:ind w:left="5" w:right="20" w:firstLine="1139"/>
        <w:spacing w:after="0" w:line="281" w:lineRule="auto"/>
        <w:tabs>
          <w:tab w:leader="none" w:pos="1613" w:val="left"/>
        </w:tabs>
        <w:numPr>
          <w:ilvl w:val="0"/>
          <w:numId w:val="103"/>
        </w:numPr>
        <w:rPr>
          <w:rFonts w:ascii="Arial" w:cs="Arial" w:eastAsia="Arial" w:hAnsi="Arial"/>
          <w:sz w:val="19"/>
          <w:szCs w:val="19"/>
          <w:color w:val="auto"/>
        </w:rPr>
      </w:pPr>
      <w:r>
        <w:rPr>
          <w:rFonts w:ascii="Arial" w:cs="Arial" w:eastAsia="Arial" w:hAnsi="Arial"/>
          <w:sz w:val="17"/>
          <w:szCs w:val="17"/>
          <w:color w:val="auto"/>
        </w:rPr>
        <w:t>dispositions of Investments in joint ventures, to the extent required by the agreements between the joint venture parties set forth in the applicable joint venture arrangements and similar binding arrangements;</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sales, transfers, leases and other dispositions permitted hereby (other than those permitted by paragraph (b) above) shall be made for fair value.</w:t>
      </w:r>
    </w:p>
    <w:p>
      <w:pPr>
        <w:spacing w:after="0" w:line="209" w:lineRule="exact"/>
        <w:rPr>
          <w:sz w:val="20"/>
          <w:szCs w:val="20"/>
          <w:color w:val="auto"/>
        </w:rPr>
      </w:pPr>
    </w:p>
    <w:p>
      <w:pPr>
        <w:jc w:val="both"/>
        <w:ind w:left="5" w:firstLine="667"/>
        <w:spacing w:after="0" w:line="284"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Sale and Leaseback Transactions</w:t>
      </w:r>
      <w:r>
        <w:rPr>
          <w:rFonts w:ascii="Arial" w:cs="Arial" w:eastAsia="Arial" w:hAnsi="Arial"/>
          <w:sz w:val="15"/>
          <w:szCs w:val="15"/>
          <w:color w:val="auto"/>
        </w:rPr>
        <w:t>. No Loan Party will, nor will it permit any Subsidiary (other than Excluded Subsidiaries which are not Loan Parties and Unrestricted Subsidiaries) to, directly or indirectly,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 any such sale of any fixed or capital assets by any Borrower or any Restricted Subsidiary that is made for cash consideration in an amount not less than the fair value of such fixed or capital asset and is consummated within 90 days after such Borrower or such Restricted Subsidiary acquires or completes the construction of such fixed or capital asset; and (b) other sales of any fixed or capital assets by any Borrower or any Restricted Subsidiary so long as: (i) no Event of Default has occurred and is continuing at the time of any such sale, or would result therefrom ; and (ii) for the period of thirty</w:t>
      </w:r>
    </w:p>
    <w:p>
      <w:pPr>
        <w:spacing w:after="0" w:line="3" w:lineRule="exact"/>
        <w:rPr>
          <w:sz w:val="20"/>
          <w:szCs w:val="20"/>
          <w:color w:val="auto"/>
        </w:rPr>
      </w:pPr>
    </w:p>
    <w:p>
      <w:pPr>
        <w:jc w:val="both"/>
        <w:ind w:left="5" w:hanging="5"/>
        <w:spacing w:after="0" w:line="267" w:lineRule="auto"/>
        <w:tabs>
          <w:tab w:leader="none" w:pos="35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consecutive days prior to, and as of the date of, such sale of fixed or capital assets, in each case, after giving effect to such sale of fixed or capital assets, Combined Availability exceeds the Combined Availability Trigger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calculating Combined Availability for the thirty day period prior to any such sale of fixed of capital assets for purposes this clause (b), Combined Availability for such thirty day period shall be determined on a pro forma basis, as if such sale had been made on the first day of such period and (B) if at any time during such thirty day period,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w:t>
      </w:r>
    </w:p>
    <w:p>
      <w:pPr>
        <w:spacing w:after="0" w:line="153"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Swap Agreements</w:t>
      </w:r>
      <w:r>
        <w:rPr>
          <w:rFonts w:ascii="Arial" w:cs="Arial" w:eastAsia="Arial" w:hAnsi="Arial"/>
          <w:sz w:val="17"/>
          <w:szCs w:val="17"/>
          <w:color w:val="auto"/>
        </w:rPr>
        <w:t>. No Loan Party will, nor will it permit any Subsidiary (other than Excluded Subsidiaries which are not Loan Parties and Unrestricted Subsidiaries) to, enter into any Swap Agreement, except (a) Swap Agreements entered into to hedge or mitigate risks to which any Loan Party has actual exposure (other than those in respect of Equity Interests of any Loan Party), and (b) Swap Agreements entered into in order to effectively cap, collar or exchange interest rates (from fixed to floating rates, from one floating rate to another floating rate or otherwise) with respect to any interest-bearing liability or investment of any Loan Party.</w:t>
      </w:r>
    </w:p>
    <w:p>
      <w:pPr>
        <w:spacing w:after="0" w:line="161"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Restricted Payments; Certain Payments of Indebtedness</w:t>
      </w:r>
      <w:r>
        <w:rPr>
          <w:rFonts w:ascii="Arial" w:cs="Arial" w:eastAsia="Arial" w:hAnsi="Arial"/>
          <w:sz w:val="17"/>
          <w:szCs w:val="17"/>
          <w:color w:val="auto"/>
        </w:rPr>
        <w:t>. (1) No Loan Party will, nor will it permit any Restricted Subsidiary to, declare, make or pay, directly or indirectly, any Restricted Payment, or incur any obligation (contingent or otherwise) to do so, except</w:t>
      </w:r>
    </w:p>
    <w:p>
      <w:pPr>
        <w:spacing w:after="0" w:line="163" w:lineRule="exact"/>
        <w:rPr>
          <w:sz w:val="20"/>
          <w:szCs w:val="20"/>
          <w:color w:val="auto"/>
        </w:rPr>
      </w:pPr>
    </w:p>
    <w:p>
      <w:pPr>
        <w:jc w:val="both"/>
        <w:ind w:left="565" w:right="20" w:firstLine="579"/>
        <w:spacing w:after="0" w:line="367" w:lineRule="auto"/>
        <w:tabs>
          <w:tab w:leader="none" w:pos="1475" w:val="left"/>
        </w:tabs>
        <w:numPr>
          <w:ilvl w:val="0"/>
          <w:numId w:val="105"/>
        </w:numPr>
        <w:rPr>
          <w:rFonts w:ascii="Arial" w:cs="Arial" w:eastAsia="Arial" w:hAnsi="Arial"/>
          <w:sz w:val="16"/>
          <w:szCs w:val="16"/>
          <w:color w:val="auto"/>
        </w:rPr>
      </w:pPr>
      <w:r>
        <w:rPr>
          <w:rFonts w:ascii="Arial" w:cs="Arial" w:eastAsia="Arial" w:hAnsi="Arial"/>
          <w:sz w:val="15"/>
          <w:szCs w:val="15"/>
          <w:color w:val="auto"/>
        </w:rPr>
        <w:t>each of Holdings and each Restricted Subsidiary may declare and pay dividends with respect to its common stock payable solely in additional shares of its common stock, and, with respect to its preferred stock, payable solely in additional shares of such preferred stock or in shares of its common</w:t>
      </w:r>
    </w:p>
    <w:p>
      <w:pPr>
        <w:sectPr>
          <w:pgSz w:w="11900" w:h="16871" w:orient="portrait"/>
          <w:cols w:equalWidth="0" w:num="1">
            <w:col w:w="11445"/>
          </w:cols>
          <w:pgMar w:left="235" w:top="268" w:right="219" w:bottom="0" w:gutter="0" w:footer="0" w:header="0"/>
        </w:sectPr>
      </w:pPr>
    </w:p>
    <w:bookmarkStart w:id="63" w:name="page64"/>
    <w:bookmarkEnd w:id="63"/>
    <w:p>
      <w:pPr>
        <w:ind w:left="560"/>
        <w:spacing w:after="0"/>
        <w:rPr>
          <w:sz w:val="20"/>
          <w:szCs w:val="20"/>
          <w:color w:val="auto"/>
        </w:rPr>
      </w:pPr>
      <w:r>
        <w:rPr>
          <w:rFonts w:ascii="Arial" w:cs="Arial" w:eastAsia="Arial" w:hAnsi="Arial"/>
          <w:sz w:val="17"/>
          <w:szCs w:val="17"/>
          <w:color w:val="auto"/>
        </w:rPr>
        <w:t>stock;</w:t>
      </w:r>
    </w:p>
    <w:p>
      <w:pPr>
        <w:spacing w:after="0" w:line="233" w:lineRule="exact"/>
        <w:rPr>
          <w:sz w:val="20"/>
          <w:szCs w:val="20"/>
          <w:color w:val="auto"/>
        </w:rPr>
      </w:pPr>
    </w:p>
    <w:p>
      <w:pPr>
        <w:ind w:left="560" w:firstLine="579"/>
        <w:spacing w:after="0" w:line="314" w:lineRule="auto"/>
        <w:tabs>
          <w:tab w:leader="none" w:pos="1535" w:val="left"/>
        </w:tabs>
        <w:numPr>
          <w:ilvl w:val="1"/>
          <w:numId w:val="106"/>
        </w:numPr>
        <w:rPr>
          <w:rFonts w:ascii="Arial" w:cs="Arial" w:eastAsia="Arial" w:hAnsi="Arial"/>
          <w:sz w:val="18"/>
          <w:szCs w:val="18"/>
          <w:color w:val="auto"/>
        </w:rPr>
      </w:pPr>
      <w:r>
        <w:rPr>
          <w:rFonts w:ascii="Arial" w:cs="Arial" w:eastAsia="Arial" w:hAnsi="Arial"/>
          <w:sz w:val="16"/>
          <w:szCs w:val="16"/>
          <w:color w:val="auto"/>
        </w:rPr>
        <w:t xml:space="preserve">any U.S. Loan Guarantor may make dividends to any other U.S. Loan Guarantor or to any U.S.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Section 6.08(a)(ii), a Canadian Cross-Border Loan Guarantor shall be treated only as a Canadian Loan Party and not as a U.S. Loan Guarantor;</w:t>
      </w:r>
    </w:p>
    <w:p>
      <w:pPr>
        <w:spacing w:after="0" w:line="143" w:lineRule="exact"/>
        <w:rPr>
          <w:rFonts w:ascii="Arial" w:cs="Arial" w:eastAsia="Arial" w:hAnsi="Arial"/>
          <w:sz w:val="18"/>
          <w:szCs w:val="18"/>
          <w:color w:val="auto"/>
        </w:rPr>
      </w:pPr>
    </w:p>
    <w:p>
      <w:pPr>
        <w:ind w:left="1580" w:hanging="441"/>
        <w:spacing w:after="0"/>
        <w:tabs>
          <w:tab w:leader="none" w:pos="1580" w:val="left"/>
        </w:tabs>
        <w:numPr>
          <w:ilvl w:val="1"/>
          <w:numId w:val="106"/>
        </w:numPr>
        <w:rPr>
          <w:rFonts w:ascii="Arial" w:cs="Arial" w:eastAsia="Arial" w:hAnsi="Arial"/>
          <w:sz w:val="19"/>
          <w:szCs w:val="19"/>
          <w:color w:val="auto"/>
        </w:rPr>
      </w:pPr>
      <w:r>
        <w:rPr>
          <w:rFonts w:ascii="Arial" w:cs="Arial" w:eastAsia="Arial" w:hAnsi="Arial"/>
          <w:sz w:val="17"/>
          <w:szCs w:val="17"/>
          <w:color w:val="auto"/>
        </w:rPr>
        <w:t>any U.S. Borrower may make dividends to any other U.S. Loan Party that is its direct or indirect parent;</w:t>
      </w:r>
    </w:p>
    <w:p>
      <w:pPr>
        <w:spacing w:after="0" w:line="210" w:lineRule="exact"/>
        <w:rPr>
          <w:rFonts w:ascii="Arial" w:cs="Arial" w:eastAsia="Arial" w:hAnsi="Arial"/>
          <w:sz w:val="19"/>
          <w:szCs w:val="19"/>
          <w:color w:val="auto"/>
        </w:rPr>
      </w:pPr>
    </w:p>
    <w:p>
      <w:pPr>
        <w:jc w:val="both"/>
        <w:ind w:left="560" w:firstLine="579"/>
        <w:spacing w:after="0" w:line="277" w:lineRule="auto"/>
        <w:tabs>
          <w:tab w:leader="none" w:pos="1578" w:val="left"/>
        </w:tabs>
        <w:numPr>
          <w:ilvl w:val="1"/>
          <w:numId w:val="106"/>
        </w:numPr>
        <w:rPr>
          <w:rFonts w:ascii="Arial" w:cs="Arial" w:eastAsia="Arial" w:hAnsi="Arial"/>
          <w:sz w:val="19"/>
          <w:szCs w:val="19"/>
          <w:color w:val="auto"/>
        </w:rPr>
      </w:pPr>
      <w:r>
        <w:rPr>
          <w:rFonts w:ascii="Arial" w:cs="Arial" w:eastAsia="Arial" w:hAnsi="Arial"/>
          <w:sz w:val="17"/>
          <w:szCs w:val="17"/>
          <w:color w:val="auto"/>
        </w:rPr>
        <w:t xml:space="preserve">any Canadian Loan Party (other than a Canadian Borrower) may make dividends to any other Canadian Loan Party or any U.S.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Section 6.08(a)(iv), a Canadian Cross-Border Loan Guarantor shall be treated only as a Canadian Loan Party and not as a U.S. Loan Party;</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584" w:val="left"/>
        </w:tabs>
        <w:numPr>
          <w:ilvl w:val="1"/>
          <w:numId w:val="106"/>
        </w:numPr>
        <w:rPr>
          <w:rFonts w:ascii="Arial" w:cs="Arial" w:eastAsia="Arial" w:hAnsi="Arial"/>
          <w:sz w:val="19"/>
          <w:szCs w:val="19"/>
          <w:color w:val="auto"/>
        </w:rPr>
      </w:pPr>
      <w:r>
        <w:rPr>
          <w:rFonts w:ascii="Arial" w:cs="Arial" w:eastAsia="Arial" w:hAnsi="Arial"/>
          <w:sz w:val="17"/>
          <w:szCs w:val="17"/>
          <w:color w:val="auto"/>
        </w:rPr>
        <w:t>any Foreign Subsidiary which is a Restricted Subsidiary may make dividends (A) to any other Foreign Subsidiary which is a Restricted Subsidiary or (B) to any Loan Party;</w:t>
      </w:r>
    </w:p>
    <w:p>
      <w:pPr>
        <w:spacing w:after="0" w:line="170" w:lineRule="exact"/>
        <w:rPr>
          <w:rFonts w:ascii="Arial" w:cs="Arial" w:eastAsia="Arial" w:hAnsi="Arial"/>
          <w:sz w:val="19"/>
          <w:szCs w:val="19"/>
          <w:color w:val="auto"/>
        </w:rPr>
      </w:pPr>
    </w:p>
    <w:p>
      <w:pPr>
        <w:jc w:val="both"/>
        <w:ind w:left="560" w:firstLine="579"/>
        <w:spacing w:after="0" w:line="277" w:lineRule="auto"/>
        <w:tabs>
          <w:tab w:leader="none" w:pos="1613" w:val="left"/>
        </w:tabs>
        <w:numPr>
          <w:ilvl w:val="1"/>
          <w:numId w:val="106"/>
        </w:numPr>
        <w:rPr>
          <w:rFonts w:ascii="Arial" w:cs="Arial" w:eastAsia="Arial" w:hAnsi="Arial"/>
          <w:sz w:val="19"/>
          <w:szCs w:val="19"/>
          <w:color w:val="auto"/>
        </w:rPr>
      </w:pPr>
      <w:r>
        <w:rPr>
          <w:rFonts w:ascii="Arial" w:cs="Arial" w:eastAsia="Arial" w:hAnsi="Arial"/>
          <w:sz w:val="17"/>
          <w:szCs w:val="17"/>
          <w:color w:val="auto"/>
        </w:rPr>
        <w:t xml:space="preserve">any Restricted Subsidiary may make dividends to any direct holder of its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any Intermediate Holding Company receives any dividend at any time, substantially contemporaneously with its receipt of such dividend, such Intermediate Holding Company shall use all of the proceeds thereof to make a dividend to a Loan Party or to another Intermediate Holding Company and (B) Holdings may not make any Restricted Payments other than as provided in clause (vii) or (viii) of this Section 6.08(a);</w:t>
      </w:r>
    </w:p>
    <w:p>
      <w:pPr>
        <w:spacing w:after="0" w:line="179" w:lineRule="exact"/>
        <w:rPr>
          <w:rFonts w:ascii="Arial" w:cs="Arial" w:eastAsia="Arial" w:hAnsi="Arial"/>
          <w:sz w:val="19"/>
          <w:szCs w:val="19"/>
          <w:color w:val="auto"/>
        </w:rPr>
      </w:pPr>
    </w:p>
    <w:p>
      <w:pPr>
        <w:jc w:val="both"/>
        <w:ind w:left="560" w:firstLine="579"/>
        <w:spacing w:after="0" w:line="283" w:lineRule="auto"/>
        <w:tabs>
          <w:tab w:leader="none" w:pos="1702" w:val="left"/>
        </w:tabs>
        <w:numPr>
          <w:ilvl w:val="1"/>
          <w:numId w:val="106"/>
        </w:numPr>
        <w:rPr>
          <w:rFonts w:ascii="Arial" w:cs="Arial" w:eastAsia="Arial" w:hAnsi="Arial"/>
          <w:sz w:val="18"/>
          <w:szCs w:val="18"/>
          <w:color w:val="auto"/>
        </w:rPr>
      </w:pPr>
      <w:r>
        <w:rPr>
          <w:rFonts w:ascii="Arial" w:cs="Arial" w:eastAsia="Arial" w:hAnsi="Arial"/>
          <w:sz w:val="16"/>
          <w:szCs w:val="16"/>
          <w:color w:val="auto"/>
        </w:rPr>
        <w:t>Holdings may make dividends to the holders of Equity Interests in Holdings and may repurchase its Equity Interests and outstanding Indebtedness (in public or private transactions, including tender and exchange offers and the Loan Parties and their Subsidiaries may make Restricted Payments to Holdings, or to such entity’s respective equity holders, for the purpose of funding such dividends and repurchases) so long as, in each case,</w:t>
      </w:r>
    </w:p>
    <w:p>
      <w:pPr>
        <w:spacing w:after="0" w:line="1" w:lineRule="exact"/>
        <w:rPr>
          <w:rFonts w:ascii="Arial" w:cs="Arial" w:eastAsia="Arial" w:hAnsi="Arial"/>
          <w:sz w:val="18"/>
          <w:szCs w:val="18"/>
          <w:color w:val="auto"/>
        </w:rPr>
      </w:pPr>
    </w:p>
    <w:p>
      <w:pPr>
        <w:jc w:val="both"/>
        <w:ind w:left="560" w:firstLine="7"/>
        <w:spacing w:after="0" w:line="319" w:lineRule="auto"/>
        <w:tabs>
          <w:tab w:leader="none" w:pos="85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such dividends and repurchases are made in accordance with applicable law; (B) no Event of Default has occurred and is continuing or would result after giving effect to any such dividend or repurchase; (C) for the period of thirty (30) consecutive days prior to, and as of the date of, such dividend or repurchase, in each case, after giving effect to such dividend or repurchase (and any Revolving Loans or loans, transfers or sales under the Receivables Securitization Agreements made to fund such dividend or repurchase), Combined Availability exceeds the Combined Availability Trigger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in calculating Combined Availability for the thirty day period prior to the such dividend or repurchase for purposes of this clause (C), Combined Availability for such thirty day period shall be determined on a pro forma basis, as if dividend or repurchase (and any Revolving Loans or loans, transfers or sales under the Receivables Securitization Agreements made to fund such dividend or repurchase) had been made on the first day of such period and (y) if at any time during such thirty day period, Combined Availability shall be less than the Combined Availability Trigger Amount and (1)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(2)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and (D) the Borrower Representative shall have delivered to the Administrative Agent a written certification as to (and reasonably detailed calculations of) Combined Availability demonstrating compliance with the foregoing clause (C), which certification and calculations shall be reasonably satisfactory in form and substance to the Administrative Agent;</w:t>
      </w:r>
    </w:p>
    <w:p>
      <w:pPr>
        <w:spacing w:after="0" w:line="382" w:lineRule="exact"/>
        <w:rPr>
          <w:rFonts w:ascii="Arial" w:cs="Arial" w:eastAsia="Arial" w:hAnsi="Arial"/>
          <w:sz w:val="15"/>
          <w:szCs w:val="15"/>
          <w:color w:val="auto"/>
        </w:rPr>
      </w:pPr>
    </w:p>
    <w:p>
      <w:pPr>
        <w:jc w:val="both"/>
        <w:ind w:left="560" w:right="20" w:firstLine="579"/>
        <w:spacing w:after="0" w:line="277" w:lineRule="auto"/>
        <w:tabs>
          <w:tab w:leader="none" w:pos="1672" w:val="left"/>
        </w:tabs>
        <w:numPr>
          <w:ilvl w:val="1"/>
          <w:numId w:val="107"/>
        </w:numPr>
        <w:rPr>
          <w:rFonts w:ascii="Arial" w:cs="Arial" w:eastAsia="Arial" w:hAnsi="Arial"/>
          <w:sz w:val="19"/>
          <w:szCs w:val="19"/>
          <w:color w:val="auto"/>
        </w:rPr>
      </w:pPr>
      <w:r>
        <w:rPr>
          <w:rFonts w:ascii="Arial" w:cs="Arial" w:eastAsia="Arial" w:hAnsi="Arial"/>
          <w:sz w:val="17"/>
          <w:szCs w:val="17"/>
          <w:color w:val="auto"/>
        </w:rPr>
        <w:t>Holdings may declare and pay dividends (in addition to those made in reliance upon any other clause of this Section 6.08(a)) to the holders of Equity Interests in Holdings in an aggregate amount not to exceed $10,000,000 per fiscal year, so long as no Event of Default has occurred and is continuing or would result after giving effect to the declaration and payment of such dividends; and</w:t>
      </w:r>
    </w:p>
    <w:p>
      <w:pPr>
        <w:spacing w:after="0" w:line="178" w:lineRule="exact"/>
        <w:rPr>
          <w:rFonts w:ascii="Arial" w:cs="Arial" w:eastAsia="Arial" w:hAnsi="Arial"/>
          <w:sz w:val="19"/>
          <w:szCs w:val="19"/>
          <w:color w:val="auto"/>
        </w:rPr>
      </w:pPr>
    </w:p>
    <w:p>
      <w:pPr>
        <w:ind w:left="560" w:right="20" w:firstLine="579"/>
        <w:spacing w:after="0" w:line="281" w:lineRule="auto"/>
        <w:tabs>
          <w:tab w:leader="none" w:pos="1661" w:val="left"/>
        </w:tabs>
        <w:numPr>
          <w:ilvl w:val="1"/>
          <w:numId w:val="107"/>
        </w:numPr>
        <w:rPr>
          <w:rFonts w:ascii="Arial" w:cs="Arial" w:eastAsia="Arial" w:hAnsi="Arial"/>
          <w:sz w:val="19"/>
          <w:szCs w:val="19"/>
          <w:color w:val="auto"/>
        </w:rPr>
      </w:pPr>
      <w:r>
        <w:rPr>
          <w:rFonts w:ascii="Arial" w:cs="Arial" w:eastAsia="Arial" w:hAnsi="Arial"/>
          <w:sz w:val="17"/>
          <w:szCs w:val="17"/>
          <w:color w:val="auto"/>
        </w:rPr>
        <w:t>each Loan Party may grant Equity Interests in the ordinary course of business to employees, directors and contractors and make any payments related to such Equity Interests in the ordinary course of business.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greater certainty, the Borrowers may elect from time to time to consider Restricted Payments as falling within one or more of the categories above and may divide Restricted Payments among two or more categories. The restrictions set forth in any subpart of this Section by way of description of any Restricted Payments shall not be deemed to require that any Restricted Payments meeting such description be placed in such subpart for purposes of determining compliance with this Section.</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The restrictions set forth above shall not operate to prevent the making of dividends or repurchases previously declared by Holdings so long as (x) at the declaration date, such dividend or repurchase was permitted by the foregoing and (y) such dividend or repurchase is consummated within the earlier of 60 days and any date under applicable law on which such dividend or repurchase must be consummated.</w:t>
      </w:r>
    </w:p>
    <w:p>
      <w:pPr>
        <w:spacing w:after="0" w:line="177" w:lineRule="exact"/>
        <w:rPr>
          <w:sz w:val="20"/>
          <w:szCs w:val="20"/>
          <w:color w:val="auto"/>
        </w:rPr>
      </w:pPr>
    </w:p>
    <w:p>
      <w:pPr>
        <w:jc w:val="both"/>
        <w:ind w:firstLine="1139"/>
        <w:spacing w:after="0" w:line="277" w:lineRule="auto"/>
        <w:tabs>
          <w:tab w:leader="none" w:pos="1562" w:val="left"/>
        </w:tabs>
        <w:numPr>
          <w:ilvl w:val="0"/>
          <w:numId w:val="108"/>
        </w:numPr>
        <w:rPr>
          <w:rFonts w:ascii="Arial" w:cs="Arial" w:eastAsia="Arial" w:hAnsi="Arial"/>
          <w:sz w:val="19"/>
          <w:szCs w:val="19"/>
          <w:color w:val="auto"/>
        </w:rPr>
      </w:pPr>
      <w:r>
        <w:rPr>
          <w:rFonts w:ascii="Arial" w:cs="Arial" w:eastAsia="Arial" w:hAnsi="Arial"/>
          <w:sz w:val="17"/>
          <w:szCs w:val="17"/>
          <w:color w:val="auto"/>
        </w:rPr>
        <w:t>No Loan Party will, nor will it permit any Subsidiary (other than (i) Unrestricted Subsidiaries or (ii) Excluded Subsidiaries which are not Loan Parties) to,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9" w:lineRule="exact"/>
        <w:rPr>
          <w:sz w:val="20"/>
          <w:szCs w:val="20"/>
          <w:color w:val="auto"/>
        </w:rPr>
      </w:pPr>
    </w:p>
    <w:p>
      <w:pPr>
        <w:ind w:left="1480" w:hanging="341"/>
        <w:spacing w:after="0"/>
        <w:tabs>
          <w:tab w:leader="none" w:pos="1480" w:val="left"/>
        </w:tabs>
        <w:numPr>
          <w:ilvl w:val="0"/>
          <w:numId w:val="109"/>
        </w:numPr>
        <w:rPr>
          <w:rFonts w:ascii="Arial" w:cs="Arial" w:eastAsia="Arial" w:hAnsi="Arial"/>
          <w:sz w:val="19"/>
          <w:szCs w:val="19"/>
          <w:color w:val="auto"/>
        </w:rPr>
      </w:pPr>
      <w:r>
        <w:rPr>
          <w:rFonts w:ascii="Arial" w:cs="Arial" w:eastAsia="Arial" w:hAnsi="Arial"/>
          <w:sz w:val="17"/>
          <w:szCs w:val="17"/>
          <w:color w:val="auto"/>
        </w:rPr>
        <w:t>payment of Indebtedness created under the Loan Documents;</w:t>
      </w:r>
    </w:p>
    <w:p>
      <w:pPr>
        <w:spacing w:after="0" w:line="210" w:lineRule="exact"/>
        <w:rPr>
          <w:rFonts w:ascii="Arial" w:cs="Arial" w:eastAsia="Arial" w:hAnsi="Arial"/>
          <w:sz w:val="19"/>
          <w:szCs w:val="19"/>
          <w:color w:val="auto"/>
        </w:rPr>
      </w:pPr>
    </w:p>
    <w:p>
      <w:pPr>
        <w:ind w:left="560" w:right="20" w:firstLine="579"/>
        <w:spacing w:after="0" w:line="281" w:lineRule="auto"/>
        <w:tabs>
          <w:tab w:leader="none" w:pos="1583" w:val="left"/>
        </w:tabs>
        <w:numPr>
          <w:ilvl w:val="0"/>
          <w:numId w:val="109"/>
        </w:numPr>
        <w:rPr>
          <w:rFonts w:ascii="Arial" w:cs="Arial" w:eastAsia="Arial" w:hAnsi="Arial"/>
          <w:sz w:val="19"/>
          <w:szCs w:val="19"/>
          <w:color w:val="auto"/>
        </w:rPr>
      </w:pPr>
      <w:r>
        <w:rPr>
          <w:rFonts w:ascii="Arial" w:cs="Arial" w:eastAsia="Arial" w:hAnsi="Arial"/>
          <w:sz w:val="17"/>
          <w:szCs w:val="17"/>
          <w:color w:val="auto"/>
        </w:rPr>
        <w:t>payment of regularly scheduled interest and principal payments as and when due in respect of any Indebtedness, other than payments in respect of the Subordinated Indebtedness prohibited by the subordination provisions thereof;</w:t>
      </w:r>
    </w:p>
    <w:p>
      <w:pPr>
        <w:spacing w:after="0" w:line="170" w:lineRule="exact"/>
        <w:rPr>
          <w:rFonts w:ascii="Arial" w:cs="Arial" w:eastAsia="Arial" w:hAnsi="Arial"/>
          <w:sz w:val="19"/>
          <w:szCs w:val="19"/>
          <w:color w:val="auto"/>
        </w:rPr>
      </w:pPr>
    </w:p>
    <w:p>
      <w:pPr>
        <w:ind w:left="1580" w:hanging="441"/>
        <w:spacing w:after="0"/>
        <w:tabs>
          <w:tab w:leader="none" w:pos="1580" w:val="left"/>
        </w:tabs>
        <w:numPr>
          <w:ilvl w:val="0"/>
          <w:numId w:val="109"/>
        </w:numPr>
        <w:rPr>
          <w:rFonts w:ascii="Arial" w:cs="Arial" w:eastAsia="Arial" w:hAnsi="Arial"/>
          <w:sz w:val="19"/>
          <w:szCs w:val="19"/>
          <w:color w:val="auto"/>
        </w:rPr>
      </w:pPr>
      <w:r>
        <w:rPr>
          <w:rFonts w:ascii="Arial" w:cs="Arial" w:eastAsia="Arial" w:hAnsi="Arial"/>
          <w:sz w:val="17"/>
          <w:szCs w:val="17"/>
          <w:color w:val="auto"/>
        </w:rPr>
        <w:t>refinancings of Indebtedness to the extent permitted by Section 6.01;</w:t>
      </w:r>
    </w:p>
    <w:p>
      <w:pPr>
        <w:spacing w:after="0" w:line="210" w:lineRule="exact"/>
        <w:rPr>
          <w:rFonts w:ascii="Arial" w:cs="Arial" w:eastAsia="Arial" w:hAnsi="Arial"/>
          <w:sz w:val="19"/>
          <w:szCs w:val="19"/>
          <w:color w:val="auto"/>
        </w:rPr>
      </w:pPr>
    </w:p>
    <w:p>
      <w:pPr>
        <w:ind w:left="1660" w:hanging="521"/>
        <w:spacing w:after="0"/>
        <w:tabs>
          <w:tab w:leader="none" w:pos="1660" w:val="left"/>
        </w:tabs>
        <w:numPr>
          <w:ilvl w:val="0"/>
          <w:numId w:val="109"/>
        </w:numPr>
        <w:rPr>
          <w:rFonts w:ascii="Arial" w:cs="Arial" w:eastAsia="Arial" w:hAnsi="Arial"/>
          <w:sz w:val="18"/>
          <w:szCs w:val="18"/>
          <w:color w:val="auto"/>
        </w:rPr>
      </w:pPr>
      <w:r>
        <w:rPr>
          <w:rFonts w:ascii="Arial" w:cs="Arial" w:eastAsia="Arial" w:hAnsi="Arial"/>
          <w:sz w:val="16"/>
          <w:szCs w:val="16"/>
          <w:color w:val="auto"/>
        </w:rPr>
        <w:t>payment of secured Indebtedness that becomes due as a result of the voluntary sale or transfer of the property or assets securing such</w:t>
      </w:r>
    </w:p>
    <w:p>
      <w:pPr>
        <w:spacing w:after="0" w:line="1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Indebtedness;</w:t>
      </w:r>
    </w:p>
    <w:p>
      <w:pPr>
        <w:spacing w:after="0" w:line="233" w:lineRule="exact"/>
        <w:rPr>
          <w:rFonts w:ascii="Arial" w:cs="Arial" w:eastAsia="Arial" w:hAnsi="Arial"/>
          <w:sz w:val="18"/>
          <w:szCs w:val="18"/>
          <w:color w:val="auto"/>
        </w:rPr>
      </w:pPr>
    </w:p>
    <w:p>
      <w:pPr>
        <w:jc w:val="both"/>
        <w:ind w:left="560" w:right="20" w:firstLine="579"/>
        <w:spacing w:after="0" w:line="277" w:lineRule="auto"/>
        <w:tabs>
          <w:tab w:leader="none" w:pos="1561" w:val="left"/>
        </w:tabs>
        <w:numPr>
          <w:ilvl w:val="0"/>
          <w:numId w:val="109"/>
        </w:numPr>
        <w:rPr>
          <w:rFonts w:ascii="Arial" w:cs="Arial" w:eastAsia="Arial" w:hAnsi="Arial"/>
          <w:sz w:val="19"/>
          <w:szCs w:val="19"/>
          <w:color w:val="auto"/>
        </w:rPr>
      </w:pPr>
      <w:r>
        <w:rPr>
          <w:rFonts w:ascii="Arial" w:cs="Arial" w:eastAsia="Arial" w:hAnsi="Arial"/>
          <w:sz w:val="17"/>
          <w:szCs w:val="17"/>
          <w:color w:val="auto"/>
        </w:rPr>
        <w:t xml:space="preserve">payment of Indebtedness owed by a Loan Party or Restricted Subsidiary of a Loan Party to any other Loan Party or Subsidiary of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Indebtedness is permitted by Section 6.01 and (B) no Loan Party shall be permitted to make any payment in respect of any Indebtedness to any Subsidiary which is not a Loan Party if (x) an Event of Default has occurred and is continuing or would result therefrom or (y) such payment would be prohibited by the subordination provisions of such Indebtedness;</w:t>
      </w:r>
    </w:p>
    <w:p>
      <w:pPr>
        <w:sectPr>
          <w:pgSz w:w="11900" w:h="16838" w:orient="portrait"/>
          <w:cols w:equalWidth="0" w:num="1">
            <w:col w:w="11440"/>
          </w:cols>
          <w:pgMar w:left="240" w:top="137" w:right="219" w:bottom="0" w:gutter="0" w:footer="0" w:header="0"/>
        </w:sectPr>
      </w:pPr>
    </w:p>
    <w:bookmarkStart w:id="64" w:name="page65"/>
    <w:bookmarkEnd w:id="64"/>
    <w:p>
      <w:pPr>
        <w:jc w:val="both"/>
        <w:ind w:left="560" w:firstLine="579"/>
        <w:spacing w:after="0" w:line="296" w:lineRule="auto"/>
        <w:tabs>
          <w:tab w:leader="none" w:pos="1625" w:val="left"/>
        </w:tabs>
        <w:numPr>
          <w:ilvl w:val="0"/>
          <w:numId w:val="110"/>
        </w:numPr>
        <w:rPr>
          <w:rFonts w:ascii="Arial" w:cs="Arial" w:eastAsia="Arial" w:hAnsi="Arial"/>
          <w:sz w:val="18"/>
          <w:szCs w:val="18"/>
          <w:color w:val="auto"/>
        </w:rPr>
      </w:pPr>
      <w:r>
        <w:rPr>
          <w:rFonts w:ascii="Arial" w:cs="Arial" w:eastAsia="Arial" w:hAnsi="Arial"/>
          <w:sz w:val="16"/>
          <w:szCs w:val="16"/>
          <w:color w:val="auto"/>
        </w:rPr>
        <w:t>payment of Indebtedness of a Loan Party or Restricted Subsidiary so long as (A) no Event of Default has occurred and is continuing or would result after giving effect to any such payment; (B) for the period of thirty (30) consecutive days prior to, and as of the date of, such payment, in each case, after giving effect to such payment (and any Revolving Loans or loans, transfers or sales under the Receivables Securitization Agreements made to fund such payment), Combined Availability exceeds the Combined Availability Trigger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calculating Combined Availability for the thirty day period prior to the making of such payment for purposes of this clause (B), Combined Availability for such thirty day period shall be determined on a pro forma basis, as if such payment (and any Revolving Loans or loans, transfers or sales under the Receivables Securitization Agreements made to fund such payment) had been made on the first day of such period and (y) if at any time during such thirty day period, Combined Availability shall be less than the Combined Availability Trigger Amount and (1)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(2) the Aggregate Revolving Commitments are increased pursuant to Section 2.09(e) hereof or the Securitization Purchase Limit is increased pursuant to the Receivables Securitization Agreements, for purposes of determining whether the Borrowers have met the foregoing test,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and (C) the Borrower Representative shall have delivered to the Administrative Agent a written certification as to (and reasonably detailed calculations of) Combined Availability demonstrating compliance with the foregoing clause (B), which certification and calculations shall be reasonably satisfactory in form and substance to the Administrative Agent;</w:t>
      </w:r>
    </w:p>
    <w:p>
      <w:pPr>
        <w:spacing w:after="0" w:line="164" w:lineRule="exact"/>
        <w:rPr>
          <w:rFonts w:ascii="Arial" w:cs="Arial" w:eastAsia="Arial" w:hAnsi="Arial"/>
          <w:sz w:val="18"/>
          <w:szCs w:val="18"/>
          <w:color w:val="auto"/>
        </w:rPr>
      </w:pPr>
    </w:p>
    <w:p>
      <w:pPr>
        <w:jc w:val="both"/>
        <w:ind w:left="560" w:right="20" w:firstLine="579"/>
        <w:spacing w:after="0" w:line="277" w:lineRule="auto"/>
        <w:tabs>
          <w:tab w:leader="none" w:pos="1666" w:val="left"/>
        </w:tabs>
        <w:numPr>
          <w:ilvl w:val="0"/>
          <w:numId w:val="110"/>
        </w:numPr>
        <w:rPr>
          <w:rFonts w:ascii="Arial" w:cs="Arial" w:eastAsia="Arial" w:hAnsi="Arial"/>
          <w:sz w:val="19"/>
          <w:szCs w:val="19"/>
          <w:color w:val="auto"/>
        </w:rPr>
      </w:pPr>
      <w:r>
        <w:rPr>
          <w:rFonts w:ascii="Arial" w:cs="Arial" w:eastAsia="Arial" w:hAnsi="Arial"/>
          <w:sz w:val="17"/>
          <w:szCs w:val="17"/>
          <w:color w:val="auto"/>
        </w:rPr>
        <w:t>mandatory prepayments of principal under and in accordance with the Term Loan Agreement in respect of excess cash flow, asset sales, issuance of unpermitted indebtedness and insurance and condemnation events to the extent such payments would not violate the terms of ABL-Term Loan Intercreditor Agreement; and</w:t>
      </w:r>
    </w:p>
    <w:p>
      <w:pPr>
        <w:spacing w:after="0" w:line="178" w:lineRule="exact"/>
        <w:rPr>
          <w:rFonts w:ascii="Arial" w:cs="Arial" w:eastAsia="Arial" w:hAnsi="Arial"/>
          <w:sz w:val="19"/>
          <w:szCs w:val="19"/>
          <w:color w:val="auto"/>
        </w:rPr>
      </w:pPr>
    </w:p>
    <w:p>
      <w:pPr>
        <w:jc w:val="both"/>
        <w:ind w:left="560" w:firstLine="579"/>
        <w:spacing w:after="0" w:line="277" w:lineRule="auto"/>
        <w:tabs>
          <w:tab w:leader="none" w:pos="1672" w:val="left"/>
        </w:tabs>
        <w:numPr>
          <w:ilvl w:val="0"/>
          <w:numId w:val="110"/>
        </w:numPr>
        <w:rPr>
          <w:rFonts w:ascii="Arial" w:cs="Arial" w:eastAsia="Arial" w:hAnsi="Arial"/>
          <w:sz w:val="19"/>
          <w:szCs w:val="19"/>
          <w:color w:val="auto"/>
        </w:rPr>
      </w:pPr>
      <w:r>
        <w:rPr>
          <w:rFonts w:ascii="Arial" w:cs="Arial" w:eastAsia="Arial" w:hAnsi="Arial"/>
          <w:sz w:val="17"/>
          <w:szCs w:val="17"/>
          <w:color w:val="auto"/>
        </w:rPr>
        <w:t>payments and prepayments of Indebtedness (other than those made in reliance on any other paragraph of this Section 6.08) in an aggregate amount not to exceed $35,000,000 per fiscal year, so long as no Event of Default has occurred and is continuing or would result after giving effect to any such payment or prepayment.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greater certainty, the Borrowers may elect from time to time to consider payments in respective of Indebtedness as falling within one or more of the categories above and may divide such payments among two or more categories. The restrictions set forth in any subpart of this Section by way of description of any such payments shall not be deemed to require that any payments meeting such description be placed in such subpart for purposes of determining compliance with this Section.</w:t>
      </w:r>
    </w:p>
    <w:p>
      <w:pPr>
        <w:spacing w:after="0" w:line="157"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otherwise permitted by this Agreement, no Loan Party will, nor will it permit any Restricted Subsidiary to, sell, lease or otherwise transfer any property or assets to, or purchase, lease or otherwise acquire any property or assets from, or otherwise engage in any other transactions with, any of its Affiliates, except (a) transactions that are on terms and conditions, when taken as a whole, not less favorable to such Loan Party or such Restricted Subsidiary than could be obtained on an arm’s-length basis from unrelated third parties, (b) transactions between or among: (i) any U.S. Loan Parties; or (ii) any Canadian Loan Parties (provided that, for purposes of this clause (b), a Canadian Cross-Border Loan Guarantor shall be treated only as a Canadian Loan Party and not as a U.S. Loan Party), (c) investments permitted by Section 6.04, (d) Indebtedness permitted under Section 6.01, (e) asset sales (including sale and lease back transactions permitted by Section 6.06) permitted by Section 6.05; (f) Restricted Payments permitted by Section 6.08, (f) loans or advances to employees permitted under Section 6.04, (g) the payment of reasonable fees to directors of any Loan Party who are not employees of such Loan Party, and compensation and employee benefit arrangements paid to, and indemnities provided for the benefit of, directors, officers or employees of the Loan Parties in the ordinary course of business and (h) any issuances of securities or other payments, awards or grants in cash, securities or otherwise pursuant to, or the funding of, employment agreements, stock options and stock ownership plans approved by a Loan Party’s board of directors.</w:t>
      </w:r>
    </w:p>
    <w:p>
      <w:pPr>
        <w:spacing w:after="0" w:line="150" w:lineRule="exact"/>
        <w:rPr>
          <w:sz w:val="20"/>
          <w:szCs w:val="20"/>
          <w:color w:val="auto"/>
        </w:rPr>
      </w:pPr>
    </w:p>
    <w:p>
      <w:pPr>
        <w:jc w:val="both"/>
        <w:ind w:firstLine="572"/>
        <w:spacing w:after="0" w:line="26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of its Restricted Subsidiaries to create, incur or permit to exist any Lien upon any the Collateral, or (b) the ability of any Restricted Subsidiary to pay dividends or other distributions with respect to any shares of its capital stock or to make or repay loans or advances to any Borrower or any other Subsidiary or to Guarantee Indebtedness of any Borrower 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law or by any Loan Document, (ii) the foregoing shall not apply to restrictions and conditions existing on the Second Restatement Date with respect to documents identified on </w:t>
      </w:r>
      <w:r>
        <w:rPr>
          <w:rFonts w:ascii="Arial" w:cs="Arial" w:eastAsia="Arial" w:hAnsi="Arial"/>
          <w:sz w:val="16"/>
          <w:szCs w:val="16"/>
          <w:u w:val="single" w:color="auto"/>
          <w:color w:val="auto"/>
        </w:rPr>
        <w:t>Schedule 6.10</w:t>
      </w:r>
      <w:r>
        <w:rPr>
          <w:rFonts w:ascii="Arial" w:cs="Arial" w:eastAsia="Arial" w:hAnsi="Arial"/>
          <w:sz w:val="16"/>
          <w:szCs w:val="16"/>
          <w:color w:val="auto"/>
        </w:rPr>
        <w:t xml:space="preserve"> or any extension or renewal of, or any amendment, modification or replacement of such documents (to the extent such extension, renewal, amendment, modification or replacement is not prohibited by this Agreement) which does not expand the scope of, any such restriction or condition), (iii) the foregoing shall not apply to customary restrictions and conditions contained in agreements relating to the purchase agreements pending such sale or purchase, as applicable, (iv) the foregoing shall not apply to customary restrictions and conditions contained in any agreement relating to Indebtedness of a special purpose entity if such restriction applies to the creation of Liens on the assets of such special purpose entity or limits such special purpose entity from paying dividends or distributions in respect of such special purpose entity’s income or property, (v) clause (a) of the foregoing shall not apply to restrictions or conditions imposed by any agreement relating to secured Indebtedness permitted by this Agreement if such restrictions or conditions apply only to the property or assets securing such Indebtedness, (vi) clause (a) of the foregoing shall not apply to customary provisions in leases restricting the assignment thereof, (vii) the foregoing shall not apply to restrictions and conditions set forth in the Term Loan Agreement, as in effect on the Second Restatement Date or as amended, restated, supplemented, modified, renewed, replaced or refinanced from time to time in accordance with the ABL-Term Loan Intercreditor Agreement, and (viii) the foregoing shall not apply to restrictions imposed by any agreement governing Indebtedness entered into after the Second Restatement Date and permitted under Section 6.01(l) provided that such restrictions (x) taken as a whole, in the good faith judgment of the Borrower Representative, are no more restrictive with respect to the Loan Parties than customary market terms for Indebtedness of such type (and, in any event, are no more restrictive than the restrictions contained in this Agreement), and (y) do not adversely affect the ability of the Loan Parties (A) to make any payments required to be paid by the Loan Parties with respect to the Obligations or (B) to grant Liens on the Collateral in favor of the Agents.</w:t>
      </w:r>
    </w:p>
    <w:p>
      <w:pPr>
        <w:spacing w:after="0" w:line="162"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Amendment of Material Documents</w:t>
      </w:r>
      <w:r>
        <w:rPr>
          <w:rFonts w:ascii="Arial" w:cs="Arial" w:eastAsia="Arial" w:hAnsi="Arial"/>
          <w:sz w:val="16"/>
          <w:szCs w:val="16"/>
          <w:color w:val="auto"/>
        </w:rPr>
        <w:t>. No Loan Party will, nor will it permit any Restricted Subsidiary to, amend, modify or waive any term or provision of (a) the Receivables Securitization Agreements, except for amendments to the Receivable Securitization Agreements which do not adversely affect the Collateral, the Intercreditor Agreement or the Administrative Agent’s rights thereunder; (b) the Term Loan Documents in any manner which would violate the ABL-Term Loan Intercreditor Agreement; (c) the 2029 Convertible Notes Indenture or its certificate of incorporation, by-laws, operating, memorandum of association, management or partnership agreement or other organizational documents, to the extent any such amendment, modification or waiver of any instrument, contract or agreement described in this clause (c) would be materially adverse to the Lenders, or (d) any other document evidencing any Material Indebtedness (other than Indebtedness described in clauses (a), (b) or (c) of this Section 6.11), to the extent any such amendment, modification or waiver would be materially adverse to the Lenders (it being understood and agreed that no such amendment, modification or waiver shall be deemed adverse to the Lenders if, after giving effect to such amendment, modification or waiver, assuming such Indebtedness was not outstanding, the Borrowers and their Subsidiaries would be able to incur Indebtedness on such terms pursuant to Section 6.01).</w:t>
      </w:r>
    </w:p>
    <w:p>
      <w:pPr>
        <w:spacing w:after="0" w:line="154"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If a Fixed Charge Coverage Trigger Event shall occur, the Loan Parties will not permit the Fixed Charge Coverage Ratio to be less than 1.00 to 1.00 (a) as of the last day of the fiscal quarter which has ended immediately prior to such Fixed Charge Coverage Trigger</w:t>
      </w:r>
    </w:p>
    <w:p>
      <w:pPr>
        <w:sectPr>
          <w:pgSz w:w="11900" w:h="16838" w:orient="portrait"/>
          <w:cols w:equalWidth="0" w:num="1">
            <w:col w:w="11440"/>
          </w:cols>
          <w:pgMar w:left="240" w:top="172" w:right="219" w:bottom="0" w:gutter="0" w:footer="0" w:header="0"/>
        </w:sectPr>
      </w:pPr>
    </w:p>
    <w:bookmarkStart w:id="65" w:name="page66"/>
    <w:bookmarkEnd w:id="65"/>
    <w:p>
      <w:pPr>
        <w:jc w:val="both"/>
        <w:ind w:left="5" w:right="20"/>
        <w:spacing w:after="0" w:line="282" w:lineRule="auto"/>
        <w:rPr>
          <w:sz w:val="20"/>
          <w:szCs w:val="20"/>
          <w:color w:val="auto"/>
        </w:rPr>
      </w:pPr>
      <w:r>
        <w:rPr>
          <w:rFonts w:ascii="Arial" w:cs="Arial" w:eastAsia="Arial" w:hAnsi="Arial"/>
          <w:sz w:val="17"/>
          <w:szCs w:val="17"/>
          <w:color w:val="auto"/>
        </w:rPr>
        <w:t>Event and for which financial statements are available or are required to be delivered hereunder (the “</w:t>
      </w:r>
      <w:r>
        <w:rPr>
          <w:rFonts w:ascii="Arial" w:cs="Arial" w:eastAsia="Arial" w:hAnsi="Arial"/>
          <w:sz w:val="17"/>
          <w:szCs w:val="17"/>
          <w:u w:val="single" w:color="auto"/>
          <w:color w:val="auto"/>
        </w:rPr>
        <w:t>Initial Test Date</w:t>
      </w:r>
      <w:r>
        <w:rPr>
          <w:rFonts w:ascii="Arial" w:cs="Arial" w:eastAsia="Arial" w:hAnsi="Arial"/>
          <w:sz w:val="17"/>
          <w:szCs w:val="17"/>
          <w:color w:val="auto"/>
        </w:rPr>
        <w:t>”) and (b) as of the last day of each fiscal quarter ending after such Initial Test Date until the Fixed Charge Coverage Trigger Period shall no longer be continuing.</w:t>
      </w:r>
    </w:p>
    <w:p>
      <w:pPr>
        <w:spacing w:after="0" w:line="138" w:lineRule="exact"/>
        <w:rPr>
          <w:sz w:val="20"/>
          <w:szCs w:val="20"/>
          <w:color w:val="auto"/>
        </w:rPr>
      </w:pPr>
    </w:p>
    <w:p>
      <w:pPr>
        <w:jc w:val="both"/>
        <w:ind w:left="5" w:firstLine="572"/>
        <w:spacing w:after="0" w:line="283" w:lineRule="auto"/>
        <w:rPr>
          <w:sz w:val="20"/>
          <w:szCs w:val="20"/>
          <w:color w:val="auto"/>
        </w:rPr>
      </w:pPr>
      <w:r>
        <w:rPr>
          <w:rFonts w:ascii="Arial" w:cs="Arial" w:eastAsia="Arial" w:hAnsi="Arial"/>
          <w:sz w:val="15"/>
          <w:szCs w:val="15"/>
          <w:color w:val="auto"/>
        </w:rPr>
        <w:t xml:space="preserve">SECTION 6.13 </w:t>
      </w:r>
      <w:r>
        <w:rPr>
          <w:rFonts w:ascii="Arial" w:cs="Arial" w:eastAsia="Arial" w:hAnsi="Arial"/>
          <w:sz w:val="15"/>
          <w:szCs w:val="15"/>
          <w:u w:val="single" w:color="auto"/>
          <w:color w:val="auto"/>
        </w:rPr>
        <w:t>Designation of Subsidiaries</w:t>
      </w:r>
      <w:r>
        <w:rPr>
          <w:rFonts w:ascii="Arial" w:cs="Arial" w:eastAsia="Arial" w:hAnsi="Arial"/>
          <w:sz w:val="15"/>
          <w:szCs w:val="15"/>
          <w:color w:val="auto"/>
        </w:rPr>
        <w:t>. No Loan Party will designate any Restricted Subsidiary as an Unrestricted Subsidiary unless (i) the Borrower Representative delivers a written notice to the Administrative Agent of such designation, (ii) immediately before and after such designation, no Default or Event of Default shall have occurred and be continuing, (iii) immediately after giving effect to such designation, the Total Leverage Ratio is less than 4.75 to 1.00 as of the last day of the most recently completed period of four consecutive fiscal quarters ending prior to the date of such designation for which the financial statements and certificates required by Section 5.01(a) or 5.01(b), as the case may be, and Section 5.01(d), have been delivered and, as a condition precedent to the effectiveness of any the designation such Borrower Representative shall deliver to the Administrative Agent a certificate setting forth in reasonable detail the calculations demonstrating such compliance, (iv) such Subsidiary is not designated as a “Restricted Subsidiary” (or the equivalent) for the purpose of the 2029 Convertible Debentures, any other Subordinated Indebtedness of the Loan Parties or the Term Loan Documents and is not otherwise generally subject to the representations, warranties, covenants and events of default under the 2029 Convertible Debentures, any other Subordinated Indebtedness of the Loan Parties or Term Loan Documents, (v) such Restricted Subsidiary and its subsidiaries do not own any Equity Interests or Indebtedness of, or own or hold any Lien on, any property of any Loan Party, (vi) such Subsidiary or such Subsidiary’s subsidiaries have not at the time of designation, and do not, thereafter, create, incur, issue, assume, guarantee, or otherwise become directly or indirectly liable with respect to any Indebtedness pursuant to which the lender has recourse to any of the assets of any Loan Party, (vii) such Subsidiary is not WESCO Receivables or any Subsidiary which holds any Equity Interests or Indebtedness of WESCO Receivables,</w:t>
      </w:r>
    </w:p>
    <w:p>
      <w:pPr>
        <w:spacing w:after="0" w:line="3" w:lineRule="exact"/>
        <w:rPr>
          <w:sz w:val="20"/>
          <w:szCs w:val="20"/>
          <w:color w:val="auto"/>
        </w:rPr>
      </w:pPr>
    </w:p>
    <w:p>
      <w:pPr>
        <w:jc w:val="both"/>
        <w:ind w:left="5" w:hanging="5"/>
        <w:spacing w:after="0" w:line="266" w:lineRule="auto"/>
        <w:tabs>
          <w:tab w:leader="none" w:pos="42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revenues of such Subsidiary, as of end of any fiscal year, for the period of four consecutive fiscal quarters then ended, were less than 5% of the consolidated revenues of Holdings and its Subsidiaries for such period, (ix) the revenues of such Subsidiary, as of end of any fiscal year, for the period of four consecutive fiscal quarters then ended, when taken together with the revenues of all Excluded Subsidiaries and all other Unrestricted Subsidiaries were less than 15% of the consolidated revenues of Holdings and its Subsidiaries for such period, (x) the consolidated assets of such Subsidiary, as of end of any fiscal year, were less than 5% of the consolidated total assets of Holdings and its Subsidiaries as of the end of such fiscal year, and (xi) the consolidated assets of such Subsidiary, as of end of any fiscal year, when taken together with the consolidated assets of all Excluded Subsidiaries and all other Unrestricted Subsidiaries were less than 15% of the consolidated total assets of Holdings and its Subsidiaries as of the end of such fiscal year (in the case of each of the foregoing clauses (viii) through (xi), as reflected on the most recent annual or quarterly consolidated financial statements of Holdings and its Subsidiaries). The designation of any Subsidiary as an Unrestricted Subsidiary shall constitute an Investment therein by such Borrower and its Restricted Subsidiaries, as applicable, at the date of designation in an amount equal to the fair market value of the applicable parties’ investment therein (the fair market value of such investment to be calculated without regard to any guarantee provided by such designated or re designated Unrestricted Subsidiary). The designation of any Unrestricted Subsidiary as a Restricted Subsidiary shall constitute (A) the incurrence at the time of designation of any Investment, Indebtedness or Liens of such Subsidiary existing at such time and (B) a return on any Investment by such Borrower or any Restricted Subsidiary in Unrestricted Subsidiaries pursuant to the preceding sentence in an amount equal to the fair market value at the date of such designation of such Borrower’s and its Restricted Subsidiaries’ (as applicable) Investment in such Subsidiary. Notwithstanding anything to the contrary herein, any Unrestricted Subsidiary that has been redesignated as a Restricted Subsidiary may not be subsequently redesignated as an Unrestricted Subsidiary.</w:t>
      </w:r>
    </w:p>
    <w:p>
      <w:pPr>
        <w:spacing w:after="0" w:line="155"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Canadian Defined Benefit Plans</w:t>
      </w:r>
      <w:r>
        <w:rPr>
          <w:rFonts w:ascii="Arial" w:cs="Arial" w:eastAsia="Arial" w:hAnsi="Arial"/>
          <w:sz w:val="16"/>
          <w:szCs w:val="16"/>
          <w:color w:val="auto"/>
        </w:rPr>
        <w:t xml:space="preserve">. None of the Canadian Loan Parties shall, (a) without the consent of the Administrative Agent (not to be unreasonably withheld) maintain, administer, contribute or have any liability in respect of any Canadian Pension Plan which contains a “defined benefit provision,” as defined in subsection 147.1(1)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w:t>
      </w:r>
      <w:r>
        <w:rPr>
          <w:rFonts w:ascii="Arial" w:cs="Arial" w:eastAsia="Arial" w:hAnsi="Arial"/>
          <w:sz w:val="16"/>
          <w:szCs w:val="16"/>
          <w:u w:val="single" w:color="auto"/>
          <w:color w:val="auto"/>
        </w:rPr>
        <w:t>Canadian Defined Benefit Plan</w:t>
      </w:r>
      <w:r>
        <w:rPr>
          <w:rFonts w:ascii="Arial" w:cs="Arial" w:eastAsia="Arial" w:hAnsi="Arial"/>
          <w:sz w:val="16"/>
          <w:szCs w:val="16"/>
          <w:color w:val="auto"/>
        </w:rPr>
        <w:t>”) (other than the Canadian Defined Benefit Plans listed in Schedule 3.10 on the Second Restatement Date or any Canadian Defined Benefit Plan sponsored, maintained, administered or contributed to by a Person described in clause (b) of this Section 6.14) or (b) acquire an interest in any Person if such Person sponsors, maintains, administers or contributes to, or has any liability in respect of any Canadian Defined Benefit Plan if such acquisition would, or could reasonably be expected to, result in a Material Adverse Effect.</w:t>
      </w:r>
    </w:p>
    <w:p>
      <w:pPr>
        <w:spacing w:after="0" w:line="153" w:lineRule="exact"/>
        <w:rPr>
          <w:sz w:val="20"/>
          <w:szCs w:val="20"/>
          <w:color w:val="auto"/>
        </w:rPr>
      </w:pPr>
    </w:p>
    <w:p>
      <w:pPr>
        <w:ind w:left="5045"/>
        <w:spacing w:after="0"/>
        <w:rPr>
          <w:sz w:val="20"/>
          <w:szCs w:val="20"/>
          <w:color w:val="auto"/>
        </w:rPr>
      </w:pPr>
      <w:r>
        <w:rPr>
          <w:rFonts w:ascii="Arial" w:cs="Arial" w:eastAsia="Arial" w:hAnsi="Arial"/>
          <w:sz w:val="19"/>
          <w:szCs w:val="19"/>
          <w:color w:val="auto"/>
        </w:rPr>
        <w:t>ARTICLE VII.</w:t>
      </w:r>
    </w:p>
    <w:p>
      <w:pPr>
        <w:spacing w:after="0" w:line="250" w:lineRule="exact"/>
        <w:rPr>
          <w:sz w:val="20"/>
          <w:szCs w:val="20"/>
          <w:color w:val="auto"/>
        </w:rPr>
      </w:pPr>
    </w:p>
    <w:p>
      <w:pPr>
        <w:ind w:left="5105"/>
        <w:spacing w:after="0"/>
        <w:rPr>
          <w:sz w:val="20"/>
          <w:szCs w:val="20"/>
          <w:color w:val="auto"/>
        </w:rPr>
      </w:pPr>
      <w:r>
        <w:rPr>
          <w:rFonts w:ascii="Arial" w:cs="Arial" w:eastAsia="Arial" w:hAnsi="Arial"/>
          <w:sz w:val="17"/>
          <w:szCs w:val="17"/>
          <w:u w:val="single" w:color="auto"/>
          <w:color w:val="auto"/>
        </w:rPr>
        <w:t>Events of Default</w:t>
      </w:r>
    </w:p>
    <w:p>
      <w:pPr>
        <w:spacing w:after="0" w:line="210" w:lineRule="exact"/>
        <w:rPr>
          <w:sz w:val="20"/>
          <w:szCs w:val="20"/>
          <w:color w:val="auto"/>
        </w:rPr>
      </w:pPr>
    </w:p>
    <w:p>
      <w:pPr>
        <w:ind w:left="1145"/>
        <w:spacing w:after="0"/>
        <w:rPr>
          <w:sz w:val="20"/>
          <w:szCs w:val="20"/>
          <w:color w:val="auto"/>
        </w:rPr>
      </w:pPr>
      <w:r>
        <w:rPr>
          <w:rFonts w:ascii="Arial" w:cs="Arial" w:eastAsia="Arial" w:hAnsi="Arial"/>
          <w:sz w:val="17"/>
          <w:szCs w:val="17"/>
          <w:color w:val="auto"/>
        </w:rPr>
        <w:t>If any of the following events (“</w:t>
      </w:r>
      <w:r>
        <w:rPr>
          <w:rFonts w:ascii="Arial" w:cs="Arial" w:eastAsia="Arial" w:hAnsi="Arial"/>
          <w:sz w:val="17"/>
          <w:szCs w:val="17"/>
          <w:u w:val="single" w:color="auto"/>
          <w:color w:val="auto"/>
        </w:rPr>
        <w:t>Events of Default</w:t>
      </w:r>
      <w:r>
        <w:rPr>
          <w:rFonts w:ascii="Arial" w:cs="Arial" w:eastAsia="Arial" w:hAnsi="Arial"/>
          <w:sz w:val="17"/>
          <w:szCs w:val="17"/>
          <w:color w:val="auto"/>
        </w:rPr>
        <w:t>”) shall occur:</w:t>
      </w:r>
    </w:p>
    <w:p>
      <w:pPr>
        <w:spacing w:after="0" w:line="222" w:lineRule="exact"/>
        <w:rPr>
          <w:sz w:val="20"/>
          <w:szCs w:val="20"/>
          <w:color w:val="auto"/>
        </w:rPr>
      </w:pPr>
    </w:p>
    <w:p>
      <w:pPr>
        <w:ind w:left="565" w:firstLine="579"/>
        <w:spacing w:after="0" w:line="281" w:lineRule="auto"/>
        <w:tabs>
          <w:tab w:leader="none" w:pos="1518"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0" w:lineRule="exact"/>
        <w:rPr>
          <w:rFonts w:ascii="Arial" w:cs="Arial" w:eastAsia="Arial" w:hAnsi="Arial"/>
          <w:sz w:val="19"/>
          <w:szCs w:val="19"/>
          <w:color w:val="auto"/>
        </w:rPr>
      </w:pPr>
    </w:p>
    <w:p>
      <w:pPr>
        <w:jc w:val="both"/>
        <w:ind w:left="565" w:right="20" w:firstLine="579"/>
        <w:spacing w:after="0" w:line="277" w:lineRule="auto"/>
        <w:tabs>
          <w:tab w:leader="none" w:pos="1519"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178" w:lineRule="exact"/>
        <w:rPr>
          <w:rFonts w:ascii="Arial" w:cs="Arial" w:eastAsia="Arial" w:hAnsi="Arial"/>
          <w:sz w:val="19"/>
          <w:szCs w:val="19"/>
          <w:color w:val="auto"/>
        </w:rPr>
      </w:pPr>
    </w:p>
    <w:p>
      <w:pPr>
        <w:jc w:val="both"/>
        <w:ind w:left="565" w:right="20" w:firstLine="579"/>
        <w:spacing w:after="0" w:line="277" w:lineRule="auto"/>
        <w:tabs>
          <w:tab w:leader="none" w:pos="1529"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representation or warranty made by or on behalf of any Loan Party or any Restricted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w:t>
      </w:r>
    </w:p>
    <w:p>
      <w:pPr>
        <w:spacing w:after="0" w:line="178" w:lineRule="exact"/>
        <w:rPr>
          <w:rFonts w:ascii="Arial" w:cs="Arial" w:eastAsia="Arial" w:hAnsi="Arial"/>
          <w:sz w:val="19"/>
          <w:szCs w:val="19"/>
          <w:color w:val="auto"/>
        </w:rPr>
      </w:pPr>
    </w:p>
    <w:p>
      <w:pPr>
        <w:jc w:val="both"/>
        <w:ind w:left="565" w:right="20" w:firstLine="579"/>
        <w:spacing w:after="0" w:line="277" w:lineRule="auto"/>
        <w:tabs>
          <w:tab w:leader="none" w:pos="1554"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Loan Party shall fail to observe or perform any covenant, condition or agreement contained in: (i) Section 5.02(a), Section 5.03 (with respect to a Loan Party’s existence), Section 5.08, Section 5.15 or in Article VI of this Agreement, or (ii) Article IV or Article VII of the Canadian Security Agreement or the U.S. Security Agreement;</w:t>
      </w:r>
    </w:p>
    <w:p>
      <w:pPr>
        <w:spacing w:after="0" w:line="178" w:lineRule="exact"/>
        <w:rPr>
          <w:rFonts w:ascii="Arial" w:cs="Arial" w:eastAsia="Arial" w:hAnsi="Arial"/>
          <w:sz w:val="19"/>
          <w:szCs w:val="19"/>
          <w:color w:val="auto"/>
        </w:rPr>
      </w:pPr>
    </w:p>
    <w:p>
      <w:pPr>
        <w:jc w:val="both"/>
        <w:ind w:left="565" w:firstLine="579"/>
        <w:spacing w:after="0" w:line="277" w:lineRule="auto"/>
        <w:tabs>
          <w:tab w:leader="none" w:pos="1510"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Loan Party or Dutch Loan Guarantor shall fail to observe or perform any covenant, condition or agreement contained in this Agreement or any other Loan Document (other than those which constitute an event of default under another Section of this Article), and such failure shall continue unremedied for a period of (i) 5 days after the earlier of any Loan Party’s knowledge of such failure or notice thereof from the Administrative Agent if such failure relates to terms or provisions of Section 5.01(a), (b), (c), (d), (f), (g) or (h), (ii) 5 days after the earlier of any Loan Party’s knowledge of such failure or notice thereof from the Administrative Agent if such failure relates to terms or provisions of Section 5.01 (other than those which constitute an event of default under clause (e)(i) of this Article VII), (iii) 10 days after the earlier of any Loan Party’s knowledge of such failure or notice thereof from the Administrative Agent if such failure relates to terms or provisions of Section 5.02 (other than Section 5.02(a)), 5.03 (other than with respect to a Loan Party’s existence) through 5.06, 5.09, 5.10, 5.12 or 5.14 of this Agreement or (iv) 30 days after the earlier of any Loan Party’s or Dutch Loan Guarantor’s knowledge of such failure or notice thereof from the Administrative Agent if such failure relates to terms or provisions of any other Section of this Agreement or any other Loan Document;</w:t>
      </w:r>
    </w:p>
    <w:p>
      <w:pPr>
        <w:spacing w:after="0" w:line="183" w:lineRule="exact"/>
        <w:rPr>
          <w:rFonts w:ascii="Arial" w:cs="Arial" w:eastAsia="Arial" w:hAnsi="Arial"/>
          <w:sz w:val="19"/>
          <w:szCs w:val="19"/>
          <w:color w:val="auto"/>
        </w:rPr>
      </w:pPr>
    </w:p>
    <w:p>
      <w:pPr>
        <w:jc w:val="both"/>
        <w:ind w:left="565" w:firstLine="579"/>
        <w:spacing w:after="0" w:line="277" w:lineRule="auto"/>
        <w:tabs>
          <w:tab w:leader="none" w:pos="1565" w:val="left"/>
        </w:tabs>
        <w:numPr>
          <w:ilvl w:val="0"/>
          <w:numId w:val="112"/>
        </w:numPr>
        <w:rPr>
          <w:rFonts w:ascii="Arial" w:cs="Arial" w:eastAsia="Arial" w:hAnsi="Arial"/>
          <w:sz w:val="19"/>
          <w:szCs w:val="19"/>
          <w:color w:val="auto"/>
        </w:rPr>
      </w:pPr>
      <w:r>
        <w:rPr>
          <w:rFonts w:ascii="Arial" w:cs="Arial" w:eastAsia="Arial" w:hAnsi="Arial"/>
          <w:sz w:val="17"/>
          <w:szCs w:val="17"/>
          <w:color w:val="auto"/>
        </w:rPr>
        <w:t>any Loan Party or any Restricted Subsidiary shall fail to make any payment (whether of principal or interest and regardless of amount) in respect of any Material Indebtedness, when and as the same shall become due and payable (after giving effect to any applicable grace period set forth in the documents governing such Material Indebtedness);</w:t>
      </w:r>
    </w:p>
    <w:p>
      <w:pPr>
        <w:sectPr>
          <w:pgSz w:w="11900" w:h="16838" w:orient="portrait"/>
          <w:cols w:equalWidth="0" w:num="1">
            <w:col w:w="11445"/>
          </w:cols>
          <w:pgMar w:left="235" w:top="124" w:right="219" w:bottom="88" w:gutter="0" w:footer="0" w:header="0"/>
        </w:sectPr>
      </w:pPr>
    </w:p>
    <w:bookmarkStart w:id="66" w:name="page67"/>
    <w:bookmarkEnd w:id="66"/>
    <w:p>
      <w:pPr>
        <w:spacing w:after="0" w:line="15" w:lineRule="exact"/>
        <w:rPr>
          <w:sz w:val="20"/>
          <w:szCs w:val="20"/>
          <w:color w:val="auto"/>
        </w:rPr>
      </w:pPr>
    </w:p>
    <w:p>
      <w:pPr>
        <w:ind w:left="560" w:right="20" w:firstLine="579"/>
        <w:spacing w:after="0" w:line="281" w:lineRule="auto"/>
        <w:tabs>
          <w:tab w:leader="none" w:pos="1572" w:val="left"/>
        </w:tabs>
        <w:numPr>
          <w:ilvl w:val="1"/>
          <w:numId w:val="113"/>
        </w:numPr>
        <w:rPr>
          <w:rFonts w:ascii="Arial" w:cs="Arial" w:eastAsia="Arial" w:hAnsi="Arial"/>
          <w:sz w:val="19"/>
          <w:szCs w:val="19"/>
          <w:color w:val="auto"/>
        </w:rPr>
      </w:pPr>
      <w:r>
        <w:rPr>
          <w:rFonts w:ascii="Arial" w:cs="Arial" w:eastAsia="Arial" w:hAnsi="Arial"/>
          <w:sz w:val="17"/>
          <w:szCs w:val="17"/>
          <w:color w:val="auto"/>
        </w:rPr>
        <w:t>any “Termination Event” (or any other similar event) occurs under the Receivables Securitization Agreements (as “Termination Event” is defined therein);</w:t>
      </w:r>
    </w:p>
    <w:p>
      <w:pPr>
        <w:spacing w:after="0" w:line="170" w:lineRule="exact"/>
        <w:rPr>
          <w:rFonts w:ascii="Arial" w:cs="Arial" w:eastAsia="Arial" w:hAnsi="Arial"/>
          <w:sz w:val="19"/>
          <w:szCs w:val="19"/>
          <w:color w:val="auto"/>
        </w:rPr>
      </w:pPr>
    </w:p>
    <w:p>
      <w:pPr>
        <w:jc w:val="both"/>
        <w:ind w:left="560" w:firstLine="579"/>
        <w:spacing w:after="0" w:line="277" w:lineRule="auto"/>
        <w:tabs>
          <w:tab w:leader="none" w:pos="1470" w:val="left"/>
        </w:tabs>
        <w:numPr>
          <w:ilvl w:val="1"/>
          <w:numId w:val="113"/>
        </w:numPr>
        <w:rPr>
          <w:rFonts w:ascii="Arial" w:cs="Arial" w:eastAsia="Arial" w:hAnsi="Arial"/>
          <w:sz w:val="19"/>
          <w:szCs w:val="19"/>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(g) shall not apply to secured Indebtedness that becomes due as a result of the voluntary sale or transfer of the property or assets securing such Indebtedness;</w:t>
      </w:r>
    </w:p>
    <w:p>
      <w:pPr>
        <w:spacing w:after="0" w:line="179" w:lineRule="exact"/>
        <w:rPr>
          <w:rFonts w:ascii="Arial" w:cs="Arial" w:eastAsia="Arial" w:hAnsi="Arial"/>
          <w:sz w:val="19"/>
          <w:szCs w:val="19"/>
          <w:color w:val="auto"/>
        </w:rPr>
      </w:pPr>
    </w:p>
    <w:p>
      <w:pPr>
        <w:jc w:val="both"/>
        <w:ind w:left="560" w:firstLine="579"/>
        <w:spacing w:after="0" w:line="277" w:lineRule="auto"/>
        <w:tabs>
          <w:tab w:leader="none" w:pos="1470" w:val="left"/>
        </w:tabs>
        <w:numPr>
          <w:ilvl w:val="1"/>
          <w:numId w:val="113"/>
        </w:numPr>
        <w:rPr>
          <w:rFonts w:ascii="Arial" w:cs="Arial" w:eastAsia="Arial" w:hAnsi="Arial"/>
          <w:sz w:val="19"/>
          <w:szCs w:val="19"/>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a Loan Party, a Significant Subsidiary or WESCO Receivables or its debts, or of a substantial part of its assets, under any federal, state, provincial or foreign bankruptcy, insolvency, receivership or similar law now or hereafter in effect or (ii) the appointment of a receiver, interim receiver, trustee, custodian, sequestrator, monitor, administrator, conservator or similar official for any Loan Party, any Significant Subsidiary or WESCO Receivables or for a substantial part of its assets, and, in any such case, such proceeding or petition shall continue undismissed for 60 days or an order or decree approving or ordering any of the foregoing shall be entered;</w:t>
      </w:r>
    </w:p>
    <w:p>
      <w:pPr>
        <w:spacing w:after="0" w:line="180" w:lineRule="exact"/>
        <w:rPr>
          <w:rFonts w:ascii="Arial" w:cs="Arial" w:eastAsia="Arial" w:hAnsi="Arial"/>
          <w:sz w:val="19"/>
          <w:szCs w:val="19"/>
          <w:color w:val="auto"/>
        </w:rPr>
      </w:pPr>
    </w:p>
    <w:p>
      <w:pPr>
        <w:jc w:val="both"/>
        <w:ind w:left="560" w:firstLine="579"/>
        <w:spacing w:after="0" w:line="289" w:lineRule="auto"/>
        <w:tabs>
          <w:tab w:leader="none" w:pos="1608" w:val="left"/>
        </w:tabs>
        <w:numPr>
          <w:ilvl w:val="1"/>
          <w:numId w:val="113"/>
        </w:numPr>
        <w:rPr>
          <w:rFonts w:ascii="Arial" w:cs="Arial" w:eastAsia="Arial" w:hAnsi="Arial"/>
          <w:sz w:val="18"/>
          <w:szCs w:val="18"/>
          <w:color w:val="auto"/>
        </w:rPr>
      </w:pPr>
      <w:r>
        <w:rPr>
          <w:rFonts w:ascii="Arial" w:cs="Arial" w:eastAsia="Arial" w:hAnsi="Arial"/>
          <w:sz w:val="16"/>
          <w:szCs w:val="16"/>
          <w:color w:val="auto"/>
        </w:rPr>
        <w:t>any Loan Party, any Significant Subsidiary or WESCO Receivables shall (i) voluntarily commence any proceeding or file any petition seeking liquidation, reorganization or other relief under any federal, state, provincial or foreign bankruptcy, insolvency, receivership or similar law now or hereafter in effect, (ii) consent to the institution of, or fail to contest in a timely and appropriate manner, any proceeding or petition described in clause (k) of this Article, (iii) apply for or consent to the appointment of a receiver, interim receiver, trustee, custodian, sequestrator, monitor, administrator, conservator or similar official for such Loan Party, such Significant Subsidiary or WESCO Receivables or for a substantial part of its assets, (iv) file an answer admitting the material allegations of a petition filed against it in any such proceeding, (v) make a general assignment for the benefit of creditors or</w:t>
      </w:r>
    </w:p>
    <w:p>
      <w:pPr>
        <w:spacing w:after="0" w:line="1" w:lineRule="exact"/>
        <w:rPr>
          <w:rFonts w:ascii="Arial" w:cs="Arial" w:eastAsia="Arial" w:hAnsi="Arial"/>
          <w:sz w:val="18"/>
          <w:szCs w:val="18"/>
          <w:color w:val="auto"/>
        </w:rPr>
      </w:pPr>
    </w:p>
    <w:p>
      <w:pPr>
        <w:ind w:left="860" w:hanging="293"/>
        <w:spacing w:after="0"/>
        <w:tabs>
          <w:tab w:leader="none" w:pos="8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take any action for the purpose of effecting any of the foregoing;</w:t>
      </w:r>
    </w:p>
    <w:p>
      <w:pPr>
        <w:spacing w:after="0" w:line="233" w:lineRule="exact"/>
        <w:rPr>
          <w:rFonts w:ascii="Arial" w:cs="Arial" w:eastAsia="Arial" w:hAnsi="Arial"/>
          <w:sz w:val="17"/>
          <w:szCs w:val="17"/>
          <w:color w:val="auto"/>
        </w:rPr>
      </w:pPr>
    </w:p>
    <w:p>
      <w:pPr>
        <w:ind w:left="560" w:right="20" w:firstLine="579"/>
        <w:spacing w:after="0" w:line="281" w:lineRule="auto"/>
        <w:tabs>
          <w:tab w:leader="none" w:pos="1482" w:val="left"/>
        </w:tabs>
        <w:numPr>
          <w:ilvl w:val="1"/>
          <w:numId w:val="114"/>
        </w:numPr>
        <w:rPr>
          <w:rFonts w:ascii="Arial" w:cs="Arial" w:eastAsia="Arial" w:hAnsi="Arial"/>
          <w:sz w:val="19"/>
          <w:szCs w:val="19"/>
          <w:color w:val="auto"/>
        </w:rPr>
      </w:pPr>
      <w:r>
        <w:rPr>
          <w:rFonts w:ascii="Arial" w:cs="Arial" w:eastAsia="Arial" w:hAnsi="Arial"/>
          <w:sz w:val="17"/>
          <w:szCs w:val="17"/>
          <w:color w:val="auto"/>
        </w:rPr>
        <w:t>any Loan Party, any Significant Subsidiary or WESCO Receivables shall become unable, admit in writing its inability or fail generally to pay its debts as they become due;</w:t>
      </w:r>
    </w:p>
    <w:p>
      <w:pPr>
        <w:spacing w:after="0" w:line="170" w:lineRule="exact"/>
        <w:rPr>
          <w:rFonts w:ascii="Arial" w:cs="Arial" w:eastAsia="Arial" w:hAnsi="Arial"/>
          <w:sz w:val="19"/>
          <w:szCs w:val="19"/>
          <w:color w:val="auto"/>
        </w:rPr>
      </w:pPr>
    </w:p>
    <w:p>
      <w:pPr>
        <w:jc w:val="both"/>
        <w:ind w:left="560" w:firstLine="579"/>
        <w:spacing w:after="0" w:line="277" w:lineRule="auto"/>
        <w:tabs>
          <w:tab w:leader="none" w:pos="1590" w:val="left"/>
        </w:tabs>
        <w:numPr>
          <w:ilvl w:val="1"/>
          <w:numId w:val="114"/>
        </w:numPr>
        <w:rPr>
          <w:rFonts w:ascii="Arial" w:cs="Arial" w:eastAsia="Arial" w:hAnsi="Arial"/>
          <w:sz w:val="19"/>
          <w:szCs w:val="19"/>
          <w:color w:val="auto"/>
        </w:rPr>
      </w:pPr>
      <w:r>
        <w:rPr>
          <w:rFonts w:ascii="Arial" w:cs="Arial" w:eastAsia="Arial" w:hAnsi="Arial"/>
          <w:sz w:val="17"/>
          <w:szCs w:val="17"/>
          <w:color w:val="auto"/>
        </w:rPr>
        <w:t>one or more judgments for the payment of money in an aggregate amount in excess of $25,000,000 (to the extent not covered by insurance as to which the relevant insurance company has not disputed coverage) shall be rendered against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to enforce any such judgment or any Loan Party shall fail within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81" w:lineRule="exact"/>
        <w:rPr>
          <w:rFonts w:ascii="Arial" w:cs="Arial" w:eastAsia="Arial" w:hAnsi="Arial"/>
          <w:sz w:val="19"/>
          <w:szCs w:val="19"/>
          <w:color w:val="auto"/>
        </w:rPr>
      </w:pPr>
    </w:p>
    <w:p>
      <w:pPr>
        <w:jc w:val="both"/>
        <w:ind w:left="560" w:firstLine="579"/>
        <w:spacing w:after="0" w:line="296" w:lineRule="auto"/>
        <w:tabs>
          <w:tab w:leader="none" w:pos="1537" w:val="left"/>
        </w:tabs>
        <w:numPr>
          <w:ilvl w:val="1"/>
          <w:numId w:val="114"/>
        </w:numPr>
        <w:rPr>
          <w:rFonts w:ascii="Arial" w:cs="Arial" w:eastAsia="Arial" w:hAnsi="Arial"/>
          <w:sz w:val="18"/>
          <w:szCs w:val="18"/>
          <w:color w:val="auto"/>
        </w:rPr>
      </w:pPr>
      <w:r>
        <w:rPr>
          <w:rFonts w:ascii="Arial" w:cs="Arial" w:eastAsia="Arial" w:hAnsi="Arial"/>
          <w:sz w:val="16"/>
          <w:szCs w:val="16"/>
          <w:color w:val="auto"/>
        </w:rPr>
        <w:t>(i) an ERISA Event shall have occurred that, in the opinion of the Required Lenders, when taken together with all other ERISA Events that have occurred, could reasonably be expected to result in liability of the Borrowers and their Subsidiaries in an aggregate amount exceeding $50,000,000 for all periods; or (ii) a Pension Event shall occur which, in the Administrative Agent’s determination, constitutes grounds for the termination under any applicable law, of any Canadian Pension Plan or for the appointment by the appropriate Governmental Authority of a trustee for any Canadian Pension Plan, or if any Canadian Pension Plan shall be terminated or any such trustee shall be requested or appointed, or if a Loan Party or any of its Subsidiaries is in default with respect to payments to a Multiemployer Plan or Canadian Pension Plan resulting from their complete or partial withdrawal from such Canadian Pension Plan and any such event may reasonably be expected to have a Material Adverse Effect or any Canadian Loan Party is in default of or with respect to any required contributions to a Canadian Pension Plan or a Canadian Union Plan or any Lien arises (except for contribution amounts not yet due) in connection with any Canadian Pension Plan and any such event may reasonably be expected to have a Material Adverse Effect;</w:t>
      </w:r>
    </w:p>
    <w:p>
      <w:pPr>
        <w:spacing w:after="0" w:line="169" w:lineRule="exact"/>
        <w:rPr>
          <w:rFonts w:ascii="Arial" w:cs="Arial" w:eastAsia="Arial" w:hAnsi="Arial"/>
          <w:sz w:val="18"/>
          <w:szCs w:val="18"/>
          <w:color w:val="auto"/>
        </w:rPr>
      </w:pPr>
    </w:p>
    <w:p>
      <w:pPr>
        <w:ind w:left="1520" w:hanging="381"/>
        <w:spacing w:after="0"/>
        <w:tabs>
          <w:tab w:leader="none" w:pos="1520" w:val="left"/>
        </w:tabs>
        <w:numPr>
          <w:ilvl w:val="1"/>
          <w:numId w:val="114"/>
        </w:numPr>
        <w:rPr>
          <w:rFonts w:ascii="Arial" w:cs="Arial" w:eastAsia="Arial" w:hAnsi="Arial"/>
          <w:sz w:val="19"/>
          <w:szCs w:val="19"/>
          <w:color w:val="auto"/>
        </w:rPr>
      </w:pPr>
      <w:r>
        <w:rPr>
          <w:rFonts w:ascii="Arial" w:cs="Arial" w:eastAsia="Arial" w:hAnsi="Arial"/>
          <w:sz w:val="17"/>
          <w:szCs w:val="17"/>
          <w:color w:val="auto"/>
        </w:rPr>
        <w:t>a Change in Control shall occur;</w:t>
      </w:r>
    </w:p>
    <w:p>
      <w:pPr>
        <w:spacing w:after="0" w:line="210" w:lineRule="exact"/>
        <w:rPr>
          <w:rFonts w:ascii="Arial" w:cs="Arial" w:eastAsia="Arial" w:hAnsi="Arial"/>
          <w:sz w:val="19"/>
          <w:szCs w:val="19"/>
          <w:color w:val="auto"/>
        </w:rPr>
      </w:pPr>
    </w:p>
    <w:p>
      <w:pPr>
        <w:jc w:val="both"/>
        <w:ind w:left="560" w:firstLine="579"/>
        <w:spacing w:after="0" w:line="277" w:lineRule="auto"/>
        <w:tabs>
          <w:tab w:leader="none" w:pos="1537" w:val="left"/>
        </w:tabs>
        <w:numPr>
          <w:ilvl w:val="1"/>
          <w:numId w:val="114"/>
        </w:numPr>
        <w:rPr>
          <w:rFonts w:ascii="Arial" w:cs="Arial" w:eastAsia="Arial" w:hAnsi="Arial"/>
          <w:sz w:val="19"/>
          <w:szCs w:val="19"/>
          <w:color w:val="auto"/>
        </w:rPr>
      </w:pPr>
      <w:r>
        <w:rPr>
          <w:rFonts w:ascii="Arial" w:cs="Arial" w:eastAsia="Arial" w:hAnsi="Arial"/>
          <w:sz w:val="17"/>
          <w:szCs w:val="17"/>
          <w:color w:val="auto"/>
        </w:rPr>
        <w:t>the Loan Guaranty, the Canadian Guarantee or any other Guarantee shall fail to remain in full force or effect (other than in accordance with its terms) or any action shall be taken to discontinue or to assert the invalidity or unenforceability of the Loan Guaranty, the Canadian Guarantee or any other Guarantee, or any Loan Guarantor shall deny that it has any further liability under the Loan Guaranty, the Canadian Guarantee or any other Guarantee to which it is a party, or shall give notice to such effect (except, in each case, as a result of the discharge of such Loan Guarantor’s obligations under the Loan Guaranty, the Canadian Guarantee or any other Guarantee in accordance with the terms of the Loan Guaranty, the Canadian Guarantee or such other Guarantee);</w:t>
      </w:r>
    </w:p>
    <w:p>
      <w:pPr>
        <w:spacing w:after="0" w:line="180" w:lineRule="exact"/>
        <w:rPr>
          <w:rFonts w:ascii="Arial" w:cs="Arial" w:eastAsia="Arial" w:hAnsi="Arial"/>
          <w:sz w:val="19"/>
          <w:szCs w:val="19"/>
          <w:color w:val="auto"/>
        </w:rPr>
      </w:pPr>
    </w:p>
    <w:p>
      <w:pPr>
        <w:jc w:val="both"/>
        <w:ind w:left="560" w:right="20" w:firstLine="579"/>
        <w:spacing w:after="0" w:line="277" w:lineRule="auto"/>
        <w:tabs>
          <w:tab w:leader="none" w:pos="1513" w:val="left"/>
        </w:tabs>
        <w:numPr>
          <w:ilvl w:val="1"/>
          <w:numId w:val="114"/>
        </w:numPr>
        <w:rPr>
          <w:rFonts w:ascii="Arial" w:cs="Arial" w:eastAsia="Arial" w:hAnsi="Arial"/>
          <w:sz w:val="19"/>
          <w:szCs w:val="19"/>
          <w:color w:val="auto"/>
        </w:rPr>
      </w:pPr>
      <w:r>
        <w:rPr>
          <w:rFonts w:ascii="Arial" w:cs="Arial" w:eastAsia="Arial" w:hAnsi="Arial"/>
          <w:sz w:val="17"/>
          <w:szCs w:val="17"/>
          <w:color w:val="auto"/>
        </w:rPr>
        <w:t>any security interest purported to be created by any Collateral Document shall cease to be, or shall be asserted by any Loan Party not to be, a valid and perfected first priority security interest in any portion of the ABL Priority Collateral having a value in excess of $25,000,000 which is purported to be covered thereby, except as permitted by the terms of this Agreement or any Collateral Document other than as a result of any action or inaction within the control of the applicable Agents; or</w:t>
      </w:r>
    </w:p>
    <w:p>
      <w:pPr>
        <w:spacing w:after="0" w:line="178" w:lineRule="exact"/>
        <w:rPr>
          <w:rFonts w:ascii="Arial" w:cs="Arial" w:eastAsia="Arial" w:hAnsi="Arial"/>
          <w:sz w:val="19"/>
          <w:szCs w:val="19"/>
          <w:color w:val="auto"/>
        </w:rPr>
      </w:pPr>
    </w:p>
    <w:p>
      <w:pPr>
        <w:jc w:val="both"/>
        <w:ind w:left="560" w:right="20" w:firstLine="579"/>
        <w:spacing w:after="0" w:line="277" w:lineRule="auto"/>
        <w:tabs>
          <w:tab w:leader="none" w:pos="1493" w:val="left"/>
        </w:tabs>
        <w:numPr>
          <w:ilvl w:val="1"/>
          <w:numId w:val="114"/>
        </w:numPr>
        <w:rPr>
          <w:rFonts w:ascii="Arial" w:cs="Arial" w:eastAsia="Arial" w:hAnsi="Arial"/>
          <w:sz w:val="19"/>
          <w:szCs w:val="19"/>
          <w:color w:val="auto"/>
        </w:rPr>
      </w:pPr>
      <w:r>
        <w:rPr>
          <w:rFonts w:ascii="Arial" w:cs="Arial" w:eastAsia="Arial" w:hAnsi="Arial"/>
          <w:sz w:val="17"/>
          <w:szCs w:val="17"/>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in each case, other than in connection with a termination of such Loan Document (or, with respect to any Loan Party, the release of such Loan Party from its obligations under such Loan Document) in accordance with the terms hereof or thereof;</w:t>
      </w:r>
    </w:p>
    <w:p>
      <w:pPr>
        <w:spacing w:after="0" w:line="15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then, and in every such event (other than an event with respect to the Borrowers described in clauses (i) or (j) of this Article), and at any time thereafter during the continuance of such event, the Administrative Agent may, and at the request of the Required Lenders shall, by notice to the Borrower Representative, take either or both of the following actions, at the same or different times: (i) terminate the Revolving Commitments, and thereupon the Revolving Commitments shall terminate immediately and (ii) declare the Loans and other Obligations then outstanding to be due and payable in whole (or in part, in which case any Obligations not so declared to be due and payable may thereafter be declared to be due and payable), and thereupon the principal of the Loans and other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Borrowers described in clauses (i) or (j) of this Article, the Revolving Commitments shall automatically terminate and the principal of the Loans and other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Upon</w:t>
      </w:r>
    </w:p>
    <w:p>
      <w:pPr>
        <w:sectPr>
          <w:pgSz w:w="11900" w:h="16854" w:orient="portrait"/>
          <w:cols w:equalWidth="0" w:num="1">
            <w:col w:w="11440"/>
          </w:cols>
          <w:pgMar w:left="240" w:top="149" w:right="219" w:bottom="0" w:gutter="0" w:footer="0" w:header="0"/>
        </w:sectPr>
      </w:pPr>
    </w:p>
    <w:bookmarkStart w:id="67" w:name="page68"/>
    <w:bookmarkEnd w:id="67"/>
    <w:p>
      <w:pPr>
        <w:jc w:val="both"/>
        <w:ind w:right="20"/>
        <w:spacing w:after="0" w:line="274" w:lineRule="auto"/>
        <w:rPr>
          <w:sz w:val="20"/>
          <w:szCs w:val="20"/>
          <w:color w:val="auto"/>
        </w:rPr>
      </w:pPr>
      <w:r>
        <w:rPr>
          <w:rFonts w:ascii="Arial" w:cs="Arial" w:eastAsia="Arial" w:hAnsi="Arial"/>
          <w:sz w:val="16"/>
          <w:szCs w:val="16"/>
          <w:color w:val="auto"/>
        </w:rPr>
        <w:t>the occurrence and the continuance of an Event of Default, the Administrative Agent or the Canadian Administrative Agent, may, and at the request of the Required Lenders shall, exercise any rights and remedies provided to it under the Loan Documents or at law or equity, including all remedies provided under the UCC and the PPSA. Notwithstanding anything herein or in any other Loan Document to the contrary, the Administrative Agent shall not deliver a notice to the U.S. Borrowers instructing such Borrowers to terminate and cease all transfers of Receivables (as defined in the Intercreditor Agreement) from the U.S. Borrowers to WESCO Receivables prior to the occurrence of one or more of the following: (A) an Event of Default under paragraphs (i), (j) or (k) of this Article VII or (B) any declaration by the Administrative Agent that the Loans and other Obligations are due and payable pursuant to clause (ii) of this paragraph.</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ARTICLE VIII.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Administrative Agent and Canadian Administrative Agent</w:t>
      </w:r>
    </w:p>
    <w:p>
      <w:pPr>
        <w:spacing w:after="0" w:line="21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Each of the Lender Parties hereby irrevocably appoints each of the Administrative Agent and the Canadian Administrative Agent as its agent hereunder and under the other Loan Documents and authorizes the Administrative Agent and the Canadian Administrative Agent to take such actions on its behalf, including execution of the other Loan Documents, and to exercise such powers as are delegated to the Administrative Agent and the Canadian Administrative Agent by the terms of the Loan Documents, together with such actions and powers as are reasonably incidental thereto.</w:t>
      </w:r>
    </w:p>
    <w:p>
      <w:pPr>
        <w:spacing w:after="0" w:line="157"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Without limiting the generality of the paragraph above, for the purposes of creating a solidarité active in accordance with Article 1541 of the Civil Code of Québec, between each Lender Party, taken individually, on the one hand, and the Administrative Agent, on the other hand, each Loan Party, each such Lender Party and the Administrative Agent acknowledge and agree with the Administrative Agent that each such Lender Party and the Administrative Agent are hereby conferred the legal status of solidary creditors of each Loan Party in respect of all Obligations, present and future, owed by each such Loan Party to the Administrative Agent and each such Lender Party hereunder and under the other Loan Documents (collectively, the “</w:t>
      </w:r>
      <w:r>
        <w:rPr>
          <w:rFonts w:ascii="Arial" w:cs="Arial" w:eastAsia="Arial" w:hAnsi="Arial"/>
          <w:sz w:val="16"/>
          <w:szCs w:val="16"/>
          <w:u w:val="single" w:color="auto"/>
          <w:color w:val="auto"/>
        </w:rPr>
        <w:t>Solidary Claim</w:t>
      </w:r>
      <w:r>
        <w:rPr>
          <w:rFonts w:ascii="Arial" w:cs="Arial" w:eastAsia="Arial" w:hAnsi="Arial"/>
          <w:sz w:val="16"/>
          <w:szCs w:val="16"/>
          <w:color w:val="auto"/>
        </w:rPr>
        <w:t>”). Each Loan Party which is not a signatory of this Agreement but is or may become a signatory to any other Loan Documents shall be deemed to have accepted the provisions contained in this paragraph by its execution of such other Loan Documents. Accordingly, but subject (for the avoidance of doubt) to Article 1542 of the Civil Code of Québec, each such Loan Party is irrevocably bound towards the Administrative Agent and each Lender Party in respect of the entire Solidary Claim of the Administrative Agent and such Lender Party. As a result of the foregoing, the parties hereto acknowledge that the Administrative Agent and each Lender Party shall at all times have a valid and effective right of action for the entire Solidary Claim of the Administrative Agent and such Lender Party and the right to give full acquittance for same. The parties further agree and acknowledge that the Administrative Agent’s Liens on the Collateral under the Collateral Documents shall be granted to the Administrative Agent, for its own benefit and for the benefit of the Lender Parties, as solidary creditor as hereinabove set forth.</w:t>
      </w:r>
    </w:p>
    <w:p>
      <w:pPr>
        <w:spacing w:after="0" w:line="156" w:lineRule="exact"/>
        <w:rPr>
          <w:sz w:val="20"/>
          <w:szCs w:val="20"/>
          <w:color w:val="auto"/>
        </w:rPr>
      </w:pPr>
    </w:p>
    <w:p>
      <w:pPr>
        <w:jc w:val="both"/>
        <w:ind w:right="20" w:firstLine="572"/>
        <w:spacing w:after="0" w:line="266" w:lineRule="auto"/>
        <w:rPr>
          <w:sz w:val="20"/>
          <w:szCs w:val="20"/>
          <w:color w:val="auto"/>
        </w:rPr>
      </w:pPr>
      <w:r>
        <w:rPr>
          <w:rFonts w:ascii="Arial" w:cs="Arial" w:eastAsia="Arial" w:hAnsi="Arial"/>
          <w:sz w:val="16"/>
          <w:szCs w:val="16"/>
          <w:color w:val="auto"/>
        </w:rPr>
        <w:t>In addition, and without limiting any of the foregoing, for the purposes of holding any security granted by any Borrower or any other Loan Party pursuant to the laws of the Province of Quebec to secure payment of any bond issued by any Borrower or any Loan Party, each of the Lender Parties hereby irrevocably appoints and authorizes the Administrative Agent and, to the extent necessary, ratifies the appointment and authorization of the Administrative Agent, to act as the person holding the power of attorney (i.e. “fondé de pouvoir”) and hypothecary representative (in such capacity, the “</w:t>
      </w:r>
      <w:r>
        <w:rPr>
          <w:rFonts w:ascii="Arial" w:cs="Arial" w:eastAsia="Arial" w:hAnsi="Arial"/>
          <w:sz w:val="16"/>
          <w:szCs w:val="16"/>
          <w:u w:val="single" w:color="auto"/>
          <w:color w:val="auto"/>
        </w:rPr>
        <w:t>Attorney</w:t>
      </w:r>
      <w:r>
        <w:rPr>
          <w:rFonts w:ascii="Arial" w:cs="Arial" w:eastAsia="Arial" w:hAnsi="Arial"/>
          <w:sz w:val="16"/>
          <w:szCs w:val="16"/>
          <w:color w:val="auto"/>
        </w:rPr>
        <w:t>”) of the Lender Parties as contemplated under Article 2692 of the Civil Code of Québec, and to enter into, to take and to hold on its behalf, and for its benefit, any hypothec, and to exercise such powers and duties that are conferred upon the Attorney under any hypothec. Moreover, without prejudice to such appointment and authorization to act as the person holding the power of attorney as aforesaid, each of the Lender Parties hereby irrevocably appoints and authorizes the Administrative Agent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to act as agent and custodian for and on behalf of the Lender Parties to hold and be the sole registered holder of any bond which may be issued under any hypothec, the whole notwithstanding Section 32 of An Act respecting the special powers of legal persons (Quebec) or any other applicable law, and to execute all related documents. Each of the Attorney and the Custodian shall: (a) have the sole and exclusive right and authority to exercise, except as may be otherwise specifically restricted by the terms hereof, all rights and remedies given to the Attorney and the Custodian (as applicable) pursuant to any hypothec, bond, pledge, applicable laws or otherwise, (b) benefit from and be subject to all provisions hereof with respect to the Administrative Agent mutatis mutandis, including, without limitation, all such provisions with respect to the liability or responsibility to and indemnification by the Lender Parties, and (c) be entitled to delegate from time to time any of its powers or duties under any hypothec, bond, or pledge on such terms and conditions as it may determine from time to time. Any person who becomes a Lender Party shall, by its execution of an Assignment and Assumption, be deemed to have consented to and confirmed: (i) the Attorney as the person holding the power of attorney as aforesaid and to have ratified, as of the date it becomes a Lender Party, all actions taken by the Attorney in such capacity, and (ii) the Custodian as the agent and custodian as aforesaid and to have ratified, as of the date it becomes a Lender Party, all actions taken by the Custodian in such capacity. The substitution of the Administrative Agent pursuant to the provisions of this Article VIII shall also constitute the substitution of the Attorney and the Custodian.</w:t>
      </w:r>
    </w:p>
    <w:p>
      <w:pPr>
        <w:spacing w:after="0" w:line="164"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The bank serving as the Administrative Agent or the Canadian Administrative Agent hereunder shall have the same rights and powers in its capacity as a Lender as any other Lender and may exercise the same as though it were not the Administrative Agent or the Canadian Administrative Agent, and such bank and its Affiliates may accept deposits from, lend money to and generally engage in any kind of business with the Loan Parties or any Subsidiary of a Loan Party or other Affiliate thereof as if it were not the Administrative Agent or the Canadian Administrative Agent hereunder.</w:t>
      </w:r>
    </w:p>
    <w:p>
      <w:pPr>
        <w:spacing w:after="0" w:line="157" w:lineRule="exact"/>
        <w:rPr>
          <w:sz w:val="20"/>
          <w:szCs w:val="20"/>
          <w:color w:val="auto"/>
        </w:rPr>
      </w:pPr>
    </w:p>
    <w:p>
      <w:pPr>
        <w:jc w:val="both"/>
        <w:ind w:firstLine="572"/>
        <w:spacing w:after="0" w:line="266" w:lineRule="auto"/>
        <w:rPr>
          <w:sz w:val="20"/>
          <w:szCs w:val="20"/>
          <w:color w:val="auto"/>
        </w:rPr>
      </w:pPr>
      <w:r>
        <w:rPr>
          <w:rFonts w:ascii="Arial" w:cs="Arial" w:eastAsia="Arial" w:hAnsi="Arial"/>
          <w:sz w:val="16"/>
          <w:szCs w:val="16"/>
          <w:color w:val="auto"/>
        </w:rPr>
        <w:t>Neither the Administrative Agent nor the Canadian Administrative Agent shall have any duties or obligations except those expressly set forth in the Loan Documents. Without limiting the generality of the foregoing, (a) neither the Administrative Agent nor the Canadian Administrative Agent shall be subject to any fiduciary or other implied duties, regardless of whether a Default has occurred and is continuing, (b) the Administrative Agent and the Canadian Administrative Agent shall not have any duty to take any discretionary action or exercise any discretionary powers, except discretionary rights and powers expressly contemplated by the Loan Documents that the Administrative Agent or the Canadian Administrative Agent is required to exercise in writing as directed by the Required Lenders (or such other number or percentage of the Lenders as shall be necessary under the circumstances as provided in Section 9.02), and (c) except as expressly set forth in the Loan Documents, neither the Administrative Agent nor the Canadian Administrative Agent shall have any duty to disclose, and shall not be liable for the failure to disclose, any information relating to any Loan Party or any of the Subsidiaries that is communicated to or obtained by the bank serving as Administrative Agent or Canadian Administrative Agent or any of its Affiliates in any capacity. The Administrative Agent and the Canadian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bad faith, gross negligence or willful misconduct. The Administrative Agent or the Canadian Administrative Agent, as the case may be, shall be deemed not to have knowledge of any Default unless and until written notice thereof is given to the Administrative Agent and the Canadian Administrative Agent by the Borrower Representative or a Lender Party, and the Administrative Agent and the Canadian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adequacy, accuracy or completeness of any information (whether oral or written) set forth or in connection with any Loan Document, (v) the legality, the validity, enforceability, effectiveness, adequacy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 and the Canadian Administrative Agent, as the case may be.</w:t>
      </w:r>
    </w:p>
    <w:p>
      <w:pPr>
        <w:spacing w:after="0" w:line="162" w:lineRule="exact"/>
        <w:rPr>
          <w:sz w:val="20"/>
          <w:szCs w:val="20"/>
          <w:color w:val="auto"/>
        </w:rPr>
      </w:pPr>
    </w:p>
    <w:p>
      <w:pPr>
        <w:jc w:val="both"/>
        <w:ind w:firstLine="572"/>
        <w:spacing w:after="0" w:line="298" w:lineRule="auto"/>
        <w:rPr>
          <w:sz w:val="20"/>
          <w:szCs w:val="20"/>
          <w:color w:val="auto"/>
        </w:rPr>
      </w:pPr>
      <w:r>
        <w:rPr>
          <w:rFonts w:ascii="Arial" w:cs="Arial" w:eastAsia="Arial" w:hAnsi="Arial"/>
          <w:sz w:val="15"/>
          <w:szCs w:val="15"/>
          <w:color w:val="auto"/>
        </w:rPr>
        <w:t>The Administrative Agent and the Canadian Administrative Agent shall be entitled to rely upon, and shall not incur any liability for relying upon, any representation, notice, request, certificate, consent, statement, instrument, document or other writing or communication believed by it to be genuine, correct and to have been authorized, signed or sent by the proper Person. The Administrative Agent and the Canadian Administrative Agent also may rely upon any statement made to it orally or by telephone and believed by it to be made or authorized by the proper Person, and shall not incur any liability for relying thereon. The Administrative Agent and the Canadian Administrative Agent may consult with legal counsel (who may be counsel for the Borrowers), independent accountants</w:t>
      </w:r>
    </w:p>
    <w:p>
      <w:pPr>
        <w:sectPr>
          <w:pgSz w:w="11900" w:h="16838" w:orient="portrait"/>
          <w:cols w:equalWidth="0" w:num="1">
            <w:col w:w="11440"/>
          </w:cols>
          <w:pgMar w:left="240" w:top="124" w:right="219" w:bottom="0" w:gutter="0" w:footer="0" w:header="0"/>
        </w:sectPr>
      </w:pPr>
    </w:p>
    <w:bookmarkStart w:id="68" w:name="page69"/>
    <w:bookmarkEnd w:id="68"/>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and other experts selected by it, and shall not be liable for any action taken or not taken by it in accordance with the advice of any such counsel, accountants or experts.</w:t>
      </w:r>
    </w:p>
    <w:p>
      <w:pPr>
        <w:spacing w:after="0" w:line="138"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The Administrative Agent and the Canadian Administrative Agent may perform any and all its duties and exercise its rights and powers by or through any one or more sub-agents appointed by the Administrative Agent or the Canadian Administrative Agent, as the case may be. The Administrative Agent, the Canadian Administrative Agent and any such sub-agent thereof may perform any and all its duties and exercise its rights and powers through their respective Related Parties. The exculpatory provisions of the preceding paragraphs shall apply to any such sub-agent and to the Related Parties of the Administrative Agent, the Canadian Administrative Agent and any such sub-agent, and shall apply to their respective activities in connection with the syndication of the credit facilities provided for herein as well as activities as the Administrative Agent and the Canadian Administrative Agent.</w:t>
      </w:r>
    </w:p>
    <w:p>
      <w:pPr>
        <w:spacing w:after="0" w:line="146" w:lineRule="exact"/>
        <w:rPr>
          <w:sz w:val="20"/>
          <w:szCs w:val="20"/>
          <w:color w:val="auto"/>
        </w:rPr>
      </w:pPr>
    </w:p>
    <w:p>
      <w:pPr>
        <w:jc w:val="both"/>
        <w:ind w:firstLine="572"/>
        <w:spacing w:after="0" w:line="203" w:lineRule="exact"/>
        <w:rPr>
          <w:sz w:val="20"/>
          <w:szCs w:val="20"/>
          <w:color w:val="auto"/>
        </w:rPr>
      </w:pPr>
      <w:r>
        <w:rPr>
          <w:rFonts w:ascii="Arial" w:cs="Arial" w:eastAsia="Arial" w:hAnsi="Arial"/>
          <w:sz w:val="16"/>
          <w:szCs w:val="16"/>
          <w:color w:val="auto"/>
        </w:rPr>
        <w:t>Subject to the appointment and acceptance of a successor Administrative Agent and the Canadian Administrative Agent, as the case may be, as provided in this paragraph, the Administrative Agent and the Canadian Administrative Agent may resign at any time by notifying the Lenders, the Issuing Banks and the Borrower Representative. Upon any such resignation, the Required Lenders shall have the right, in consultation with the Borrowers (and, so long as no Event of Default described in clauses (a), (i), (j) or (k) of Article VII shall have occurred and be continuing, subject to the prior written consent of the Borrower Representative (such consent not to be unreasonably withheld or delayed)), to appoint a successor (which shall, in the case of the Canadian Administrative Agent only, be an Affiliate of the Administrative Agent acting through a branch or an office in Canada). If no successor shall have been so appointed by the Required Lenders and shall have accepted such appointment within 30 days after the retiring Administrative Agent or Canadian Administrative Agent, as the case may be, gives notice of its resignation, then the retiring Administrative Agent or Canadian Administrative Agent, as the case may be, may, on behalf of the Lender Parties, appoint a successor Administrative Agent which shall be a commercial bank or an Affiliate of any such commercial bank (which shall, in the case of the Canadian Administrative Agent only, be an Affiliate of the Administrative Agent acting through an office in Canada) and shall be reasonably acceptable to the Borrowers. Upon the acceptance of its appointment as Administrative Agent or Canadian Administrative Agent, as the case may be, hereunder by a successor, such successor shall succeed to and become vested with all the rights, powers, privileges, obligations and duties of the retiring (or retired) Administrative Agent or Canadian Administrative Agent, as the case may be, and the retiring Administrative Agent or Canadian Administrative Agent shall be discharged from its duties and obligations hereunder. The fees payable by the Borrowers to a successor Administrative Agent and Canadian Administrative Agent shall be the same as those payable to its predecessor unless otherwise agreed between the Borrowers and such successor. Notwithstanding the foregoing, in the event no successor Administrative Agent or Canadian Administrative Agent shall have been so appointed and shall have accepted such appointment within thirty (30) days after the retiring Administrative Agent or Canadian Administrative Agent, as the case may be, gives notice of its intent to resign, the retiring Administrative Agent or Canadian Administrative Agent as the case may be, may give notice of the effectiveness of its resignation to the Lenders, the Issuing Banks and the Borrowers, whereupon, on the date of effectiveness of such resignation stated in such notice, (a) the retiring Administrative Agent or Canadian Administrative Agent as the case may be, shall be discharged from its duties and obligations hereunder and under the other Loan Documents, provided that, solely for purposes of maintaining any security interest and hypothecs granted to the Administrative Agent or Canadian Administrative Agent as the case may be, under any Collateral Document for the benefit of the Lender Parties, the retiring Administrative Agent or Canadian Administrative Agent as the case may be, shall continue to be vested with such security interest and hypothecs as collateral agent for the benefit of the Lender Parties and, in the case of any Collateral in the possession of the Administrative Agent or Canadian Administrative Agent as the case may be, shall continue to hold such Collateral, in each case until such time as a successor Administrative Agent or Canadian Administrative Agent as the case may be, is appointed and accepts such appointment in accordance with this paragraph (it being understood and agreed that the retiring Administrative Agent or Canadian Administrative Agent as the case may be,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or Canadian Administrative Agent as the case may be, provided that (i) all payments required to be made hereunder or under any other Loan Document to the Administrative Agent or Canadian Administrative Agent as the case may be, for the account of any Person other than the Administrative Agent or Canadian Administrative Agent as the case may be, shall be made directly to such Person and (ii) all notices and other communications required or contemplated to be given or made to the Administrative Agent or Canadian Administrative Agent as the case may be, shall also directly be given or made to each Lender and each Issuing Bank. Following the effectiveness of the Administrative Agent’s or Canadian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Administrative Agent or Canadian Administrative Agent as the case may be, its sub</w:t>
      </w:r>
      <w:r>
        <w:rPr>
          <w:rFonts w:ascii="MS PGothic" w:cs="MS PGothic" w:eastAsia="MS PGothic" w:hAnsi="MS PGothic"/>
          <w:sz w:val="16"/>
          <w:szCs w:val="16"/>
          <w:color w:val="auto"/>
        </w:rPr>
        <w:t>‑</w:t>
      </w:r>
      <w:r>
        <w:rPr>
          <w:rFonts w:ascii="Arial" w:cs="Arial" w:eastAsia="Arial" w:hAnsi="Arial"/>
          <w:sz w:val="16"/>
          <w:szCs w:val="16"/>
          <w:color w:val="auto"/>
        </w:rPr>
        <w:t>agents and their respective Related Parties in respect of any actions taken or omitted to be taken by any of them while it was acting as Administrative Agent or Canadian Administrative Agent as the case may be, and in respect of the matters referred to in the proviso under clause (a) above.</w:t>
      </w:r>
    </w:p>
    <w:p>
      <w:pPr>
        <w:spacing w:after="0" w:line="196"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 xml:space="preserve">All services rendered in Canada under this Agreement or any other Loan Document to be performed by the Administrative Agent or the Canadian Administrative Agent will be performed by a Canadian resident for purposes of the ITA or an authorized foreign bank for purposes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w:t>
      </w:r>
    </w:p>
    <w:p>
      <w:pPr>
        <w:spacing w:after="0" w:line="116" w:lineRule="exact"/>
        <w:rPr>
          <w:sz w:val="20"/>
          <w:szCs w:val="20"/>
          <w:color w:val="auto"/>
        </w:rPr>
      </w:pPr>
    </w:p>
    <w:p>
      <w:pPr>
        <w:jc w:val="both"/>
        <w:ind w:firstLine="572"/>
        <w:spacing w:after="0" w:line="298" w:lineRule="auto"/>
        <w:rPr>
          <w:sz w:val="20"/>
          <w:szCs w:val="20"/>
          <w:color w:val="auto"/>
        </w:rPr>
      </w:pPr>
      <w:r>
        <w:rPr>
          <w:rFonts w:ascii="Arial" w:cs="Arial" w:eastAsia="Arial" w:hAnsi="Arial"/>
          <w:sz w:val="15"/>
          <w:szCs w:val="15"/>
          <w:color w:val="auto"/>
        </w:rPr>
        <w:t>Each Lender Party acknowledges that it has, independently and without reliance upon the Administrative Agent, the Canadian Administrative Agent or any other Lender and based on such documents and information as it has deemed appropriate, made its own credit analysis and decision to enter into this Agreement. Each Lender Party also acknowledges that it will, independently and without reliance upon the Administrative Agent, the Canadian Administrative Agent or any other Lender Party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32"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Each Lender hereby agrees that (a) it has requested a copy of each Report prepared by or on behalf of the Administrative Agent or the Canadian Administrative Agent; (b) the Administrative Agent and the Canadian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and the Canadian Administrative Agent undertake no obligation to update, correct or supplement the Reports; (d) it will keep all Reports confidential and strictly for its internal use, not share the Report with any Loan Party or any other Person except as otherwise permitted pursuant to this Agreement; and (e) without limiting the generality of any other indemnification provision contained in this Agreement, it will pay and protect, and indemnify, defend, and hold the Administrative Agent, the Canadian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50"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The Bookrunners, the Lead Arrangers and the Co-Syndication Agents shall not have any right, power, obligation, liability, responsibility or duty under this Agreement, except in their capacities, as applicable, as the Administrative Agent, a Lender or an Issuing Bank hereunder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Bookrunners, Lead Arrangers and Co-Syndication Agents, as applicable, as it makes with respect to the Administrative Agent in the preceding paragraph.</w:t>
      </w:r>
    </w:p>
    <w:p>
      <w:pPr>
        <w:spacing w:after="0" w:line="161"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The Lenders are not partners or co-venturers, and no Lender shall be liable for the acts or omissions of, or (except as otherwise set forth herein in case of the Administrative Agent or the Canadian Administrative Agent, as applicable) authorized to act for, any other Lender. The Administrative Agent and the Canadian Administrative Agent, as the case may be, shall have the exclusive right on behalf of the Lenders to enforce the payment of the principal of and interest on any Loan after the date such principal or interest has become due and payable pursuant to the terms of this Agreement.</w:t>
      </w:r>
    </w:p>
    <w:p>
      <w:pPr>
        <w:spacing w:after="0" w:line="157" w:lineRule="exact"/>
        <w:rPr>
          <w:sz w:val="20"/>
          <w:szCs w:val="20"/>
          <w:color w:val="auto"/>
        </w:rPr>
      </w:pPr>
    </w:p>
    <w:p>
      <w:pPr>
        <w:jc w:val="both"/>
        <w:ind w:firstLine="572"/>
        <w:spacing w:after="0" w:line="313" w:lineRule="auto"/>
        <w:rPr>
          <w:sz w:val="20"/>
          <w:szCs w:val="20"/>
          <w:color w:val="auto"/>
        </w:rPr>
      </w:pPr>
      <w:r>
        <w:rPr>
          <w:rFonts w:ascii="Arial" w:cs="Arial" w:eastAsia="Arial" w:hAnsi="Arial"/>
          <w:sz w:val="16"/>
          <w:szCs w:val="16"/>
          <w:color w:val="auto"/>
        </w:rPr>
        <w:t>In its capacity, each of the Administrative Agent and the Canadian Administrative Agent, is a “representative” of the Secured Parties within the meaning of the term “secured party” as defined in the New York Uniform Commercial Code. Each Lender authorizes the Administrative Agent and the Canadian</w:t>
      </w:r>
    </w:p>
    <w:p>
      <w:pPr>
        <w:sectPr>
          <w:pgSz w:w="11900" w:h="16913" w:orient="portrait"/>
          <w:cols w:equalWidth="0" w:num="1">
            <w:col w:w="11440"/>
          </w:cols>
          <w:pgMar w:left="240" w:top="124" w:right="219" w:bottom="0" w:gutter="0" w:footer="0" w:header="0"/>
        </w:sectPr>
      </w:pPr>
    </w:p>
    <w:bookmarkStart w:id="69" w:name="page70"/>
    <w:bookmarkEnd w:id="69"/>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Administrative Agent, to enter into each of the Collateral Documents to which it is a party and to take all action contemplated by such documents. Each Lender agrees that no Secured Party (other than the Administrative Agent and the Canadian Administrative Agent, as the case may be) shall have the right individually to seek to realize upon the security granted by any Collateral Document, it being understood and agreed that such rights and remedies may be exercised solely by the Administrative Agent and the Canadian Administrative Agent, as the case may be, for the benefit of the Lender Parties upon the terms of the Collateral Documents. In the event that any Collateral is hereafter pledged by any Person as collateral security for the Secured Obligations, each of the Administrative Agent and the Canadian Administrative Agent, as the case may be, is hereby authorized, and hereby granted a power of attorney, to execute and deliver on behalf of the Lender Parties any Loan Documents necessary or appropriate to grant and perfect a Lien on such Collateral in favor of the Administrative Agent and the Canadian Administrative Agent, as the case may be, on behalf of the Lender Parties.</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ARTICLE IX.</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w:t>
      </w:r>
    </w:p>
    <w:p>
      <w:pPr>
        <w:spacing w:after="0" w:line="210"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Notices</w:t>
      </w:r>
      <w:r>
        <w:rPr>
          <w:rFonts w:ascii="Arial" w:cs="Arial" w:eastAsia="Arial" w:hAnsi="Arial"/>
          <w:sz w:val="17"/>
          <w:szCs w:val="17"/>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or electronic mail, as follows:</w:t>
      </w:r>
    </w:p>
    <w:p>
      <w:pPr>
        <w:spacing w:after="0" w:line="177" w:lineRule="exact"/>
        <w:rPr>
          <w:sz w:val="20"/>
          <w:szCs w:val="20"/>
          <w:color w:val="auto"/>
        </w:rPr>
      </w:pPr>
    </w:p>
    <w:p>
      <w:pPr>
        <w:ind w:left="1480" w:hanging="341"/>
        <w:spacing w:after="0"/>
        <w:tabs>
          <w:tab w:leader="none" w:pos="1480" w:val="left"/>
        </w:tabs>
        <w:numPr>
          <w:ilvl w:val="0"/>
          <w:numId w:val="115"/>
        </w:numPr>
        <w:rPr>
          <w:rFonts w:ascii="Arial" w:cs="Arial" w:eastAsia="Arial" w:hAnsi="Arial"/>
          <w:sz w:val="19"/>
          <w:szCs w:val="19"/>
          <w:color w:val="auto"/>
        </w:rPr>
      </w:pPr>
      <w:r>
        <w:rPr>
          <w:rFonts w:ascii="Arial" w:cs="Arial" w:eastAsia="Arial" w:hAnsi="Arial"/>
          <w:sz w:val="17"/>
          <w:szCs w:val="17"/>
          <w:color w:val="auto"/>
        </w:rPr>
        <w:t>if to any Loan Party, to the Borrower Representative at:</w:t>
      </w:r>
    </w:p>
    <w:p>
      <w:pPr>
        <w:spacing w:after="0" w:line="18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Suite 700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225 West Station Square Drive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Pittsburgh, PA 15219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Attention: Treasurer</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Facsimile No: 412-454-2374</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Email: BBegg@wesco.com</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with copies to:</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Suite 700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225 West Station Square Drive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Pittsburgh, PA 15219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Attention: General Counsel</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Facsimile No.: 412-454-4236</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Email: DLazzaris@wesco.com</w:t>
      </w:r>
    </w:p>
    <w:p>
      <w:pPr>
        <w:spacing w:after="0" w:line="196"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Jones Day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901 Lakeside Avenue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Cleveland, OH 44114</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Attention: Rachel Rawson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Facsimile No: 216-579-0212</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Email: rlrawson@jonesday.com</w:t>
      </w:r>
    </w:p>
    <w:p>
      <w:pPr>
        <w:spacing w:after="0" w:line="374" w:lineRule="exact"/>
        <w:rPr>
          <w:sz w:val="20"/>
          <w:szCs w:val="20"/>
          <w:color w:val="auto"/>
        </w:rPr>
      </w:pPr>
    </w:p>
    <w:p>
      <w:pPr>
        <w:ind w:left="1540" w:hanging="401"/>
        <w:spacing w:after="0"/>
        <w:tabs>
          <w:tab w:leader="none" w:pos="1540" w:val="left"/>
        </w:tabs>
        <w:numPr>
          <w:ilvl w:val="0"/>
          <w:numId w:val="116"/>
        </w:numPr>
        <w:rPr>
          <w:rFonts w:ascii="Arial" w:cs="Arial" w:eastAsia="Arial" w:hAnsi="Arial"/>
          <w:sz w:val="19"/>
          <w:szCs w:val="19"/>
          <w:color w:val="auto"/>
        </w:rPr>
      </w:pPr>
      <w:r>
        <w:rPr>
          <w:rFonts w:ascii="Arial" w:cs="Arial" w:eastAsia="Arial" w:hAnsi="Arial"/>
          <w:sz w:val="17"/>
          <w:szCs w:val="17"/>
          <w:color w:val="auto"/>
        </w:rPr>
        <w:t>if to the Administrative Agent, or the U.S. Swingline Lender, to:</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1300 East Ninth Street, Floor 13</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Cleveland, OH 44114</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Attention: David Waugh</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Facsimile No: 216-781-2071</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Email: david.j.waugh@chase.com</w:t>
      </w:r>
    </w:p>
    <w:p>
      <w:pPr>
        <w:spacing w:after="0" w:line="208" w:lineRule="exact"/>
        <w:rPr>
          <w:sz w:val="20"/>
          <w:szCs w:val="20"/>
          <w:color w:val="auto"/>
        </w:rPr>
      </w:pPr>
    </w:p>
    <w:p>
      <w:pPr>
        <w:ind w:left="1720" w:hanging="581"/>
        <w:spacing w:after="0"/>
        <w:tabs>
          <w:tab w:leader="none" w:pos="1720" w:val="left"/>
        </w:tabs>
        <w:numPr>
          <w:ilvl w:val="0"/>
          <w:numId w:val="117"/>
        </w:numPr>
        <w:rPr>
          <w:rFonts w:ascii="Arial" w:cs="Arial" w:eastAsia="Arial" w:hAnsi="Arial"/>
          <w:sz w:val="19"/>
          <w:szCs w:val="19"/>
          <w:color w:val="auto"/>
        </w:rPr>
      </w:pPr>
      <w:r>
        <w:rPr>
          <w:rFonts w:ascii="Arial" w:cs="Arial" w:eastAsia="Arial" w:hAnsi="Arial"/>
          <w:sz w:val="17"/>
          <w:szCs w:val="17"/>
          <w:color w:val="auto"/>
        </w:rPr>
        <w:t>if to the Canadian Administrative Agent, or the Canadian Swingline Lender, to:</w:t>
      </w:r>
    </w:p>
    <w:p>
      <w:pPr>
        <w:spacing w:after="0" w:line="186" w:lineRule="exact"/>
        <w:rPr>
          <w:rFonts w:ascii="Arial" w:cs="Arial" w:eastAsia="Arial" w:hAnsi="Arial"/>
          <w:sz w:val="19"/>
          <w:szCs w:val="19"/>
          <w:color w:val="auto"/>
        </w:rPr>
      </w:pPr>
    </w:p>
    <w:p>
      <w:pPr>
        <w:ind w:left="1720" w:right="6520"/>
        <w:spacing w:after="0" w:line="257" w:lineRule="auto"/>
        <w:rPr>
          <w:rFonts w:ascii="Arial" w:cs="Arial" w:eastAsia="Arial" w:hAnsi="Arial"/>
          <w:sz w:val="19"/>
          <w:szCs w:val="19"/>
          <w:color w:val="auto"/>
        </w:rPr>
      </w:pPr>
      <w:r>
        <w:rPr>
          <w:rFonts w:ascii="Arial" w:cs="Arial" w:eastAsia="Arial" w:hAnsi="Arial"/>
          <w:sz w:val="17"/>
          <w:szCs w:val="17"/>
          <w:color w:val="auto"/>
        </w:rPr>
        <w:t>JPMorgan Chase Bank, N.A., Toronto Branch Royal Bank Plaza, South Tower</w:t>
      </w:r>
    </w:p>
    <w:p>
      <w:pPr>
        <w:ind w:left="1720" w:right="8220"/>
        <w:spacing w:after="0" w:line="248" w:lineRule="auto"/>
        <w:rPr>
          <w:rFonts w:ascii="Arial" w:cs="Arial" w:eastAsia="Arial" w:hAnsi="Arial"/>
          <w:sz w:val="19"/>
          <w:szCs w:val="19"/>
          <w:color w:val="auto"/>
        </w:rPr>
      </w:pPr>
      <w:r>
        <w:rPr>
          <w:rFonts w:ascii="Arial" w:cs="Arial" w:eastAsia="Arial" w:hAnsi="Arial"/>
          <w:sz w:val="17"/>
          <w:szCs w:val="17"/>
          <w:color w:val="auto"/>
        </w:rPr>
        <w:t>1800 –200 Bay Street Toronto, Ontario M5J 2J2</w:t>
      </w:r>
    </w:p>
    <w:p>
      <w:pPr>
        <w:spacing w:after="0" w:line="1" w:lineRule="exact"/>
        <w:rPr>
          <w:rFonts w:ascii="Arial" w:cs="Arial" w:eastAsia="Arial" w:hAnsi="Arial"/>
          <w:sz w:val="19"/>
          <w:szCs w:val="19"/>
          <w:color w:val="auto"/>
        </w:rPr>
      </w:pPr>
    </w:p>
    <w:p>
      <w:pPr>
        <w:ind w:left="1720"/>
        <w:spacing w:after="0"/>
        <w:rPr>
          <w:rFonts w:ascii="Arial" w:cs="Arial" w:eastAsia="Arial" w:hAnsi="Arial"/>
          <w:sz w:val="19"/>
          <w:szCs w:val="19"/>
          <w:color w:val="auto"/>
        </w:rPr>
      </w:pPr>
      <w:r>
        <w:rPr>
          <w:rFonts w:ascii="Arial" w:cs="Arial" w:eastAsia="Arial" w:hAnsi="Arial"/>
          <w:sz w:val="17"/>
          <w:szCs w:val="17"/>
          <w:color w:val="auto"/>
        </w:rPr>
        <w:t>Attention: Augie Marchetti</w:t>
      </w:r>
    </w:p>
    <w:p>
      <w:pPr>
        <w:spacing w:after="0" w:line="7" w:lineRule="exact"/>
        <w:rPr>
          <w:rFonts w:ascii="Arial" w:cs="Arial" w:eastAsia="Arial" w:hAnsi="Arial"/>
          <w:sz w:val="19"/>
          <w:szCs w:val="19"/>
          <w:color w:val="auto"/>
        </w:rPr>
      </w:pPr>
    </w:p>
    <w:p>
      <w:pPr>
        <w:ind w:left="1720"/>
        <w:spacing w:after="0"/>
        <w:rPr>
          <w:rFonts w:ascii="Arial" w:cs="Arial" w:eastAsia="Arial" w:hAnsi="Arial"/>
          <w:sz w:val="19"/>
          <w:szCs w:val="19"/>
          <w:color w:val="auto"/>
        </w:rPr>
      </w:pPr>
      <w:r>
        <w:rPr>
          <w:rFonts w:ascii="Arial" w:cs="Arial" w:eastAsia="Arial" w:hAnsi="Arial"/>
          <w:sz w:val="17"/>
          <w:szCs w:val="17"/>
          <w:color w:val="auto"/>
        </w:rPr>
        <w:t>Facsimile No: 416-981-2375</w:t>
      </w:r>
    </w:p>
    <w:p>
      <w:pPr>
        <w:spacing w:after="0" w:line="12" w:lineRule="exact"/>
        <w:rPr>
          <w:rFonts w:ascii="Arial" w:cs="Arial" w:eastAsia="Arial" w:hAnsi="Arial"/>
          <w:sz w:val="19"/>
          <w:szCs w:val="19"/>
          <w:color w:val="auto"/>
        </w:rPr>
      </w:pPr>
    </w:p>
    <w:p>
      <w:pPr>
        <w:ind w:left="1720"/>
        <w:spacing w:after="0"/>
        <w:rPr>
          <w:rFonts w:ascii="Arial" w:cs="Arial" w:eastAsia="Arial" w:hAnsi="Arial"/>
          <w:sz w:val="19"/>
          <w:szCs w:val="19"/>
          <w:color w:val="auto"/>
        </w:rPr>
      </w:pPr>
      <w:r>
        <w:rPr>
          <w:rFonts w:ascii="Arial" w:cs="Arial" w:eastAsia="Arial" w:hAnsi="Arial"/>
          <w:sz w:val="17"/>
          <w:szCs w:val="17"/>
          <w:color w:val="auto"/>
        </w:rPr>
        <w:t xml:space="preserve">Email: </w:t>
      </w:r>
      <w:r>
        <w:rPr>
          <w:rFonts w:ascii="Arial" w:cs="Arial" w:eastAsia="Arial" w:hAnsi="Arial"/>
          <w:sz w:val="19"/>
          <w:szCs w:val="19"/>
          <w:u w:val="single" w:color="auto"/>
          <w:color w:val="0000EE"/>
        </w:rPr>
        <w:t>agostino.a.marchetti@jpmorgan.com</w:t>
      </w:r>
    </w:p>
    <w:p>
      <w:pPr>
        <w:spacing w:after="0" w:line="227" w:lineRule="exact"/>
        <w:rPr>
          <w:rFonts w:ascii="Arial" w:cs="Arial" w:eastAsia="Arial" w:hAnsi="Arial"/>
          <w:sz w:val="19"/>
          <w:szCs w:val="19"/>
          <w:color w:val="auto"/>
        </w:rPr>
      </w:pPr>
    </w:p>
    <w:p>
      <w:pPr>
        <w:ind w:firstLine="1139"/>
        <w:spacing w:after="0" w:line="281" w:lineRule="auto"/>
        <w:tabs>
          <w:tab w:leader="none" w:pos="1625" w:val="left"/>
        </w:tabs>
        <w:numPr>
          <w:ilvl w:val="0"/>
          <w:numId w:val="117"/>
        </w:numPr>
        <w:rPr>
          <w:rFonts w:ascii="Arial" w:cs="Arial" w:eastAsia="Arial" w:hAnsi="Arial"/>
          <w:sz w:val="19"/>
          <w:szCs w:val="19"/>
          <w:color w:val="auto"/>
        </w:rPr>
      </w:pPr>
      <w:r>
        <w:rPr>
          <w:rFonts w:ascii="Arial" w:cs="Arial" w:eastAsia="Arial" w:hAnsi="Arial"/>
          <w:sz w:val="17"/>
          <w:szCs w:val="17"/>
          <w:color w:val="auto"/>
        </w:rPr>
        <w:t>if to any other Lender or any Issuing Bank, to it at its address, facsimile number or electronic mail address set forth in its Administrative Questionnaire or in any other writing delivered by any such Person to the Administrative Agent.</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All such notices and other communications (i) sent by hand or overnight courier service, or mailed by certified or registered mail, shall be deemed to have been given when received, or (ii) sent by facsimile shall be deemed to have been given when 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166" w:lineRule="exact"/>
        <w:rPr>
          <w:sz w:val="20"/>
          <w:szCs w:val="20"/>
          <w:color w:val="auto"/>
        </w:rPr>
      </w:pPr>
    </w:p>
    <w:p>
      <w:pPr>
        <w:jc w:val="both"/>
        <w:ind w:firstLine="1139"/>
        <w:spacing w:after="0" w:line="321" w:lineRule="auto"/>
        <w:tabs>
          <w:tab w:leader="none" w:pos="1573" w:val="left"/>
        </w:tabs>
        <w:numPr>
          <w:ilvl w:val="0"/>
          <w:numId w:val="118"/>
        </w:numPr>
        <w:rPr>
          <w:rFonts w:ascii="Arial" w:cs="Arial" w:eastAsia="Arial" w:hAnsi="Arial"/>
          <w:sz w:val="16"/>
          <w:szCs w:val="16"/>
          <w:color w:val="auto"/>
        </w:rPr>
      </w:pPr>
      <w:r>
        <w:rPr>
          <w:rFonts w:ascii="Arial" w:cs="Arial" w:eastAsia="Arial" w:hAnsi="Arial"/>
          <w:sz w:val="15"/>
          <w:szCs w:val="15"/>
          <w:color w:val="auto"/>
        </w:rPr>
        <w:t xml:space="preserve">Notices and other communications to the Lenders hereunder may be delivered or furnished by Electronic Systems pursuant to procedures approved by the Administrative Agent; provided that the foregoing shall not apply to notices pursuant to Article II or to compliance or Default certificates delivered pursuant to Section 5.01 or unless otherwise agreed by the Administrative Agent and the Canadian Administrative Agent, as the case may be, and the applicable Lender. Each of the Administrative Agent and the Borrower Representative (on behalf of the Loan Parties) may, in its discretion, agree to accept notices and other communications to it hereunder by Electronic Systems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not given during the normal business hours of the recipient, such notice or communication shall be deemed to have been given</w:t>
      </w:r>
    </w:p>
    <w:p>
      <w:pPr>
        <w:sectPr>
          <w:pgSz w:w="11900" w:h="16840" w:orient="portrait"/>
          <w:cols w:equalWidth="0" w:num="1">
            <w:col w:w="11440"/>
          </w:cols>
          <w:pgMar w:left="240" w:top="124" w:right="219" w:bottom="0" w:gutter="0" w:footer="0" w:header="0"/>
        </w:sectPr>
      </w:pPr>
    </w:p>
    <w:bookmarkStart w:id="70" w:name="page71"/>
    <w:bookmarkEnd w:id="70"/>
    <w:p>
      <w:pPr>
        <w:jc w:val="both"/>
        <w:ind w:left="5"/>
        <w:spacing w:after="0" w:line="293" w:lineRule="auto"/>
        <w:rPr>
          <w:sz w:val="20"/>
          <w:szCs w:val="20"/>
          <w:color w:val="auto"/>
        </w:rPr>
      </w:pPr>
      <w:r>
        <w:rPr>
          <w:rFonts w:ascii="Arial" w:cs="Arial" w:eastAsia="Arial" w:hAnsi="Arial"/>
          <w:sz w:val="17"/>
          <w:szCs w:val="17"/>
          <w:color w:val="auto"/>
        </w:rPr>
        <w:t>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w:t>
      </w:r>
    </w:p>
    <w:p>
      <w:pPr>
        <w:spacing w:after="0" w:line="166" w:lineRule="exact"/>
        <w:rPr>
          <w:sz w:val="20"/>
          <w:szCs w:val="20"/>
          <w:color w:val="auto"/>
        </w:rPr>
      </w:pPr>
    </w:p>
    <w:p>
      <w:pPr>
        <w:ind w:left="5" w:right="20" w:firstLine="1139"/>
        <w:spacing w:after="0" w:line="281" w:lineRule="auto"/>
        <w:tabs>
          <w:tab w:leader="none" w:pos="1577" w:val="left"/>
        </w:tabs>
        <w:numPr>
          <w:ilvl w:val="1"/>
          <w:numId w:val="119"/>
        </w:numPr>
        <w:rPr>
          <w:rFonts w:ascii="Arial" w:cs="Arial" w:eastAsia="Arial" w:hAnsi="Arial"/>
          <w:sz w:val="19"/>
          <w:szCs w:val="19"/>
          <w:color w:val="auto"/>
        </w:rPr>
      </w:pPr>
      <w:r>
        <w:rPr>
          <w:rFonts w:ascii="Arial" w:cs="Arial" w:eastAsia="Arial" w:hAnsi="Arial"/>
          <w:sz w:val="17"/>
          <w:szCs w:val="17"/>
          <w:color w:val="auto"/>
        </w:rPr>
        <w:t>Any party hereto may change its address, electronic mail address or facsimile number for notices and other communications hereunder by notice to the other parties hereto.</w:t>
      </w:r>
    </w:p>
    <w:p>
      <w:pPr>
        <w:spacing w:after="0" w:line="170" w:lineRule="exact"/>
        <w:rPr>
          <w:rFonts w:ascii="Arial" w:cs="Arial" w:eastAsia="Arial" w:hAnsi="Arial"/>
          <w:sz w:val="19"/>
          <w:szCs w:val="19"/>
          <w:color w:val="auto"/>
        </w:rPr>
      </w:pPr>
    </w:p>
    <w:p>
      <w:pPr>
        <w:ind w:left="1505" w:hanging="361"/>
        <w:spacing w:after="0"/>
        <w:tabs>
          <w:tab w:leader="none" w:pos="1505" w:val="left"/>
        </w:tabs>
        <w:numPr>
          <w:ilvl w:val="1"/>
          <w:numId w:val="119"/>
        </w:numPr>
        <w:rPr>
          <w:rFonts w:ascii="Arial" w:cs="Arial" w:eastAsia="Arial" w:hAnsi="Arial"/>
          <w:sz w:val="19"/>
          <w:szCs w:val="19"/>
          <w:color w:val="auto"/>
        </w:rPr>
      </w:pPr>
      <w:r>
        <w:rPr>
          <w:rFonts w:ascii="Arial" w:cs="Arial" w:eastAsia="Arial" w:hAnsi="Arial"/>
          <w:sz w:val="17"/>
          <w:szCs w:val="17"/>
          <w:u w:val="single" w:color="auto"/>
          <w:color w:val="auto"/>
        </w:rPr>
        <w:t>Electronic Systems</w:t>
      </w:r>
      <w:r>
        <w:rPr>
          <w:rFonts w:ascii="Arial" w:cs="Arial" w:eastAsia="Arial" w:hAnsi="Arial"/>
          <w:sz w:val="17"/>
          <w:szCs w:val="17"/>
          <w:color w:val="auto"/>
        </w:rPr>
        <w:t>.</w:t>
      </w:r>
    </w:p>
    <w:p>
      <w:pPr>
        <w:spacing w:after="0" w:line="186" w:lineRule="exact"/>
        <w:rPr>
          <w:rFonts w:ascii="Arial" w:cs="Arial" w:eastAsia="Arial" w:hAnsi="Arial"/>
          <w:sz w:val="19"/>
          <w:szCs w:val="19"/>
          <w:color w:val="auto"/>
        </w:rPr>
      </w:pPr>
    </w:p>
    <w:p>
      <w:pPr>
        <w:ind w:left="5" w:firstLine="567"/>
        <w:spacing w:after="0" w:line="313" w:lineRule="auto"/>
        <w:tabs>
          <w:tab w:leader="none" w:pos="95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27" w:lineRule="exact"/>
        <w:rPr>
          <w:rFonts w:ascii="Arial" w:cs="Arial" w:eastAsia="Arial" w:hAnsi="Arial"/>
          <w:sz w:val="16"/>
          <w:szCs w:val="16"/>
          <w:color w:val="auto"/>
        </w:rPr>
      </w:pPr>
    </w:p>
    <w:p>
      <w:pPr>
        <w:jc w:val="both"/>
        <w:ind w:left="5" w:firstLine="1139"/>
        <w:spacing w:after="0" w:line="269" w:lineRule="auto"/>
        <w:tabs>
          <w:tab w:leader="none" w:pos="153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Borrowers or the other Loan Parties, any Lender, the Issuing Bank or any other Person or entity for damages of any kind, including direct or indirect, special, incidental or consequential damages, losses or expenses (whether in tort, contract or otherwise) arising out of any Borrower’s, any Loan Party’s or the Administrative Agent’s transmission of communications through an Electronic System. “</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54" w:lineRule="exact"/>
        <w:rPr>
          <w:sz w:val="20"/>
          <w:szCs w:val="20"/>
          <w:color w:val="auto"/>
        </w:rPr>
      </w:pPr>
    </w:p>
    <w:p>
      <w:pPr>
        <w:jc w:val="both"/>
        <w:ind w:left="5" w:firstLine="572"/>
        <w:spacing w:after="0" w:line="271"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any Lender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Lenders Parties,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regardless of whether any Lender Party may have had notice or knowledge of such Default at the time.</w:t>
      </w:r>
    </w:p>
    <w:p>
      <w:pPr>
        <w:spacing w:after="0" w:line="149" w:lineRule="exact"/>
        <w:rPr>
          <w:sz w:val="20"/>
          <w:szCs w:val="20"/>
          <w:color w:val="auto"/>
        </w:rPr>
      </w:pPr>
    </w:p>
    <w:p>
      <w:pPr>
        <w:jc w:val="both"/>
        <w:ind w:left="5" w:firstLine="1139"/>
        <w:spacing w:after="0" w:line="285" w:lineRule="auto"/>
        <w:tabs>
          <w:tab w:leader="none" w:pos="1536" w:val="left"/>
        </w:tabs>
        <w:numPr>
          <w:ilvl w:val="1"/>
          <w:numId w:val="121"/>
        </w:numPr>
        <w:rPr>
          <w:rFonts w:ascii="Arial" w:cs="Arial" w:eastAsia="Arial" w:hAnsi="Arial"/>
          <w:sz w:val="15"/>
          <w:szCs w:val="15"/>
          <w:color w:val="auto"/>
        </w:rPr>
      </w:pPr>
      <w:r>
        <w:rPr>
          <w:rFonts w:ascii="Arial" w:cs="Arial" w:eastAsia="Arial" w:hAnsi="Arial"/>
          <w:sz w:val="15"/>
          <w:szCs w:val="15"/>
          <w:color w:val="auto"/>
        </w:rPr>
        <w:t xml:space="preserve">Neither this Agreement nor any other Loan Document nor any provision hereof or thereof may be waived, amended or modified except (i) in the case of this Agreement, pursuant to an agreement or agreements in writing entered into by the Borrower Representative and the Required Lenders or (ii) in the case of any other Loan Document, pursuant to an agreement or agreements in writing entered into by the Administrative Agent, the Canadian Administrative Agent (to the extent it is a party to such Loan Document) and each Loan Party that is a party thereto, with the consent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(A) increase the U.S. Commitment or Canadian Commitment of any Lender without the written consent of such Lender (including any such Lender that is a Defaulting Lender), (B) reduce or forgive the principal amount of any Loan or LC Disbursement or reduce the rate of interest thereon (other than any waiver of default interest or any increase in any commitment fee or participation fee during an Event of Default made with the consent of the Required Lenders), or reduce or forgive any interest or fees (other than any waiver of default interest made with the consent of the Required Lenders) payable hereunder, without the written consent of each Lender directly affected thereby (including any such Lender that is a Defaulting Lender), (C) postpone any scheduled date of payment of the principal amount of any Loan or LC Disbursement, or any date for the payment of any interest, fees or other Obligations payable hereunder, or reduce the amount of, waive or excuse any such payment, postpone the scheduled date of expiration of the Revolving Commitment, without the written consent of each Lender (including any such Lender that is a Defaulting Lender) directly affected thereby, (D) change Section 2.18(b) in any manner adverse to any Lender without such Lender’s consent or in a manner that would alter the manner in which payments are shared, without the written consent of each Lender affected thereby, (E) increase the advance rates set forth in the definition of Canadian Borrowing Base or U.S. Borrowing Base or add new categories of eligible assets, without the written consent of the Supermajority Revolving Lenders, (F) change any of the provisions of this Section or the definition of “Required Lenders” or “Supermajority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w:t>
      </w:r>
    </w:p>
    <w:p>
      <w:pPr>
        <w:spacing w:after="0" w:line="179" w:lineRule="exact"/>
        <w:rPr>
          <w:rFonts w:ascii="Arial" w:cs="Arial" w:eastAsia="Arial" w:hAnsi="Arial"/>
          <w:sz w:val="15"/>
          <w:szCs w:val="15"/>
          <w:color w:val="auto"/>
        </w:rPr>
      </w:pPr>
    </w:p>
    <w:p>
      <w:pPr>
        <w:jc w:val="both"/>
        <w:ind w:left="5" w:hanging="5"/>
        <w:spacing w:after="0" w:line="267" w:lineRule="auto"/>
        <w:tabs>
          <w:tab w:leader="none" w:pos="30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release any Loan Guarantor from its obligation under its Loan Guaranty or Canadian Guarantee (except as otherwise permitted herein or in the other Loan Documents), without the written consent of each Lender, (H) except as provided in clause (c) of this Section or in any Collateral Document, release all or substantially all of the Collateral,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Canadian Administrative Agent, any Issuing Bank or any Swingline Lender hereunder without the prior written consent of the Administrative Agent, the Canadian Administrative Agent, such Issuing Bank or such Swingline Lender, as the case may be (it being understood that any change to Section 2.20 shall require the consent of the Administrative Agent, the Canadian Administrative Agent, the Swingline Lenders and the Issuing Banks). Notwithstanding the foregoing, (x) the Administrative Agent may also amend the </w:t>
      </w:r>
      <w:r>
        <w:rPr>
          <w:rFonts w:ascii="Arial" w:cs="Arial" w:eastAsia="Arial" w:hAnsi="Arial"/>
          <w:sz w:val="16"/>
          <w:szCs w:val="16"/>
          <w:u w:val="single" w:color="auto"/>
          <w:color w:val="auto"/>
        </w:rPr>
        <w:t>Revolving Commitment Schedule</w:t>
      </w:r>
      <w:r>
        <w:rPr>
          <w:rFonts w:ascii="Arial" w:cs="Arial" w:eastAsia="Arial" w:hAnsi="Arial"/>
          <w:sz w:val="16"/>
          <w:szCs w:val="16"/>
          <w:color w:val="auto"/>
        </w:rPr>
        <w:t xml:space="preserve"> to reflect assignments entered into pursuant to Section 9.04 and (y) any amendment entered into in connection with an Aggregate Commitment Increase or a Canadian Sublimit Increase pursuant to Section 2.09(f) or Section 2.09(g), as applicable, shall require only the signature of the Administrative Agent, the Borrowers and the Lender(s) being added or increasing their Revolving Commitment(s) or Canadian Commitments, as applicable, except as otherwise provided in such Section 2.09(f).</w:t>
      </w:r>
    </w:p>
    <w:p>
      <w:pPr>
        <w:spacing w:after="0" w:line="155" w:lineRule="exact"/>
        <w:rPr>
          <w:rFonts w:ascii="Arial" w:cs="Arial" w:eastAsia="Arial" w:hAnsi="Arial"/>
          <w:sz w:val="16"/>
          <w:szCs w:val="16"/>
          <w:color w:val="auto"/>
        </w:rPr>
      </w:pPr>
    </w:p>
    <w:p>
      <w:pPr>
        <w:jc w:val="both"/>
        <w:ind w:left="5" w:firstLine="1139"/>
        <w:spacing w:after="0" w:line="266" w:lineRule="auto"/>
        <w:tabs>
          <w:tab w:leader="none" w:pos="153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The Lender Parties hereby irrevocably authorize the Administrative Agent, at its option and in its sole discretion, to release (x) any guaranty provided by an Excluded Subsidiary and (y) any Liens granted to the Administrative Agent by the Loan Parties or the Canadian Loan Parties or their respective Subsidiaries, as the case may be, on any Collateral (i) upon the termination of all Revolving Commitments, payment and satisfaction in full in cash of all Secured Obligations (other than Unliquidated Obligations), and the cash collateralization of all Unliquidated Obligations in a manner reasonably satisfactory to each affected Lender Party,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Equity Interest of a Subsidiary, the Administrative Agent is authorized to release any Loan Guaranty or Canadian Guarantee provided by such Subsidiary, (iii) constituting property leased to a Loan Party under a lease which has expired or been terminated in a transaction permitted under this Agreement, (iv) constituting an Account originated by a Loan Party which has been sold or otherwise transferred to WESCO Receivables pursuant to the Receivables Securitization Agreements; (v) as required to effect any sale or other disposition of such Collateral in connection with any exercise of remedies of the Administrative Agent and the Lenders pursuant to Article VII; (vi) that constitutes Excluded Property; or (vii) otherwise having a value in the aggregate not in excess of $20,000,000 during any calendar year. Except as provided in the preceding sentence, the Administrative Agent will not release any Liens on Collateral valued in the aggregate (A) in excess of $20,000,000 but not in excess of $50,000,000 during any calendar year without the prior written authorization of the Required Lenders; and (B) in excess of $50,000,000 during any calendar year without the prior written authorization of the Supermajority Revolving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all Lenders shall be required for a release of all or substantially all of the Collateral as provided in Section 9.02(b)(H).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ectPr>
          <w:pgSz w:w="11900" w:h="16838" w:orient="portrait"/>
          <w:cols w:equalWidth="0" w:num="1">
            <w:col w:w="11445"/>
          </w:cols>
          <w:pgMar w:left="235" w:top="137" w:right="219" w:bottom="27" w:gutter="0" w:footer="0" w:header="0"/>
        </w:sectPr>
      </w:pPr>
    </w:p>
    <w:bookmarkStart w:id="71" w:name="page72"/>
    <w:bookmarkEnd w:id="71"/>
    <w:p>
      <w:pPr>
        <w:jc w:val="both"/>
        <w:ind w:firstLine="1139"/>
        <w:spacing w:after="0" w:line="268" w:lineRule="auto"/>
        <w:tabs>
          <w:tab w:leader="none" w:pos="15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Borrowers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Borrowers and the Administrative Agent (1)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(2) such assignee bank or other entity shall have consented to the applicable amendment, waiver or consent,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56" w:lineRule="exact"/>
        <w:rPr>
          <w:rFonts w:ascii="Arial" w:cs="Arial" w:eastAsia="Arial" w:hAnsi="Arial"/>
          <w:sz w:val="16"/>
          <w:szCs w:val="16"/>
          <w:color w:val="auto"/>
        </w:rPr>
      </w:pPr>
    </w:p>
    <w:p>
      <w:pPr>
        <w:ind w:firstLine="1139"/>
        <w:spacing w:after="0" w:line="313" w:lineRule="auto"/>
        <w:tabs>
          <w:tab w:leader="none" w:pos="151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28" w:lineRule="exact"/>
        <w:rPr>
          <w:sz w:val="20"/>
          <w:szCs w:val="20"/>
          <w:color w:val="auto"/>
        </w:rPr>
      </w:pPr>
    </w:p>
    <w:p>
      <w:pPr>
        <w:jc w:val="both"/>
        <w:ind w:firstLine="572"/>
        <w:spacing w:after="0" w:line="204" w:lineRule="exact"/>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Borrowers shall pay (i) all reasonable and documented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by the Administrative Agent, the Canadian Administrative Agent and their Affiliates (limited, in the case of legal fees and expenses, to the reasonable fees, charges and disbursements of one U.S. counsel and one Canadian counsel to the Administrative Agent, the Canadian Administrative Agent and its Affiliates (and, if reasonably necessary, of one local counsel in any relevant material jurisdiction to all such persons, taken as a whole)), in connection with the syndication and distribution (including, without limitation, via the internet or through a service such as IntraLinks)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out-of-pocket expenses incurred by the applicable Issuing Bank in connection with the issuance, amendment, renewal or extension of any Letter of Credit or any demand for payment thereunder and (iii) all out-of-pocket expenses incurred by the Administrative Agent, the Canadian Administrative Agent, any Issuing Bank or any Lender, including the fees, charges and disbursements of any counsel for the Administrative Agent, the Canadian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during any workout, restructuring or negotiations in respect thereof. Subject to the limitations set forth herein or in the Collateral Documents, expenses being reimbursed by the Borrowers under this Section include, without limiting the generality of the foregoing, costs and expenses incurred by the Agents and their Affiliates in connection with:</w:t>
      </w:r>
    </w:p>
    <w:p>
      <w:pPr>
        <w:spacing w:after="0" w:line="206" w:lineRule="exact"/>
        <w:rPr>
          <w:sz w:val="20"/>
          <w:szCs w:val="20"/>
          <w:color w:val="auto"/>
        </w:rPr>
      </w:pPr>
    </w:p>
    <w:p>
      <w:pPr>
        <w:ind w:left="1480" w:hanging="341"/>
        <w:spacing w:after="0"/>
        <w:tabs>
          <w:tab w:leader="none" w:pos="1480" w:val="left"/>
        </w:tabs>
        <w:numPr>
          <w:ilvl w:val="0"/>
          <w:numId w:val="124"/>
        </w:numPr>
        <w:rPr>
          <w:rFonts w:ascii="Arial" w:cs="Arial" w:eastAsia="Arial" w:hAnsi="Arial"/>
          <w:sz w:val="19"/>
          <w:szCs w:val="19"/>
          <w:color w:val="auto"/>
        </w:rPr>
      </w:pPr>
      <w:r>
        <w:rPr>
          <w:rFonts w:ascii="Arial" w:cs="Arial" w:eastAsia="Arial" w:hAnsi="Arial"/>
          <w:sz w:val="17"/>
          <w:szCs w:val="17"/>
          <w:color w:val="auto"/>
        </w:rPr>
        <w:t>appraisals and insurance reviews;</w:t>
      </w:r>
    </w:p>
    <w:p>
      <w:pPr>
        <w:spacing w:after="0" w:line="210" w:lineRule="exact"/>
        <w:rPr>
          <w:rFonts w:ascii="Arial" w:cs="Arial" w:eastAsia="Arial" w:hAnsi="Arial"/>
          <w:sz w:val="19"/>
          <w:szCs w:val="19"/>
          <w:color w:val="auto"/>
        </w:rPr>
      </w:pPr>
    </w:p>
    <w:p>
      <w:pPr>
        <w:ind w:left="560" w:right="20" w:firstLine="579"/>
        <w:spacing w:after="0" w:line="281" w:lineRule="auto"/>
        <w:tabs>
          <w:tab w:leader="none" w:pos="1583" w:val="left"/>
        </w:tabs>
        <w:numPr>
          <w:ilvl w:val="0"/>
          <w:numId w:val="124"/>
        </w:numPr>
        <w:rPr>
          <w:rFonts w:ascii="Arial" w:cs="Arial" w:eastAsia="Arial" w:hAnsi="Arial"/>
          <w:sz w:val="19"/>
          <w:szCs w:val="19"/>
          <w:color w:val="auto"/>
        </w:rPr>
      </w:pPr>
      <w:r>
        <w:rPr>
          <w:rFonts w:ascii="Arial" w:cs="Arial" w:eastAsia="Arial" w:hAnsi="Arial"/>
          <w:sz w:val="17"/>
          <w:szCs w:val="17"/>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755" w:val="left"/>
        </w:tabs>
        <w:numPr>
          <w:ilvl w:val="0"/>
          <w:numId w:val="124"/>
        </w:numPr>
        <w:rPr>
          <w:rFonts w:ascii="Arial" w:cs="Arial" w:eastAsia="Arial" w:hAnsi="Arial"/>
          <w:sz w:val="19"/>
          <w:szCs w:val="19"/>
          <w:color w:val="auto"/>
        </w:rPr>
      </w:pPr>
      <w:r>
        <w:rPr>
          <w:rFonts w:ascii="Arial" w:cs="Arial" w:eastAsia="Arial" w:hAnsi="Arial"/>
          <w:sz w:val="17"/>
          <w:szCs w:val="17"/>
          <w:color w:val="auto"/>
        </w:rPr>
        <w:t>taxes, fees and other charges for (A) lien searches and (B) recording the Collateral Documents, filing financing statements and continuations, and other actions to perfect, protect, and continue the Administrative Agent’s Liens;</w:t>
      </w:r>
    </w:p>
    <w:p>
      <w:pPr>
        <w:spacing w:after="0" w:line="170" w:lineRule="exact"/>
        <w:rPr>
          <w:rFonts w:ascii="Arial" w:cs="Arial" w:eastAsia="Arial" w:hAnsi="Arial"/>
          <w:sz w:val="19"/>
          <w:szCs w:val="19"/>
          <w:color w:val="auto"/>
        </w:rPr>
      </w:pPr>
    </w:p>
    <w:p>
      <w:pPr>
        <w:ind w:left="1580" w:hanging="441"/>
        <w:spacing w:after="0"/>
        <w:tabs>
          <w:tab w:leader="none" w:pos="1580" w:val="left"/>
        </w:tabs>
        <w:numPr>
          <w:ilvl w:val="0"/>
          <w:numId w:val="124"/>
        </w:numPr>
        <w:rPr>
          <w:rFonts w:ascii="Arial" w:cs="Arial" w:eastAsia="Arial" w:hAnsi="Arial"/>
          <w:sz w:val="16"/>
          <w:szCs w:val="16"/>
          <w:color w:val="auto"/>
        </w:rPr>
      </w:pPr>
      <w:r>
        <w:rPr>
          <w:rFonts w:ascii="Arial" w:cs="Arial" w:eastAsia="Arial" w:hAnsi="Arial"/>
          <w:sz w:val="15"/>
          <w:szCs w:val="15"/>
          <w:color w:val="auto"/>
        </w:rPr>
        <w:t>sums paid or incurred to take any action required of any Loan Party under the Loan Documents that such Loan Party fails to pay or take; and</w:t>
      </w:r>
    </w:p>
    <w:p>
      <w:pPr>
        <w:spacing w:after="0" w:line="244" w:lineRule="exact"/>
        <w:rPr>
          <w:rFonts w:ascii="Arial" w:cs="Arial" w:eastAsia="Arial" w:hAnsi="Arial"/>
          <w:sz w:val="16"/>
          <w:szCs w:val="16"/>
          <w:color w:val="auto"/>
        </w:rPr>
      </w:pPr>
    </w:p>
    <w:p>
      <w:pPr>
        <w:ind w:left="560" w:right="20" w:firstLine="579"/>
        <w:spacing w:after="0" w:line="281" w:lineRule="auto"/>
        <w:tabs>
          <w:tab w:leader="none" w:pos="1537" w:val="left"/>
        </w:tabs>
        <w:numPr>
          <w:ilvl w:val="0"/>
          <w:numId w:val="124"/>
        </w:numPr>
        <w:rPr>
          <w:rFonts w:ascii="Arial" w:cs="Arial" w:eastAsia="Arial" w:hAnsi="Arial"/>
          <w:sz w:val="19"/>
          <w:szCs w:val="19"/>
          <w:color w:val="auto"/>
        </w:rPr>
      </w:pPr>
      <w:r>
        <w:rPr>
          <w:rFonts w:ascii="Arial" w:cs="Arial" w:eastAsia="Arial" w:hAnsi="Arial"/>
          <w:sz w:val="17"/>
          <w:szCs w:val="17"/>
          <w:color w:val="auto"/>
        </w:rPr>
        <w:t>forwarding loan proceeds, collecting checks and other items of payment, and establishing and maintaining the accounts and lock boxes, and costs and expenses of preserving and protecting the Collateral.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All of the foregoing costs and expenses may be charged to the Borrowers as Revolving Loans or to another deposit account, all as described in Section 2.18(c).</w:t>
      </w:r>
    </w:p>
    <w:p>
      <w:pPr>
        <w:spacing w:after="0" w:line="233" w:lineRule="exact"/>
        <w:rPr>
          <w:sz w:val="20"/>
          <w:szCs w:val="20"/>
          <w:color w:val="auto"/>
        </w:rPr>
      </w:pPr>
    </w:p>
    <w:p>
      <w:pPr>
        <w:jc w:val="both"/>
        <w:ind w:firstLine="1139"/>
        <w:spacing w:after="0" w:line="317" w:lineRule="auto"/>
        <w:tabs>
          <w:tab w:leader="none" w:pos="1597" w:val="left"/>
        </w:tabs>
        <w:numPr>
          <w:ilvl w:val="0"/>
          <w:numId w:val="125"/>
        </w:numPr>
        <w:rPr>
          <w:rFonts w:ascii="Arial" w:cs="Arial" w:eastAsia="Arial" w:hAnsi="Arial"/>
          <w:sz w:val="16"/>
          <w:szCs w:val="16"/>
          <w:color w:val="auto"/>
        </w:rPr>
      </w:pPr>
      <w:r>
        <w:rPr>
          <w:rFonts w:ascii="Arial" w:cs="Arial" w:eastAsia="Arial" w:hAnsi="Arial"/>
          <w:sz w:val="15"/>
          <w:szCs w:val="15"/>
          <w:color w:val="auto"/>
        </w:rPr>
        <w:t>The Borrowers shall, jointly and severally (subject to Section 12.01), indemnify the Administrative Agent, the Canadian Administrative Agent, each Issuing Bank and each Lender, and each Related Party of any of the foregoing Persons (each such Person being called an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against, and hold each Indemnitee harmless from, any and all losses, claims, damages, penalties, liabilities and related expenses, including the fees, charges and disbursements of counsel for any Indemnitee (but limited, in the case of legal fees and expenses, to one counsel to such Indemnitees taken as a whole and, solely in the case of an actual or potential conflict of interest, one additional counsel to all affected Indemnitees, taken as a whole (and, if reasonably necessary, of one local counsel in any relevant jurisdiction to all such persons, taken as a whole and, solely in the case of an actual or potential conflict of interest, one additional local counsel to all affected indemnified persons, taken as a whole), incurred by any Indemnitee or asserted against any Indemnitee by any Person (including any Borrower, any other Loan Party or any shareholder or Affiliate of any Borrower or any other Loan Party)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resulting in any Environmental Liability related in any way to any Borrower or any of its Subsidiaries, (iv) the failure of the Borrowers to deliver to the Administrative Agent the required receipts or other required documentary evidence with respect to a payment made by the Borrowers for Taxes pursuant to Section 2.17, 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 as to any Indemnitee, be available to the extent that such losses, claims, damages, penalties, liabilities or related expenses have resulted from (i) the willful misconduct, bad faith or gross negligence of such Indemnitee (or any of its Related Parties), in each case as determined by a final non-appealable judgment of a court of competent jurisdiction or (ii) any disputes solely among Indemnitees and not arising out of any act or omission of the Loan Parties or any of their respective Subsidiaries or Affiliates. This Section 9.03(b) shall not apply with respect to Taxes other than any Taxes that represent losses or damages arising from any non-Tax claim.</w:t>
      </w:r>
    </w:p>
    <w:p>
      <w:pPr>
        <w:spacing w:after="0" w:line="386" w:lineRule="exact"/>
        <w:rPr>
          <w:rFonts w:ascii="Arial" w:cs="Arial" w:eastAsia="Arial" w:hAnsi="Arial"/>
          <w:sz w:val="16"/>
          <w:szCs w:val="16"/>
          <w:color w:val="auto"/>
        </w:rPr>
      </w:pPr>
    </w:p>
    <w:p>
      <w:pPr>
        <w:jc w:val="both"/>
        <w:ind w:firstLine="1139"/>
        <w:spacing w:after="0" w:line="277" w:lineRule="auto"/>
        <w:tabs>
          <w:tab w:leader="none" w:pos="1537" w:val="left"/>
        </w:tabs>
        <w:numPr>
          <w:ilvl w:val="0"/>
          <w:numId w:val="125"/>
        </w:numPr>
        <w:rPr>
          <w:rFonts w:ascii="Arial" w:cs="Arial" w:eastAsia="Arial" w:hAnsi="Arial"/>
          <w:sz w:val="19"/>
          <w:szCs w:val="19"/>
          <w:color w:val="auto"/>
        </w:rPr>
      </w:pPr>
      <w:r>
        <w:rPr>
          <w:rFonts w:ascii="Arial" w:cs="Arial" w:eastAsia="Arial" w:hAnsi="Arial"/>
          <w:sz w:val="17"/>
          <w:szCs w:val="17"/>
          <w:color w:val="auto"/>
        </w:rPr>
        <w:t xml:space="preserve">To the extent that any Loan Party fails to pay any amount required to be paid by it to the Administrative Agent, the Canadian Administrative Agent (or any sub-agent thereof), or any Swingline Lender or the Issuing Bank (or any Related Party of any of the foregoing) under paragraph (a) or (b) of this Section, each Lender severally agrees to pay to the Administrative Agent, the Canadian Administrative Agent, such Swingline Lender or such Issuing Bank (or any Related Party of any of the foregoing), as the case may be, such Lender’s Applicable Percentage (determined as of the time that the applicable unreimbursed expense or indemnity payment is sought) of such unpaid amount (it being understood that the Loan Parties’ failure to pay any such amount shall not relieve any Loan Party of any default in the payment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penalty, liability or related expense, as the case may be, was incurred by or asserted against the Administrative Agent, the Canadian Administrative Agent, such Swingline Lender or such Issuing Bank in its capacity as such.</w:t>
      </w:r>
    </w:p>
    <w:p>
      <w:pPr>
        <w:sectPr>
          <w:pgSz w:w="11900" w:h="16838" w:orient="portrait"/>
          <w:cols w:equalWidth="0" w:num="1">
            <w:col w:w="11440"/>
          </w:cols>
          <w:pgMar w:left="240" w:top="124" w:right="219" w:bottom="92" w:gutter="0" w:footer="0" w:header="0"/>
        </w:sectPr>
      </w:pPr>
    </w:p>
    <w:bookmarkStart w:id="72" w:name="page73"/>
    <w:bookmarkEnd w:id="72"/>
    <w:p>
      <w:pPr>
        <w:ind w:left="1525" w:hanging="381"/>
        <w:spacing w:after="0"/>
        <w:tabs>
          <w:tab w:leader="none" w:pos="1525" w:val="left"/>
        </w:tabs>
        <w:numPr>
          <w:ilvl w:val="1"/>
          <w:numId w:val="126"/>
        </w:numPr>
        <w:rPr>
          <w:rFonts w:ascii="Arial" w:cs="Arial" w:eastAsia="Arial" w:hAnsi="Arial"/>
          <w:sz w:val="16"/>
          <w:szCs w:val="16"/>
          <w:color w:val="auto"/>
        </w:rPr>
      </w:pPr>
      <w:r>
        <w:rPr>
          <w:rFonts w:ascii="Arial" w:cs="Arial" w:eastAsia="Arial" w:hAnsi="Arial"/>
          <w:sz w:val="15"/>
          <w:szCs w:val="15"/>
          <w:color w:val="auto"/>
        </w:rPr>
        <w:t>To the extent permitted by applicable law, no Loan Party shall assert, and each Loan Party hereby waives, any claim against any Indemnitee</w:t>
      </w:r>
    </w:p>
    <w:p>
      <w:pPr>
        <w:spacing w:after="0" w:line="42" w:lineRule="exact"/>
        <w:rPr>
          <w:rFonts w:ascii="Arial" w:cs="Arial" w:eastAsia="Arial" w:hAnsi="Arial"/>
          <w:sz w:val="16"/>
          <w:szCs w:val="16"/>
          <w:color w:val="auto"/>
        </w:rPr>
      </w:pPr>
    </w:p>
    <w:p>
      <w:pPr>
        <w:jc w:val="both"/>
        <w:ind w:left="5" w:hanging="5"/>
        <w:spacing w:after="0" w:line="303" w:lineRule="auto"/>
        <w:tabs>
          <w:tab w:leader="none" w:pos="2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for any damages arising from the use by others of information or other materials obtained through telecommunications, electronic or other information transmission systems (including the Internet), other than to the extent such damages are determined by a final non-appealable judgment of a court of competent jurisdiction to have resulted from the gross negligence, bad faith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61" w:lineRule="exact"/>
        <w:rPr>
          <w:rFonts w:ascii="Arial" w:cs="Arial" w:eastAsia="Arial" w:hAnsi="Arial"/>
          <w:sz w:val="16"/>
          <w:szCs w:val="16"/>
          <w:color w:val="auto"/>
        </w:rPr>
      </w:pPr>
    </w:p>
    <w:p>
      <w:pPr>
        <w:ind w:left="1525" w:hanging="381"/>
        <w:spacing w:after="0"/>
        <w:tabs>
          <w:tab w:leader="none" w:pos="1525" w:val="left"/>
        </w:tabs>
        <w:numPr>
          <w:ilvl w:val="1"/>
          <w:numId w:val="127"/>
        </w:numPr>
        <w:rPr>
          <w:rFonts w:ascii="Arial" w:cs="Arial" w:eastAsia="Arial" w:hAnsi="Arial"/>
          <w:sz w:val="19"/>
          <w:szCs w:val="19"/>
          <w:color w:val="auto"/>
        </w:rPr>
      </w:pPr>
      <w:r>
        <w:rPr>
          <w:rFonts w:ascii="Arial" w:cs="Arial" w:eastAsia="Arial" w:hAnsi="Arial"/>
          <w:sz w:val="17"/>
          <w:szCs w:val="17"/>
          <w:color w:val="auto"/>
        </w:rPr>
        <w:t>All amounts due under this Section shall be payable promptly after written demand therefor.</w:t>
      </w:r>
    </w:p>
    <w:p>
      <w:pPr>
        <w:spacing w:after="0" w:line="187" w:lineRule="exact"/>
        <w:rPr>
          <w:sz w:val="20"/>
          <w:szCs w:val="20"/>
          <w:color w:val="auto"/>
        </w:rPr>
      </w:pPr>
    </w:p>
    <w:p>
      <w:pPr>
        <w:jc w:val="both"/>
        <w:ind w:left="5" w:firstLine="572"/>
        <w:spacing w:after="0" w:line="27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Canadian Administrative Agent, the Issuing Banks and the Lenders) any legal or equitable right, remedy or claim under or by reason of this Agreement.</w:t>
      </w:r>
    </w:p>
    <w:p>
      <w:pPr>
        <w:spacing w:after="0" w:line="173" w:lineRule="exact"/>
        <w:rPr>
          <w:sz w:val="20"/>
          <w:szCs w:val="20"/>
          <w:color w:val="auto"/>
        </w:rPr>
      </w:pPr>
    </w:p>
    <w:p>
      <w:pPr>
        <w:jc w:val="both"/>
        <w:ind w:left="5" w:firstLine="1139"/>
        <w:spacing w:after="0" w:line="277" w:lineRule="auto"/>
        <w:tabs>
          <w:tab w:leader="none" w:pos="1554" w:val="left"/>
        </w:tabs>
        <w:numPr>
          <w:ilvl w:val="0"/>
          <w:numId w:val="128"/>
        </w:numPr>
        <w:rPr>
          <w:rFonts w:ascii="Arial" w:cs="Arial" w:eastAsia="Arial" w:hAnsi="Arial"/>
          <w:sz w:val="19"/>
          <w:szCs w:val="19"/>
          <w:color w:val="auto"/>
        </w:rPr>
      </w:pPr>
      <w:r>
        <w:rPr>
          <w:rFonts w:ascii="Arial" w:cs="Arial" w:eastAsia="Arial" w:hAnsi="Arial"/>
          <w:sz w:val="17"/>
          <w:szCs w:val="17"/>
          <w:color w:val="auto"/>
        </w:rPr>
        <w:t>(i) Subject to the conditions set forth in paragraph (b)(ii) below, any Lender may assign to one or more Persons (other than (x) a natural person or (y) the Loan Parties or any of their Affiliates) all or a portion of its rights and obligations under this Agreement (including all or a portion of its Revolving Commitment and the Loans at the time owing to it):</w:t>
      </w:r>
    </w:p>
    <w:p>
      <w:pPr>
        <w:spacing w:after="0" w:line="178" w:lineRule="exact"/>
        <w:rPr>
          <w:rFonts w:ascii="Arial" w:cs="Arial" w:eastAsia="Arial" w:hAnsi="Arial"/>
          <w:sz w:val="19"/>
          <w:szCs w:val="19"/>
          <w:color w:val="auto"/>
        </w:rPr>
      </w:pPr>
    </w:p>
    <w:p>
      <w:pPr>
        <w:jc w:val="both"/>
        <w:ind w:left="565" w:firstLine="1151"/>
        <w:spacing w:after="0" w:line="277" w:lineRule="auto"/>
        <w:tabs>
          <w:tab w:leader="none" w:pos="2191" w:val="left"/>
        </w:tabs>
        <w:numPr>
          <w:ilvl w:val="1"/>
          <w:numId w:val="128"/>
        </w:numPr>
        <w:rPr>
          <w:rFonts w:ascii="Arial" w:cs="Arial" w:eastAsia="Arial" w:hAnsi="Arial"/>
          <w:sz w:val="19"/>
          <w:szCs w:val="19"/>
          <w:color w:val="auto"/>
        </w:rPr>
      </w:pPr>
      <w:r>
        <w:rPr>
          <w:rFonts w:ascii="Arial" w:cs="Arial" w:eastAsia="Arial" w:hAnsi="Arial"/>
          <w:sz w:val="17"/>
          <w:szCs w:val="17"/>
          <w:color w:val="auto"/>
        </w:rPr>
        <w:t xml:space="preserve">with the prior written consent (such consent not to be unreasonably withheld or delayed) of the Borrower Representative (which consent shall be deemed to have been given by the Borrower Representative if the Borrower Representative shall not have responded within five Business Days of a request for such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78" w:lineRule="exact"/>
        <w:rPr>
          <w:rFonts w:ascii="Arial" w:cs="Arial" w:eastAsia="Arial" w:hAnsi="Arial"/>
          <w:sz w:val="19"/>
          <w:szCs w:val="19"/>
          <w:color w:val="auto"/>
        </w:rPr>
      </w:pPr>
    </w:p>
    <w:p>
      <w:pPr>
        <w:ind w:left="2125" w:hanging="409"/>
        <w:spacing w:after="0"/>
        <w:tabs>
          <w:tab w:leader="none" w:pos="2125" w:val="left"/>
        </w:tabs>
        <w:numPr>
          <w:ilvl w:val="1"/>
          <w:numId w:val="128"/>
        </w:numPr>
        <w:rPr>
          <w:rFonts w:ascii="Arial" w:cs="Arial" w:eastAsia="Arial" w:hAnsi="Arial"/>
          <w:sz w:val="19"/>
          <w:szCs w:val="19"/>
          <w:color w:val="auto"/>
        </w:rPr>
      </w:pPr>
      <w:r>
        <w:rPr>
          <w:rFonts w:ascii="Arial" w:cs="Arial" w:eastAsia="Arial" w:hAnsi="Arial"/>
          <w:sz w:val="17"/>
          <w:szCs w:val="17"/>
          <w:color w:val="auto"/>
        </w:rPr>
        <w:t>with the prior written consent of the Administrative Agent (such consent not to be unreasonably withheld); and</w:t>
      </w:r>
    </w:p>
    <w:p>
      <w:pPr>
        <w:spacing w:after="0" w:line="210" w:lineRule="exact"/>
        <w:rPr>
          <w:rFonts w:ascii="Arial" w:cs="Arial" w:eastAsia="Arial" w:hAnsi="Arial"/>
          <w:sz w:val="19"/>
          <w:szCs w:val="19"/>
          <w:color w:val="auto"/>
        </w:rPr>
      </w:pPr>
    </w:p>
    <w:p>
      <w:pPr>
        <w:ind w:left="2125" w:hanging="409"/>
        <w:spacing w:after="0"/>
        <w:tabs>
          <w:tab w:leader="none" w:pos="2125" w:val="left"/>
        </w:tabs>
        <w:numPr>
          <w:ilvl w:val="1"/>
          <w:numId w:val="128"/>
        </w:numPr>
        <w:rPr>
          <w:rFonts w:ascii="Arial" w:cs="Arial" w:eastAsia="Arial" w:hAnsi="Arial"/>
          <w:sz w:val="19"/>
          <w:szCs w:val="19"/>
          <w:color w:val="auto"/>
        </w:rPr>
      </w:pPr>
      <w:r>
        <w:rPr>
          <w:rFonts w:ascii="Arial" w:cs="Arial" w:eastAsia="Arial" w:hAnsi="Arial"/>
          <w:sz w:val="17"/>
          <w:szCs w:val="17"/>
          <w:color w:val="auto"/>
        </w:rPr>
        <w:t>with the prior written consent of the Issuing Banks (such consent not to be unreasonably withheld).</w:t>
      </w:r>
    </w:p>
    <w:p>
      <w:pPr>
        <w:spacing w:after="0" w:line="210" w:lineRule="exact"/>
        <w:rPr>
          <w:sz w:val="20"/>
          <w:szCs w:val="20"/>
          <w:color w:val="auto"/>
        </w:rPr>
      </w:pPr>
    </w:p>
    <w:p>
      <w:pPr>
        <w:ind w:left="1545" w:hanging="401"/>
        <w:spacing w:after="0"/>
        <w:tabs>
          <w:tab w:leader="none" w:pos="1545" w:val="left"/>
        </w:tabs>
        <w:numPr>
          <w:ilvl w:val="0"/>
          <w:numId w:val="129"/>
        </w:numPr>
        <w:rPr>
          <w:rFonts w:ascii="Arial" w:cs="Arial" w:eastAsia="Arial" w:hAnsi="Arial"/>
          <w:sz w:val="19"/>
          <w:szCs w:val="19"/>
          <w:color w:val="auto"/>
        </w:rPr>
      </w:pPr>
      <w:r>
        <w:rPr>
          <w:rFonts w:ascii="Arial" w:cs="Arial" w:eastAsia="Arial" w:hAnsi="Arial"/>
          <w:sz w:val="17"/>
          <w:szCs w:val="17"/>
          <w:color w:val="auto"/>
        </w:rPr>
        <w:t>Assignments shall be subject to the following additional conditions:</w:t>
      </w:r>
    </w:p>
    <w:p>
      <w:pPr>
        <w:spacing w:after="0" w:line="210" w:lineRule="exact"/>
        <w:rPr>
          <w:rFonts w:ascii="Arial" w:cs="Arial" w:eastAsia="Arial" w:hAnsi="Arial"/>
          <w:sz w:val="19"/>
          <w:szCs w:val="19"/>
          <w:color w:val="auto"/>
        </w:rPr>
      </w:pPr>
    </w:p>
    <w:p>
      <w:pPr>
        <w:jc w:val="both"/>
        <w:ind w:left="565" w:firstLine="1151"/>
        <w:spacing w:after="0" w:line="298" w:lineRule="auto"/>
        <w:tabs>
          <w:tab w:leader="none" w:pos="2155" w:val="left"/>
        </w:tabs>
        <w:numPr>
          <w:ilvl w:val="1"/>
          <w:numId w:val="129"/>
        </w:numPr>
        <w:rPr>
          <w:rFonts w:ascii="Arial" w:cs="Arial" w:eastAsia="Arial" w:hAnsi="Arial"/>
          <w:sz w:val="18"/>
          <w:szCs w:val="18"/>
          <w:color w:val="auto"/>
        </w:rPr>
      </w:pPr>
      <w:r>
        <w:rPr>
          <w:rFonts w:ascii="Arial" w:cs="Arial" w:eastAsia="Arial" w:hAnsi="Arial"/>
          <w:sz w:val="16"/>
          <w:szCs w:val="16"/>
          <w:color w:val="auto"/>
        </w:rPr>
        <w:t>except in the case of an assignment to a Lender or an Affiliate of a Lender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provided that no such consent of the Borrower Representative shall be required if an Event of Default has occurred and is continuing;</w:t>
      </w:r>
    </w:p>
    <w:p>
      <w:pPr>
        <w:spacing w:after="0" w:line="163" w:lineRule="exact"/>
        <w:rPr>
          <w:rFonts w:ascii="Arial" w:cs="Arial" w:eastAsia="Arial" w:hAnsi="Arial"/>
          <w:sz w:val="18"/>
          <w:szCs w:val="18"/>
          <w:color w:val="auto"/>
        </w:rPr>
      </w:pPr>
    </w:p>
    <w:p>
      <w:pPr>
        <w:ind w:left="2165" w:hanging="449"/>
        <w:spacing w:after="0"/>
        <w:tabs>
          <w:tab w:leader="none" w:pos="2165" w:val="left"/>
        </w:tabs>
        <w:numPr>
          <w:ilvl w:val="1"/>
          <w:numId w:val="129"/>
        </w:numPr>
        <w:rPr>
          <w:rFonts w:ascii="Arial" w:cs="Arial" w:eastAsia="Arial" w:hAnsi="Arial"/>
          <w:sz w:val="18"/>
          <w:szCs w:val="18"/>
          <w:color w:val="auto"/>
        </w:rPr>
      </w:pPr>
      <w:r>
        <w:rPr>
          <w:rFonts w:ascii="Arial" w:cs="Arial" w:eastAsia="Arial" w:hAnsi="Arial"/>
          <w:sz w:val="16"/>
          <w:szCs w:val="16"/>
          <w:color w:val="auto"/>
        </w:rPr>
        <w:t>each partial assignment shall be made as an assignment of a proportionate part of all the assigning Lender’s rights and obligations</w:t>
      </w:r>
    </w:p>
    <w:p>
      <w:pPr>
        <w:spacing w:after="0" w:line="19" w:lineRule="exact"/>
        <w:rPr>
          <w:rFonts w:ascii="Arial" w:cs="Arial" w:eastAsia="Arial" w:hAnsi="Arial"/>
          <w:sz w:val="18"/>
          <w:szCs w:val="18"/>
          <w:color w:val="auto"/>
        </w:rPr>
      </w:pPr>
    </w:p>
    <w:p>
      <w:pPr>
        <w:ind w:left="565"/>
        <w:spacing w:after="0"/>
        <w:rPr>
          <w:rFonts w:ascii="Arial" w:cs="Arial" w:eastAsia="Arial" w:hAnsi="Arial"/>
          <w:sz w:val="18"/>
          <w:szCs w:val="18"/>
          <w:color w:val="auto"/>
        </w:rPr>
      </w:pPr>
      <w:r>
        <w:rPr>
          <w:rFonts w:ascii="Arial" w:cs="Arial" w:eastAsia="Arial" w:hAnsi="Arial"/>
          <w:sz w:val="17"/>
          <w:szCs w:val="17"/>
          <w:color w:val="auto"/>
        </w:rPr>
        <w:t>under this Agreement;</w:t>
      </w:r>
    </w:p>
    <w:p>
      <w:pPr>
        <w:spacing w:after="0" w:line="233" w:lineRule="exact"/>
        <w:rPr>
          <w:rFonts w:ascii="Arial" w:cs="Arial" w:eastAsia="Arial" w:hAnsi="Arial"/>
          <w:sz w:val="18"/>
          <w:szCs w:val="18"/>
          <w:color w:val="auto"/>
        </w:rPr>
      </w:pPr>
    </w:p>
    <w:p>
      <w:pPr>
        <w:ind w:left="565" w:firstLine="1151"/>
        <w:spacing w:after="0" w:line="281" w:lineRule="auto"/>
        <w:tabs>
          <w:tab w:leader="none" w:pos="2121" w:val="left"/>
        </w:tabs>
        <w:numPr>
          <w:ilvl w:val="1"/>
          <w:numId w:val="129"/>
        </w:numPr>
        <w:rPr>
          <w:rFonts w:ascii="Arial" w:cs="Arial" w:eastAsia="Arial" w:hAnsi="Arial"/>
          <w:sz w:val="19"/>
          <w:szCs w:val="19"/>
          <w:color w:val="auto"/>
        </w:rPr>
      </w:pPr>
      <w:r>
        <w:rPr>
          <w:rFonts w:ascii="Arial" w:cs="Arial" w:eastAsia="Arial" w:hAnsi="Arial"/>
          <w:sz w:val="17"/>
          <w:szCs w:val="17"/>
          <w:color w:val="auto"/>
        </w:rPr>
        <w:t>the parties to each assignment shall execute and deliver to the Administrative Agent an Assignment and Assumption, together with a processing and recordation fee of $3,500; and</w:t>
      </w:r>
    </w:p>
    <w:p>
      <w:pPr>
        <w:spacing w:after="0" w:line="170" w:lineRule="exact"/>
        <w:rPr>
          <w:rFonts w:ascii="Arial" w:cs="Arial" w:eastAsia="Arial" w:hAnsi="Arial"/>
          <w:sz w:val="19"/>
          <w:szCs w:val="19"/>
          <w:color w:val="auto"/>
        </w:rPr>
      </w:pPr>
    </w:p>
    <w:p>
      <w:pPr>
        <w:jc w:val="both"/>
        <w:ind w:left="565" w:firstLine="1151"/>
        <w:spacing w:after="0" w:line="277" w:lineRule="auto"/>
        <w:tabs>
          <w:tab w:leader="none" w:pos="2203" w:val="left"/>
        </w:tabs>
        <w:numPr>
          <w:ilvl w:val="1"/>
          <w:numId w:val="129"/>
        </w:numPr>
        <w:rPr>
          <w:rFonts w:ascii="Arial" w:cs="Arial" w:eastAsia="Arial" w:hAnsi="Arial"/>
          <w:sz w:val="19"/>
          <w:szCs w:val="19"/>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55" w:lineRule="exact"/>
        <w:rPr>
          <w:sz w:val="20"/>
          <w:szCs w:val="20"/>
          <w:color w:val="auto"/>
        </w:rPr>
      </w:pPr>
    </w:p>
    <w:p>
      <w:pPr>
        <w:ind w:left="1145"/>
        <w:spacing w:after="0"/>
        <w:rPr>
          <w:sz w:val="20"/>
          <w:szCs w:val="20"/>
          <w:color w:val="auto"/>
        </w:rPr>
      </w:pPr>
      <w:r>
        <w:rPr>
          <w:rFonts w:ascii="Arial" w:cs="Arial" w:eastAsia="Arial" w:hAnsi="Arial"/>
          <w:sz w:val="17"/>
          <w:szCs w:val="17"/>
          <w:color w:val="auto"/>
        </w:rPr>
        <w:t>For the purposes of this Section 9.04(b), the term “</w:t>
      </w:r>
      <w:r>
        <w:rPr>
          <w:rFonts w:ascii="Arial" w:cs="Arial" w:eastAsia="Arial" w:hAnsi="Arial"/>
          <w:sz w:val="17"/>
          <w:szCs w:val="17"/>
          <w:u w:val="single" w:color="auto"/>
          <w:color w:val="auto"/>
        </w:rPr>
        <w:t>Approved Fund</w:t>
      </w:r>
      <w:r>
        <w:rPr>
          <w:rFonts w:ascii="Arial" w:cs="Arial" w:eastAsia="Arial" w:hAnsi="Arial"/>
          <w:sz w:val="17"/>
          <w:szCs w:val="17"/>
          <w:color w:val="auto"/>
        </w:rPr>
        <w:t>” has the following meaning:</w:t>
      </w:r>
    </w:p>
    <w:p>
      <w:pPr>
        <w:spacing w:after="0" w:line="198" w:lineRule="exact"/>
        <w:rPr>
          <w:sz w:val="20"/>
          <w:szCs w:val="20"/>
          <w:color w:val="auto"/>
        </w:rPr>
      </w:pPr>
    </w:p>
    <w:p>
      <w:pPr>
        <w:jc w:val="both"/>
        <w:ind w:left="5" w:firstLine="114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left="565" w:firstLine="579"/>
        <w:spacing w:after="0" w:line="277" w:lineRule="auto"/>
        <w:tabs>
          <w:tab w:leader="none" w:pos="1593" w:val="left"/>
        </w:tabs>
        <w:numPr>
          <w:ilvl w:val="0"/>
          <w:numId w:val="130"/>
        </w:numPr>
        <w:rPr>
          <w:rFonts w:ascii="Arial" w:cs="Arial" w:eastAsia="Arial" w:hAnsi="Arial"/>
          <w:sz w:val="19"/>
          <w:szCs w:val="19"/>
          <w:color w:val="auto"/>
        </w:rPr>
      </w:pPr>
      <w:r>
        <w:rPr>
          <w:rFonts w:ascii="Arial" w:cs="Arial" w:eastAsia="Arial" w:hAnsi="Arial"/>
          <w:sz w:val="17"/>
          <w:szCs w:val="17"/>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2" w:lineRule="exact"/>
        <w:rPr>
          <w:rFonts w:ascii="Arial" w:cs="Arial" w:eastAsia="Arial" w:hAnsi="Arial"/>
          <w:sz w:val="19"/>
          <w:szCs w:val="19"/>
          <w:color w:val="auto"/>
        </w:rPr>
      </w:pPr>
    </w:p>
    <w:p>
      <w:pPr>
        <w:jc w:val="both"/>
        <w:ind w:left="565" w:firstLine="579"/>
        <w:spacing w:after="0" w:line="297" w:lineRule="auto"/>
        <w:tabs>
          <w:tab w:leader="none" w:pos="1594" w:val="left"/>
        </w:tabs>
        <w:numPr>
          <w:ilvl w:val="0"/>
          <w:numId w:val="130"/>
        </w:numPr>
        <w:rPr>
          <w:rFonts w:ascii="Arial" w:cs="Arial" w:eastAsia="Arial" w:hAnsi="Arial"/>
          <w:sz w:val="18"/>
          <w:szCs w:val="18"/>
          <w:color w:val="auto"/>
        </w:rPr>
      </w:pPr>
      <w:r>
        <w:rPr>
          <w:rFonts w:ascii="Arial" w:cs="Arial" w:eastAsia="Arial" w:hAnsi="Arial"/>
          <w:sz w:val="16"/>
          <w:szCs w:val="16"/>
          <w:color w:val="auto"/>
        </w:rPr>
        <w:t>The Administrative Agent, acting for this purpose as an agent of the Borrowers, shall maintain at one of its United States offices a copy of each Assignment and Assumption delivered to it and a register for the recordation of the names and addresses of the Lenders, and the Revolving Commitment of, and principal amount of (and stated interest on)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the Canadian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sectPr>
          <w:pgSz w:w="11900" w:h="16838" w:orient="portrait"/>
          <w:cols w:equalWidth="0" w:num="1">
            <w:col w:w="11445"/>
          </w:cols>
          <w:pgMar w:left="235" w:top="149" w:right="219" w:bottom="15" w:gutter="0" w:footer="0" w:header="0"/>
        </w:sectPr>
      </w:pPr>
    </w:p>
    <w:bookmarkStart w:id="73" w:name="page74"/>
    <w:bookmarkEnd w:id="73"/>
    <w:p>
      <w:pPr>
        <w:jc w:val="both"/>
        <w:ind w:left="560" w:right="20" w:firstLine="579"/>
        <w:spacing w:after="0" w:line="277" w:lineRule="auto"/>
        <w:tabs>
          <w:tab w:leader="none" w:pos="1513" w:val="left"/>
        </w:tabs>
        <w:numPr>
          <w:ilvl w:val="0"/>
          <w:numId w:val="131"/>
        </w:numPr>
        <w:rPr>
          <w:rFonts w:ascii="Arial" w:cs="Arial" w:eastAsia="Arial" w:hAnsi="Arial"/>
          <w:sz w:val="19"/>
          <w:szCs w:val="19"/>
          <w:color w:val="auto"/>
        </w:rPr>
      </w:pPr>
      <w:r>
        <w:rPr>
          <w:rFonts w:ascii="Arial" w:cs="Arial" w:eastAsia="Arial" w:hAnsi="Arial"/>
          <w:sz w:val="17"/>
          <w:szCs w:val="17"/>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2" w:lineRule="exact"/>
        <w:rPr>
          <w:sz w:val="20"/>
          <w:szCs w:val="20"/>
          <w:color w:val="auto"/>
        </w:rPr>
      </w:pPr>
    </w:p>
    <w:p>
      <w:pPr>
        <w:jc w:val="both"/>
        <w:ind w:firstLine="1139"/>
        <w:spacing w:after="0" w:line="296" w:lineRule="auto"/>
        <w:tabs>
          <w:tab w:leader="none" w:pos="1526" w:val="left"/>
        </w:tabs>
        <w:numPr>
          <w:ilvl w:val="0"/>
          <w:numId w:val="132"/>
        </w:numPr>
        <w:rPr>
          <w:rFonts w:ascii="Arial" w:cs="Arial" w:eastAsia="Arial" w:hAnsi="Arial"/>
          <w:sz w:val="18"/>
          <w:szCs w:val="18"/>
          <w:color w:val="auto"/>
        </w:rPr>
      </w:pPr>
      <w:r>
        <w:rPr>
          <w:rFonts w:ascii="Arial" w:cs="Arial" w:eastAsia="Arial" w:hAnsi="Arial"/>
          <w:sz w:val="16"/>
          <w:szCs w:val="16"/>
          <w:color w:val="auto"/>
        </w:rPr>
        <w:t>Any Lender may, without the consent of the Borrowers, the Administrative Agent, the Canadian Administrative Agent, the Issuing Banks or the Swingline Lenders,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Canadian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Borrowers agree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Sections 2.18 and 2.19 as if it were an assignee under paragraph (b) of this Section; and (B) shall not be entitled to receive any greater payment under Section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2"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this Agreement or any other Loan Document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9" w:lineRule="exact"/>
        <w:rPr>
          <w:sz w:val="20"/>
          <w:szCs w:val="20"/>
          <w:color w:val="auto"/>
        </w:rPr>
      </w:pPr>
    </w:p>
    <w:p>
      <w:pPr>
        <w:jc w:val="both"/>
        <w:ind w:right="20" w:firstLine="1139"/>
        <w:spacing w:after="0" w:line="330" w:lineRule="auto"/>
        <w:tabs>
          <w:tab w:leader="none" w:pos="1526" w:val="left"/>
        </w:tabs>
        <w:numPr>
          <w:ilvl w:val="0"/>
          <w:numId w:val="133"/>
        </w:numPr>
        <w:rPr>
          <w:rFonts w:ascii="Arial" w:cs="Arial" w:eastAsia="Arial" w:hAnsi="Arial"/>
          <w:sz w:val="16"/>
          <w:szCs w:val="16"/>
          <w:color w:val="auto"/>
        </w:rPr>
      </w:pPr>
      <w:r>
        <w:rPr>
          <w:rFonts w:ascii="Arial" w:cs="Arial" w:eastAsia="Arial" w:hAnsi="Arial"/>
          <w:sz w:val="15"/>
          <w:szCs w:val="15"/>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to any other central bank having jurisdiction over such Lender), and this Section shall not apply to any such pledge or assignment of a security interest;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or assignment of a security interest shall release a Lender from any of its obligations hereunder or substitute any such pledgee or assignee for such Lender as a party hereto.</w:t>
      </w:r>
    </w:p>
    <w:p>
      <w:pPr>
        <w:spacing w:after="0" w:line="120"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Lender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(unless such Letter of Credit has been cash collateralized in accordance with Section 2.06(k)) and so long as the Revolving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w:t>
      </w:r>
    </w:p>
    <w:p>
      <w:pPr>
        <w:spacing w:after="0" w:line="154" w:lineRule="exact"/>
        <w:rPr>
          <w:sz w:val="20"/>
          <w:szCs w:val="20"/>
          <w:color w:val="auto"/>
        </w:rPr>
      </w:pPr>
    </w:p>
    <w:p>
      <w:pPr>
        <w:jc w:val="both"/>
        <w:ind w:firstLine="572"/>
        <w:spacing w:after="0" w:line="287"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u w:val="single" w:color="auto"/>
          <w:color w:val="auto"/>
        </w:rPr>
        <w:t>Counterparts; Integration; Effectiveness</w:t>
      </w:r>
      <w:r>
        <w:rPr>
          <w:rFonts w:ascii="Arial" w:cs="Arial" w:eastAsia="Arial" w:hAnsi="Arial"/>
          <w:sz w:val="15"/>
          <w:szCs w:val="15"/>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Canadian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the Canadian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8"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36" w:lineRule="exact"/>
        <w:rPr>
          <w:sz w:val="20"/>
          <w:szCs w:val="20"/>
          <w:color w:val="auto"/>
        </w:rPr>
      </w:pPr>
    </w:p>
    <w:p>
      <w:pPr>
        <w:jc w:val="both"/>
        <w:ind w:firstLine="572"/>
        <w:spacing w:after="0" w:line="304" w:lineRule="auto"/>
        <w:rPr>
          <w:sz w:val="20"/>
          <w:szCs w:val="20"/>
          <w:color w:val="auto"/>
        </w:rPr>
      </w:pPr>
      <w:r>
        <w:rPr>
          <w:rFonts w:ascii="Arial" w:cs="Arial" w:eastAsia="Arial" w:hAnsi="Arial"/>
          <w:sz w:val="15"/>
          <w:szCs w:val="15"/>
          <w:color w:val="auto"/>
        </w:rPr>
        <w:t xml:space="preserve">SECTION 9.08 </w:t>
      </w:r>
      <w:r>
        <w:rPr>
          <w:rFonts w:ascii="Arial" w:cs="Arial" w:eastAsia="Arial" w:hAnsi="Arial"/>
          <w:sz w:val="15"/>
          <w:szCs w:val="15"/>
          <w:u w:val="single" w:color="auto"/>
          <w:color w:val="auto"/>
        </w:rPr>
        <w:t>Right of Setoff</w:t>
      </w:r>
      <w:r>
        <w:rPr>
          <w:rFonts w:ascii="Arial" w:cs="Arial" w:eastAsia="Arial" w:hAnsi="Arial"/>
          <w:sz w:val="15"/>
          <w:szCs w:val="15"/>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Borrowers or any Loan Guarantor against any of and all the Secured Obligations held by such Lender, irrespective of whether or not such Lender shall have made any demand under the</w:t>
      </w:r>
    </w:p>
    <w:p>
      <w:pPr>
        <w:sectPr>
          <w:pgSz w:w="11900" w:h="16838" w:orient="portrait"/>
          <w:cols w:equalWidth="0" w:num="1">
            <w:col w:w="11440"/>
          </w:cols>
          <w:pgMar w:left="240" w:top="149" w:right="219" w:bottom="0" w:gutter="0" w:footer="0" w:header="0"/>
        </w:sectPr>
      </w:pPr>
    </w:p>
    <w:bookmarkStart w:id="74" w:name="page75"/>
    <w:bookmarkEnd w:id="74"/>
    <w:p>
      <w:pPr>
        <w:spacing w:after="0" w:line="39"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 xml:space="preserve">Loan Documents and although such obligations may be unmatured. The applicable Lender shall notify the Borrower Representative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15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Governing Law; Jurisdiction; Consent to Service of Process</w:t>
      </w:r>
      <w:r>
        <w:rPr>
          <w:rFonts w:ascii="Arial" w:cs="Arial" w:eastAsia="Arial" w:hAnsi="Arial"/>
          <w:sz w:val="17"/>
          <w:szCs w:val="17"/>
          <w:color w:val="auto"/>
        </w:rPr>
        <w:t xml:space="preserve">.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laws of any jurisdiction other than the State of New York shall govern in regard to the validity, perfection or effect of perfection of any Lien or in regard to procedural matters affecting enforcement of any Liens on all or any party of the Collateral, such laws of such other jurisdictions shall continue to apply to that extent.</w:t>
      </w:r>
    </w:p>
    <w:p>
      <w:pPr>
        <w:spacing w:after="0" w:line="161" w:lineRule="exact"/>
        <w:rPr>
          <w:sz w:val="20"/>
          <w:szCs w:val="20"/>
          <w:color w:val="auto"/>
        </w:rPr>
      </w:pPr>
    </w:p>
    <w:p>
      <w:pPr>
        <w:jc w:val="both"/>
        <w:ind w:firstLine="1139"/>
        <w:spacing w:after="0" w:line="252" w:lineRule="auto"/>
        <w:tabs>
          <w:tab w:leader="none" w:pos="158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nonexclusive jurisdiction of any U.S. Federal or New York State court sitting in New York County,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provided that claims with respect to Canadian Loan Documents may, as provided therein, also be tried in the courts of the Province of Ontario.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Canadian Administrative Agent, the Issuing Banks or any Lender may otherwise have to bring any action or proceeding relating to this Agreement or any other Loan Document against any Loan Party or its properties in the courts of any jurisdiction.</w:t>
      </w:r>
    </w:p>
    <w:p>
      <w:pPr>
        <w:spacing w:after="0" w:line="166" w:lineRule="exact"/>
        <w:rPr>
          <w:rFonts w:ascii="Arial" w:cs="Arial" w:eastAsia="Arial" w:hAnsi="Arial"/>
          <w:sz w:val="17"/>
          <w:szCs w:val="17"/>
          <w:color w:val="auto"/>
        </w:rPr>
      </w:pPr>
    </w:p>
    <w:p>
      <w:pPr>
        <w:jc w:val="both"/>
        <w:ind w:firstLine="1139"/>
        <w:spacing w:after="0" w:line="259" w:lineRule="auto"/>
        <w:tabs>
          <w:tab w:leader="none" w:pos="15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6" w:lineRule="exact"/>
        <w:rPr>
          <w:rFonts w:ascii="Arial" w:cs="Arial" w:eastAsia="Arial" w:hAnsi="Arial"/>
          <w:sz w:val="17"/>
          <w:szCs w:val="17"/>
          <w:color w:val="auto"/>
        </w:rPr>
      </w:pPr>
    </w:p>
    <w:p>
      <w:pPr>
        <w:ind w:firstLine="1139"/>
        <w:spacing w:after="0" w:line="280" w:lineRule="auto"/>
        <w:tabs>
          <w:tab w:leader="none" w:pos="155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40"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0"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Lender Parties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Requirement of Laws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or (h) to the extent such Information (i) becomes publicly available other than as a result of a breach of this Section or (ii) becomes available to any Lender Party on a non-confidential basis from a source other than the Borrowers unless such Lender Party knows that such information was obtained in violation of any confidentiality agreement or arrangement.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Borrowers relating to the Borrowers or their business, other than any such information that is available to any Lender Party on a non-confidential basis prior to disclosure by the Borrowers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Borrowers after the Second Restatement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8" w:lineRule="exact"/>
        <w:rPr>
          <w:sz w:val="20"/>
          <w:szCs w:val="20"/>
          <w:color w:val="auto"/>
        </w:rPr>
      </w:pPr>
    </w:p>
    <w:p>
      <w:pPr>
        <w:jc w:val="both"/>
        <w:ind w:firstLine="1144"/>
        <w:spacing w:after="0" w:line="257" w:lineRule="auto"/>
        <w:rPr>
          <w:sz w:val="20"/>
          <w:szCs w:val="20"/>
          <w:color w:val="auto"/>
        </w:rPr>
      </w:pPr>
      <w:r>
        <w:rPr>
          <w:rFonts w:ascii="Arial" w:cs="Arial" w:eastAsia="Arial" w:hAnsi="Arial"/>
          <w:sz w:val="17"/>
          <w:szCs w:val="17"/>
          <w:b w:val="1"/>
          <w:bCs w:val="1"/>
          <w:color w:val="auto"/>
        </w:rPr>
        <w:t>EACH LENDER ACKNOWLEDGES THAT INFORMATION AS DEFINED IN SECTION 9.12 FURNISHED TO IT PURSUANT TO THIS AGREEMENT MAY INCLUDE MATERIAL NON-PUBLIC INFORMATION CONCERNING HOLDINGS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359" w:lineRule="exact"/>
        <w:rPr>
          <w:sz w:val="20"/>
          <w:szCs w:val="20"/>
          <w:color w:val="auto"/>
        </w:rPr>
      </w:pPr>
    </w:p>
    <w:p>
      <w:pPr>
        <w:jc w:val="both"/>
        <w:ind w:right="20" w:firstLine="1144"/>
        <w:spacing w:after="0" w:line="255" w:lineRule="auto"/>
        <w:rPr>
          <w:sz w:val="20"/>
          <w:szCs w:val="20"/>
          <w:color w:val="auto"/>
        </w:rPr>
      </w:pPr>
      <w:r>
        <w:rPr>
          <w:rFonts w:ascii="Arial" w:cs="Arial" w:eastAsia="Arial" w:hAnsi="Arial"/>
          <w:sz w:val="17"/>
          <w:szCs w:val="17"/>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61"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Several Obligations; Nonreliance; Violation of Law</w:t>
      </w:r>
      <w:r>
        <w:rPr>
          <w:rFonts w:ascii="Arial" w:cs="Arial" w:eastAsia="Arial" w:hAnsi="Arial"/>
          <w:sz w:val="17"/>
          <w:szCs w:val="17"/>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any Issuing Bank nor any Lender shall be obligated to extend credit to the Borrowers in violation of any Requirement of Law.</w:t>
      </w:r>
    </w:p>
    <w:p>
      <w:pPr>
        <w:spacing w:after="0" w:line="161"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hereby notifies Holdings and the Borrowers that pursuant to the requirements of the USA Patriot Act, it is required to</w:t>
      </w:r>
    </w:p>
    <w:p>
      <w:pPr>
        <w:sectPr>
          <w:pgSz w:w="11900" w:h="16877" w:orient="portrait"/>
          <w:cols w:equalWidth="0" w:num="1">
            <w:col w:w="11440"/>
          </w:cols>
          <w:pgMar w:left="240" w:top="124" w:right="219" w:bottom="0" w:gutter="0" w:footer="0" w:header="0"/>
        </w:sectPr>
      </w:pPr>
    </w:p>
    <w:bookmarkStart w:id="75" w:name="page76"/>
    <w:bookmarkEnd w:id="75"/>
    <w:p>
      <w:pPr>
        <w:jc w:val="both"/>
        <w:spacing w:after="0" w:line="265" w:lineRule="auto"/>
        <w:rPr>
          <w:sz w:val="20"/>
          <w:szCs w:val="20"/>
          <w:color w:val="auto"/>
        </w:rPr>
      </w:pPr>
      <w:r>
        <w:rPr>
          <w:rFonts w:ascii="Arial" w:cs="Arial" w:eastAsia="Arial" w:hAnsi="Arial"/>
          <w:sz w:val="17"/>
          <w:szCs w:val="17"/>
          <w:color w:val="auto"/>
        </w:rPr>
        <w:t>obtain, verify and record information that identifies Holdings, the Borrowers and the other Loan Parties, which information includes the names and addresses of Holdings, the Borrowers and the other Loan Parties and other information that will allow such Lender to identify Holdings, the Borrowers and the other Loan Parties in accordance with the USA Patriot Act.</w:t>
      </w:r>
    </w:p>
    <w:p>
      <w:pPr>
        <w:spacing w:after="0" w:line="152"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Disclosure</w:t>
      </w:r>
      <w:r>
        <w:rPr>
          <w:rFonts w:ascii="Arial" w:cs="Arial" w:eastAsia="Arial" w:hAnsi="Arial"/>
          <w:sz w:val="16"/>
          <w:szCs w:val="16"/>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11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xml:space="preserve">. Each Lender Party hereby appoints each other Lender Party as its agent for the purpose of perfecting Liens, for the benefit of the Lender Parties or the Canadian Lender Parties, as the case may be, in assets which, in accordance with Article 9 of the UCC, the PPSA,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Transfer Act </w:t>
      </w:r>
      <w:r>
        <w:rPr>
          <w:rFonts w:ascii="Arial" w:cs="Arial" w:eastAsia="Arial" w:hAnsi="Arial"/>
          <w:sz w:val="17"/>
          <w:szCs w:val="17"/>
          <w:color w:val="auto"/>
        </w:rPr>
        <w:t>(Ontario) or any other applicable law can be perfected only by possession. Should any Lender Party (other than the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obtain possession of any such Collateral, such Lender Party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60"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2"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Judgment Currency Conversion</w:t>
      </w:r>
      <w:r>
        <w:rPr>
          <w:rFonts w:ascii="Arial" w:cs="Arial" w:eastAsia="Arial" w:hAnsi="Arial"/>
          <w:sz w:val="17"/>
          <w:szCs w:val="17"/>
          <w:color w:val="auto"/>
        </w:rPr>
        <w:t>. (a) The obligations of the Loan Parties hereunder and under the other Loan Documents to make payments in dollars or in Canadian Dollars, as the case may be (the “</w:t>
      </w:r>
      <w:r>
        <w:rPr>
          <w:rFonts w:ascii="Arial" w:cs="Arial" w:eastAsia="Arial" w:hAnsi="Arial"/>
          <w:sz w:val="17"/>
          <w:szCs w:val="17"/>
          <w:u w:val="single" w:color="auto"/>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Loan Party of the full amount of the Obligation Currency expressed to be payable to the applicable Loan Party under this Agreement or the other Loan Documents.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u w:val="single" w:color="auto"/>
          <w:color w:val="auto"/>
        </w:rPr>
        <w:t>Judgment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Currency</w:t>
      </w:r>
      <w:r>
        <w:rPr>
          <w:rFonts w:ascii="Arial" w:cs="Arial" w:eastAsia="Arial" w:hAnsi="Arial"/>
          <w:sz w:val="17"/>
          <w:szCs w:val="17"/>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Date</w:t>
      </w:r>
      <w:r>
        <w:rPr>
          <w:rFonts w:ascii="Arial" w:cs="Arial" w:eastAsia="Arial" w:hAnsi="Arial"/>
          <w:sz w:val="17"/>
          <w:szCs w:val="17"/>
          <w:color w:val="auto"/>
        </w:rPr>
        <w:t>”).</w:t>
      </w:r>
    </w:p>
    <w:p>
      <w:pPr>
        <w:spacing w:after="0" w:line="166" w:lineRule="exact"/>
        <w:rPr>
          <w:sz w:val="20"/>
          <w:szCs w:val="20"/>
          <w:color w:val="auto"/>
        </w:rPr>
      </w:pPr>
    </w:p>
    <w:p>
      <w:pPr>
        <w:jc w:val="both"/>
        <w:ind w:right="20" w:firstLine="1139"/>
        <w:spacing w:after="0" w:line="274" w:lineRule="auto"/>
        <w:tabs>
          <w:tab w:leader="none" w:pos="152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Judgment Currency Conversion Date and the date of actual payment of the amount due, the Loan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 Any amount due from a Loan Party under this Section 9.18 shall be due as a separate debt and shall not be affected by judgment being obtained for any other amounts due under or in respect of any of the Loan Documents.</w:t>
      </w:r>
    </w:p>
    <w:p>
      <w:pPr>
        <w:spacing w:after="0" w:line="145" w:lineRule="exact"/>
        <w:rPr>
          <w:rFonts w:ascii="Arial" w:cs="Arial" w:eastAsia="Arial" w:hAnsi="Arial"/>
          <w:sz w:val="16"/>
          <w:szCs w:val="16"/>
          <w:color w:val="auto"/>
        </w:rPr>
      </w:pPr>
    </w:p>
    <w:p>
      <w:pPr>
        <w:ind w:right="20" w:firstLine="1139"/>
        <w:spacing w:after="0" w:line="280" w:lineRule="auto"/>
        <w:tabs>
          <w:tab w:leader="none" w:pos="15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purposes of determining the prevailing rate of exchange, such amounts shall include any premium and costs payable in connection with the purchase of the Obligation Currency.</w:t>
      </w:r>
    </w:p>
    <w:p>
      <w:pPr>
        <w:spacing w:after="0" w:line="140"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Canadian Anti-Money Laundering Legislation</w:t>
      </w:r>
      <w:r>
        <w:rPr>
          <w:rFonts w:ascii="Arial" w:cs="Arial" w:eastAsia="Arial" w:hAnsi="Arial"/>
          <w:sz w:val="17"/>
          <w:szCs w:val="17"/>
          <w:color w:val="auto"/>
        </w:rPr>
        <w:t>. (a) Each Borrower acknowledges that, pursuant to the Proceeds of Crime Act and other applicable anti-money laundering, anti-terrorist financing, government sanction and “know your client” laws (collectively, including any guidelines or orders thereunder, “</w:t>
      </w:r>
      <w:r>
        <w:rPr>
          <w:rFonts w:ascii="Arial" w:cs="Arial" w:eastAsia="Arial" w:hAnsi="Arial"/>
          <w:sz w:val="17"/>
          <w:szCs w:val="17"/>
          <w:u w:val="single" w:color="auto"/>
          <w:color w:val="auto"/>
        </w:rPr>
        <w:t>AML Legislation</w:t>
      </w:r>
      <w:r>
        <w:rPr>
          <w:rFonts w:ascii="Arial" w:cs="Arial" w:eastAsia="Arial" w:hAnsi="Arial"/>
          <w:sz w:val="17"/>
          <w:szCs w:val="17"/>
          <w:color w:val="auto"/>
        </w:rPr>
        <w:t>”), the Lender Parties may be required to obtain, verify and record information regarding the Borrowers and their respective directors, authorized signing officers, direct or indirect shareholders or other Persons in control of the Borrowers, and the transactions contemplated hereby. Each Borrower shall promptly provide all such information, including supporting documentation and other evidence, as may be reasonably requested by any Lender Party or any prospective assignee or Participant of a Lender, any Issuing Bank or any Agent, in order to comply with any applicable AML Legislation, whether now or hereafter in existence.</w:t>
      </w:r>
    </w:p>
    <w:p>
      <w:pPr>
        <w:spacing w:after="0" w:line="160" w:lineRule="exact"/>
        <w:rPr>
          <w:sz w:val="20"/>
          <w:szCs w:val="20"/>
          <w:color w:val="auto"/>
        </w:rPr>
      </w:pPr>
    </w:p>
    <w:p>
      <w:pPr>
        <w:ind w:right="20" w:firstLine="1139"/>
        <w:spacing w:after="0" w:line="280" w:lineRule="auto"/>
        <w:tabs>
          <w:tab w:leader="none" w:pos="158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Canadian Administrative Agent has ascertained the identity of any Borrower or any authorized signatories of the Borrower for the purposes of applicable AML Legislation, then the Canadian Administrative Agent:</w:t>
      </w:r>
    </w:p>
    <w:p>
      <w:pPr>
        <w:spacing w:after="0" w:line="163" w:lineRule="exact"/>
        <w:rPr>
          <w:sz w:val="20"/>
          <w:szCs w:val="20"/>
          <w:color w:val="auto"/>
        </w:rPr>
      </w:pPr>
    </w:p>
    <w:p>
      <w:pPr>
        <w:ind w:left="560" w:right="20" w:firstLine="579"/>
        <w:spacing w:after="0" w:line="281" w:lineRule="auto"/>
        <w:tabs>
          <w:tab w:leader="none" w:pos="1482" w:val="left"/>
        </w:tabs>
        <w:numPr>
          <w:ilvl w:val="0"/>
          <w:numId w:val="137"/>
        </w:numPr>
        <w:rPr>
          <w:rFonts w:ascii="Arial" w:cs="Arial" w:eastAsia="Arial" w:hAnsi="Arial"/>
          <w:sz w:val="19"/>
          <w:szCs w:val="19"/>
          <w:color w:val="auto"/>
        </w:rPr>
      </w:pPr>
      <w:r>
        <w:rPr>
          <w:rFonts w:ascii="Arial" w:cs="Arial" w:eastAsia="Arial" w:hAnsi="Arial"/>
          <w:sz w:val="17"/>
          <w:szCs w:val="17"/>
          <w:color w:val="auto"/>
        </w:rPr>
        <w:t>shall be deemed to have done so as an agent for each Lender Party, and this Agreement shall constitute a “written agreement” in such regard between each Lender Party and the Canadian Administrative Agent within the meaning of the applicable AML Legislation; and</w:t>
      </w:r>
    </w:p>
    <w:p>
      <w:pPr>
        <w:spacing w:after="0" w:line="170" w:lineRule="exact"/>
        <w:rPr>
          <w:rFonts w:ascii="Arial" w:cs="Arial" w:eastAsia="Arial" w:hAnsi="Arial"/>
          <w:sz w:val="19"/>
          <w:szCs w:val="19"/>
          <w:color w:val="auto"/>
        </w:rPr>
      </w:pPr>
    </w:p>
    <w:p>
      <w:pPr>
        <w:ind w:left="560" w:right="20" w:firstLine="579"/>
        <w:spacing w:after="0" w:line="281" w:lineRule="auto"/>
        <w:tabs>
          <w:tab w:leader="none" w:pos="1524" w:val="left"/>
        </w:tabs>
        <w:numPr>
          <w:ilvl w:val="0"/>
          <w:numId w:val="137"/>
        </w:numPr>
        <w:rPr>
          <w:rFonts w:ascii="Arial" w:cs="Arial" w:eastAsia="Arial" w:hAnsi="Arial"/>
          <w:sz w:val="19"/>
          <w:szCs w:val="19"/>
          <w:color w:val="auto"/>
        </w:rPr>
      </w:pPr>
      <w:r>
        <w:rPr>
          <w:rFonts w:ascii="Arial" w:cs="Arial" w:eastAsia="Arial" w:hAnsi="Arial"/>
          <w:sz w:val="17"/>
          <w:szCs w:val="17"/>
          <w:color w:val="auto"/>
        </w:rPr>
        <w:t>shall provide to each Lender Party copies of all information obtained in such regard without any representation or warranty as to its accuracy or completeness.</w:t>
      </w:r>
    </w:p>
    <w:p>
      <w:pPr>
        <w:spacing w:after="0" w:line="147" w:lineRule="exact"/>
        <w:rPr>
          <w:sz w:val="20"/>
          <w:szCs w:val="20"/>
          <w:color w:val="auto"/>
        </w:rPr>
      </w:pPr>
    </w:p>
    <w:p>
      <w:pPr>
        <w:jc w:val="both"/>
        <w:ind w:firstLine="1144"/>
        <w:spacing w:after="0" w:line="259" w:lineRule="auto"/>
        <w:rPr>
          <w:sz w:val="20"/>
          <w:szCs w:val="20"/>
          <w:color w:val="auto"/>
        </w:rPr>
      </w:pPr>
      <w:r>
        <w:rPr>
          <w:rFonts w:ascii="Arial" w:cs="Arial" w:eastAsia="Arial" w:hAnsi="Arial"/>
          <w:sz w:val="17"/>
          <w:szCs w:val="17"/>
          <w:color w:val="auto"/>
        </w:rPr>
        <w:t>Notwithstanding the preceding sentence and except as may otherwise be agreed in writing, each of the Lender Parties agrees that neither the Canadian Administrative Agent nor any other Agent has any obligation to ascertain the identity of the Borrowers or any authorized signatories of the Borrowers on behalf of any Lender Party, or to confirm the completeness or accuracy of any information it obtains from any Borrower or any such authorized signatory in doing so.</w:t>
      </w:r>
    </w:p>
    <w:p>
      <w:pPr>
        <w:spacing w:after="0" w:line="157"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7"/>
          <w:szCs w:val="17"/>
          <w:color w:val="auto"/>
        </w:rPr>
        <w:t>SECTION 9.20</w:t>
      </w:r>
      <w:r>
        <w:rPr>
          <w:sz w:val="20"/>
          <w:szCs w:val="20"/>
          <w:color w:val="auto"/>
        </w:rPr>
        <w:tab/>
      </w:r>
      <w:r>
        <w:rPr>
          <w:rFonts w:ascii="Arial" w:cs="Arial" w:eastAsia="Arial" w:hAnsi="Arial"/>
          <w:sz w:val="16"/>
          <w:szCs w:val="16"/>
          <w:u w:val="single" w:color="auto"/>
          <w:color w:val="auto"/>
        </w:rPr>
        <w:t>Lender Loss Sharing Agreement</w:t>
      </w:r>
      <w:r>
        <w:rPr>
          <w:rFonts w:ascii="Arial" w:cs="Arial" w:eastAsia="Arial" w:hAnsi="Arial"/>
          <w:sz w:val="16"/>
          <w:szCs w:val="16"/>
          <w:color w:val="auto"/>
        </w:rPr>
        <w:t>. (a)</w:t>
      </w:r>
      <w:r>
        <w:rPr>
          <w:rFonts w:ascii="Arial" w:cs="Arial" w:eastAsia="Arial" w:hAnsi="Arial"/>
          <w:sz w:val="16"/>
          <w:szCs w:val="16"/>
          <w:u w:val="single" w:color="auto"/>
          <w:color w:val="auto"/>
        </w:rPr>
        <w:t xml:space="preserve"> Definitions</w:t>
      </w:r>
      <w:r>
        <w:rPr>
          <w:rFonts w:ascii="Arial" w:cs="Arial" w:eastAsia="Arial" w:hAnsi="Arial"/>
          <w:sz w:val="16"/>
          <w:szCs w:val="16"/>
          <w:color w:val="auto"/>
        </w:rPr>
        <w:t>. As used in this Section 9.20, the following terms shall have the following meanings:</w:t>
      </w:r>
    </w:p>
    <w:p>
      <w:pPr>
        <w:spacing w:after="0" w:line="222" w:lineRule="exact"/>
        <w:rPr>
          <w:sz w:val="20"/>
          <w:szCs w:val="20"/>
          <w:color w:val="auto"/>
        </w:rPr>
      </w:pPr>
    </w:p>
    <w:p>
      <w:pPr>
        <w:ind w:left="560" w:right="20" w:firstLine="579"/>
        <w:spacing w:after="0" w:line="281" w:lineRule="auto"/>
        <w:tabs>
          <w:tab w:leader="none" w:pos="1518" w:val="left"/>
        </w:tabs>
        <w:numPr>
          <w:ilvl w:val="0"/>
          <w:numId w:val="138"/>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w:t>
      </w:r>
      <w:r>
        <w:rPr>
          <w:rFonts w:ascii="Arial" w:cs="Arial" w:eastAsia="Arial" w:hAnsi="Arial"/>
          <w:sz w:val="17"/>
          <w:szCs w:val="17"/>
          <w:color w:val="auto"/>
        </w:rPr>
        <w:t>” means the mechanism for the allocation and exchange of interests in the Loans, participations in Letters of Credit and collections thereunder established under Section 9.20(b).</w:t>
      </w:r>
    </w:p>
    <w:p>
      <w:pPr>
        <w:spacing w:after="0" w:line="170" w:lineRule="exact"/>
        <w:rPr>
          <w:rFonts w:ascii="Arial" w:cs="Arial" w:eastAsia="Arial" w:hAnsi="Arial"/>
          <w:sz w:val="19"/>
          <w:szCs w:val="19"/>
          <w:color w:val="auto"/>
        </w:rPr>
      </w:pPr>
    </w:p>
    <w:p>
      <w:pPr>
        <w:ind w:left="1540" w:hanging="401"/>
        <w:spacing w:after="0"/>
        <w:tabs>
          <w:tab w:leader="none" w:pos="1540" w:val="left"/>
        </w:tabs>
        <w:numPr>
          <w:ilvl w:val="0"/>
          <w:numId w:val="138"/>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w:t>
      </w:r>
      <w:r>
        <w:rPr>
          <w:rFonts w:ascii="Arial" w:cs="Arial" w:eastAsia="Arial" w:hAnsi="Arial"/>
          <w:sz w:val="16"/>
          <w:szCs w:val="16"/>
          <w:color w:val="auto"/>
        </w:rPr>
        <w:t>” means the exchange of the U.S. Lenders’ interests and the Canadian Lenders’ interests provided for in Section 9.20(b).</w:t>
      </w:r>
    </w:p>
    <w:p>
      <w:pPr>
        <w:spacing w:after="0" w:line="221" w:lineRule="exact"/>
        <w:rPr>
          <w:rFonts w:ascii="Arial" w:cs="Arial" w:eastAsia="Arial" w:hAnsi="Arial"/>
          <w:sz w:val="18"/>
          <w:szCs w:val="18"/>
          <w:color w:val="auto"/>
        </w:rPr>
      </w:pPr>
    </w:p>
    <w:p>
      <w:pPr>
        <w:jc w:val="both"/>
        <w:ind w:left="560" w:right="20" w:firstLine="579"/>
        <w:spacing w:after="0" w:line="277" w:lineRule="auto"/>
        <w:tabs>
          <w:tab w:leader="none" w:pos="1660" w:val="left"/>
        </w:tabs>
        <w:numPr>
          <w:ilvl w:val="0"/>
          <w:numId w:val="138"/>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Exchange Date</w:t>
      </w:r>
      <w:r>
        <w:rPr>
          <w:rFonts w:ascii="Arial" w:cs="Arial" w:eastAsia="Arial" w:hAnsi="Arial"/>
          <w:sz w:val="17"/>
          <w:szCs w:val="17"/>
          <w:color w:val="auto"/>
        </w:rPr>
        <w:t>” means the first date after the Second Restatement Date on which there shall occur (a) any event described in paragraphs (i), (j) or (k) of Article VII with respect to any Borrower, or (b) an acceleration of Loans and termination of the Revolving Commitments pursuant to Article VII.</w:t>
      </w:r>
    </w:p>
    <w:p>
      <w:pPr>
        <w:spacing w:after="0" w:line="178" w:lineRule="exact"/>
        <w:rPr>
          <w:rFonts w:ascii="Arial" w:cs="Arial" w:eastAsia="Arial" w:hAnsi="Arial"/>
          <w:sz w:val="19"/>
          <w:szCs w:val="19"/>
          <w:color w:val="auto"/>
        </w:rPr>
      </w:pPr>
    </w:p>
    <w:p>
      <w:pPr>
        <w:jc w:val="both"/>
        <w:ind w:left="560" w:firstLine="579"/>
        <w:spacing w:after="0" w:line="277" w:lineRule="auto"/>
        <w:tabs>
          <w:tab w:leader="none" w:pos="1673" w:val="left"/>
        </w:tabs>
        <w:numPr>
          <w:ilvl w:val="0"/>
          <w:numId w:val="138"/>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Percentage</w:t>
      </w:r>
      <w:r>
        <w:rPr>
          <w:rFonts w:ascii="Arial" w:cs="Arial" w:eastAsia="Arial" w:hAnsi="Arial"/>
          <w:sz w:val="17"/>
          <w:szCs w:val="17"/>
          <w:color w:val="auto"/>
        </w:rPr>
        <w:t>” means as to each Lender, a fraction, (a) the numerator of which shall be the aggregate amount of such Lender’s Revolving Commitments immediately prior to the CAM Exchange Date and the termination of the Revolving Commitments, and (b) the denominator of which shall be the amount of the Revolving Commitments of all the Lenders immediately prior to the CAM Exchange Date and the termination of the Revolving Commitments.</w:t>
      </w:r>
    </w:p>
    <w:p>
      <w:pPr>
        <w:sectPr>
          <w:pgSz w:w="11900" w:h="16838" w:orient="portrait"/>
          <w:cols w:equalWidth="0" w:num="1">
            <w:col w:w="11440"/>
          </w:cols>
          <w:pgMar w:left="240" w:top="124" w:right="219" w:bottom="0" w:gutter="0" w:footer="0" w:header="0"/>
        </w:sectPr>
      </w:pPr>
    </w:p>
    <w:bookmarkStart w:id="76" w:name="page77"/>
    <w:bookmarkEnd w:id="76"/>
    <w:p>
      <w:pPr>
        <w:ind w:left="560" w:right="20" w:firstLine="579"/>
        <w:spacing w:after="0" w:line="281" w:lineRule="auto"/>
        <w:tabs>
          <w:tab w:leader="none" w:pos="1513" w:val="left"/>
        </w:tabs>
        <w:numPr>
          <w:ilvl w:val="0"/>
          <w:numId w:val="139"/>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Obligations</w:t>
      </w:r>
      <w:r>
        <w:rPr>
          <w:rFonts w:ascii="Arial" w:cs="Arial" w:eastAsia="Arial" w:hAnsi="Arial"/>
          <w:sz w:val="17"/>
          <w:szCs w:val="17"/>
          <w:color w:val="auto"/>
        </w:rPr>
        <w:t>” means all Obligations of the Borrowers with respect to (a) principal and interest under the Loans, (b) unreimbursed drawings under Letters of Credit and interest thereon and (c) fees under Section 2.12.</w:t>
      </w:r>
    </w:p>
    <w:p>
      <w:pPr>
        <w:spacing w:after="0" w:line="170" w:lineRule="exact"/>
        <w:rPr>
          <w:rFonts w:ascii="Arial" w:cs="Arial" w:eastAsia="Arial" w:hAnsi="Arial"/>
          <w:sz w:val="19"/>
          <w:szCs w:val="19"/>
          <w:color w:val="auto"/>
        </w:rPr>
      </w:pPr>
    </w:p>
    <w:p>
      <w:pPr>
        <w:ind w:left="1580" w:hanging="441"/>
        <w:spacing w:after="0"/>
        <w:tabs>
          <w:tab w:leader="none" w:pos="1580" w:val="left"/>
        </w:tabs>
        <w:numPr>
          <w:ilvl w:val="0"/>
          <w:numId w:val="139"/>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Facility</w:t>
      </w:r>
      <w:r>
        <w:rPr>
          <w:rFonts w:ascii="Arial" w:cs="Arial" w:eastAsia="Arial" w:hAnsi="Arial"/>
          <w:sz w:val="17"/>
          <w:szCs w:val="17"/>
          <w:color w:val="auto"/>
        </w:rPr>
        <w:t>” means the facility established under the U.S. Commitments and the Canadian Commitments.</w:t>
      </w:r>
    </w:p>
    <w:p>
      <w:pPr>
        <w:spacing w:after="0" w:line="210" w:lineRule="exact"/>
        <w:rPr>
          <w:sz w:val="20"/>
          <w:szCs w:val="20"/>
          <w:color w:val="auto"/>
        </w:rPr>
      </w:pPr>
    </w:p>
    <w:p>
      <w:pPr>
        <w:ind w:left="1520" w:hanging="381"/>
        <w:spacing w:after="0"/>
        <w:tabs>
          <w:tab w:leader="none" w:pos="1520" w:val="left"/>
        </w:tabs>
        <w:numPr>
          <w:ilvl w:val="0"/>
          <w:numId w:val="140"/>
        </w:numPr>
        <w:rPr>
          <w:rFonts w:ascii="Arial" w:cs="Arial" w:eastAsia="Arial" w:hAnsi="Arial"/>
          <w:sz w:val="19"/>
          <w:szCs w:val="19"/>
          <w:color w:val="auto"/>
        </w:rPr>
      </w:pPr>
      <w:r>
        <w:rPr>
          <w:rFonts w:ascii="Arial" w:cs="Arial" w:eastAsia="Arial" w:hAnsi="Arial"/>
          <w:sz w:val="17"/>
          <w:szCs w:val="17"/>
          <w:color w:val="auto"/>
        </w:rPr>
        <w:t>CAM Exchange.</w:t>
      </w:r>
    </w:p>
    <w:p>
      <w:pPr>
        <w:spacing w:after="0" w:line="210" w:lineRule="exact"/>
        <w:rPr>
          <w:sz w:val="20"/>
          <w:szCs w:val="20"/>
          <w:color w:val="auto"/>
        </w:rPr>
      </w:pPr>
    </w:p>
    <w:p>
      <w:pPr>
        <w:ind w:left="1480" w:hanging="341"/>
        <w:spacing w:after="0"/>
        <w:tabs>
          <w:tab w:leader="none" w:pos="1480" w:val="left"/>
        </w:tabs>
        <w:numPr>
          <w:ilvl w:val="0"/>
          <w:numId w:val="141"/>
        </w:numPr>
        <w:rPr>
          <w:rFonts w:ascii="Arial" w:cs="Arial" w:eastAsia="Arial" w:hAnsi="Arial"/>
          <w:sz w:val="19"/>
          <w:szCs w:val="19"/>
          <w:color w:val="auto"/>
        </w:rPr>
      </w:pPr>
      <w:r>
        <w:rPr>
          <w:rFonts w:ascii="Arial" w:cs="Arial" w:eastAsia="Arial" w:hAnsi="Arial"/>
          <w:sz w:val="17"/>
          <w:szCs w:val="17"/>
          <w:color w:val="auto"/>
        </w:rPr>
        <w:t>On the CAM Exchange Date,</w:t>
      </w:r>
    </w:p>
    <w:p>
      <w:pPr>
        <w:spacing w:after="0" w:line="210" w:lineRule="exact"/>
        <w:rPr>
          <w:rFonts w:ascii="Arial" w:cs="Arial" w:eastAsia="Arial" w:hAnsi="Arial"/>
          <w:sz w:val="19"/>
          <w:szCs w:val="19"/>
          <w:color w:val="auto"/>
        </w:rPr>
      </w:pPr>
    </w:p>
    <w:p>
      <w:pPr>
        <w:ind w:left="2140" w:hanging="429"/>
        <w:spacing w:after="0"/>
        <w:tabs>
          <w:tab w:leader="none" w:pos="2140" w:val="left"/>
        </w:tabs>
        <w:numPr>
          <w:ilvl w:val="1"/>
          <w:numId w:val="141"/>
        </w:numPr>
        <w:rPr>
          <w:rFonts w:ascii="Arial" w:cs="Arial" w:eastAsia="Arial" w:hAnsi="Arial"/>
          <w:sz w:val="19"/>
          <w:szCs w:val="19"/>
          <w:color w:val="auto"/>
        </w:rPr>
      </w:pPr>
      <w:r>
        <w:rPr>
          <w:rFonts w:ascii="Arial" w:cs="Arial" w:eastAsia="Arial" w:hAnsi="Arial"/>
          <w:sz w:val="17"/>
          <w:szCs w:val="17"/>
          <w:color w:val="auto"/>
        </w:rPr>
        <w:t>the U.S. Commitments and the Canadian Commitments shall have terminated in accordance with Article VII;</w:t>
      </w:r>
    </w:p>
    <w:p>
      <w:pPr>
        <w:spacing w:after="0" w:line="210" w:lineRule="exact"/>
        <w:rPr>
          <w:rFonts w:ascii="Arial" w:cs="Arial" w:eastAsia="Arial" w:hAnsi="Arial"/>
          <w:sz w:val="19"/>
          <w:szCs w:val="19"/>
          <w:color w:val="auto"/>
        </w:rPr>
      </w:pPr>
    </w:p>
    <w:p>
      <w:pPr>
        <w:jc w:val="both"/>
        <w:ind w:left="560" w:right="20" w:firstLine="1151"/>
        <w:spacing w:after="0" w:line="277" w:lineRule="auto"/>
        <w:tabs>
          <w:tab w:leader="none" w:pos="2212" w:val="left"/>
        </w:tabs>
        <w:numPr>
          <w:ilvl w:val="1"/>
          <w:numId w:val="141"/>
        </w:numPr>
        <w:rPr>
          <w:rFonts w:ascii="Arial" w:cs="Arial" w:eastAsia="Arial" w:hAnsi="Arial"/>
          <w:sz w:val="19"/>
          <w:szCs w:val="19"/>
          <w:color w:val="auto"/>
        </w:rPr>
      </w:pPr>
      <w:r>
        <w:rPr>
          <w:rFonts w:ascii="Arial" w:cs="Arial" w:eastAsia="Arial" w:hAnsi="Arial"/>
          <w:sz w:val="17"/>
          <w:szCs w:val="17"/>
          <w:color w:val="auto"/>
        </w:rPr>
        <w:t>each U.S. Lender shall fund its participation in any outstanding Swingline Loans and Protective Advances in accordance with Section 2.04 and Section 2.05 of this Agreement, and each Canadian Lender shall fund its participation in any outstanding Swingline Loans and Protective Advances in accordance with Section 2.04 and Section 2.05;</w:t>
      </w:r>
    </w:p>
    <w:p>
      <w:pPr>
        <w:spacing w:after="0" w:line="178" w:lineRule="exact"/>
        <w:rPr>
          <w:rFonts w:ascii="Arial" w:cs="Arial" w:eastAsia="Arial" w:hAnsi="Arial"/>
          <w:sz w:val="19"/>
          <w:szCs w:val="19"/>
          <w:color w:val="auto"/>
        </w:rPr>
      </w:pPr>
    </w:p>
    <w:p>
      <w:pPr>
        <w:jc w:val="both"/>
        <w:ind w:left="560" w:right="20" w:firstLine="1151"/>
        <w:spacing w:after="0" w:line="277" w:lineRule="auto"/>
        <w:tabs>
          <w:tab w:leader="none" w:pos="2200" w:val="left"/>
        </w:tabs>
        <w:numPr>
          <w:ilvl w:val="1"/>
          <w:numId w:val="141"/>
        </w:numPr>
        <w:rPr>
          <w:rFonts w:ascii="Arial" w:cs="Arial" w:eastAsia="Arial" w:hAnsi="Arial"/>
          <w:sz w:val="19"/>
          <w:szCs w:val="19"/>
          <w:color w:val="auto"/>
        </w:rPr>
      </w:pPr>
      <w:r>
        <w:rPr>
          <w:rFonts w:ascii="Arial" w:cs="Arial" w:eastAsia="Arial" w:hAnsi="Arial"/>
          <w:sz w:val="17"/>
          <w:szCs w:val="17"/>
          <w:color w:val="auto"/>
        </w:rPr>
        <w:t>each U.S. Lender shall fund its participation in any unreimbursed LC Disbursements made under the U.S. Letters of Credit in accordance with Section 2.06(e), and each Canadian Lender shall fund its participation in any unreimbursed LC Disbursements made under the Canadian Letters of Credit in accordance with Section 2.06(e); and</w:t>
      </w:r>
    </w:p>
    <w:p>
      <w:pPr>
        <w:spacing w:after="0" w:line="178" w:lineRule="exact"/>
        <w:rPr>
          <w:rFonts w:ascii="Arial" w:cs="Arial" w:eastAsia="Arial" w:hAnsi="Arial"/>
          <w:sz w:val="19"/>
          <w:szCs w:val="19"/>
          <w:color w:val="auto"/>
        </w:rPr>
      </w:pPr>
    </w:p>
    <w:p>
      <w:pPr>
        <w:jc w:val="both"/>
        <w:ind w:left="560" w:right="20" w:firstLine="1151"/>
        <w:spacing w:after="0" w:line="277" w:lineRule="auto"/>
        <w:tabs>
          <w:tab w:leader="none" w:pos="2187" w:val="left"/>
        </w:tabs>
        <w:numPr>
          <w:ilvl w:val="1"/>
          <w:numId w:val="141"/>
        </w:numPr>
        <w:rPr>
          <w:rFonts w:ascii="Arial" w:cs="Arial" w:eastAsia="Arial" w:hAnsi="Arial"/>
          <w:sz w:val="19"/>
          <w:szCs w:val="19"/>
          <w:color w:val="auto"/>
        </w:rPr>
      </w:pPr>
      <w:r>
        <w:rPr>
          <w:rFonts w:ascii="Arial" w:cs="Arial" w:eastAsia="Arial" w:hAnsi="Arial"/>
          <w:sz w:val="17"/>
          <w:szCs w:val="17"/>
          <w:color w:val="auto"/>
        </w:rPr>
        <w:t>the Lenders shall purchase in dollars at par interests in the Designated Obligations under each Revolver Facility (and shall make payments in dollars to the Administrative Agent for reallocation to other Lenders to the extent necessary to give effect to such purchases) and shall assume the obligations to reimburse Issuing Banks for unreimbursed LC Disbursements under outstanding Letters of Credit under such Revolver Facility such that, in lieu of the interests of each Lender in the Designated Obligations under the U.S. Commitments and the Canadian Commitments in which it shall have participated immediately prior to the CAM Exchange Date, such Lender shall own an interest equal to such Lender’s CAM Percentage in each component of the Designated Obligations immediately following the CAM Exchange.</w:t>
      </w:r>
    </w:p>
    <w:p>
      <w:pPr>
        <w:spacing w:after="0" w:line="180" w:lineRule="exact"/>
        <w:rPr>
          <w:rFonts w:ascii="Arial" w:cs="Arial" w:eastAsia="Arial" w:hAnsi="Arial"/>
          <w:sz w:val="19"/>
          <w:szCs w:val="19"/>
          <w:color w:val="auto"/>
        </w:rPr>
      </w:pPr>
    </w:p>
    <w:p>
      <w:pPr>
        <w:jc w:val="both"/>
        <w:ind w:left="560" w:firstLine="579"/>
        <w:spacing w:after="0" w:line="297" w:lineRule="auto"/>
        <w:tabs>
          <w:tab w:leader="none" w:pos="1535" w:val="left"/>
        </w:tabs>
        <w:numPr>
          <w:ilvl w:val="0"/>
          <w:numId w:val="141"/>
        </w:numPr>
        <w:rPr>
          <w:rFonts w:ascii="Arial" w:cs="Arial" w:eastAsia="Arial" w:hAnsi="Arial"/>
          <w:sz w:val="18"/>
          <w:szCs w:val="18"/>
          <w:color w:val="auto"/>
        </w:rPr>
      </w:pPr>
      <w:r>
        <w:rPr>
          <w:rFonts w:ascii="Arial" w:cs="Arial" w:eastAsia="Arial" w:hAnsi="Arial"/>
          <w:sz w:val="16"/>
          <w:szCs w:val="16"/>
          <w:color w:val="auto"/>
        </w:rPr>
        <w:t xml:space="preserve">Each Lender and each Person acquiring a participation from any Lender as contemplated by this Section 9.20 hereby consents and agrees to the CAM Exchange. Each Borrower agrees from time to time to execute and deliver to the Lenders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under this Agreement to the Administrative Agent against delivery of any promissory notes so executed and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deliver or accept any such promissory note, instrument or document shall not affect the validity or effectiveness of the CAM Exchange.</w:t>
      </w:r>
    </w:p>
    <w:p>
      <w:pPr>
        <w:spacing w:after="0" w:line="166" w:lineRule="exact"/>
        <w:rPr>
          <w:rFonts w:ascii="Arial" w:cs="Arial" w:eastAsia="Arial" w:hAnsi="Arial"/>
          <w:sz w:val="18"/>
          <w:szCs w:val="18"/>
          <w:color w:val="auto"/>
        </w:rPr>
      </w:pPr>
    </w:p>
    <w:p>
      <w:pPr>
        <w:jc w:val="both"/>
        <w:ind w:left="560" w:firstLine="579"/>
        <w:spacing w:after="0" w:line="277" w:lineRule="auto"/>
        <w:tabs>
          <w:tab w:leader="none" w:pos="1576" w:val="left"/>
        </w:tabs>
        <w:numPr>
          <w:ilvl w:val="0"/>
          <w:numId w:val="141"/>
        </w:numPr>
        <w:rPr>
          <w:rFonts w:ascii="Arial" w:cs="Arial" w:eastAsia="Arial" w:hAnsi="Arial"/>
          <w:sz w:val="19"/>
          <w:szCs w:val="19"/>
          <w:color w:val="auto"/>
        </w:rPr>
      </w:pPr>
      <w:r>
        <w:rPr>
          <w:rFonts w:ascii="Arial" w:cs="Arial" w:eastAsia="Arial" w:hAnsi="Arial"/>
          <w:sz w:val="17"/>
          <w:szCs w:val="17"/>
          <w:color w:val="auto"/>
        </w:rPr>
        <w:t>As a result of the CAM Exchange, from and after the CAM Exchange Date, each payment received by the Administrative Agent pursuant to any Loan Document in respect of any of the Designated Obligations shall be distributed to the Lenders, pro rata in accordance with their respective CAM Percentages.</w:t>
      </w:r>
    </w:p>
    <w:p>
      <w:pPr>
        <w:spacing w:after="0" w:line="178" w:lineRule="exact"/>
        <w:rPr>
          <w:rFonts w:ascii="Arial" w:cs="Arial" w:eastAsia="Arial" w:hAnsi="Arial"/>
          <w:sz w:val="19"/>
          <w:szCs w:val="19"/>
          <w:color w:val="auto"/>
        </w:rPr>
      </w:pPr>
    </w:p>
    <w:p>
      <w:pPr>
        <w:jc w:val="both"/>
        <w:ind w:left="560" w:right="20" w:firstLine="579"/>
        <w:spacing w:after="0" w:line="277" w:lineRule="auto"/>
        <w:tabs>
          <w:tab w:leader="none" w:pos="1602" w:val="left"/>
        </w:tabs>
        <w:numPr>
          <w:ilvl w:val="0"/>
          <w:numId w:val="141"/>
        </w:numPr>
        <w:rPr>
          <w:rFonts w:ascii="Arial" w:cs="Arial" w:eastAsia="Arial" w:hAnsi="Arial"/>
          <w:sz w:val="19"/>
          <w:szCs w:val="19"/>
          <w:color w:val="auto"/>
        </w:rPr>
      </w:pPr>
      <w:r>
        <w:rPr>
          <w:rFonts w:ascii="Arial" w:cs="Arial" w:eastAsia="Arial" w:hAnsi="Arial"/>
          <w:sz w:val="17"/>
          <w:szCs w:val="17"/>
          <w:color w:val="auto"/>
        </w:rPr>
        <w:t>In the event that on or after the CAM Exchange Date, the aggregate amount of the Designated Obligations shall change as a result of the making of a disbursement under a Letter of Credit by an Issuing Bank that is not reimbursed by the U.S. Borrowers or the Canadian Borrowers, if applicable, then each Lender shall promptly reimburse such Issuing Bank in dollars for the Dollar Amount of its CAM Percentage of such unreimbursed payment.</w:t>
      </w:r>
    </w:p>
    <w:p>
      <w:pPr>
        <w:spacing w:after="0" w:line="155" w:lineRule="exact"/>
        <w:rPr>
          <w:sz w:val="20"/>
          <w:szCs w:val="20"/>
          <w:color w:val="auto"/>
        </w:rPr>
      </w:pPr>
    </w:p>
    <w:p>
      <w:pPr>
        <w:jc w:val="both"/>
        <w:ind w:firstLine="1144"/>
        <w:spacing w:after="0" w:line="253" w:lineRule="auto"/>
        <w:rPr>
          <w:sz w:val="20"/>
          <w:szCs w:val="20"/>
          <w:color w:val="auto"/>
        </w:rPr>
      </w:pPr>
      <w:r>
        <w:rPr>
          <w:rFonts w:ascii="Arial" w:cs="Arial" w:eastAsia="Arial" w:hAnsi="Arial"/>
          <w:sz w:val="17"/>
          <w:szCs w:val="17"/>
          <w:color w:val="auto"/>
        </w:rPr>
        <w:t>Notwithstanding any other provision of this Section 9.20, each Lender Party agrees that if any Lender Party is required under applicable law to withhold or deduct any taxes or other amounts from payments made by it hereunder or as a result hereof, such Person shall be entitled to withhold or deduct such amounts and pay over such taxes or other amounts to the applicable Governmental Authority imposing such tax without any obligation to indemnify any Lender Party with respect to such amounts and without any other obligation of gross up or offset with respect thereto and there shall be no recourse whatsoever by any Lender Party subject to such withholding to any other Lender Party making such withholding and paying over such amounts, but without diminution of the rights of such Lender Party subject to such withholding as against Borrowers and the other Loan Parties to the extent (if any) provided in this Agreement and the other Loan Documents. Any amounts so withheld or deducted shall be treated as, for the purpose of this Section 9.20, having been paid to such Lender Party to which such withholding or deduction was made.</w:t>
      </w:r>
    </w:p>
    <w:p>
      <w:pPr>
        <w:spacing w:after="0" w:line="162"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Restatement</w:t>
      </w:r>
      <w:r>
        <w:rPr>
          <w:rFonts w:ascii="Arial" w:cs="Arial" w:eastAsia="Arial" w:hAnsi="Arial"/>
          <w:sz w:val="17"/>
          <w:szCs w:val="17"/>
          <w:color w:val="auto"/>
        </w:rPr>
        <w:t xml:space="preserve">. As of the Second Restatement Date, the terms, conditions, agreements, covenants, representations and warranties set forth in the Existing Credit Agreement are hereby amended, restated, replaced and superseded in their entirety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nothing herein shall impair or adversely affect the continuation of the liability and obligations of the Loan Parties under the Existing Credit Agreement, as amended hereby, (b) nothing herein shall be construed to constitute payment of, or impair, limit, cancel or extinguish, or constitute a novation in respect of, the Indebtedness and other obligations and liabilities of the Loan Parties evidenced by or arising under the Existing Credit Agreement or the other Existing Loan Documents, as amended hereby, and (c) nothing herein shall be construed to impair, limit, terminate, release or adversely affect the liens and security interests in favor of the Administrative Agent securing such Indebtedness and other obligations and liabilities.</w:t>
      </w:r>
    </w:p>
    <w:p>
      <w:pPr>
        <w:spacing w:after="0" w:line="16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ABL-Term Loan Intercreditor Agreement</w:t>
      </w:r>
      <w:r>
        <w:rPr>
          <w:rFonts w:ascii="Arial" w:cs="Arial" w:eastAsia="Arial" w:hAnsi="Arial"/>
          <w:sz w:val="16"/>
          <w:szCs w:val="16"/>
          <w:color w:val="auto"/>
        </w:rPr>
        <w:t>. Notwithstanding anything to the contrary contained herein, each Lender acknowledges that the Liens and security interest granted to the Administrative Agent pursuant to the Collateral Documents and the exercise of any right or remedy by such Administrative Agent thereunder are subject to the provisions of the ABL-Term Loan Intercreditor Agreement. In the event of any conflict between the terms of the ABL-Term Loan Intercreditor Agreement and the Collateral Documents, the terms of the ABL-Term Loan Intercreditor Agreement shall govern and control.</w:t>
      </w:r>
    </w:p>
    <w:p>
      <w:pPr>
        <w:spacing w:after="0" w:line="166" w:lineRule="exact"/>
        <w:rPr>
          <w:sz w:val="20"/>
          <w:szCs w:val="20"/>
          <w:color w:val="auto"/>
        </w:rPr>
      </w:pPr>
    </w:p>
    <w:p>
      <w:pPr>
        <w:jc w:val="both"/>
        <w:ind w:firstLine="572"/>
        <w:spacing w:after="0" w:line="321" w:lineRule="auto"/>
        <w:rPr>
          <w:sz w:val="20"/>
          <w:szCs w:val="20"/>
          <w:color w:val="auto"/>
        </w:rPr>
      </w:pPr>
      <w:r>
        <w:rPr>
          <w:rFonts w:ascii="Arial" w:cs="Arial" w:eastAsia="Arial" w:hAnsi="Arial"/>
          <w:sz w:val="15"/>
          <w:szCs w:val="15"/>
          <w:color w:val="auto"/>
        </w:rPr>
        <w:t xml:space="preserve">SECTION 9.23 </w:t>
      </w:r>
      <w:r>
        <w:rPr>
          <w:rFonts w:ascii="Arial" w:cs="Arial" w:eastAsia="Arial" w:hAnsi="Arial"/>
          <w:sz w:val="15"/>
          <w:szCs w:val="15"/>
          <w:u w:val="single" w:color="auto"/>
          <w:color w:val="auto"/>
        </w:rPr>
        <w:t>No Advisory or Fiduciary Responsibility.</w:t>
      </w:r>
      <w:r>
        <w:rPr>
          <w:rFonts w:ascii="Arial" w:cs="Arial" w:eastAsia="Arial" w:hAnsi="Arial"/>
          <w:sz w:val="15"/>
          <w:szCs w:val="15"/>
          <w:color w:val="auto"/>
        </w:rPr>
        <w:t xml:space="preserve"> In connection with all aspects of each transaction contemplated by this Agreement, the Loan Parties acknowledge and agree that (a)(i) this credit facility and any related arranging or other services by the Administrative Agent, the Bookrunners, the Lead Arrangers, the Co-Syndication Agents, the Lenders or any of their respective Affiliates are arm’s-length commercial transactions between the Loan Parties and such Person or Persons; (ii) the Loan Parties have consulted their own legal, accounting, regulatory and tax advisors to the extent they have deemed appropriate; and (iii) the Loan Parties are capable of evaluating, and understand and accept, the terms, risks and conditions of the transactions contemplated by this Agreement and the other Loan Documents; (b) each of the Administrative Agent, the Bookrunners, the Lead Arrangers, the Co-Syndication Agents, the Lenders and their respective Affiliates is and has been acting solely as a principal and, except as expressly agreed in writing by the relevant parties, has not been, is not, and will not be acting as an advisor, agent or fiduciary for the Loan Parties, any of their Affiliates or any other Person, and has no obligation with respect to the transactions contemplated by the Loan Documents except as expressly set forth herein or therein; and (c) the Administrative Agent, the Bookrunners, the Lead Arrangers, the Co-Syndication Agents, the Lenders and their respective Affiliates may be engaged in a broad range of transactions that involve interests that differ from those of the Loan Partiers and their Affiliates, and have no obligation to disclose any of such interests to the Loan Parties or their Affiliates. To the fullest extent permitted by Applicable Law, each Loan Party hereby waives and releases any claims that it may have against the Administrative Agent, the Bookrunners, the Lead</w:t>
      </w:r>
    </w:p>
    <w:p>
      <w:pPr>
        <w:sectPr>
          <w:pgSz w:w="11900" w:h="16838" w:orient="portrait"/>
          <w:cols w:equalWidth="0" w:num="1">
            <w:col w:w="11440"/>
          </w:cols>
          <w:pgMar w:left="240" w:top="184" w:right="219" w:bottom="0" w:gutter="0" w:footer="0" w:header="0"/>
        </w:sectPr>
      </w:pPr>
    </w:p>
    <w:bookmarkStart w:id="77" w:name="page78"/>
    <w:bookmarkEnd w:id="77"/>
    <w:p>
      <w:pPr>
        <w:spacing w:after="0" w:line="18"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color w:val="auto"/>
        </w:rPr>
        <w:t>Arrangers, the Co-Syndication Agents, the Lenders and their respective Affiliates with respect to any breach of agency or fiduciary duty in connection with any transaction contemplated by this Agreement or any other Loan Document.</w:t>
      </w:r>
    </w:p>
    <w:p>
      <w:pPr>
        <w:spacing w:after="0" w:line="13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ARTICLE X.</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ARTICLE XI.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Borrower Representative</w:t>
      </w:r>
    </w:p>
    <w:p>
      <w:pPr>
        <w:spacing w:after="0" w:line="210"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Appointment; Nature of Relationship</w:t>
      </w:r>
      <w:r>
        <w:rPr>
          <w:rFonts w:ascii="Arial" w:cs="Arial" w:eastAsia="Arial" w:hAnsi="Arial"/>
          <w:sz w:val="17"/>
          <w:szCs w:val="17"/>
          <w:color w:val="auto"/>
        </w:rPr>
        <w:t>. WESCO Distribution, Inc., a Delaware corporation, is hereby appointed by each of the Borrowers as its contractual representative (herein referred to as the “</w:t>
      </w:r>
      <w:r>
        <w:rPr>
          <w:rFonts w:ascii="Arial" w:cs="Arial" w:eastAsia="Arial" w:hAnsi="Arial"/>
          <w:sz w:val="17"/>
          <w:szCs w:val="17"/>
          <w:u w:val="single" w:color="auto"/>
          <w:color w:val="auto"/>
        </w:rPr>
        <w:t>Borrower Representative</w:t>
      </w:r>
      <w:r>
        <w:rPr>
          <w:rFonts w:ascii="Arial" w:cs="Arial" w:eastAsia="Arial" w:hAnsi="Arial"/>
          <w:sz w:val="17"/>
          <w:szCs w:val="17"/>
          <w:color w:val="auto"/>
        </w:rPr>
        <w:t>”)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 subject to the limits as between Canadian Borrowers and U.S. Borrowers contained in this Agreement. None of the Lender Parties and their respective officers, directors, agents or employees, shall be liable to the Borrower Representative or any Borrower for any action taken or omitted to be taken by the Borrower Representative or the Borrowers pursuant to this Section 11.01.</w:t>
      </w:r>
    </w:p>
    <w:p>
      <w:pPr>
        <w:spacing w:after="0" w:line="166"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Powers</w:t>
      </w:r>
      <w:r>
        <w:rPr>
          <w:rFonts w:ascii="Arial" w:cs="Arial" w:eastAsia="Arial" w:hAnsi="Arial"/>
          <w:sz w:val="17"/>
          <w:szCs w:val="17"/>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 Parties to take any action thereunder except any action specifically provided by the Loan Documents to be taken by the Borrower Representative.</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Employment of Agents</w:t>
      </w:r>
      <w:r>
        <w:rPr>
          <w:rFonts w:ascii="Arial" w:cs="Arial" w:eastAsia="Arial" w:hAnsi="Arial"/>
          <w:sz w:val="17"/>
          <w:szCs w:val="17"/>
          <w:color w:val="auto"/>
        </w:rPr>
        <w:t>. The Borrower Representative may execute any of its duties as the Borrower Representative hereunder and under any other Loan Document by or through authorized officers.</w:t>
      </w:r>
    </w:p>
    <w:p>
      <w:pPr>
        <w:spacing w:after="0" w:line="140" w:lineRule="exact"/>
        <w:rPr>
          <w:sz w:val="20"/>
          <w:szCs w:val="20"/>
          <w:color w:val="auto"/>
        </w:rPr>
      </w:pPr>
    </w:p>
    <w:p>
      <w:pPr>
        <w:jc w:val="both"/>
        <w:ind w:firstLine="572"/>
        <w:spacing w:after="0" w:line="304"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u w:val="single" w:color="auto"/>
          <w:color w:val="auto"/>
        </w:rPr>
        <w:t>Notices</w:t>
      </w:r>
      <w:r>
        <w:rPr>
          <w:rFonts w:ascii="Arial" w:cs="Arial" w:eastAsia="Arial" w:hAnsi="Arial"/>
          <w:sz w:val="15"/>
          <w:szCs w:val="15"/>
          <w:color w:val="auto"/>
        </w:rPr>
        <w:t>. Each Borrower shall immediately notify the Borrower Representative of the occurrence of any Default or Unmatured Default hereunder referring to this Agreement describing such Default or Unmatured Default and stating that such notice is a “notice of default.” In the event that the Borrower Representative receives such a notice, the Borrower Representative shall give prompt notice thereof to the Administrative Agent and the Lender Parties. Any notice provided to the Borrower Representative hereunder shall constitute notice to each Borrower on the date received by the Borrower Representative.</w:t>
      </w:r>
    </w:p>
    <w:p>
      <w:pPr>
        <w:spacing w:after="0" w:line="127"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Successor Borrower Representative</w:t>
      </w:r>
      <w:r>
        <w:rPr>
          <w:rFonts w:ascii="Arial" w:cs="Arial" w:eastAsia="Arial" w:hAnsi="Arial"/>
          <w:sz w:val="17"/>
          <w:szCs w:val="17"/>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 Parties.</w:t>
      </w:r>
    </w:p>
    <w:p>
      <w:pPr>
        <w:spacing w:after="0" w:line="153"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Execution of Loan Documents; Borrowing Base Certificate</w:t>
      </w:r>
      <w:r>
        <w:rPr>
          <w:rFonts w:ascii="Arial" w:cs="Arial" w:eastAsia="Arial" w:hAnsi="Arial"/>
          <w:sz w:val="17"/>
          <w:szCs w:val="17"/>
          <w:color w:val="auto"/>
        </w:rPr>
        <w:t>. The Borrowers hereby empower and authorize the Borrower Representative, on behalf of the Borrowers, to execute and deliver to the Lender Parties the Loan Documents (including without limitation, the ABL-Term Loan Intercreditor Agreement)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6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Reporting</w:t>
      </w:r>
      <w:r>
        <w:rPr>
          <w:rFonts w:ascii="Arial" w:cs="Arial" w:eastAsia="Arial" w:hAnsi="Arial"/>
          <w:sz w:val="17"/>
          <w:szCs w:val="17"/>
          <w:color w:val="auto"/>
        </w:rPr>
        <w:t>. Each Borrower hereby agrees that such Borrower shall furnish promptly after each fiscal month to the Borrower Representative a copy of any certificate or report required hereunder or requested by the Borrower Representative on which the Borrower Representative shall rely to prepare the Borrowing Base Certificates and Compliance Certificates required pursuant to the provisions of this Agreement.</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ARTICLE XII.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Limitations on Obligations of Canadian Loan Parties</w:t>
      </w:r>
    </w:p>
    <w:p>
      <w:pPr>
        <w:spacing w:after="0" w:line="21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Limitations</w:t>
      </w:r>
      <w:r>
        <w:rPr>
          <w:rFonts w:ascii="Arial" w:cs="Arial" w:eastAsia="Arial" w:hAnsi="Arial"/>
          <w:sz w:val="17"/>
          <w:szCs w:val="17"/>
          <w:color w:val="auto"/>
        </w:rPr>
        <w:t>. Notwithstanding provision to the contrary set forth in this Credit Agreement or any of the Loan Documents, the obligations of the Canadian Loan Parties (other than the Canadian Cross-Border Loan Guarantors) shall be limited to the Canadian Obligations and in no event shall any Canadian Loan Party (other than the Canadian Cross-Border Loan Guarantors) or Dutch Loan Guarantor, be liable for, guarantee or otherwise have any obligation with respect to, nor shall any such entity’s assets secure any U.S. Secured Obligations, whether arising under any provisions of such documents relating to guaranty, set off, contribution, subrogation, indemnity, requirements to post collateral, use of deposits or otherwise. For the avoidance of doubt, this Section 12.01 shall have no application to the loss sharing agreement set forth in Section 9.20.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[Remainder of Page Left Intentionally Blank]</w:t>
      </w:r>
    </w:p>
    <w:p>
      <w:pPr>
        <w:spacing w:after="0" w:line="198"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duly executed by their respective authorized officers as of the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year first above written.</w:t>
      </w:r>
    </w:p>
    <w:p>
      <w:pPr>
        <w:spacing w:after="0" w:line="127"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U.S. BORROWERS:</w:t>
      </w:r>
    </w:p>
    <w:p>
      <w:pPr>
        <w:spacing w:after="0" w:line="20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Delaware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EQUITY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Delaware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INTEGRATED SUPPLY, INC.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Delaware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NEVADA, LTD.,</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Nevada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COMMUNICATIONS SUPPLY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Connecticut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CALVERT WIRE &amp; CABLE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 Delaware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LIBERTY WIRE &amp; CABLE, INC.,</w:t>
      </w:r>
    </w:p>
    <w:p>
      <w:pPr>
        <w:sectPr>
          <w:pgSz w:w="11900" w:h="16857" w:orient="portrait"/>
          <w:cols w:equalWidth="0" w:num="1">
            <w:col w:w="11440"/>
          </w:cols>
          <w:pgMar w:left="240" w:top="137" w:right="219" w:bottom="0" w:gutter="0" w:footer="0" w:header="0"/>
        </w:sectPr>
      </w:pPr>
    </w:p>
    <w:bookmarkStart w:id="78" w:name="page79"/>
    <w:bookmarkEnd w:id="78"/>
    <w:p>
      <w:pPr>
        <w:ind w:left="2220"/>
        <w:spacing w:after="0"/>
        <w:rPr>
          <w:sz w:val="20"/>
          <w:szCs w:val="20"/>
          <w:color w:val="auto"/>
        </w:rPr>
      </w:pPr>
      <w:r>
        <w:rPr>
          <w:rFonts w:ascii="Arial" w:cs="Arial" w:eastAsia="Arial" w:hAnsi="Arial"/>
          <w:sz w:val="17"/>
          <w:szCs w:val="17"/>
          <w:color w:val="auto"/>
        </w:rPr>
        <w:t>a Delaware corporation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CARLTON-BATES COMPANY,</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an Arkansas corporation</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TVC COMMUNICATIONS, L.L.C.,</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 Delaware limited liability company</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CONNEY SAFETY PRODUCTS, LLC,</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 Delaware limited liability company</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HI-LINE UTILITY SUPPLY COMPANY, LLC,</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an Illinois limited liability company</w:t>
      </w:r>
    </w:p>
    <w:p>
      <w:pPr>
        <w:spacing w:after="0" w:line="398" w:lineRule="exact"/>
        <w:rPr>
          <w:sz w:val="20"/>
          <w:szCs w:val="20"/>
          <w:color w:val="auto"/>
        </w:rPr>
      </w:pPr>
    </w:p>
    <w:p>
      <w:pPr>
        <w:ind w:left="2220"/>
        <w:spacing w:after="0"/>
        <w:tabs>
          <w:tab w:leader="none" w:pos="2620" w:val="left"/>
        </w:tabs>
        <w:rPr>
          <w:sz w:val="20"/>
          <w:szCs w:val="20"/>
          <w:color w:val="auto"/>
        </w:rPr>
      </w:pPr>
      <w:r>
        <w:rPr>
          <w:rFonts w:ascii="Arial" w:cs="Arial" w:eastAsia="Arial" w:hAnsi="Arial"/>
          <w:sz w:val="17"/>
          <w:szCs w:val="17"/>
          <w:color w:val="auto"/>
        </w:rPr>
        <w:t>By</w:t>
        <w:tab/>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13214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 Brian M Begg</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 Treasurer</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HILL COUNTRY ELECTRIC SUPPLY, L.P.,</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 Texas limited partnership</w:t>
      </w:r>
    </w:p>
    <w:p>
      <w:pPr>
        <w:spacing w:after="0" w:line="19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 TVC International Holding, L.L.C.,</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its General Partner</w:t>
      </w:r>
    </w:p>
    <w:p>
      <w:pPr>
        <w:spacing w:after="0" w:line="398" w:lineRule="exact"/>
        <w:rPr>
          <w:sz w:val="20"/>
          <w:szCs w:val="20"/>
          <w:color w:val="auto"/>
        </w:rPr>
      </w:pPr>
    </w:p>
    <w:p>
      <w:pPr>
        <w:ind w:left="2220"/>
        <w:spacing w:after="0"/>
        <w:tabs>
          <w:tab w:leader="none" w:pos="2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-8255</wp:posOffset>
            </wp:positionV>
            <wp:extent cx="13487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 Brian M. Begg</w:t>
      </w:r>
    </w:p>
    <w:p>
      <w:pPr>
        <w:spacing w:after="0" w:line="7" w:lineRule="exact"/>
        <w:rPr>
          <w:sz w:val="20"/>
          <w:szCs w:val="20"/>
          <w:color w:val="auto"/>
        </w:rPr>
      </w:pPr>
    </w:p>
    <w:p>
      <w:pPr>
        <w:ind w:left="2220"/>
        <w:spacing w:after="0"/>
        <w:tabs>
          <w:tab w:leader="none" w:pos="2840" w:val="left"/>
        </w:tabs>
        <w:rPr>
          <w:sz w:val="20"/>
          <w:szCs w:val="20"/>
          <w:color w:val="auto"/>
        </w:rPr>
      </w:pPr>
      <w:r>
        <w:rPr>
          <w:rFonts w:ascii="Arial" w:cs="Arial" w:eastAsia="Arial" w:hAnsi="Arial"/>
          <w:sz w:val="17"/>
          <w:szCs w:val="17"/>
          <w:color w:val="auto"/>
        </w:rPr>
        <w:t>Title:</w:t>
        <w:tab/>
        <w:t>Treasurer</w:t>
      </w:r>
    </w:p>
    <w:p>
      <w:pPr>
        <w:spacing w:after="0" w:line="368"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auto"/>
        </w:rPr>
        <w:t>CANADIAN BORROWERS:</w:t>
      </w:r>
    </w:p>
    <w:p>
      <w:pPr>
        <w:spacing w:after="0" w:line="20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DISTRIBUTION CANADA LP</w:t>
      </w:r>
    </w:p>
    <w:p>
      <w:pPr>
        <w:spacing w:after="0" w:line="19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 WESCO DISTRIBUTION CANADA GP</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INC., its General Partner</w:t>
      </w:r>
    </w:p>
    <w:p>
      <w:pPr>
        <w:spacing w:after="0" w:line="360"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Brian M. Begg</w:t>
            </w:r>
          </w:p>
        </w:tc>
        <w:tc>
          <w:tcPr>
            <w:tcW w:w="600" w:type="dxa"/>
            <w:vAlign w:val="bottom"/>
          </w:tcPr>
          <w:p>
            <w:pPr>
              <w:spacing w:after="0"/>
              <w:rPr>
                <w:sz w:val="16"/>
                <w:szCs w:val="16"/>
                <w:color w:val="auto"/>
              </w:rPr>
            </w:pPr>
          </w:p>
        </w:tc>
      </w:tr>
      <w:tr>
        <w:trPr>
          <w:trHeight w:val="204"/>
        </w:trPr>
        <w:tc>
          <w:tcPr>
            <w:tcW w:w="540" w:type="dxa"/>
            <w:vAlign w:val="bottom"/>
            <w:gridSpan w:val="2"/>
          </w:tcPr>
          <w:p>
            <w:pPr>
              <w:spacing w:after="0"/>
              <w:rPr>
                <w:sz w:val="20"/>
                <w:szCs w:val="20"/>
                <w:color w:val="auto"/>
              </w:rPr>
            </w:pPr>
            <w:r>
              <w:rPr>
                <w:rFonts w:ascii="Arial" w:cs="Arial" w:eastAsia="Arial" w:hAnsi="Arial"/>
                <w:sz w:val="17"/>
                <w:szCs w:val="17"/>
                <w:color w:val="auto"/>
              </w:rPr>
              <w:t>Name:</w:t>
            </w:r>
          </w:p>
        </w:tc>
        <w:tc>
          <w:tcPr>
            <w:tcW w:w="2440" w:type="dxa"/>
            <w:vAlign w:val="bottom"/>
            <w:gridSpan w:val="2"/>
          </w:tcPr>
          <w:p>
            <w:pPr>
              <w:ind w:left="200"/>
              <w:spacing w:after="0"/>
              <w:rPr>
                <w:sz w:val="20"/>
                <w:szCs w:val="20"/>
                <w:color w:val="auto"/>
              </w:rPr>
            </w:pPr>
            <w:r>
              <w:rPr>
                <w:rFonts w:ascii="Arial" w:cs="Arial" w:eastAsia="Arial" w:hAnsi="Arial"/>
                <w:sz w:val="17"/>
                <w:szCs w:val="17"/>
                <w:color w:val="auto"/>
              </w:rPr>
              <w:t>Brian M. Begg</w:t>
            </w:r>
          </w:p>
        </w:tc>
      </w:tr>
      <w:tr>
        <w:trPr>
          <w:trHeight w:val="222"/>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2440" w:type="dxa"/>
            <w:vAlign w:val="bottom"/>
            <w:gridSpan w:val="2"/>
          </w:tcPr>
          <w:p>
            <w:pPr>
              <w:ind w:left="100"/>
              <w:spacing w:after="0"/>
              <w:rPr>
                <w:sz w:val="20"/>
                <w:szCs w:val="20"/>
                <w:color w:val="auto"/>
              </w:rPr>
            </w:pPr>
            <w:r>
              <w:rPr>
                <w:rFonts w:ascii="Arial" w:cs="Arial" w:eastAsia="Arial" w:hAnsi="Arial"/>
                <w:sz w:val="17"/>
                <w:szCs w:val="17"/>
                <w:color w:val="auto"/>
                <w:w w:val="89"/>
              </w:rPr>
              <w:t>Treasurer and Assistant Secretary</w:t>
            </w:r>
          </w:p>
        </w:tc>
      </w:tr>
    </w:tbl>
    <w:p>
      <w:pPr>
        <w:spacing w:after="0" w:line="36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WDCC ENTERPRISES INC.</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HAZMASTERS INC.</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HAZMASTERS QUEBEC INC.</w:t>
      </w:r>
    </w:p>
    <w:p>
      <w:pPr>
        <w:spacing w:after="0" w:line="200" w:lineRule="exact"/>
        <w:rPr>
          <w:sz w:val="20"/>
          <w:szCs w:val="20"/>
          <w:color w:val="auto"/>
        </w:rPr>
      </w:pPr>
    </w:p>
    <w:p>
      <w:pPr>
        <w:spacing w:after="0" w:line="363"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Brian M. Begg</w:t>
            </w:r>
          </w:p>
        </w:tc>
        <w:tc>
          <w:tcPr>
            <w:tcW w:w="420" w:type="dxa"/>
            <w:vAlign w:val="bottom"/>
          </w:tcPr>
          <w:p>
            <w:pPr>
              <w:spacing w:after="0"/>
              <w:rPr>
                <w:sz w:val="16"/>
                <w:szCs w:val="16"/>
                <w:color w:val="auto"/>
              </w:rPr>
            </w:pPr>
          </w:p>
        </w:tc>
      </w:tr>
      <w:tr>
        <w:trPr>
          <w:trHeight w:val="204"/>
        </w:trPr>
        <w:tc>
          <w:tcPr>
            <w:tcW w:w="2980" w:type="dxa"/>
            <w:vAlign w:val="bottom"/>
            <w:gridSpan w:val="4"/>
          </w:tcPr>
          <w:p>
            <w:pPr>
              <w:spacing w:after="0"/>
              <w:rPr>
                <w:sz w:val="20"/>
                <w:szCs w:val="20"/>
                <w:color w:val="auto"/>
              </w:rPr>
            </w:pPr>
            <w:r>
              <w:rPr>
                <w:rFonts w:ascii="Arial" w:cs="Arial" w:eastAsia="Arial" w:hAnsi="Arial"/>
                <w:sz w:val="17"/>
                <w:szCs w:val="17"/>
                <w:color w:val="auto"/>
              </w:rPr>
              <w:t>Name: Brian M. Begg</w:t>
            </w:r>
          </w:p>
        </w:tc>
      </w:tr>
      <w:tr>
        <w:trPr>
          <w:trHeight w:val="222"/>
        </w:trPr>
        <w:tc>
          <w:tcPr>
            <w:tcW w:w="500" w:type="dxa"/>
            <w:vAlign w:val="bottom"/>
            <w:gridSpan w:val="2"/>
          </w:tcPr>
          <w:p>
            <w:pPr>
              <w:spacing w:after="0"/>
              <w:rPr>
                <w:sz w:val="20"/>
                <w:szCs w:val="20"/>
                <w:color w:val="auto"/>
              </w:rPr>
            </w:pPr>
            <w:r>
              <w:rPr>
                <w:rFonts w:ascii="Arial" w:cs="Arial" w:eastAsia="Arial" w:hAnsi="Arial"/>
                <w:sz w:val="17"/>
                <w:szCs w:val="17"/>
                <w:color w:val="auto"/>
              </w:rPr>
              <w:t>Title:</w:t>
            </w:r>
          </w:p>
        </w:tc>
        <w:tc>
          <w:tcPr>
            <w:tcW w:w="2480" w:type="dxa"/>
            <w:vAlign w:val="bottom"/>
            <w:gridSpan w:val="2"/>
          </w:tcPr>
          <w:p>
            <w:pPr>
              <w:ind w:left="140"/>
              <w:spacing w:after="0"/>
              <w:rPr>
                <w:sz w:val="20"/>
                <w:szCs w:val="20"/>
                <w:color w:val="auto"/>
              </w:rPr>
            </w:pPr>
            <w:r>
              <w:rPr>
                <w:rFonts w:ascii="Arial" w:cs="Arial" w:eastAsia="Arial" w:hAnsi="Arial"/>
                <w:sz w:val="17"/>
                <w:szCs w:val="17"/>
                <w:color w:val="auto"/>
                <w:w w:val="89"/>
              </w:rPr>
              <w:t>Treasurer and Assistant Secretary</w:t>
            </w:r>
          </w:p>
        </w:tc>
      </w:tr>
      <w:tr>
        <w:trPr>
          <w:trHeight w:val="584"/>
        </w:trPr>
        <w:tc>
          <w:tcPr>
            <w:tcW w:w="2980" w:type="dxa"/>
            <w:vAlign w:val="bottom"/>
            <w:gridSpan w:val="4"/>
          </w:tcPr>
          <w:p>
            <w:pPr>
              <w:spacing w:after="0"/>
              <w:rPr>
                <w:sz w:val="20"/>
                <w:szCs w:val="20"/>
                <w:color w:val="auto"/>
              </w:rPr>
            </w:pPr>
            <w:r>
              <w:rPr>
                <w:rFonts w:ascii="Arial" w:cs="Arial" w:eastAsia="Arial" w:hAnsi="Arial"/>
                <w:sz w:val="17"/>
                <w:szCs w:val="17"/>
                <w:color w:val="auto"/>
              </w:rPr>
              <w:t>EECOL ELECTRIC ULC</w:t>
            </w:r>
          </w:p>
        </w:tc>
      </w:tr>
      <w:tr>
        <w:trPr>
          <w:trHeight w:val="746"/>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Brian M. Begg</w:t>
            </w:r>
          </w:p>
        </w:tc>
        <w:tc>
          <w:tcPr>
            <w:tcW w:w="420" w:type="dxa"/>
            <w:vAlign w:val="bottom"/>
          </w:tcPr>
          <w:p>
            <w:pPr>
              <w:spacing w:after="0"/>
              <w:rPr>
                <w:sz w:val="24"/>
                <w:szCs w:val="24"/>
                <w:color w:val="auto"/>
              </w:rPr>
            </w:pPr>
          </w:p>
        </w:tc>
      </w:tr>
      <w:tr>
        <w:trPr>
          <w:trHeight w:val="204"/>
        </w:trPr>
        <w:tc>
          <w:tcPr>
            <w:tcW w:w="2980" w:type="dxa"/>
            <w:vAlign w:val="bottom"/>
            <w:gridSpan w:val="4"/>
          </w:tcPr>
          <w:p>
            <w:pPr>
              <w:spacing w:after="0"/>
              <w:rPr>
                <w:sz w:val="20"/>
                <w:szCs w:val="20"/>
                <w:color w:val="auto"/>
              </w:rPr>
            </w:pPr>
            <w:r>
              <w:rPr>
                <w:rFonts w:ascii="Arial" w:cs="Arial" w:eastAsia="Arial" w:hAnsi="Arial"/>
                <w:sz w:val="17"/>
                <w:szCs w:val="17"/>
                <w:color w:val="auto"/>
              </w:rPr>
              <w:t>Name: Brian M. Begg</w:t>
            </w:r>
          </w:p>
        </w:tc>
      </w:tr>
      <w:tr>
        <w:trPr>
          <w:trHeight w:val="222"/>
        </w:trPr>
        <w:tc>
          <w:tcPr>
            <w:tcW w:w="500" w:type="dxa"/>
            <w:vAlign w:val="bottom"/>
            <w:gridSpan w:val="2"/>
          </w:tcPr>
          <w:p>
            <w:pPr>
              <w:spacing w:after="0"/>
              <w:rPr>
                <w:sz w:val="20"/>
                <w:szCs w:val="20"/>
                <w:color w:val="auto"/>
              </w:rPr>
            </w:pPr>
            <w:r>
              <w:rPr>
                <w:rFonts w:ascii="Arial" w:cs="Arial" w:eastAsia="Arial" w:hAnsi="Arial"/>
                <w:sz w:val="17"/>
                <w:szCs w:val="17"/>
                <w:color w:val="auto"/>
              </w:rPr>
              <w:t>Title:</w:t>
            </w:r>
          </w:p>
        </w:tc>
        <w:tc>
          <w:tcPr>
            <w:tcW w:w="2480" w:type="dxa"/>
            <w:vAlign w:val="bottom"/>
            <w:gridSpan w:val="2"/>
          </w:tcPr>
          <w:p>
            <w:pPr>
              <w:ind w:left="140"/>
              <w:spacing w:after="0"/>
              <w:rPr>
                <w:sz w:val="20"/>
                <w:szCs w:val="20"/>
                <w:color w:val="auto"/>
              </w:rPr>
            </w:pPr>
            <w:r>
              <w:rPr>
                <w:rFonts w:ascii="Arial" w:cs="Arial" w:eastAsia="Arial" w:hAnsi="Arial"/>
                <w:sz w:val="17"/>
                <w:szCs w:val="17"/>
                <w:color w:val="auto"/>
              </w:rPr>
              <w:t>Treasurer</w:t>
            </w:r>
          </w:p>
        </w:tc>
      </w:tr>
    </w:tbl>
    <w:p>
      <w:pPr>
        <w:spacing w:after="0" w:line="356"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auto"/>
        </w:rPr>
        <w:t>HOLDINGS:</w:t>
      </w:r>
    </w:p>
    <w:p>
      <w:pPr>
        <w:spacing w:after="0" w:line="39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INTERNATIONAL, INC.</w:t>
      </w:r>
    </w:p>
    <w:p>
      <w:pPr>
        <w:spacing w:after="0" w:line="374"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Brian M. Begg</w:t>
            </w:r>
          </w:p>
        </w:tc>
      </w:tr>
      <w:tr>
        <w:trPr>
          <w:trHeight w:val="204"/>
        </w:trPr>
        <w:tc>
          <w:tcPr>
            <w:tcW w:w="2380" w:type="dxa"/>
            <w:vAlign w:val="bottom"/>
            <w:gridSpan w:val="3"/>
          </w:tcPr>
          <w:p>
            <w:pPr>
              <w:spacing w:after="0"/>
              <w:rPr>
                <w:sz w:val="20"/>
                <w:szCs w:val="20"/>
                <w:color w:val="auto"/>
              </w:rPr>
            </w:pPr>
            <w:r>
              <w:rPr>
                <w:rFonts w:ascii="Arial" w:cs="Arial" w:eastAsia="Arial" w:hAnsi="Arial"/>
                <w:sz w:val="17"/>
                <w:szCs w:val="17"/>
                <w:color w:val="auto"/>
              </w:rPr>
              <w:t>Name: Brian M. Begg</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900" w:type="dxa"/>
            <w:vAlign w:val="bottom"/>
          </w:tcPr>
          <w:p>
            <w:pPr>
              <w:ind w:left="120"/>
              <w:spacing w:after="0"/>
              <w:rPr>
                <w:sz w:val="20"/>
                <w:szCs w:val="20"/>
                <w:color w:val="auto"/>
              </w:rPr>
            </w:pPr>
            <w:r>
              <w:rPr>
                <w:rFonts w:ascii="Arial" w:cs="Arial" w:eastAsia="Arial" w:hAnsi="Arial"/>
                <w:sz w:val="17"/>
                <w:szCs w:val="17"/>
                <w:color w:val="auto"/>
              </w:rPr>
              <w:t>Treasurer</w:t>
            </w:r>
          </w:p>
        </w:tc>
      </w:tr>
    </w:tbl>
    <w:p>
      <w:pPr>
        <w:spacing w:after="0" w:line="200" w:lineRule="exact"/>
        <w:rPr>
          <w:sz w:val="20"/>
          <w:szCs w:val="20"/>
          <w:color w:val="auto"/>
        </w:rPr>
      </w:pPr>
    </w:p>
    <w:p>
      <w:pPr>
        <w:sectPr>
          <w:pgSz w:w="11900" w:h="16838" w:orient="portrait"/>
          <w:cols w:equalWidth="0" w:num="1">
            <w:col w:w="10000"/>
          </w:cols>
          <w:pgMar w:left="1440" w:top="124"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auto"/>
        </w:rPr>
        <w:t>U.S. ADMINISTRATIVE AGENT, U.S. LENDER, ISSUING BANK AND U.S. SWINGLINE LENDER:</w:t>
      </w:r>
    </w:p>
    <w:p>
      <w:pPr>
        <w:sectPr>
          <w:pgSz w:w="11900" w:h="16838" w:orient="portrait"/>
          <w:cols w:equalWidth="0" w:num="1">
            <w:col w:w="10000"/>
          </w:cols>
          <w:pgMar w:left="1440" w:top="124" w:right="459" w:bottom="0" w:gutter="0" w:footer="0" w:header="0"/>
          <w:type w:val="continuous"/>
        </w:sectPr>
      </w:pPr>
    </w:p>
    <w:bookmarkStart w:id="79" w:name="page80"/>
    <w:bookmarkEnd w:id="79"/>
    <w:p>
      <w:pPr>
        <w:ind w:left="2220"/>
        <w:spacing w:after="0"/>
        <w:rPr>
          <w:sz w:val="20"/>
          <w:szCs w:val="20"/>
          <w:color w:val="auto"/>
        </w:rPr>
      </w:pPr>
      <w:r>
        <w:rPr>
          <w:rFonts w:ascii="Arial" w:cs="Arial" w:eastAsia="Arial" w:hAnsi="Arial"/>
          <w:sz w:val="16"/>
          <w:szCs w:val="16"/>
          <w:color w:val="auto"/>
        </w:rPr>
        <w:t>JPMORGAN CHASE BANK, N.A., individually, as a U.S. Lender, Administrative Agent, Issuing Bank and U.S.</w:t>
      </w:r>
    </w:p>
    <w:p>
      <w:pPr>
        <w:spacing w:after="0" w:line="33"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Swingline Lender</w:t>
      </w:r>
    </w:p>
    <w:p>
      <w:pPr>
        <w:spacing w:after="0" w:line="360"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Lisa A. Morrison</w:t>
            </w:r>
          </w:p>
        </w:tc>
      </w:tr>
      <w:tr>
        <w:trPr>
          <w:trHeight w:val="204"/>
        </w:trPr>
        <w:tc>
          <w:tcPr>
            <w:tcW w:w="540" w:type="dxa"/>
            <w:vAlign w:val="bottom"/>
            <w:gridSpan w:val="2"/>
          </w:tcPr>
          <w:p>
            <w:pPr>
              <w:spacing w:after="0"/>
              <w:rPr>
                <w:sz w:val="20"/>
                <w:szCs w:val="20"/>
                <w:color w:val="auto"/>
              </w:rPr>
            </w:pPr>
            <w:r>
              <w:rPr>
                <w:rFonts w:ascii="Arial" w:cs="Arial" w:eastAsia="Arial" w:hAnsi="Arial"/>
                <w:sz w:val="17"/>
                <w:szCs w:val="17"/>
                <w:color w:val="auto"/>
              </w:rPr>
              <w:t>Name:</w:t>
            </w:r>
          </w:p>
        </w:tc>
        <w:tc>
          <w:tcPr>
            <w:tcW w:w="2000" w:type="dxa"/>
            <w:vAlign w:val="bottom"/>
          </w:tcPr>
          <w:p>
            <w:pPr>
              <w:ind w:left="160"/>
              <w:spacing w:after="0"/>
              <w:rPr>
                <w:sz w:val="20"/>
                <w:szCs w:val="20"/>
                <w:color w:val="auto"/>
              </w:rPr>
            </w:pPr>
            <w:r>
              <w:rPr>
                <w:rFonts w:ascii="Arial" w:cs="Arial" w:eastAsia="Arial" w:hAnsi="Arial"/>
                <w:sz w:val="17"/>
                <w:szCs w:val="17"/>
                <w:color w:val="auto"/>
              </w:rPr>
              <w:t>Lisa A. Morrison</w:t>
            </w:r>
          </w:p>
        </w:tc>
      </w:tr>
      <w:tr>
        <w:trPr>
          <w:trHeight w:val="222"/>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00" w:type="dxa"/>
            <w:vAlign w:val="bottom"/>
          </w:tcPr>
          <w:p>
            <w:pPr>
              <w:ind w:left="60"/>
              <w:spacing w:after="0"/>
              <w:rPr>
                <w:sz w:val="20"/>
                <w:szCs w:val="20"/>
                <w:color w:val="auto"/>
              </w:rPr>
            </w:pPr>
            <w:r>
              <w:rPr>
                <w:rFonts w:ascii="Arial" w:cs="Arial" w:eastAsia="Arial" w:hAnsi="Arial"/>
                <w:sz w:val="17"/>
                <w:szCs w:val="17"/>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20" w:right="20"/>
        <w:spacing w:after="0" w:line="288" w:lineRule="auto"/>
        <w:rPr>
          <w:sz w:val="20"/>
          <w:szCs w:val="20"/>
          <w:color w:val="auto"/>
        </w:rPr>
      </w:pPr>
      <w:r>
        <w:rPr>
          <w:rFonts w:ascii="Arial" w:cs="Arial" w:eastAsia="Arial" w:hAnsi="Arial"/>
          <w:sz w:val="17"/>
          <w:szCs w:val="17"/>
          <w:b w:val="1"/>
          <w:bCs w:val="1"/>
          <w:color w:val="auto"/>
        </w:rPr>
        <w:t>CANADIAN ADMINISTRATIVE AGENT, CANADIAN LENDER, ISSUING BANK AND CANADIAN SWINGLINE LENDER:</w:t>
      </w:r>
    </w:p>
    <w:p>
      <w:pPr>
        <w:spacing w:after="0" w:line="323" w:lineRule="exact"/>
        <w:rPr>
          <w:sz w:val="20"/>
          <w:szCs w:val="20"/>
          <w:color w:val="auto"/>
        </w:rPr>
      </w:pPr>
    </w:p>
    <w:p>
      <w:pPr>
        <w:ind w:left="2220"/>
        <w:spacing w:after="0" w:line="280" w:lineRule="auto"/>
        <w:rPr>
          <w:sz w:val="20"/>
          <w:szCs w:val="20"/>
          <w:color w:val="auto"/>
        </w:rPr>
      </w:pPr>
      <w:r>
        <w:rPr>
          <w:rFonts w:ascii="Arial" w:cs="Arial" w:eastAsia="Arial" w:hAnsi="Arial"/>
          <w:sz w:val="17"/>
          <w:szCs w:val="17"/>
          <w:color w:val="auto"/>
        </w:rPr>
        <w:t>JPMORGAN CHASE BANK, N.A. TORONTO BRANCH, individually, as a Canadian Lender, Canadian Administrative Agent, Issuing Bank and Canadian Swingline Lender</w:t>
      </w:r>
    </w:p>
    <w:p>
      <w:pPr>
        <w:spacing w:after="0" w:line="316"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Auggie Marchetti</w:t>
            </w:r>
          </w:p>
        </w:tc>
      </w:tr>
      <w:tr>
        <w:trPr>
          <w:trHeight w:val="204"/>
        </w:trPr>
        <w:tc>
          <w:tcPr>
            <w:tcW w:w="2620" w:type="dxa"/>
            <w:vAlign w:val="bottom"/>
            <w:gridSpan w:val="3"/>
          </w:tcPr>
          <w:p>
            <w:pPr>
              <w:spacing w:after="0"/>
              <w:rPr>
                <w:sz w:val="20"/>
                <w:szCs w:val="20"/>
                <w:color w:val="auto"/>
              </w:rPr>
            </w:pPr>
            <w:r>
              <w:rPr>
                <w:rFonts w:ascii="Arial" w:cs="Arial" w:eastAsia="Arial" w:hAnsi="Arial"/>
                <w:sz w:val="17"/>
                <w:szCs w:val="17"/>
                <w:color w:val="auto"/>
              </w:rPr>
              <w:t>Name: Auggie Marchetti</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40" w:type="dxa"/>
            <w:vAlign w:val="bottom"/>
          </w:tcPr>
          <w:p>
            <w:pPr>
              <w:ind w:left="120"/>
              <w:spacing w:after="0"/>
              <w:rPr>
                <w:sz w:val="20"/>
                <w:szCs w:val="20"/>
                <w:color w:val="auto"/>
              </w:rPr>
            </w:pPr>
            <w:r>
              <w:rPr>
                <w:rFonts w:ascii="Arial" w:cs="Arial" w:eastAsia="Arial" w:hAnsi="Arial"/>
                <w:sz w:val="17"/>
                <w:szCs w:val="17"/>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BANK OF AMERICA, N.A,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 and Issuing Bank</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William J. Wilson</w:t>
            </w:r>
          </w:p>
        </w:tc>
      </w:tr>
      <w:tr>
        <w:trPr>
          <w:trHeight w:val="204"/>
        </w:trPr>
        <w:tc>
          <w:tcPr>
            <w:tcW w:w="2600" w:type="dxa"/>
            <w:vAlign w:val="bottom"/>
            <w:gridSpan w:val="3"/>
          </w:tcPr>
          <w:p>
            <w:pPr>
              <w:spacing w:after="0"/>
              <w:rPr>
                <w:sz w:val="20"/>
                <w:szCs w:val="20"/>
                <w:color w:val="auto"/>
              </w:rPr>
            </w:pPr>
            <w:r>
              <w:rPr>
                <w:rFonts w:ascii="Arial" w:cs="Arial" w:eastAsia="Arial" w:hAnsi="Arial"/>
                <w:sz w:val="17"/>
                <w:szCs w:val="17"/>
                <w:color w:val="auto"/>
              </w:rPr>
              <w:t>Name: William J. Wilson</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20" w:type="dxa"/>
            <w:vAlign w:val="bottom"/>
          </w:tcPr>
          <w:p>
            <w:pPr>
              <w:ind w:left="120"/>
              <w:spacing w:after="0"/>
              <w:rPr>
                <w:sz w:val="20"/>
                <w:szCs w:val="20"/>
                <w:color w:val="auto"/>
              </w:rPr>
            </w:pPr>
            <w:r>
              <w:rPr>
                <w:rFonts w:ascii="Arial" w:cs="Arial" w:eastAsia="Arial" w:hAnsi="Arial"/>
                <w:sz w:val="17"/>
                <w:szCs w:val="17"/>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BANK OF AMERICA, N.A.,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(acting through its Canada Branch)</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Canadian Lender</w:t>
      </w:r>
    </w:p>
    <w:p>
      <w:pPr>
        <w:spacing w:after="0" w:line="384"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Sylwia Durkiewicz</w:t>
            </w:r>
          </w:p>
        </w:tc>
      </w:tr>
      <w:tr>
        <w:trPr>
          <w:trHeight w:val="204"/>
        </w:trPr>
        <w:tc>
          <w:tcPr>
            <w:tcW w:w="2680" w:type="dxa"/>
            <w:vAlign w:val="bottom"/>
            <w:gridSpan w:val="3"/>
          </w:tcPr>
          <w:p>
            <w:pPr>
              <w:spacing w:after="0"/>
              <w:rPr>
                <w:sz w:val="20"/>
                <w:szCs w:val="20"/>
                <w:color w:val="auto"/>
              </w:rPr>
            </w:pPr>
            <w:r>
              <w:rPr>
                <w:rFonts w:ascii="Arial" w:cs="Arial" w:eastAsia="Arial" w:hAnsi="Arial"/>
                <w:sz w:val="17"/>
                <w:szCs w:val="17"/>
                <w:color w:val="auto"/>
              </w:rPr>
              <w:t>Name: Slywia Durkiewicz</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20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36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Address: 181 Bay Street</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Bank of America, N.A.</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Toronto, Ontario</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M5J 2V8</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Facsimile: (312) 453.4041</w:t>
      </w:r>
    </w:p>
    <w:p>
      <w:pPr>
        <w:spacing w:after="0" w:line="200" w:lineRule="exact"/>
        <w:rPr>
          <w:sz w:val="20"/>
          <w:szCs w:val="20"/>
          <w:color w:val="auto"/>
        </w:rPr>
      </w:pPr>
    </w:p>
    <w:p>
      <w:pPr>
        <w:spacing w:after="0" w:line="37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PNC BANK, N.A,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David B. Thayer</w:t>
            </w:r>
          </w:p>
        </w:tc>
      </w:tr>
      <w:tr>
        <w:trPr>
          <w:trHeight w:val="204"/>
        </w:trPr>
        <w:tc>
          <w:tcPr>
            <w:tcW w:w="2320" w:type="dxa"/>
            <w:vAlign w:val="bottom"/>
            <w:gridSpan w:val="3"/>
          </w:tcPr>
          <w:p>
            <w:pPr>
              <w:spacing w:after="0"/>
              <w:rPr>
                <w:sz w:val="20"/>
                <w:szCs w:val="20"/>
                <w:color w:val="auto"/>
              </w:rPr>
            </w:pPr>
            <w:r>
              <w:rPr>
                <w:rFonts w:ascii="Arial" w:cs="Arial" w:eastAsia="Arial" w:hAnsi="Arial"/>
                <w:sz w:val="17"/>
                <w:szCs w:val="17"/>
                <w:color w:val="auto"/>
              </w:rPr>
              <w:t>Name: David B. Thayer</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4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PNC BANK CANADA BRANCH</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Canadian Lender</w:t>
      </w:r>
    </w:p>
    <w:p>
      <w:pPr>
        <w:sectPr>
          <w:pgSz w:w="11900" w:h="16838" w:orient="portrait"/>
          <w:cols w:equalWidth="0" w:num="1">
            <w:col w:w="10240"/>
          </w:cols>
          <w:pgMar w:left="1440" w:top="184" w:right="219" w:bottom="368" w:gutter="0" w:footer="0" w:header="0"/>
        </w:sectPr>
      </w:pPr>
    </w:p>
    <w:bookmarkStart w:id="80" w:name="page81"/>
    <w:bookmarkEnd w:id="80"/>
    <w:p>
      <w:pPr>
        <w:spacing w:after="0" w:line="28"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Peter Mardaga</w:t>
            </w:r>
          </w:p>
        </w:tc>
        <w:tc>
          <w:tcPr>
            <w:tcW w:w="360" w:type="dxa"/>
            <w:vAlign w:val="bottom"/>
          </w:tcPr>
          <w:p>
            <w:pPr>
              <w:spacing w:after="0"/>
              <w:rPr>
                <w:sz w:val="16"/>
                <w:szCs w:val="16"/>
                <w:color w:val="auto"/>
              </w:rPr>
            </w:pPr>
          </w:p>
        </w:tc>
      </w:tr>
      <w:tr>
        <w:trPr>
          <w:trHeight w:val="204"/>
        </w:trPr>
        <w:tc>
          <w:tcPr>
            <w:tcW w:w="2360" w:type="dxa"/>
            <w:vAlign w:val="bottom"/>
            <w:gridSpan w:val="4"/>
          </w:tcPr>
          <w:p>
            <w:pPr>
              <w:spacing w:after="0"/>
              <w:rPr>
                <w:sz w:val="20"/>
                <w:szCs w:val="20"/>
                <w:color w:val="auto"/>
              </w:rPr>
            </w:pPr>
            <w:r>
              <w:rPr>
                <w:rFonts w:ascii="Arial" w:cs="Arial" w:eastAsia="Arial" w:hAnsi="Arial"/>
                <w:sz w:val="17"/>
                <w:szCs w:val="17"/>
                <w:color w:val="auto"/>
              </w:rPr>
              <w:t>Name: Peter Mardaga</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80" w:type="dxa"/>
            <w:vAlign w:val="bottom"/>
            <w:gridSpan w:val="2"/>
          </w:tcPr>
          <w:p>
            <w:pPr>
              <w:ind w:left="120"/>
              <w:spacing w:after="0"/>
              <w:rPr>
                <w:sz w:val="20"/>
                <w:szCs w:val="20"/>
                <w:color w:val="auto"/>
              </w:rPr>
            </w:pPr>
            <w:r>
              <w:rPr>
                <w:rFonts w:ascii="Arial" w:cs="Arial" w:eastAsia="Arial" w:hAnsi="Arial"/>
                <w:sz w:val="17"/>
                <w:szCs w:val="17"/>
                <w:color w:val="auto"/>
                <w:w w:val="92"/>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WELLS FARGO BANK, NATIONAL ASSOCIATION,</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Michael P. Henry</w:t>
            </w:r>
          </w:p>
        </w:tc>
        <w:tc>
          <w:tcPr>
            <w:tcW w:w="120" w:type="dxa"/>
            <w:vAlign w:val="bottom"/>
          </w:tcPr>
          <w:p>
            <w:pPr>
              <w:spacing w:after="0"/>
              <w:rPr>
                <w:sz w:val="16"/>
                <w:szCs w:val="16"/>
                <w:color w:val="auto"/>
              </w:rPr>
            </w:pPr>
          </w:p>
        </w:tc>
      </w:tr>
      <w:tr>
        <w:trPr>
          <w:trHeight w:val="204"/>
        </w:trPr>
        <w:tc>
          <w:tcPr>
            <w:tcW w:w="2500" w:type="dxa"/>
            <w:vAlign w:val="bottom"/>
            <w:gridSpan w:val="4"/>
          </w:tcPr>
          <w:p>
            <w:pPr>
              <w:spacing w:after="0"/>
              <w:rPr>
                <w:sz w:val="20"/>
                <w:szCs w:val="20"/>
                <w:color w:val="auto"/>
              </w:rPr>
            </w:pPr>
            <w:r>
              <w:rPr>
                <w:rFonts w:ascii="Arial" w:cs="Arial" w:eastAsia="Arial" w:hAnsi="Arial"/>
                <w:sz w:val="17"/>
                <w:szCs w:val="17"/>
                <w:color w:val="auto"/>
              </w:rPr>
              <w:t>Name: Michael P. Henry</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20" w:type="dxa"/>
            <w:vAlign w:val="bottom"/>
            <w:gridSpan w:val="2"/>
          </w:tcPr>
          <w:p>
            <w:pPr>
              <w:ind w:left="120"/>
              <w:spacing w:after="0"/>
              <w:rPr>
                <w:sz w:val="20"/>
                <w:szCs w:val="20"/>
                <w:color w:val="auto"/>
              </w:rPr>
            </w:pPr>
            <w:r>
              <w:rPr>
                <w:rFonts w:ascii="Arial" w:cs="Arial" w:eastAsia="Arial" w:hAnsi="Arial"/>
                <w:sz w:val="17"/>
                <w:szCs w:val="17"/>
                <w:color w:val="auto"/>
                <w:w w:val="95"/>
              </w:rPr>
              <w:t>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right="1959"/>
        <w:spacing w:after="0" w:line="280" w:lineRule="auto"/>
        <w:rPr>
          <w:sz w:val="20"/>
          <w:szCs w:val="20"/>
          <w:color w:val="auto"/>
        </w:rPr>
      </w:pPr>
      <w:r>
        <w:rPr>
          <w:rFonts w:ascii="Arial" w:cs="Arial" w:eastAsia="Arial" w:hAnsi="Arial"/>
          <w:sz w:val="17"/>
          <w:szCs w:val="17"/>
          <w:color w:val="auto"/>
        </w:rPr>
        <w:t>WELLS FARGO CAPITAL FINANCE CORPORATION CANADA as a Canadian Lender</w:t>
      </w:r>
    </w:p>
    <w:p>
      <w:pPr>
        <w:spacing w:after="0" w:line="200" w:lineRule="exact"/>
        <w:rPr>
          <w:sz w:val="20"/>
          <w:szCs w:val="20"/>
          <w:color w:val="auto"/>
        </w:rPr>
      </w:pPr>
    </w:p>
    <w:p>
      <w:pPr>
        <w:spacing w:after="0" w:line="343"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David G. Phillips</w:t>
            </w:r>
          </w:p>
        </w:tc>
      </w:tr>
      <w:tr>
        <w:trPr>
          <w:trHeight w:val="204"/>
        </w:trPr>
        <w:tc>
          <w:tcPr>
            <w:tcW w:w="2560" w:type="dxa"/>
            <w:vAlign w:val="bottom"/>
            <w:gridSpan w:val="3"/>
          </w:tcPr>
          <w:p>
            <w:pPr>
              <w:spacing w:after="0"/>
              <w:rPr>
                <w:sz w:val="20"/>
                <w:szCs w:val="20"/>
                <w:color w:val="auto"/>
              </w:rPr>
            </w:pPr>
            <w:r>
              <w:rPr>
                <w:rFonts w:ascii="Arial" w:cs="Arial" w:eastAsia="Arial" w:hAnsi="Arial"/>
                <w:sz w:val="17"/>
                <w:szCs w:val="17"/>
                <w:color w:val="auto"/>
              </w:rPr>
              <w:t>Name: David G. Phillips</w:t>
            </w:r>
          </w:p>
        </w:tc>
      </w:tr>
      <w:tr>
        <w:trPr>
          <w:trHeight w:val="217"/>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80" w:type="dxa"/>
            <w:vAlign w:val="bottom"/>
          </w:tcPr>
          <w:p>
            <w:pPr>
              <w:ind w:left="120"/>
              <w:spacing w:after="0"/>
              <w:rPr>
                <w:sz w:val="20"/>
                <w:szCs w:val="20"/>
                <w:color w:val="auto"/>
              </w:rPr>
            </w:pPr>
            <w:r>
              <w:rPr>
                <w:rFonts w:ascii="Arial" w:cs="Arial" w:eastAsia="Arial" w:hAnsi="Arial"/>
                <w:sz w:val="17"/>
                <w:szCs w:val="17"/>
                <w:color w:val="auto"/>
              </w:rPr>
              <w:t>Senior Vice President</w:t>
            </w:r>
          </w:p>
        </w:tc>
      </w:tr>
    </w:tbl>
    <w:p>
      <w:pPr>
        <w:ind w:left="3020"/>
        <w:spacing w:after="0"/>
        <w:rPr>
          <w:sz w:val="20"/>
          <w:szCs w:val="20"/>
          <w:color w:val="auto"/>
        </w:rPr>
      </w:pPr>
      <w:r>
        <w:rPr>
          <w:rFonts w:ascii="Arial" w:cs="Arial" w:eastAsia="Arial" w:hAnsi="Arial"/>
          <w:sz w:val="17"/>
          <w:szCs w:val="17"/>
          <w:color w:val="auto"/>
        </w:rPr>
        <w:t>Credit Officer, Canada</w:t>
      </w:r>
    </w:p>
    <w:p>
      <w:pPr>
        <w:spacing w:after="0" w:line="7"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Wells Fargo Capital Finance</w:t>
      </w:r>
    </w:p>
    <w:p>
      <w:pPr>
        <w:spacing w:after="0" w:line="7"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Corporation Canada</w:t>
      </w:r>
    </w:p>
    <w:p>
      <w:pPr>
        <w:spacing w:after="0" w:line="200" w:lineRule="exact"/>
        <w:rPr>
          <w:sz w:val="20"/>
          <w:szCs w:val="20"/>
          <w:color w:val="auto"/>
        </w:rPr>
      </w:pPr>
    </w:p>
    <w:p>
      <w:pPr>
        <w:spacing w:after="0" w:line="37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U.S. BANK NATIONAL ASSOCIATION</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William Patton</w:t>
            </w:r>
          </w:p>
        </w:tc>
      </w:tr>
      <w:tr>
        <w:trPr>
          <w:trHeight w:val="204"/>
        </w:trPr>
        <w:tc>
          <w:tcPr>
            <w:tcW w:w="2400" w:type="dxa"/>
            <w:vAlign w:val="bottom"/>
            <w:gridSpan w:val="3"/>
          </w:tcPr>
          <w:p>
            <w:pPr>
              <w:spacing w:after="0"/>
              <w:rPr>
                <w:sz w:val="20"/>
                <w:szCs w:val="20"/>
                <w:color w:val="auto"/>
              </w:rPr>
            </w:pPr>
            <w:r>
              <w:rPr>
                <w:rFonts w:ascii="Arial" w:cs="Arial" w:eastAsia="Arial" w:hAnsi="Arial"/>
                <w:sz w:val="17"/>
                <w:szCs w:val="17"/>
                <w:color w:val="auto"/>
              </w:rPr>
              <w:t>Name: William Patton</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92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U.S. Bank National Association, acting through its Canadian Branch, as a Canadian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John P. Rehob</w:t>
            </w:r>
          </w:p>
        </w:tc>
        <w:tc>
          <w:tcPr>
            <w:tcW w:w="680" w:type="dxa"/>
            <w:vAlign w:val="bottom"/>
          </w:tcPr>
          <w:p>
            <w:pPr>
              <w:spacing w:after="0"/>
              <w:rPr>
                <w:sz w:val="16"/>
                <w:szCs w:val="16"/>
                <w:color w:val="auto"/>
              </w:rPr>
            </w:pPr>
          </w:p>
        </w:tc>
      </w:tr>
      <w:tr>
        <w:trPr>
          <w:trHeight w:val="204"/>
        </w:trPr>
        <w:tc>
          <w:tcPr>
            <w:tcW w:w="3000" w:type="dxa"/>
            <w:vAlign w:val="bottom"/>
            <w:gridSpan w:val="4"/>
          </w:tcPr>
          <w:p>
            <w:pPr>
              <w:spacing w:after="0"/>
              <w:rPr>
                <w:sz w:val="20"/>
                <w:szCs w:val="20"/>
                <w:color w:val="auto"/>
              </w:rPr>
            </w:pPr>
            <w:r>
              <w:rPr>
                <w:rFonts w:ascii="Arial" w:cs="Arial" w:eastAsia="Arial" w:hAnsi="Arial"/>
                <w:sz w:val="17"/>
                <w:szCs w:val="17"/>
                <w:color w:val="auto"/>
              </w:rPr>
              <w:t>Name: John P. Rehob</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w w:val="95"/>
              </w:rPr>
              <w:t>Vice President &amp; Principal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CITIZENS BUSINESS CAPITAL,</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 DIVISION OF CITIZENS ASSET FINANCE, INC.,</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 and as a Canadian Lender</w:t>
      </w:r>
    </w:p>
    <w:p>
      <w:pPr>
        <w:spacing w:after="0" w:line="384"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Don Cmar</w:t>
            </w:r>
          </w:p>
        </w:tc>
      </w:tr>
      <w:tr>
        <w:trPr>
          <w:trHeight w:val="204"/>
        </w:trPr>
        <w:tc>
          <w:tcPr>
            <w:tcW w:w="1900" w:type="dxa"/>
            <w:vAlign w:val="bottom"/>
            <w:gridSpan w:val="3"/>
          </w:tcPr>
          <w:p>
            <w:pPr>
              <w:spacing w:after="0"/>
              <w:rPr>
                <w:sz w:val="20"/>
                <w:szCs w:val="20"/>
                <w:color w:val="auto"/>
              </w:rPr>
            </w:pPr>
            <w:r>
              <w:rPr>
                <w:rFonts w:ascii="Arial" w:cs="Arial" w:eastAsia="Arial" w:hAnsi="Arial"/>
                <w:sz w:val="17"/>
                <w:szCs w:val="17"/>
                <w:color w:val="auto"/>
              </w:rPr>
              <w:t>Name: Don Cmar</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42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ectPr>
          <w:pgSz w:w="11900" w:h="16866" w:orient="portrait"/>
          <w:cols w:equalWidth="0" w:num="1">
            <w:col w:w="9019"/>
          </w:cols>
          <w:pgMar w:left="14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ectPr>
          <w:pgSz w:w="11900" w:h="16866" w:orient="portrait"/>
          <w:cols w:equalWidth="0" w:num="1">
            <w:col w:w="9019"/>
          </w:cols>
          <w:pgMar w:left="1440" w:top="111" w:right="1440" w:bottom="0" w:gutter="0" w:footer="0" w:header="0"/>
          <w:type w:val="continuous"/>
        </w:sectPr>
      </w:pPr>
    </w:p>
    <w:bookmarkStart w:id="81" w:name="page82"/>
    <w:bookmarkEnd w:id="81"/>
    <w:p>
      <w:pPr>
        <w:ind w:left="2220"/>
        <w:spacing w:after="0"/>
        <w:rPr>
          <w:sz w:val="20"/>
          <w:szCs w:val="20"/>
          <w:color w:val="auto"/>
        </w:rPr>
      </w:pPr>
      <w:r>
        <w:rPr>
          <w:rFonts w:ascii="Arial" w:cs="Arial" w:eastAsia="Arial" w:hAnsi="Arial"/>
          <w:sz w:val="17"/>
          <w:szCs w:val="17"/>
          <w:color w:val="auto"/>
        </w:rPr>
        <w:t>TD BANK, N.A,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as a U.S. Lender and as a Canadian Lender</w:t>
      </w:r>
    </w:p>
    <w:p>
      <w:pPr>
        <w:spacing w:after="0" w:line="200" w:lineRule="exact"/>
        <w:rPr>
          <w:sz w:val="20"/>
          <w:szCs w:val="20"/>
          <w:color w:val="auto"/>
        </w:rPr>
      </w:pPr>
    </w:p>
    <w:p>
      <w:pPr>
        <w:spacing w:after="0" w:line="398"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Jeffrey Saperstein</w:t>
            </w:r>
          </w:p>
        </w:tc>
      </w:tr>
      <w:tr>
        <w:trPr>
          <w:trHeight w:val="204"/>
        </w:trPr>
        <w:tc>
          <w:tcPr>
            <w:tcW w:w="2420" w:type="dxa"/>
            <w:vAlign w:val="bottom"/>
            <w:gridSpan w:val="3"/>
          </w:tcPr>
          <w:p>
            <w:pPr>
              <w:spacing w:after="0"/>
              <w:rPr>
                <w:sz w:val="20"/>
                <w:szCs w:val="20"/>
                <w:color w:val="auto"/>
              </w:rPr>
            </w:pPr>
            <w:r>
              <w:rPr>
                <w:rFonts w:ascii="Arial" w:cs="Arial" w:eastAsia="Arial" w:hAnsi="Arial"/>
                <w:sz w:val="17"/>
                <w:szCs w:val="17"/>
                <w:color w:val="auto"/>
              </w:rPr>
              <w:t>Name: Jeffrey Saperstein</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94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BARCLAYS BANK PLC,</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 and a Canadian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Ronnie Glenn</w:t>
            </w:r>
          </w:p>
        </w:tc>
      </w:tr>
      <w:tr>
        <w:trPr>
          <w:trHeight w:val="204"/>
        </w:trPr>
        <w:tc>
          <w:tcPr>
            <w:tcW w:w="2140" w:type="dxa"/>
            <w:vAlign w:val="bottom"/>
            <w:gridSpan w:val="3"/>
          </w:tcPr>
          <w:p>
            <w:pPr>
              <w:spacing w:after="0"/>
              <w:rPr>
                <w:sz w:val="20"/>
                <w:szCs w:val="20"/>
                <w:color w:val="auto"/>
              </w:rPr>
            </w:pPr>
            <w:r>
              <w:rPr>
                <w:rFonts w:ascii="Arial" w:cs="Arial" w:eastAsia="Arial" w:hAnsi="Arial"/>
                <w:sz w:val="17"/>
                <w:szCs w:val="17"/>
                <w:color w:val="auto"/>
              </w:rPr>
              <w:t>Name: Ronnie Glenn</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66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CREDIT SUISSE AG, Cayman Islands Branch</w:t>
      </w:r>
    </w:p>
    <w:p>
      <w:pPr>
        <w:spacing w:after="0" w:line="33"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 and a Canadian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Doreen Barr</w:t>
            </w:r>
          </w:p>
        </w:tc>
      </w:tr>
      <w:tr>
        <w:trPr>
          <w:trHeight w:val="204"/>
        </w:trPr>
        <w:tc>
          <w:tcPr>
            <w:tcW w:w="2200" w:type="dxa"/>
            <w:vAlign w:val="bottom"/>
            <w:gridSpan w:val="3"/>
          </w:tcPr>
          <w:p>
            <w:pPr>
              <w:spacing w:after="0"/>
              <w:rPr>
                <w:sz w:val="20"/>
                <w:szCs w:val="20"/>
                <w:color w:val="auto"/>
              </w:rPr>
            </w:pPr>
            <w:r>
              <w:rPr>
                <w:rFonts w:ascii="Arial" w:cs="Arial" w:eastAsia="Arial" w:hAnsi="Arial"/>
                <w:sz w:val="17"/>
                <w:szCs w:val="17"/>
                <w:color w:val="auto"/>
              </w:rPr>
              <w:t>Name: Doreen Barr</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720" w:type="dxa"/>
            <w:vAlign w:val="bottom"/>
          </w:tcPr>
          <w:p>
            <w:pPr>
              <w:ind w:left="120"/>
              <w:spacing w:after="0"/>
              <w:rPr>
                <w:sz w:val="20"/>
                <w:szCs w:val="20"/>
                <w:color w:val="auto"/>
              </w:rPr>
            </w:pPr>
            <w:r>
              <w:rPr>
                <w:rFonts w:ascii="Arial" w:cs="Arial" w:eastAsia="Arial" w:hAnsi="Arial"/>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Gregory Fantoni</w:t>
            </w:r>
          </w:p>
        </w:tc>
      </w:tr>
      <w:tr>
        <w:trPr>
          <w:trHeight w:val="204"/>
        </w:trPr>
        <w:tc>
          <w:tcPr>
            <w:tcW w:w="540" w:type="dxa"/>
            <w:vAlign w:val="bottom"/>
            <w:gridSpan w:val="2"/>
          </w:tcPr>
          <w:p>
            <w:pPr>
              <w:spacing w:after="0"/>
              <w:rPr>
                <w:sz w:val="20"/>
                <w:szCs w:val="20"/>
                <w:color w:val="auto"/>
              </w:rPr>
            </w:pPr>
            <w:r>
              <w:rPr>
                <w:rFonts w:ascii="Arial" w:cs="Arial" w:eastAsia="Arial" w:hAnsi="Arial"/>
                <w:sz w:val="17"/>
                <w:szCs w:val="17"/>
                <w:color w:val="auto"/>
              </w:rPr>
              <w:t>Name:</w:t>
            </w:r>
          </w:p>
        </w:tc>
        <w:tc>
          <w:tcPr>
            <w:tcW w:w="2000" w:type="dxa"/>
            <w:vAlign w:val="bottom"/>
          </w:tcPr>
          <w:p>
            <w:pPr>
              <w:ind w:left="160"/>
              <w:spacing w:after="0"/>
              <w:rPr>
                <w:sz w:val="20"/>
                <w:szCs w:val="20"/>
                <w:color w:val="auto"/>
              </w:rPr>
            </w:pPr>
            <w:r>
              <w:rPr>
                <w:rFonts w:ascii="Arial" w:cs="Arial" w:eastAsia="Arial" w:hAnsi="Arial"/>
                <w:sz w:val="17"/>
                <w:szCs w:val="17"/>
                <w:color w:val="auto"/>
              </w:rPr>
              <w:t>Gregory Fantoni</w:t>
            </w:r>
          </w:p>
        </w:tc>
      </w:tr>
      <w:tr>
        <w:trPr>
          <w:trHeight w:val="222"/>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00" w:type="dxa"/>
            <w:vAlign w:val="bottom"/>
          </w:tcPr>
          <w:p>
            <w:pPr>
              <w:ind w:left="60"/>
              <w:spacing w:after="0"/>
              <w:rPr>
                <w:sz w:val="20"/>
                <w:szCs w:val="20"/>
                <w:color w:val="auto"/>
              </w:rPr>
            </w:pPr>
            <w:r>
              <w:rPr>
                <w:rFonts w:ascii="Arial" w:cs="Arial" w:eastAsia="Arial" w:hAnsi="Arial"/>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FIFTH THIRD BANK,</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Martin H. McGinty</w:t>
            </w:r>
          </w:p>
        </w:tc>
      </w:tr>
      <w:tr>
        <w:trPr>
          <w:trHeight w:val="204"/>
        </w:trPr>
        <w:tc>
          <w:tcPr>
            <w:tcW w:w="2520" w:type="dxa"/>
            <w:vAlign w:val="bottom"/>
            <w:gridSpan w:val="3"/>
          </w:tcPr>
          <w:p>
            <w:pPr>
              <w:spacing w:after="0"/>
              <w:rPr>
                <w:sz w:val="20"/>
                <w:szCs w:val="20"/>
                <w:color w:val="auto"/>
              </w:rPr>
            </w:pPr>
            <w:r>
              <w:rPr>
                <w:rFonts w:ascii="Arial" w:cs="Arial" w:eastAsia="Arial" w:hAnsi="Arial"/>
                <w:sz w:val="17"/>
                <w:szCs w:val="17"/>
                <w:color w:val="auto"/>
              </w:rPr>
              <w:t>Name: Martin H. McGinty</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04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FIFTH THIRD BANK,</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operating through its Canadian Branch,</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Canadian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Ramin Ganjavi</w:t>
            </w:r>
          </w:p>
        </w:tc>
      </w:tr>
      <w:tr>
        <w:trPr>
          <w:trHeight w:val="204"/>
        </w:trPr>
        <w:tc>
          <w:tcPr>
            <w:tcW w:w="540" w:type="dxa"/>
            <w:vAlign w:val="bottom"/>
            <w:gridSpan w:val="2"/>
          </w:tcPr>
          <w:p>
            <w:pPr>
              <w:spacing w:after="0"/>
              <w:rPr>
                <w:sz w:val="20"/>
                <w:szCs w:val="20"/>
                <w:color w:val="auto"/>
              </w:rPr>
            </w:pPr>
            <w:r>
              <w:rPr>
                <w:rFonts w:ascii="Arial" w:cs="Arial" w:eastAsia="Arial" w:hAnsi="Arial"/>
                <w:sz w:val="17"/>
                <w:szCs w:val="17"/>
                <w:color w:val="auto"/>
              </w:rPr>
              <w:t>Name:</w:t>
            </w:r>
          </w:p>
        </w:tc>
        <w:tc>
          <w:tcPr>
            <w:tcW w:w="1860" w:type="dxa"/>
            <w:vAlign w:val="bottom"/>
          </w:tcPr>
          <w:p>
            <w:pPr>
              <w:ind w:left="200"/>
              <w:spacing w:after="0"/>
              <w:rPr>
                <w:sz w:val="20"/>
                <w:szCs w:val="20"/>
                <w:color w:val="auto"/>
              </w:rPr>
            </w:pPr>
            <w:r>
              <w:rPr>
                <w:rFonts w:ascii="Arial" w:cs="Arial" w:eastAsia="Arial" w:hAnsi="Arial"/>
                <w:sz w:val="17"/>
                <w:szCs w:val="17"/>
                <w:color w:val="auto"/>
              </w:rPr>
              <w:t>Ramin Ganjavi</w:t>
            </w:r>
          </w:p>
        </w:tc>
      </w:tr>
      <w:tr>
        <w:trPr>
          <w:trHeight w:val="222"/>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60" w:type="dxa"/>
            <w:vAlign w:val="bottom"/>
          </w:tcPr>
          <w:p>
            <w:pPr>
              <w:ind w:left="60"/>
              <w:spacing w:after="0"/>
              <w:rPr>
                <w:sz w:val="20"/>
                <w:szCs w:val="20"/>
                <w:color w:val="auto"/>
              </w:rPr>
            </w:pPr>
            <w:r>
              <w:rPr>
                <w:rFonts w:ascii="Arial" w:cs="Arial" w:eastAsia="Arial" w:hAnsi="Arial"/>
                <w:sz w:val="17"/>
                <w:szCs w:val="17"/>
                <w:color w:val="auto"/>
              </w:rPr>
              <w:t>Director</w:t>
            </w:r>
          </w:p>
        </w:tc>
      </w:tr>
    </w:tbl>
    <w:p>
      <w:pPr>
        <w:sectPr>
          <w:pgSz w:w="11900" w:h="16838" w:orient="portrait"/>
          <w:cols w:equalWidth="0" w:num="1">
            <w:col w:w="9019"/>
          </w:cols>
          <w:pgMar w:left="1440" w:top="327" w:right="1440" w:bottom="749" w:gutter="0" w:footer="0" w:header="0"/>
        </w:sectPr>
      </w:pPr>
    </w:p>
    <w:bookmarkStart w:id="82" w:name="page83"/>
    <w:bookmarkEnd w:id="82"/>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GOLDMAN SACHS BANK USA,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 and a Canadian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Rebecca Kratz</w:t>
            </w:r>
          </w:p>
        </w:tc>
      </w:tr>
      <w:tr>
        <w:trPr>
          <w:trHeight w:val="204"/>
        </w:trPr>
        <w:tc>
          <w:tcPr>
            <w:tcW w:w="2360" w:type="dxa"/>
            <w:vAlign w:val="bottom"/>
            <w:gridSpan w:val="3"/>
          </w:tcPr>
          <w:p>
            <w:pPr>
              <w:spacing w:after="0"/>
              <w:rPr>
                <w:sz w:val="20"/>
                <w:szCs w:val="20"/>
                <w:color w:val="auto"/>
              </w:rPr>
            </w:pPr>
            <w:r>
              <w:rPr>
                <w:rFonts w:ascii="Arial" w:cs="Arial" w:eastAsia="Arial" w:hAnsi="Arial"/>
                <w:sz w:val="17"/>
                <w:szCs w:val="17"/>
                <w:color w:val="auto"/>
              </w:rPr>
              <w:t>Name: Rebecca Kratz</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80" w:type="dxa"/>
            <w:vAlign w:val="bottom"/>
          </w:tcPr>
          <w:p>
            <w:pPr>
              <w:ind w:left="120"/>
              <w:spacing w:after="0"/>
              <w:rPr>
                <w:sz w:val="20"/>
                <w:szCs w:val="20"/>
                <w:color w:val="auto"/>
              </w:rPr>
            </w:pPr>
            <w:r>
              <w:rPr>
                <w:rFonts w:ascii="Arial" w:cs="Arial" w:eastAsia="Arial" w:hAnsi="Arial"/>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HSBC BANK USA, NATIONAL ASSOCIATION,</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as a U.S. Lender, as a Canadian Lender and as Issuing Bank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Ross Graney</w:t>
            </w:r>
          </w:p>
        </w:tc>
        <w:tc>
          <w:tcPr>
            <w:tcW w:w="60" w:type="dxa"/>
            <w:vAlign w:val="bottom"/>
          </w:tcPr>
          <w:p>
            <w:pPr>
              <w:spacing w:after="0"/>
              <w:rPr>
                <w:sz w:val="16"/>
                <w:szCs w:val="16"/>
                <w:color w:val="auto"/>
              </w:rPr>
            </w:pPr>
          </w:p>
        </w:tc>
      </w:tr>
      <w:tr>
        <w:trPr>
          <w:trHeight w:val="204"/>
        </w:trPr>
        <w:tc>
          <w:tcPr>
            <w:tcW w:w="2300" w:type="dxa"/>
            <w:vAlign w:val="bottom"/>
            <w:gridSpan w:val="4"/>
          </w:tcPr>
          <w:p>
            <w:pPr>
              <w:spacing w:after="0"/>
              <w:rPr>
                <w:sz w:val="20"/>
                <w:szCs w:val="20"/>
                <w:color w:val="auto"/>
              </w:rPr>
            </w:pPr>
            <w:r>
              <w:rPr>
                <w:rFonts w:ascii="Arial" w:cs="Arial" w:eastAsia="Arial" w:hAnsi="Arial"/>
                <w:sz w:val="17"/>
                <w:szCs w:val="17"/>
                <w:color w:val="auto"/>
              </w:rPr>
              <w:t>Name: Ross Graney</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20" w:type="dxa"/>
            <w:vAlign w:val="bottom"/>
            <w:gridSpan w:val="2"/>
          </w:tcPr>
          <w:p>
            <w:pPr>
              <w:ind w:left="120"/>
              <w:spacing w:after="0"/>
              <w:rPr>
                <w:sz w:val="20"/>
                <w:szCs w:val="20"/>
                <w:color w:val="auto"/>
              </w:rPr>
            </w:pPr>
            <w:r>
              <w:rPr>
                <w:rFonts w:ascii="Arial" w:cs="Arial" w:eastAsia="Arial" w:hAnsi="Arial"/>
                <w:sz w:val="17"/>
                <w:szCs w:val="17"/>
                <w:color w:val="auto"/>
                <w:w w:val="91"/>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THE BANK OF NOVA SCOTIA,</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as a U.S. Lender, as a Canadian Lender and as Issuing Bank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Paula J. Czach</w:t>
            </w:r>
          </w:p>
        </w:tc>
      </w:tr>
      <w:tr>
        <w:trPr>
          <w:trHeight w:val="204"/>
        </w:trPr>
        <w:tc>
          <w:tcPr>
            <w:tcW w:w="2360" w:type="dxa"/>
            <w:vAlign w:val="bottom"/>
            <w:gridSpan w:val="3"/>
          </w:tcPr>
          <w:p>
            <w:pPr>
              <w:spacing w:after="0"/>
              <w:rPr>
                <w:sz w:val="20"/>
                <w:szCs w:val="20"/>
                <w:color w:val="auto"/>
              </w:rPr>
            </w:pPr>
            <w:r>
              <w:rPr>
                <w:rFonts w:ascii="Arial" w:cs="Arial" w:eastAsia="Arial" w:hAnsi="Arial"/>
                <w:sz w:val="17"/>
                <w:szCs w:val="17"/>
                <w:color w:val="auto"/>
              </w:rPr>
              <w:t>Name: Paula J. Czach</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880" w:type="dxa"/>
            <w:vAlign w:val="bottom"/>
          </w:tcPr>
          <w:p>
            <w:pPr>
              <w:ind w:left="12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THE HUNTINGTON NATIONAL BANK,</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John D. Whetstone</w:t>
            </w:r>
          </w:p>
        </w:tc>
      </w:tr>
      <w:tr>
        <w:trPr>
          <w:trHeight w:val="204"/>
        </w:trPr>
        <w:tc>
          <w:tcPr>
            <w:tcW w:w="2660" w:type="dxa"/>
            <w:vAlign w:val="bottom"/>
            <w:gridSpan w:val="3"/>
          </w:tcPr>
          <w:p>
            <w:pPr>
              <w:spacing w:after="0"/>
              <w:rPr>
                <w:sz w:val="20"/>
                <w:szCs w:val="20"/>
                <w:color w:val="auto"/>
              </w:rPr>
            </w:pPr>
            <w:r>
              <w:rPr>
                <w:rFonts w:ascii="Arial" w:cs="Arial" w:eastAsia="Arial" w:hAnsi="Arial"/>
                <w:sz w:val="17"/>
                <w:szCs w:val="17"/>
                <w:color w:val="auto"/>
              </w:rPr>
              <w:t>Name: John D. Whetstone</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2180" w:type="dxa"/>
            <w:vAlign w:val="bottom"/>
          </w:tcPr>
          <w:p>
            <w:pPr>
              <w:ind w:left="120"/>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LENDER:</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THE PRIVATEBANK AND TRUST COMPANY,</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as a U.S. Lender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20"/>
        <w:spacing w:after="0"/>
        <w:tabs>
          <w:tab w:leader="none" w:pos="28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Patrick D. Putman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15030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3045" cy="7620"/>
                    </a:xfrm>
                    <a:prstGeom prst="rect">
                      <a:avLst/>
                    </a:prstGeom>
                    <a:noFill/>
                  </pic:spPr>
                </pic:pic>
              </a:graphicData>
            </a:graphic>
          </wp:anchor>
        </w:drawing>
      </w:r>
    </w:p>
    <w:p>
      <w:pPr>
        <w:sectPr>
          <w:pgSz w:w="11900" w:h="16838" w:orient="portrait"/>
          <w:cols w:equalWidth="0" w:num="1">
            <w:col w:w="9019"/>
          </w:cols>
          <w:pgMar w:left="1440" w:top="1042" w:right="1440" w:bottom="0" w:gutter="0" w:footer="0" w:header="0"/>
        </w:sectPr>
      </w:pPr>
    </w:p>
    <w:bookmarkStart w:id="83" w:name="page84"/>
    <w:bookmarkEnd w:id="83"/>
    <w:p>
      <w:pPr>
        <w:spacing w:after="0" w:line="86"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Name: Patrick D. Putman</w:t>
      </w:r>
    </w:p>
    <w:p>
      <w:pPr>
        <w:spacing w:after="0" w:line="22" w:lineRule="exact"/>
        <w:rPr>
          <w:sz w:val="20"/>
          <w:szCs w:val="20"/>
          <w:color w:val="auto"/>
        </w:rPr>
      </w:pPr>
    </w:p>
    <w:p>
      <w:pPr>
        <w:ind w:left="3425"/>
        <w:spacing w:after="0"/>
        <w:tabs>
          <w:tab w:leader="none" w:pos="4004" w:val="left"/>
        </w:tabs>
        <w:rPr>
          <w:sz w:val="20"/>
          <w:szCs w:val="20"/>
          <w:color w:val="auto"/>
        </w:rPr>
      </w:pPr>
      <w:r>
        <w:rPr>
          <w:rFonts w:ascii="Arial" w:cs="Arial" w:eastAsia="Arial" w:hAnsi="Arial"/>
          <w:sz w:val="17"/>
          <w:szCs w:val="17"/>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3425"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Tim Roberts</w:t>
            </w:r>
          </w:p>
        </w:tc>
      </w:tr>
      <w:tr>
        <w:trPr>
          <w:trHeight w:val="204"/>
        </w:trPr>
        <w:tc>
          <w:tcPr>
            <w:tcW w:w="2380" w:type="dxa"/>
            <w:vAlign w:val="bottom"/>
            <w:gridSpan w:val="3"/>
          </w:tcPr>
          <w:p>
            <w:pPr>
              <w:spacing w:after="0"/>
              <w:rPr>
                <w:sz w:val="20"/>
                <w:szCs w:val="20"/>
                <w:color w:val="auto"/>
              </w:rPr>
            </w:pPr>
            <w:r>
              <w:rPr>
                <w:rFonts w:ascii="Arial" w:cs="Arial" w:eastAsia="Arial" w:hAnsi="Arial"/>
                <w:sz w:val="17"/>
                <w:szCs w:val="17"/>
                <w:color w:val="auto"/>
              </w:rPr>
              <w:t>Name: Tim Roberts</w:t>
            </w:r>
          </w:p>
        </w:tc>
      </w:tr>
      <w:tr>
        <w:trPr>
          <w:trHeight w:val="222"/>
        </w:trPr>
        <w:tc>
          <w:tcPr>
            <w:tcW w:w="480" w:type="dxa"/>
            <w:vAlign w:val="bottom"/>
            <w:gridSpan w:val="2"/>
          </w:tcPr>
          <w:p>
            <w:pPr>
              <w:spacing w:after="0"/>
              <w:rPr>
                <w:sz w:val="20"/>
                <w:szCs w:val="20"/>
                <w:color w:val="auto"/>
              </w:rPr>
            </w:pPr>
            <w:r>
              <w:rPr>
                <w:rFonts w:ascii="Arial" w:cs="Arial" w:eastAsia="Arial" w:hAnsi="Arial"/>
                <w:sz w:val="17"/>
                <w:szCs w:val="17"/>
                <w:color w:val="auto"/>
              </w:rPr>
              <w:t>Title:</w:t>
            </w:r>
          </w:p>
        </w:tc>
        <w:tc>
          <w:tcPr>
            <w:tcW w:w="1900" w:type="dxa"/>
            <w:vAlign w:val="bottom"/>
          </w:tcPr>
          <w:p>
            <w:pPr>
              <w:ind w:left="12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REVOLVING COMMITMENT SCHEDULE</w:t>
      </w:r>
    </w:p>
    <w:p>
      <w:pPr>
        <w:spacing w:after="0" w:line="200" w:lineRule="exact"/>
        <w:rPr>
          <w:sz w:val="20"/>
          <w:szCs w:val="20"/>
          <w:color w:val="auto"/>
        </w:rPr>
      </w:pPr>
    </w:p>
    <w:p>
      <w:pPr>
        <w:spacing w:after="0" w:line="208" w:lineRule="exact"/>
        <w:rPr>
          <w:sz w:val="20"/>
          <w:szCs w:val="20"/>
          <w:color w:val="auto"/>
        </w:rPr>
      </w:pPr>
    </w:p>
    <w:tbl>
      <w:tblPr>
        <w:tblLayout w:type="fixed"/>
        <w:tblInd w:w="15" w:type="dxa"/>
        <w:tblCellMar>
          <w:top w:w="0" w:type="dxa"/>
          <w:left w:w="0" w:type="dxa"/>
          <w:bottom w:w="0" w:type="dxa"/>
          <w:right w:w="0" w:type="dxa"/>
        </w:tblCellMar>
      </w:tblPr>
      <w:tr>
        <w:trPr>
          <w:trHeight w:val="210"/>
        </w:trPr>
        <w:tc>
          <w:tcPr>
            <w:tcW w:w="3500" w:type="dxa"/>
            <w:vAlign w:val="bottom"/>
            <w:tcBorders>
              <w:top w:val="single" w:sz="8" w:color="00000A"/>
              <w:left w:val="single" w:sz="8" w:color="00000A"/>
              <w:right w:val="single" w:sz="8" w:color="00000A"/>
            </w:tcBorders>
          </w:tcPr>
          <w:p>
            <w:pPr>
              <w:spacing w:after="0"/>
              <w:rPr>
                <w:sz w:val="18"/>
                <w:szCs w:val="18"/>
                <w:color w:val="auto"/>
              </w:rPr>
            </w:pPr>
          </w:p>
        </w:tc>
        <w:tc>
          <w:tcPr>
            <w:tcW w:w="1700" w:type="dxa"/>
            <w:vAlign w:val="bottom"/>
            <w:tcBorders>
              <w:top w:val="single" w:sz="8" w:color="00000A"/>
              <w:right w:val="single" w:sz="8" w:color="00000A"/>
            </w:tcBorders>
          </w:tcPr>
          <w:p>
            <w:pPr>
              <w:spacing w:after="0"/>
              <w:rPr>
                <w:sz w:val="18"/>
                <w:szCs w:val="18"/>
                <w:color w:val="auto"/>
              </w:rPr>
            </w:pPr>
          </w:p>
        </w:tc>
        <w:tc>
          <w:tcPr>
            <w:tcW w:w="1840" w:type="dxa"/>
            <w:vAlign w:val="bottom"/>
            <w:tcBorders>
              <w:top w:val="single" w:sz="8" w:color="00000A"/>
              <w:right w:val="single" w:sz="8" w:color="00000A"/>
            </w:tcBorders>
          </w:tcPr>
          <w:p>
            <w:pPr>
              <w:spacing w:after="0"/>
              <w:rPr>
                <w:sz w:val="18"/>
                <w:szCs w:val="18"/>
                <w:color w:val="auto"/>
              </w:rPr>
            </w:pPr>
          </w:p>
        </w:tc>
        <w:tc>
          <w:tcPr>
            <w:tcW w:w="1820" w:type="dxa"/>
            <w:vAlign w:val="bottom"/>
            <w:tcBorders>
              <w:top w:val="single" w:sz="8" w:color="00000A"/>
              <w:right w:val="single" w:sz="8" w:color="00000A"/>
            </w:tcBorders>
          </w:tcPr>
          <w:p>
            <w:pPr>
              <w:spacing w:after="0"/>
              <w:rPr>
                <w:sz w:val="18"/>
                <w:szCs w:val="18"/>
                <w:color w:val="auto"/>
              </w:rPr>
            </w:pPr>
          </w:p>
        </w:tc>
        <w:tc>
          <w:tcPr>
            <w:tcW w:w="21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7"/>
              </w:rPr>
              <w:t>Applicable Percentage of</w:t>
            </w:r>
          </w:p>
        </w:tc>
      </w:tr>
      <w:tr>
        <w:trPr>
          <w:trHeight w:val="191"/>
        </w:trPr>
        <w:tc>
          <w:tcPr>
            <w:tcW w:w="3500" w:type="dxa"/>
            <w:vAlign w:val="bottom"/>
            <w:tcBorders>
              <w:left w:val="single" w:sz="8" w:color="00000A"/>
              <w:right w:val="single" w:sz="8" w:color="00000A"/>
            </w:tcBorders>
          </w:tcPr>
          <w:p>
            <w:pPr>
              <w:spacing w:after="0"/>
              <w:rPr>
                <w:sz w:val="16"/>
                <w:szCs w:val="16"/>
                <w:color w:val="auto"/>
              </w:rPr>
            </w:pP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9"/>
              </w:rPr>
              <w:t>U.S.</w:t>
            </w:r>
          </w:p>
        </w:tc>
        <w:tc>
          <w:tcPr>
            <w:tcW w:w="1840" w:type="dxa"/>
            <w:vAlign w:val="bottom"/>
            <w:tcBorders>
              <w:right w:val="single" w:sz="8" w:color="00000A"/>
            </w:tcBorders>
          </w:tcPr>
          <w:p>
            <w:pPr>
              <w:spacing w:after="0"/>
              <w:rPr>
                <w:sz w:val="16"/>
                <w:szCs w:val="16"/>
                <w:color w:val="auto"/>
              </w:rPr>
            </w:pPr>
          </w:p>
        </w:tc>
        <w:tc>
          <w:tcPr>
            <w:tcW w:w="1820" w:type="dxa"/>
            <w:vAlign w:val="bottom"/>
            <w:tcBorders>
              <w:right w:val="single" w:sz="8" w:color="00000A"/>
            </w:tcBorders>
          </w:tcPr>
          <w:p>
            <w:pPr>
              <w:spacing w:after="0"/>
              <w:rPr>
                <w:sz w:val="16"/>
                <w:szCs w:val="16"/>
                <w:color w:val="auto"/>
              </w:rPr>
            </w:pPr>
          </w:p>
        </w:tc>
        <w:tc>
          <w:tcPr>
            <w:tcW w:w="212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7"/>
              </w:rPr>
              <w:t>Aggregate Revolving</w:t>
            </w:r>
          </w:p>
        </w:tc>
      </w:tr>
      <w:tr>
        <w:trPr>
          <w:trHeight w:val="206"/>
        </w:trPr>
        <w:tc>
          <w:tcPr>
            <w:tcW w:w="3500" w:type="dxa"/>
            <w:vAlign w:val="bottom"/>
            <w:tcBorders>
              <w:left w:val="single" w:sz="8" w:color="00000A"/>
              <w:right w:val="single" w:sz="8" w:color="00000A"/>
            </w:tcBorders>
          </w:tcPr>
          <w:p>
            <w:pPr>
              <w:ind w:left="1500"/>
              <w:spacing w:after="0"/>
              <w:rPr>
                <w:sz w:val="20"/>
                <w:szCs w:val="20"/>
                <w:color w:val="auto"/>
              </w:rPr>
            </w:pPr>
            <w:r>
              <w:rPr>
                <w:rFonts w:ascii="Arial" w:cs="Arial" w:eastAsia="Arial" w:hAnsi="Arial"/>
                <w:sz w:val="16"/>
                <w:szCs w:val="16"/>
                <w:b w:val="1"/>
                <w:bCs w:val="1"/>
                <w:color w:val="auto"/>
              </w:rPr>
              <w:t>Lender</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w:t>
            </w:r>
          </w:p>
        </w:tc>
        <w:tc>
          <w:tcPr>
            <w:tcW w:w="1840" w:type="dxa"/>
            <w:vAlign w:val="bottom"/>
            <w:tcBorders>
              <w:right w:val="single" w:sz="8" w:color="00000A"/>
            </w:tcBorders>
          </w:tcPr>
          <w:p>
            <w:pPr>
              <w:ind w:left="60"/>
              <w:spacing w:after="0"/>
              <w:rPr>
                <w:sz w:val="20"/>
                <w:szCs w:val="20"/>
                <w:color w:val="auto"/>
              </w:rPr>
            </w:pPr>
            <w:r>
              <w:rPr>
                <w:rFonts w:ascii="Arial" w:cs="Arial" w:eastAsia="Arial" w:hAnsi="Arial"/>
                <w:sz w:val="16"/>
                <w:szCs w:val="16"/>
                <w:b w:val="1"/>
                <w:bCs w:val="1"/>
                <w:color w:val="auto"/>
                <w:w w:val="96"/>
              </w:rPr>
              <w:t>Canadian Commitment*</w:t>
            </w:r>
          </w:p>
        </w:tc>
        <w:tc>
          <w:tcPr>
            <w:tcW w:w="1820" w:type="dxa"/>
            <w:vAlign w:val="bottom"/>
            <w:tcBorders>
              <w:right w:val="single" w:sz="8" w:color="00000A"/>
            </w:tcBorders>
          </w:tcPr>
          <w:p>
            <w:pPr>
              <w:ind w:left="80"/>
              <w:spacing w:after="0"/>
              <w:rPr>
                <w:sz w:val="20"/>
                <w:szCs w:val="20"/>
                <w:color w:val="auto"/>
              </w:rPr>
            </w:pPr>
            <w:r>
              <w:rPr>
                <w:rFonts w:ascii="Arial" w:cs="Arial" w:eastAsia="Arial" w:hAnsi="Arial"/>
                <w:sz w:val="16"/>
                <w:szCs w:val="16"/>
                <w:b w:val="1"/>
                <w:bCs w:val="1"/>
                <w:color w:val="auto"/>
                <w:w w:val="95"/>
              </w:rPr>
              <w:t>Revolving Commitment</w:t>
            </w:r>
          </w:p>
        </w:tc>
        <w:tc>
          <w:tcPr>
            <w:tcW w:w="212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9"/>
              </w:rPr>
              <w:t>Commitments</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JPMorgan Chase Bank, N.A.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$90,000,000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$64,000,000.00</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$90,000,000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15.000000%</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Bank of America, N.A.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$65,000,000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$47,333,333.33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$65,000,000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10.833333%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PNC Bank, N.A.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$65,000,000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$47,333,333.33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$65,000,000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10.833333%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Wells Fargo Bank, National Association</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$65,000,000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$47,333,333.33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$65,000,000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10.833333%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U.S. Bank National Association</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$65,000,000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$47,333,333.33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$65,000,000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10.833333%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194"/>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Citizens Business Capital, a division of</w:t>
            </w:r>
          </w:p>
        </w:tc>
        <w:tc>
          <w:tcPr>
            <w:tcW w:w="170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1820" w:type="dxa"/>
            <w:vAlign w:val="bottom"/>
            <w:tcBorders>
              <w:right w:val="single" w:sz="8" w:color="00000A"/>
            </w:tcBorders>
          </w:tcPr>
          <w:p>
            <w:pPr>
              <w:spacing w:after="0"/>
              <w:rPr>
                <w:sz w:val="16"/>
                <w:szCs w:val="16"/>
                <w:color w:val="auto"/>
              </w:rPr>
            </w:pPr>
          </w:p>
        </w:tc>
        <w:tc>
          <w:tcPr>
            <w:tcW w:w="2120" w:type="dxa"/>
            <w:vAlign w:val="bottom"/>
            <w:tcBorders>
              <w:right w:val="single" w:sz="8" w:color="00000A"/>
            </w:tcBorders>
          </w:tcPr>
          <w:p>
            <w:pPr>
              <w:spacing w:after="0"/>
              <w:rPr>
                <w:sz w:val="16"/>
                <w:szCs w:val="16"/>
                <w:color w:val="auto"/>
              </w:rPr>
            </w:pPr>
          </w:p>
        </w:tc>
      </w:tr>
      <w:tr>
        <w:trPr>
          <w:trHeight w:val="202"/>
        </w:trPr>
        <w:tc>
          <w:tcPr>
            <w:tcW w:w="350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6"/>
                <w:szCs w:val="16"/>
                <w:color w:val="auto"/>
              </w:rPr>
              <w:t>Citizens Asset Finance, Inc.</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$35,000,000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$23,333,333.33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$35,000,000</w:t>
            </w:r>
          </w:p>
        </w:tc>
        <w:tc>
          <w:tcPr>
            <w:tcW w:w="2120" w:type="dxa"/>
            <w:vAlign w:val="bottom"/>
            <w:tcBorders>
              <w:right w:val="single" w:sz="8" w:color="00000A"/>
            </w:tcBorders>
          </w:tcPr>
          <w:p>
            <w:pPr>
              <w:jc w:val="right"/>
              <w:ind w:right="341"/>
              <w:spacing w:after="0"/>
              <w:rPr>
                <w:sz w:val="20"/>
                <w:szCs w:val="20"/>
                <w:color w:val="auto"/>
              </w:rPr>
            </w:pPr>
            <w:r>
              <w:rPr>
                <w:rFonts w:ascii="Arial" w:cs="Arial" w:eastAsia="Arial" w:hAnsi="Arial"/>
                <w:sz w:val="16"/>
                <w:szCs w:val="16"/>
                <w:color w:val="auto"/>
              </w:rPr>
              <w:t>5.833333%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TD Bank, N.A.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$35,000,000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$23,333,333.33</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$35,000,000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5.833333%</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Barclays Bank PLC</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Credit Suisse AG, Cayman Islands Branch</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Fifth Third Bank</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Goldman Sachs Bank USA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HSBC Bank USA, National Association</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The Bank of Nova Scotia</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$16,666,666.67</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$25,000,000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4.166667%</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The Huntington National Bank</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$15,000,000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$0</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$15,000,000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2.500000%</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The PrivateBank and Trust Company</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$15,000,000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$0</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$15,000,000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2.500000%</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r>
        <w:trPr>
          <w:trHeight w:val="205"/>
        </w:trPr>
        <w:tc>
          <w:tcPr>
            <w:tcW w:w="3500" w:type="dxa"/>
            <w:vAlign w:val="bottom"/>
            <w:tcBorders>
              <w:left w:val="single" w:sz="8" w:color="00000A"/>
              <w:right w:val="single" w:sz="8" w:color="00000A"/>
            </w:tcBorders>
          </w:tcPr>
          <w:p>
            <w:pPr>
              <w:ind w:left="1580"/>
              <w:spacing w:after="0"/>
              <w:rPr>
                <w:sz w:val="20"/>
                <w:szCs w:val="20"/>
                <w:color w:val="auto"/>
              </w:rPr>
            </w:pPr>
            <w:r>
              <w:rPr>
                <w:rFonts w:ascii="Arial" w:cs="Arial" w:eastAsia="Arial" w:hAnsi="Arial"/>
                <w:sz w:val="16"/>
                <w:szCs w:val="16"/>
                <w:color w:val="auto"/>
              </w:rPr>
              <w:t>Total</w:t>
            </w:r>
          </w:p>
        </w:tc>
        <w:tc>
          <w:tcPr>
            <w:tcW w:w="17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$600,000,000</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$400,000,000</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$600,000,000</w:t>
            </w:r>
          </w:p>
        </w:tc>
        <w:tc>
          <w:tcPr>
            <w:tcW w:w="2120" w:type="dxa"/>
            <w:vAlign w:val="bottom"/>
            <w:tcBorders>
              <w:right w:val="single" w:sz="8" w:color="00000A"/>
            </w:tcBorders>
          </w:tcPr>
          <w:p>
            <w:pPr>
              <w:jc w:val="right"/>
              <w:ind w:right="221"/>
              <w:spacing w:after="0"/>
              <w:rPr>
                <w:sz w:val="20"/>
                <w:szCs w:val="20"/>
                <w:color w:val="auto"/>
              </w:rPr>
            </w:pPr>
            <w:r>
              <w:rPr>
                <w:rFonts w:ascii="Arial" w:cs="Arial" w:eastAsia="Arial" w:hAnsi="Arial"/>
                <w:sz w:val="16"/>
                <w:szCs w:val="16"/>
                <w:color w:val="auto"/>
              </w:rPr>
              <w:t>100.000000%</w:t>
            </w:r>
          </w:p>
        </w:tc>
      </w:tr>
      <w:tr>
        <w:trPr>
          <w:trHeight w:val="25"/>
        </w:trPr>
        <w:tc>
          <w:tcPr>
            <w:tcW w:w="3500" w:type="dxa"/>
            <w:vAlign w:val="bottom"/>
            <w:tcBorders>
              <w:left w:val="single" w:sz="8" w:color="00000A"/>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2120" w:type="dxa"/>
            <w:vAlign w:val="bottom"/>
            <w:tcBorders>
              <w:bottom w:val="single" w:sz="8" w:color="00000A"/>
              <w:right w:val="single" w:sz="8" w:color="00000A"/>
            </w:tcBorders>
          </w:tcPr>
          <w:p>
            <w:pPr>
              <w:spacing w:after="0"/>
              <w:rPr>
                <w:sz w:val="2"/>
                <w:szCs w:val="2"/>
                <w:color w:val="auto"/>
              </w:rPr>
            </w:pPr>
          </w:p>
        </w:tc>
      </w:tr>
    </w:tbl>
    <w:p>
      <w:pPr>
        <w:spacing w:after="0" w:line="17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U.S. Commitment and Canadian Commitment are sub facilities of the Revolving Commitment and are not in addition to the Revolving Commitment.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SCHEDULE 1.01</w:t>
      </w:r>
    </w:p>
    <w:p>
      <w:pPr>
        <w:spacing w:after="0" w:line="198" w:lineRule="exact"/>
        <w:rPr>
          <w:sz w:val="20"/>
          <w:szCs w:val="20"/>
          <w:color w:val="auto"/>
        </w:rPr>
      </w:pPr>
    </w:p>
    <w:p>
      <w:pPr>
        <w:jc w:val="center"/>
        <w:ind w:right="35"/>
        <w:spacing w:after="0"/>
        <w:rPr>
          <w:sz w:val="20"/>
          <w:szCs w:val="20"/>
          <w:color w:val="auto"/>
        </w:rPr>
      </w:pPr>
      <w:r>
        <w:rPr>
          <w:rFonts w:ascii="Arial" w:cs="Arial" w:eastAsia="Arial" w:hAnsi="Arial"/>
          <w:sz w:val="17"/>
          <w:szCs w:val="17"/>
          <w:b w:val="1"/>
          <w:bCs w:val="1"/>
          <w:color w:val="auto"/>
        </w:rPr>
        <w:t>MANDATORY COST FORMULAE</w:t>
      </w:r>
    </w:p>
    <w:p>
      <w:pPr>
        <w:spacing w:after="0" w:line="216" w:lineRule="exact"/>
        <w:rPr>
          <w:sz w:val="20"/>
          <w:szCs w:val="20"/>
          <w:color w:val="auto"/>
        </w:rPr>
      </w:pPr>
    </w:p>
    <w:p>
      <w:pPr>
        <w:jc w:val="both"/>
        <w:ind w:left="5" w:hanging="5"/>
        <w:spacing w:after="0" w:line="301" w:lineRule="auto"/>
        <w:tabs>
          <w:tab w:leader="none" w:pos="7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Pursuant to Section 2.06(i) of this Agreement, unreimbursed LC Disbursements made in an LC Alternative Currency bear interest at a rate per annum equal to the Overnight LIBO Rate plus the Overnight LIBO Spread as set forth in the definition of “Applicable Rate”. Such interest accrues for the account of the Issuing Bank, except that interest accrued on or after the date of payment by any Lender pursuant to Section 2.06(e) of this Agreement to reimburse the Issuing Bank shall be or the account of such Lender to the extent of such payment. The Mandatory Cost is an addition to the Overnight LIBO Rate to compensate the Issuing Banks and the Lenders for the cost of compliance with (a) the requirements of the Bank of England and/or the United Kingdom’s Financial Services Authority (or, in either case, any other authority which replaces all or any of its functions) or (b) the requirements of the European Central Bank. For purposes of paragraphs 2 through 13 of this </w:t>
      </w:r>
      <w:r>
        <w:rPr>
          <w:rFonts w:ascii="Arial" w:cs="Arial" w:eastAsia="Arial" w:hAnsi="Arial"/>
          <w:sz w:val="16"/>
          <w:szCs w:val="16"/>
          <w:u w:val="single" w:color="auto"/>
          <w:color w:val="auto"/>
        </w:rPr>
        <w:t>Schedule 1.01</w:t>
      </w:r>
      <w:r>
        <w:rPr>
          <w:rFonts w:ascii="Arial" w:cs="Arial" w:eastAsia="Arial" w:hAnsi="Arial"/>
          <w:sz w:val="16"/>
          <w:szCs w:val="16"/>
          <w:color w:val="auto"/>
        </w:rPr>
        <w:t>, each Issuing Bank issuing a Letter of Credit in an LC Alternative Currency shall be deemed to be a “Lender” and each LC Disbursement by any Issuing Bank in an LC Alternative Currency and each reimbursement by any Lender to the Issuing Bank in respect of any such LC Disbursement shall be deemed to be a “Loan” or “loan” by such Issuing Bank or such Lender, as applicable.</w:t>
      </w:r>
    </w:p>
    <w:p>
      <w:pPr>
        <w:spacing w:after="0" w:line="139" w:lineRule="exact"/>
        <w:rPr>
          <w:rFonts w:ascii="Arial" w:cs="Arial" w:eastAsia="Arial" w:hAnsi="Arial"/>
          <w:sz w:val="16"/>
          <w:szCs w:val="16"/>
          <w:color w:val="auto"/>
        </w:rPr>
      </w:pPr>
    </w:p>
    <w:p>
      <w:pPr>
        <w:jc w:val="both"/>
        <w:ind w:left="5" w:right="20" w:hanging="5"/>
        <w:spacing w:after="0" w:line="280" w:lineRule="auto"/>
        <w:tabs>
          <w:tab w:leader="none" w:pos="368" w:val="left"/>
        </w:tabs>
        <w:numPr>
          <w:ilvl w:val="0"/>
          <w:numId w:val="142"/>
        </w:numPr>
        <w:rPr>
          <w:rFonts w:ascii="Arial" w:cs="Arial" w:eastAsia="Arial" w:hAnsi="Arial"/>
          <w:sz w:val="15"/>
          <w:szCs w:val="15"/>
          <w:color w:val="auto"/>
        </w:rPr>
      </w:pPr>
      <w:r>
        <w:rPr>
          <w:rFonts w:ascii="Arial" w:cs="Arial" w:eastAsia="Arial" w:hAnsi="Arial"/>
          <w:sz w:val="16"/>
          <w:szCs w:val="16"/>
          <w:color w:val="auto"/>
        </w:rPr>
        <w:t>On the first day on which interest accrues on any LC Disbursement that bears interest at the Overnight LIBO Rate (or as soon as possible thereafter) the Administrative Agent shall calculate, as a percentage rate, a rate (the “</w:t>
      </w:r>
      <w:r>
        <w:rPr>
          <w:rFonts w:ascii="Arial" w:cs="Arial" w:eastAsia="Arial" w:hAnsi="Arial"/>
          <w:sz w:val="16"/>
          <w:szCs w:val="16"/>
          <w:u w:val="single" w:color="auto"/>
          <w:color w:val="auto"/>
        </w:rPr>
        <w:t>Additional Cost Rate</w:t>
      </w:r>
      <w:r>
        <w:rPr>
          <w:rFonts w:ascii="Arial" w:cs="Arial" w:eastAsia="Arial" w:hAnsi="Arial"/>
          <w:sz w:val="16"/>
          <w:szCs w:val="16"/>
          <w:color w:val="auto"/>
        </w:rPr>
        <w:t xml:space="preserve">”) for each relevant Lender, in accordance with the paragraphs set out below. The Mandatory Cost will be calculated by the Administrative Agent as a weighted average of the relevant Lenders’ Additional Cost Rates (weighted in proportion to the percentage participation of each such Lender in the relevant Loan) and will be expressed as a percentage rate </w:t>
      </w:r>
      <w:r>
        <w:rPr>
          <w:rFonts w:ascii="Arial" w:cs="Arial" w:eastAsia="Arial" w:hAnsi="Arial"/>
          <w:sz w:val="16"/>
          <w:szCs w:val="16"/>
          <w:i w:val="1"/>
          <w:iCs w:val="1"/>
          <w:color w:val="auto"/>
        </w:rPr>
        <w:t>per annum</w:t>
      </w:r>
      <w:r>
        <w:rPr>
          <w:rFonts w:ascii="Arial" w:cs="Arial" w:eastAsia="Arial" w:hAnsi="Arial"/>
          <w:sz w:val="16"/>
          <w:szCs w:val="16"/>
          <w:color w:val="auto"/>
        </w:rPr>
        <w:t>.</w:t>
      </w:r>
    </w:p>
    <w:p>
      <w:pPr>
        <w:spacing w:after="0" w:line="142" w:lineRule="exact"/>
        <w:rPr>
          <w:rFonts w:ascii="Arial" w:cs="Arial" w:eastAsia="Arial" w:hAnsi="Arial"/>
          <w:sz w:val="15"/>
          <w:szCs w:val="15"/>
          <w:color w:val="auto"/>
        </w:rPr>
      </w:pPr>
    </w:p>
    <w:p>
      <w:pPr>
        <w:jc w:val="both"/>
        <w:ind w:left="5" w:right="20" w:hanging="5"/>
        <w:spacing w:after="0" w:line="313" w:lineRule="auto"/>
        <w:tabs>
          <w:tab w:leader="none" w:pos="333" w:val="left"/>
        </w:tabs>
        <w:numPr>
          <w:ilvl w:val="0"/>
          <w:numId w:val="142"/>
        </w:numPr>
        <w:rPr>
          <w:rFonts w:ascii="Arial" w:cs="Arial" w:eastAsia="Arial" w:hAnsi="Arial"/>
          <w:sz w:val="15"/>
          <w:szCs w:val="15"/>
          <w:color w:val="auto"/>
        </w:rPr>
      </w:pPr>
      <w:r>
        <w:rPr>
          <w:rFonts w:ascii="Arial" w:cs="Arial" w:eastAsia="Arial" w:hAnsi="Arial"/>
          <w:sz w:val="16"/>
          <w:szCs w:val="16"/>
          <w:color w:val="auto"/>
        </w:rPr>
        <w:t>The Additional Cost Rate for any Lender lending from a Facility Office in a Participating Member State will be the percentage notified by that Lender to the Administrative Agent. This percentage will be certified by that Lender in its notice to the Administrative Agent to be its reasonable determination of the cost</w:t>
      </w:r>
    </w:p>
    <w:p>
      <w:pPr>
        <w:sectPr>
          <w:pgSz w:w="11900" w:h="16925" w:orient="portrait"/>
          <w:cols w:equalWidth="0" w:num="1">
            <w:col w:w="11445"/>
          </w:cols>
          <w:pgMar w:left="235" w:top="124" w:right="219" w:bottom="0" w:gutter="0" w:footer="0" w:header="0"/>
        </w:sectPr>
      </w:pPr>
    </w:p>
    <w:bookmarkStart w:id="84" w:name="page85"/>
    <w:bookmarkEnd w:id="84"/>
    <w:p>
      <w:pPr>
        <w:ind w:left="5"/>
        <w:spacing w:after="0" w:line="282" w:lineRule="auto"/>
        <w:rPr>
          <w:sz w:val="20"/>
          <w:szCs w:val="20"/>
          <w:color w:val="auto"/>
        </w:rPr>
      </w:pPr>
      <w:r>
        <w:rPr>
          <w:rFonts w:ascii="Arial" w:cs="Arial" w:eastAsia="Arial" w:hAnsi="Arial"/>
          <w:sz w:val="17"/>
          <w:szCs w:val="17"/>
          <w:color w:val="auto"/>
        </w:rPr>
        <w:t>(expressed as a percentage of that Lender’s participation in all relevant Loans made from that Facility Office) of complying with the minimum reserve requirements of the European Central Bank in respect of loans made from that Facility Office.</w:t>
      </w:r>
    </w:p>
    <w:p>
      <w:pPr>
        <w:spacing w:after="0" w:line="138" w:lineRule="exact"/>
        <w:rPr>
          <w:sz w:val="20"/>
          <w:szCs w:val="20"/>
          <w:color w:val="auto"/>
        </w:rPr>
      </w:pPr>
    </w:p>
    <w:p>
      <w:pPr>
        <w:ind w:left="305" w:hanging="305"/>
        <w:spacing w:after="0"/>
        <w:tabs>
          <w:tab w:leader="none" w:pos="305" w:val="left"/>
        </w:tabs>
        <w:numPr>
          <w:ilvl w:val="0"/>
          <w:numId w:val="143"/>
        </w:numPr>
        <w:rPr>
          <w:rFonts w:ascii="Arial" w:cs="Arial" w:eastAsia="Arial" w:hAnsi="Arial"/>
          <w:sz w:val="15"/>
          <w:szCs w:val="15"/>
          <w:color w:val="auto"/>
        </w:rPr>
      </w:pPr>
      <w:r>
        <w:rPr>
          <w:rFonts w:ascii="Arial" w:cs="Arial" w:eastAsia="Arial" w:hAnsi="Arial"/>
          <w:sz w:val="16"/>
          <w:szCs w:val="16"/>
          <w:color w:val="auto"/>
        </w:rPr>
        <w:t>The Additional Cost Rate for any Lender lending from a Facility Office in the United Kingdom will be calculated by the Administrative Agent as follows:</w:t>
      </w:r>
    </w:p>
    <w:p>
      <w:pPr>
        <w:spacing w:after="0" w:line="209" w:lineRule="exact"/>
        <w:rPr>
          <w:rFonts w:ascii="Arial" w:cs="Arial" w:eastAsia="Arial" w:hAnsi="Arial"/>
          <w:sz w:val="15"/>
          <w:szCs w:val="15"/>
          <w:color w:val="auto"/>
        </w:rPr>
      </w:pPr>
    </w:p>
    <w:p>
      <w:pPr>
        <w:ind w:left="1425" w:hanging="281"/>
        <w:spacing w:after="0"/>
        <w:tabs>
          <w:tab w:leader="none" w:pos="1425" w:val="left"/>
        </w:tabs>
        <w:numPr>
          <w:ilvl w:val="1"/>
          <w:numId w:val="143"/>
        </w:numPr>
        <w:rPr>
          <w:rFonts w:ascii="Arial" w:cs="Arial" w:eastAsia="Arial" w:hAnsi="Arial"/>
          <w:sz w:val="16"/>
          <w:szCs w:val="16"/>
          <w:color w:val="auto"/>
        </w:rPr>
      </w:pPr>
      <w:r>
        <w:rPr>
          <w:rFonts w:ascii="Arial" w:cs="Arial" w:eastAsia="Arial" w:hAnsi="Arial"/>
          <w:sz w:val="17"/>
          <w:szCs w:val="17"/>
          <w:color w:val="auto"/>
        </w:rPr>
        <w:t>in relation to a relevant Loan denominated in Sterling:</w:t>
      </w:r>
    </w:p>
    <w:p>
      <w:pPr>
        <w:sectPr>
          <w:pgSz w:w="11900" w:h="16838" w:orient="portrait"/>
          <w:cols w:equalWidth="0" w:num="1">
            <w:col w:w="11445"/>
          </w:cols>
          <w:pgMar w:left="235" w:top="124" w:right="219" w:bottom="0" w:gutter="0" w:footer="0" w:header="0"/>
        </w:sectPr>
      </w:pPr>
    </w:p>
    <w:p>
      <w:pPr>
        <w:spacing w:after="0" w:line="341" w:lineRule="exact"/>
        <w:rPr>
          <w:sz w:val="20"/>
          <w:szCs w:val="20"/>
          <w:color w:val="auto"/>
        </w:rPr>
      </w:pPr>
    </w:p>
    <w:p>
      <w:pPr>
        <w:ind w:left="2685"/>
        <w:spacing w:after="0"/>
        <w:rPr>
          <w:sz w:val="20"/>
          <w:szCs w:val="20"/>
          <w:color w:val="auto"/>
        </w:rPr>
      </w:pPr>
      <w:r>
        <w:rPr>
          <w:rFonts w:ascii="Arial" w:cs="Arial" w:eastAsia="Arial" w:hAnsi="Arial"/>
          <w:sz w:val="16"/>
          <w:szCs w:val="16"/>
          <w:i w:val="1"/>
          <w:iCs w:val="1"/>
          <w:u w:val="single" w:color="auto"/>
          <w:color w:val="auto"/>
        </w:rPr>
        <w:t xml:space="preserve">AB+C(B—D)+E </w:t>
      </w:r>
      <w:r>
        <w:rPr>
          <w:rFonts w:ascii="Arial" w:cs="Arial" w:eastAsia="Arial" w:hAnsi="Arial"/>
          <w:sz w:val="16"/>
          <w:szCs w:val="16"/>
          <w:u w:val="single" w:color="auto"/>
          <w:color w:val="auto"/>
        </w:rPr>
        <w:t>x 0.01</w:t>
      </w:r>
    </w:p>
    <w:p>
      <w:pPr>
        <w:spacing w:after="0" w:line="33" w:lineRule="exact"/>
        <w:rPr>
          <w:sz w:val="20"/>
          <w:szCs w:val="20"/>
          <w:color w:val="auto"/>
        </w:rPr>
      </w:pPr>
    </w:p>
    <w:p>
      <w:pPr>
        <w:ind w:left="3065"/>
        <w:spacing w:after="0"/>
        <w:rPr>
          <w:sz w:val="20"/>
          <w:szCs w:val="20"/>
          <w:color w:val="auto"/>
        </w:rPr>
      </w:pPr>
      <w:r>
        <w:rPr>
          <w:rFonts w:ascii="Arial" w:cs="Arial" w:eastAsia="Arial" w:hAnsi="Arial"/>
          <w:sz w:val="17"/>
          <w:szCs w:val="17"/>
          <w:color w:val="auto"/>
        </w:rPr>
        <w:t>100 -(A +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percent </w:t>
      </w:r>
      <w:r>
        <w:rPr>
          <w:rFonts w:ascii="Arial" w:cs="Arial" w:eastAsia="Arial" w:hAnsi="Arial"/>
          <w:sz w:val="15"/>
          <w:szCs w:val="15"/>
          <w:i w:val="1"/>
          <w:iCs w:val="1"/>
          <w:color w:val="auto"/>
        </w:rPr>
        <w:t>per annum</w:t>
      </w:r>
    </w:p>
    <w:p>
      <w:pPr>
        <w:spacing w:after="0" w:line="236" w:lineRule="exact"/>
        <w:rPr>
          <w:sz w:val="20"/>
          <w:szCs w:val="20"/>
          <w:color w:val="auto"/>
        </w:rPr>
      </w:pPr>
    </w:p>
    <w:p>
      <w:pPr>
        <w:sectPr>
          <w:pgSz w:w="11900" w:h="16838" w:orient="portrait"/>
          <w:cols w:equalWidth="0" w:num="2">
            <w:col w:w="4485" w:space="720"/>
            <w:col w:w="6240"/>
          </w:cols>
          <w:pgMar w:left="235" w:top="124" w:right="219" w:bottom="0" w:gutter="0" w:footer="0" w:header="0"/>
          <w:type w:val="continuous"/>
        </w:sectPr>
      </w:pPr>
    </w:p>
    <w:p>
      <w:pPr>
        <w:spacing w:after="0" w:line="8" w:lineRule="exact"/>
        <w:rPr>
          <w:sz w:val="20"/>
          <w:szCs w:val="20"/>
          <w:color w:val="auto"/>
        </w:rPr>
      </w:pPr>
    </w:p>
    <w:p>
      <w:pPr>
        <w:ind w:left="1425" w:hanging="281"/>
        <w:spacing w:after="0"/>
        <w:tabs>
          <w:tab w:leader="none" w:pos="1425" w:val="left"/>
        </w:tabs>
        <w:numPr>
          <w:ilvl w:val="0"/>
          <w:numId w:val="144"/>
        </w:numPr>
        <w:rPr>
          <w:rFonts w:ascii="Arial" w:cs="Arial" w:eastAsia="Arial" w:hAnsi="Arial"/>
          <w:sz w:val="16"/>
          <w:szCs w:val="16"/>
          <w:color w:val="auto"/>
        </w:rPr>
      </w:pPr>
      <w:r>
        <w:rPr>
          <w:rFonts w:ascii="Arial" w:cs="Arial" w:eastAsia="Arial" w:hAnsi="Arial"/>
          <w:sz w:val="17"/>
          <w:szCs w:val="17"/>
          <w:color w:val="auto"/>
        </w:rPr>
        <w:t>in relation to a relevant Loan in any currency other than Sterling:</w:t>
      </w:r>
    </w:p>
    <w:p>
      <w:pPr>
        <w:spacing w:after="0" w:line="341" w:lineRule="exact"/>
        <w:rPr>
          <w:sz w:val="20"/>
          <w:szCs w:val="20"/>
          <w:color w:val="auto"/>
        </w:rPr>
      </w:pPr>
    </w:p>
    <w:tbl>
      <w:tblPr>
        <w:tblLayout w:type="fixed"/>
        <w:tblInd w:w="3205" w:type="dxa"/>
        <w:tblCellMar>
          <w:top w:w="0" w:type="dxa"/>
          <w:left w:w="0" w:type="dxa"/>
          <w:bottom w:w="0" w:type="dxa"/>
          <w:right w:w="0" w:type="dxa"/>
        </w:tblCellMar>
      </w:tblPr>
      <w:tr>
        <w:trPr>
          <w:trHeight w:val="203"/>
        </w:trPr>
        <w:tc>
          <w:tcPr>
            <w:tcW w:w="1300" w:type="dxa"/>
            <w:vAlign w:val="bottom"/>
          </w:tcPr>
          <w:p>
            <w:pPr>
              <w:jc w:val="center"/>
              <w:ind w:right="613"/>
              <w:spacing w:after="0"/>
              <w:rPr>
                <w:sz w:val="20"/>
                <w:szCs w:val="20"/>
                <w:color w:val="auto"/>
              </w:rPr>
            </w:pPr>
            <w:r>
              <w:rPr>
                <w:rFonts w:ascii="Arial" w:cs="Arial" w:eastAsia="Arial" w:hAnsi="Arial"/>
                <w:sz w:val="17"/>
                <w:szCs w:val="17"/>
                <w:i w:val="1"/>
                <w:iCs w:val="1"/>
                <w:u w:val="single" w:color="auto"/>
                <w:color w:val="auto"/>
                <w:w w:val="96"/>
              </w:rPr>
              <w:t xml:space="preserve">E </w:t>
            </w:r>
            <w:r>
              <w:rPr>
                <w:rFonts w:ascii="Arial" w:cs="Arial" w:eastAsia="Arial" w:hAnsi="Arial"/>
                <w:sz w:val="17"/>
                <w:szCs w:val="17"/>
                <w:u w:val="single" w:color="auto"/>
                <w:color w:val="auto"/>
                <w:w w:val="96"/>
              </w:rPr>
              <w:t>x 0.01</w:t>
            </w:r>
          </w:p>
        </w:tc>
        <w:tc>
          <w:tcPr>
            <w:tcW w:w="2020" w:type="dxa"/>
            <w:vAlign w:val="bottom"/>
          </w:tcPr>
          <w:p>
            <w:pPr>
              <w:spacing w:after="0"/>
              <w:rPr>
                <w:sz w:val="17"/>
                <w:szCs w:val="17"/>
                <w:color w:val="auto"/>
              </w:rPr>
            </w:pPr>
          </w:p>
        </w:tc>
      </w:tr>
      <w:tr>
        <w:trPr>
          <w:trHeight w:val="222"/>
        </w:trPr>
        <w:tc>
          <w:tcPr>
            <w:tcW w:w="1300" w:type="dxa"/>
            <w:vAlign w:val="bottom"/>
          </w:tcPr>
          <w:p>
            <w:pPr>
              <w:jc w:val="right"/>
              <w:ind w:right="753"/>
              <w:spacing w:after="0"/>
              <w:rPr>
                <w:sz w:val="20"/>
                <w:szCs w:val="20"/>
                <w:color w:val="auto"/>
              </w:rPr>
            </w:pPr>
            <w:r>
              <w:rPr>
                <w:rFonts w:ascii="Arial" w:cs="Arial" w:eastAsia="Arial" w:hAnsi="Arial"/>
                <w:sz w:val="17"/>
                <w:szCs w:val="17"/>
                <w:color w:val="auto"/>
              </w:rPr>
              <w:t>300</w:t>
            </w:r>
          </w:p>
        </w:tc>
        <w:tc>
          <w:tcPr>
            <w:tcW w:w="2020" w:type="dxa"/>
            <w:vAlign w:val="bottom"/>
          </w:tcPr>
          <w:p>
            <w:pPr>
              <w:ind w:left="700"/>
              <w:spacing w:after="0"/>
              <w:rPr>
                <w:sz w:val="20"/>
                <w:szCs w:val="20"/>
                <w:color w:val="auto"/>
              </w:rPr>
            </w:pPr>
            <w:r>
              <w:rPr>
                <w:rFonts w:ascii="Arial" w:cs="Arial" w:eastAsia="Arial" w:hAnsi="Arial"/>
                <w:sz w:val="17"/>
                <w:szCs w:val="17"/>
                <w:color w:val="auto"/>
                <w:w w:val="91"/>
              </w:rPr>
              <w:t xml:space="preserve">percent </w:t>
            </w:r>
            <w:r>
              <w:rPr>
                <w:rFonts w:ascii="Arial" w:cs="Arial" w:eastAsia="Arial" w:hAnsi="Arial"/>
                <w:sz w:val="17"/>
                <w:szCs w:val="17"/>
                <w:i w:val="1"/>
                <w:iCs w:val="1"/>
                <w:color w:val="auto"/>
                <w:w w:val="91"/>
              </w:rPr>
              <w:t>per annum</w:t>
            </w:r>
          </w:p>
        </w:tc>
      </w:tr>
    </w:tbl>
    <w:p>
      <w:pPr>
        <w:spacing w:after="0" w:line="195" w:lineRule="exact"/>
        <w:rPr>
          <w:sz w:val="20"/>
          <w:szCs w:val="20"/>
          <w:color w:val="auto"/>
        </w:rPr>
      </w:pPr>
    </w:p>
    <w:p>
      <w:pPr>
        <w:ind w:left="5"/>
        <w:spacing w:after="0"/>
        <w:rPr>
          <w:sz w:val="20"/>
          <w:szCs w:val="20"/>
          <w:color w:val="auto"/>
        </w:rPr>
      </w:pPr>
      <w:r>
        <w:rPr>
          <w:rFonts w:ascii="Arial" w:cs="Arial" w:eastAsia="Arial" w:hAnsi="Arial"/>
          <w:sz w:val="17"/>
          <w:szCs w:val="17"/>
          <w:color w:val="auto"/>
        </w:rPr>
        <w:t>Where:</w:t>
      </w:r>
    </w:p>
    <w:p>
      <w:pPr>
        <w:spacing w:after="0" w:line="198" w:lineRule="exact"/>
        <w:rPr>
          <w:sz w:val="20"/>
          <w:szCs w:val="20"/>
          <w:color w:val="auto"/>
        </w:rPr>
      </w:pPr>
    </w:p>
    <w:p>
      <w:pPr>
        <w:ind w:left="1145" w:right="20" w:hanging="1"/>
        <w:spacing w:after="0" w:line="280" w:lineRule="auto"/>
        <w:tabs>
          <w:tab w:leader="none" w:pos="1551" w:val="left"/>
        </w:tabs>
        <w:numPr>
          <w:ilvl w:val="1"/>
          <w:numId w:val="145"/>
        </w:numPr>
        <w:rPr>
          <w:rFonts w:ascii="Arial" w:cs="Arial" w:eastAsia="Arial" w:hAnsi="Arial"/>
          <w:sz w:val="16"/>
          <w:szCs w:val="16"/>
          <w:color w:val="auto"/>
        </w:rPr>
      </w:pPr>
      <w:r>
        <w:rPr>
          <w:rFonts w:ascii="Arial" w:cs="Arial" w:eastAsia="Arial" w:hAnsi="Arial"/>
          <w:sz w:val="17"/>
          <w:szCs w:val="17"/>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139" w:lineRule="exact"/>
        <w:rPr>
          <w:rFonts w:ascii="Arial" w:cs="Arial" w:eastAsia="Arial" w:hAnsi="Arial"/>
          <w:sz w:val="16"/>
          <w:szCs w:val="16"/>
          <w:color w:val="auto"/>
        </w:rPr>
      </w:pPr>
    </w:p>
    <w:p>
      <w:pPr>
        <w:ind w:left="1145" w:right="20" w:hanging="1"/>
        <w:spacing w:after="0" w:line="280" w:lineRule="auto"/>
        <w:tabs>
          <w:tab w:leader="none" w:pos="1524" w:val="left"/>
        </w:tabs>
        <w:numPr>
          <w:ilvl w:val="1"/>
          <w:numId w:val="145"/>
        </w:numPr>
        <w:rPr>
          <w:rFonts w:ascii="Arial" w:cs="Arial" w:eastAsia="Arial" w:hAnsi="Arial"/>
          <w:sz w:val="16"/>
          <w:szCs w:val="16"/>
          <w:color w:val="auto"/>
        </w:rPr>
      </w:pPr>
      <w:r>
        <w:rPr>
          <w:rFonts w:ascii="Arial" w:cs="Arial" w:eastAsia="Arial" w:hAnsi="Arial"/>
          <w:sz w:val="17"/>
          <w:szCs w:val="17"/>
          <w:color w:val="auto"/>
        </w:rPr>
        <w:t>is the percentage rate of interest (excluding the Applicable Rate and the Mandatory Cost and, if the Loan is an Unpaid Sum, the additional rate of interest specified in Section 2.13(f) of this Agreement) payable for the relevant period on the Loan.</w:t>
      </w:r>
    </w:p>
    <w:p>
      <w:pPr>
        <w:spacing w:after="0" w:line="139" w:lineRule="exact"/>
        <w:rPr>
          <w:rFonts w:ascii="Arial" w:cs="Arial" w:eastAsia="Arial" w:hAnsi="Arial"/>
          <w:sz w:val="16"/>
          <w:szCs w:val="16"/>
          <w:color w:val="auto"/>
        </w:rPr>
      </w:pPr>
    </w:p>
    <w:p>
      <w:pPr>
        <w:ind w:left="1145" w:hanging="1"/>
        <w:spacing w:after="0" w:line="280" w:lineRule="auto"/>
        <w:tabs>
          <w:tab w:leader="none" w:pos="1575" w:val="left"/>
        </w:tabs>
        <w:numPr>
          <w:ilvl w:val="1"/>
          <w:numId w:val="145"/>
        </w:numPr>
        <w:rPr>
          <w:rFonts w:ascii="Arial" w:cs="Arial" w:eastAsia="Arial" w:hAnsi="Arial"/>
          <w:sz w:val="16"/>
          <w:szCs w:val="16"/>
          <w:color w:val="auto"/>
        </w:rPr>
      </w:pPr>
      <w:r>
        <w:rPr>
          <w:rFonts w:ascii="Arial" w:cs="Arial" w:eastAsia="Arial" w:hAnsi="Arial"/>
          <w:sz w:val="17"/>
          <w:szCs w:val="17"/>
          <w:color w:val="auto"/>
        </w:rPr>
        <w:t>is the percentage (if any) of Eligible Liabilities which that Lender is required from time to time to maintain as interest-bearing Special Deposits with the Bank of England.</w:t>
      </w:r>
    </w:p>
    <w:p>
      <w:pPr>
        <w:spacing w:after="0" w:line="139" w:lineRule="exact"/>
        <w:rPr>
          <w:rFonts w:ascii="Arial" w:cs="Arial" w:eastAsia="Arial" w:hAnsi="Arial"/>
          <w:sz w:val="16"/>
          <w:szCs w:val="16"/>
          <w:color w:val="auto"/>
        </w:rPr>
      </w:pPr>
    </w:p>
    <w:p>
      <w:pPr>
        <w:ind w:left="1145" w:right="20" w:hanging="1"/>
        <w:spacing w:after="0" w:line="280" w:lineRule="auto"/>
        <w:tabs>
          <w:tab w:leader="none" w:pos="1512" w:val="left"/>
        </w:tabs>
        <w:numPr>
          <w:ilvl w:val="1"/>
          <w:numId w:val="145"/>
        </w:numPr>
        <w:rPr>
          <w:rFonts w:ascii="Arial" w:cs="Arial" w:eastAsia="Arial" w:hAnsi="Arial"/>
          <w:sz w:val="16"/>
          <w:szCs w:val="16"/>
          <w:color w:val="auto"/>
        </w:rPr>
      </w:pPr>
      <w:r>
        <w:rPr>
          <w:rFonts w:ascii="Arial" w:cs="Arial" w:eastAsia="Arial" w:hAnsi="Arial"/>
          <w:sz w:val="17"/>
          <w:szCs w:val="17"/>
          <w:color w:val="auto"/>
        </w:rPr>
        <w:t xml:space="preserve">is the percentage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payable by the Bank of England to the Administrative Agent (or such other bank as may be designated by the Administrative Agent in consultation with the Borrower Representative) on interest-bearing Special Deposits.</w:t>
      </w:r>
    </w:p>
    <w:p>
      <w:pPr>
        <w:spacing w:after="0" w:line="139" w:lineRule="exact"/>
        <w:rPr>
          <w:rFonts w:ascii="Arial" w:cs="Arial" w:eastAsia="Arial" w:hAnsi="Arial"/>
          <w:sz w:val="16"/>
          <w:szCs w:val="16"/>
          <w:color w:val="auto"/>
        </w:rPr>
      </w:pPr>
    </w:p>
    <w:p>
      <w:pPr>
        <w:jc w:val="both"/>
        <w:ind w:left="1145" w:hanging="1"/>
        <w:spacing w:after="0" w:line="264" w:lineRule="auto"/>
        <w:tabs>
          <w:tab w:leader="none" w:pos="1539" w:val="left"/>
        </w:tabs>
        <w:numPr>
          <w:ilvl w:val="1"/>
          <w:numId w:val="145"/>
        </w:numPr>
        <w:rPr>
          <w:rFonts w:ascii="Arial" w:cs="Arial" w:eastAsia="Arial" w:hAnsi="Arial"/>
          <w:sz w:val="16"/>
          <w:szCs w:val="16"/>
          <w:color w:val="auto"/>
        </w:rPr>
      </w:pPr>
      <w:r>
        <w:rPr>
          <w:rFonts w:ascii="Arial" w:cs="Arial" w:eastAsia="Arial" w:hAnsi="Arial"/>
          <w:sz w:val="17"/>
          <w:szCs w:val="17"/>
          <w:color w:val="auto"/>
        </w:rPr>
        <w:t>is designed to compensate Lenders for amounts payable under the Fees Rules and is calculated by the Administrative Agent as being the average of the most recent rates of charge supplied by the Reference Banks to the Administrative Agent pursuant to paragraph 7 below and expressed in Sterling per £1.0 million.</w:t>
      </w:r>
    </w:p>
    <w:p>
      <w:pPr>
        <w:spacing w:after="0" w:line="153" w:lineRule="exact"/>
        <w:rPr>
          <w:rFonts w:ascii="Arial" w:cs="Arial" w:eastAsia="Arial" w:hAnsi="Arial"/>
          <w:sz w:val="16"/>
          <w:szCs w:val="16"/>
          <w:color w:val="auto"/>
        </w:rPr>
      </w:pPr>
    </w:p>
    <w:p>
      <w:pPr>
        <w:ind w:left="305" w:hanging="305"/>
        <w:spacing w:after="0"/>
        <w:tabs>
          <w:tab w:leader="none" w:pos="305" w:val="left"/>
        </w:tabs>
        <w:numPr>
          <w:ilvl w:val="0"/>
          <w:numId w:val="146"/>
        </w:numPr>
        <w:rPr>
          <w:rFonts w:ascii="Arial" w:cs="Arial" w:eastAsia="Arial" w:hAnsi="Arial"/>
          <w:sz w:val="16"/>
          <w:szCs w:val="16"/>
          <w:color w:val="auto"/>
        </w:rPr>
      </w:pPr>
      <w:r>
        <w:rPr>
          <w:rFonts w:ascii="Arial" w:cs="Arial" w:eastAsia="Arial" w:hAnsi="Arial"/>
          <w:sz w:val="17"/>
          <w:szCs w:val="17"/>
          <w:color w:val="auto"/>
        </w:rPr>
        <w:t>For the purposes of this Schedule:</w:t>
      </w:r>
    </w:p>
    <w:p>
      <w:pPr>
        <w:spacing w:after="0" w:line="198" w:lineRule="exact"/>
        <w:rPr>
          <w:sz w:val="20"/>
          <w:szCs w:val="20"/>
          <w:color w:val="auto"/>
        </w:rPr>
      </w:pPr>
    </w:p>
    <w:p>
      <w:pPr>
        <w:ind w:left="1145" w:right="20" w:hanging="1"/>
        <w:spacing w:after="0" w:line="280" w:lineRule="auto"/>
        <w:tabs>
          <w:tab w:leader="none" w:pos="1458"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Liabilities</w:t>
      </w:r>
      <w:r>
        <w:rPr>
          <w:rFonts w:ascii="Arial" w:cs="Arial" w:eastAsia="Arial" w:hAnsi="Arial"/>
          <w:sz w:val="17"/>
          <w:szCs w:val="17"/>
          <w:color w:val="auto"/>
        </w:rPr>
        <w:t>” and “</w:t>
      </w:r>
      <w:r>
        <w:rPr>
          <w:rFonts w:ascii="Arial" w:cs="Arial" w:eastAsia="Arial" w:hAnsi="Arial"/>
          <w:sz w:val="17"/>
          <w:szCs w:val="17"/>
          <w:u w:val="single" w:color="auto"/>
          <w:color w:val="auto"/>
        </w:rPr>
        <w:t>Special Deposits</w:t>
      </w:r>
      <w:r>
        <w:rPr>
          <w:rFonts w:ascii="Arial" w:cs="Arial" w:eastAsia="Arial" w:hAnsi="Arial"/>
          <w:sz w:val="17"/>
          <w:szCs w:val="17"/>
          <w:color w:val="auto"/>
        </w:rPr>
        <w:t>” have the meanings given to them from time to time under or pursuant to the United Kingdom’s Bank of England Act 1998 or (as may be appropriate) by the Bank of England;</w:t>
      </w:r>
    </w:p>
    <w:p>
      <w:pPr>
        <w:spacing w:after="0" w:line="139" w:lineRule="exact"/>
        <w:rPr>
          <w:rFonts w:ascii="Arial" w:cs="Arial" w:eastAsia="Arial" w:hAnsi="Arial"/>
          <w:sz w:val="16"/>
          <w:szCs w:val="16"/>
          <w:color w:val="auto"/>
        </w:rPr>
      </w:pPr>
    </w:p>
    <w:p>
      <w:pPr>
        <w:jc w:val="both"/>
        <w:ind w:left="1145" w:hanging="1"/>
        <w:spacing w:after="0" w:line="264" w:lineRule="auto"/>
        <w:tabs>
          <w:tab w:leader="none" w:pos="1470"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Office</w:t>
      </w:r>
      <w:r>
        <w:rPr>
          <w:rFonts w:ascii="Arial" w:cs="Arial" w:eastAsia="Arial" w:hAnsi="Arial"/>
          <w:sz w:val="17"/>
          <w:szCs w:val="17"/>
          <w:color w:val="auto"/>
        </w:rPr>
        <w:t>” means the office or offices notified by a Lender to the Administrative Agent in writing on or before the date it becomes a Lender (or, following that date, by not less than five Business Days’ written notice) as the office or offices through which it will perform its obligations under this Agreement;</w:t>
      </w:r>
    </w:p>
    <w:p>
      <w:pPr>
        <w:spacing w:after="0" w:line="153" w:lineRule="exact"/>
        <w:rPr>
          <w:rFonts w:ascii="Arial" w:cs="Arial" w:eastAsia="Arial" w:hAnsi="Arial"/>
          <w:sz w:val="16"/>
          <w:szCs w:val="16"/>
          <w:color w:val="auto"/>
        </w:rPr>
      </w:pPr>
    </w:p>
    <w:p>
      <w:pPr>
        <w:ind w:left="1145" w:right="20" w:hanging="1"/>
        <w:spacing w:after="0" w:line="280" w:lineRule="auto"/>
        <w:tabs>
          <w:tab w:leader="none" w:pos="1458"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Fees Rules</w:t>
      </w:r>
      <w:r>
        <w:rPr>
          <w:rFonts w:ascii="Arial" w:cs="Arial" w:eastAsia="Arial" w:hAnsi="Arial"/>
          <w:sz w:val="17"/>
          <w:szCs w:val="17"/>
          <w:color w:val="auto"/>
        </w:rPr>
        <w:t>” means the rules on periodic fees contained in the Financial Services Authority Fees Manual or such other law or regulation as may be in force from time to time in respect of the payment of fees for the acceptance of deposits;</w:t>
      </w:r>
    </w:p>
    <w:p>
      <w:pPr>
        <w:spacing w:after="0" w:line="139" w:lineRule="exact"/>
        <w:rPr>
          <w:rFonts w:ascii="Arial" w:cs="Arial" w:eastAsia="Arial" w:hAnsi="Arial"/>
          <w:sz w:val="16"/>
          <w:szCs w:val="16"/>
          <w:color w:val="auto"/>
        </w:rPr>
      </w:pPr>
    </w:p>
    <w:p>
      <w:pPr>
        <w:ind w:left="1145" w:hanging="1"/>
        <w:spacing w:after="0" w:line="280" w:lineRule="auto"/>
        <w:tabs>
          <w:tab w:leader="none" w:pos="1458"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Tariffs</w:t>
      </w:r>
      <w:r>
        <w:rPr>
          <w:rFonts w:ascii="Arial" w:cs="Arial" w:eastAsia="Arial" w:hAnsi="Arial"/>
          <w:sz w:val="17"/>
          <w:szCs w:val="17"/>
          <w:color w:val="auto"/>
        </w:rPr>
        <w:t>” means the fee tariffs specified in the Fees Rules under the activity group A.1 Deposit acceptors (ignoring any minimum fee or zero rated fee required pursuant to the Fees Rules but taking into account any applicable discount rate);</w:t>
      </w:r>
    </w:p>
    <w:p>
      <w:pPr>
        <w:spacing w:after="0" w:line="139" w:lineRule="exact"/>
        <w:rPr>
          <w:rFonts w:ascii="Arial" w:cs="Arial" w:eastAsia="Arial" w:hAnsi="Arial"/>
          <w:sz w:val="16"/>
          <w:szCs w:val="16"/>
          <w:color w:val="auto"/>
        </w:rPr>
      </w:pPr>
    </w:p>
    <w:p>
      <w:pPr>
        <w:jc w:val="both"/>
        <w:ind w:left="1145" w:hanging="1"/>
        <w:spacing w:after="0" w:line="288" w:lineRule="auto"/>
        <w:tabs>
          <w:tab w:leader="none" w:pos="1494" w:val="left"/>
        </w:tabs>
        <w:numPr>
          <w:ilvl w:val="1"/>
          <w:numId w:val="147"/>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Member State</w:t>
      </w:r>
      <w:r>
        <w:rPr>
          <w:rFonts w:ascii="Arial" w:cs="Arial" w:eastAsia="Arial" w:hAnsi="Arial"/>
          <w:sz w:val="16"/>
          <w:szCs w:val="16"/>
          <w:color w:val="auto"/>
        </w:rPr>
        <w:t>” means each State so described in any legislative measures of the European Council for the introduction of, change over to, or operation of a single or unified European Community, and includes, without limitation, each member State of the European Community that adopts or has adopted the Euro as its lawful currency in accordance with the aforementioned legislative procedures.</w:t>
      </w:r>
    </w:p>
    <w:p>
      <w:pPr>
        <w:spacing w:after="0" w:line="135" w:lineRule="exact"/>
        <w:rPr>
          <w:rFonts w:ascii="Arial" w:cs="Arial" w:eastAsia="Arial" w:hAnsi="Arial"/>
          <w:sz w:val="15"/>
          <w:szCs w:val="15"/>
          <w:color w:val="auto"/>
        </w:rPr>
      </w:pPr>
    </w:p>
    <w:p>
      <w:pPr>
        <w:ind w:left="1145" w:hanging="1"/>
        <w:spacing w:after="0" w:line="280" w:lineRule="auto"/>
        <w:tabs>
          <w:tab w:leader="none" w:pos="1446"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Banks</w:t>
      </w:r>
      <w:r>
        <w:rPr>
          <w:rFonts w:ascii="Arial" w:cs="Arial" w:eastAsia="Arial" w:hAnsi="Arial"/>
          <w:sz w:val="17"/>
          <w:szCs w:val="17"/>
          <w:color w:val="auto"/>
        </w:rPr>
        <w:t>” means the principal office in London, England of the Administrative Agent or its affiliate, or such other bank or banks as may be designated by the Administrative Agent in consultation with the Borrower Representative;</w:t>
      </w:r>
    </w:p>
    <w:p>
      <w:pPr>
        <w:spacing w:after="0" w:line="139" w:lineRule="exact"/>
        <w:rPr>
          <w:rFonts w:ascii="Arial" w:cs="Arial" w:eastAsia="Arial" w:hAnsi="Arial"/>
          <w:sz w:val="16"/>
          <w:szCs w:val="16"/>
          <w:color w:val="auto"/>
        </w:rPr>
      </w:pPr>
    </w:p>
    <w:p>
      <w:pPr>
        <w:ind w:left="1425" w:hanging="281"/>
        <w:spacing w:after="0"/>
        <w:tabs>
          <w:tab w:leader="none" w:pos="1425"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Tariff Base</w:t>
      </w:r>
      <w:r>
        <w:rPr>
          <w:rFonts w:ascii="Arial" w:cs="Arial" w:eastAsia="Arial" w:hAnsi="Arial"/>
          <w:sz w:val="17"/>
          <w:szCs w:val="17"/>
          <w:color w:val="auto"/>
        </w:rPr>
        <w:t>” has the meaning given to it in, and will be calculated in accordance with, the Fees Rules; and</w:t>
      </w:r>
    </w:p>
    <w:p>
      <w:pPr>
        <w:spacing w:after="0" w:line="197" w:lineRule="exact"/>
        <w:rPr>
          <w:rFonts w:ascii="Arial" w:cs="Arial" w:eastAsia="Arial" w:hAnsi="Arial"/>
          <w:sz w:val="16"/>
          <w:szCs w:val="16"/>
          <w:color w:val="auto"/>
        </w:rPr>
      </w:pPr>
    </w:p>
    <w:p>
      <w:pPr>
        <w:ind w:left="1425" w:hanging="281"/>
        <w:spacing w:after="0"/>
        <w:tabs>
          <w:tab w:leader="none" w:pos="1425" w:val="left"/>
        </w:tabs>
        <w:numPr>
          <w:ilvl w:val="1"/>
          <w:numId w:val="147"/>
        </w:numPr>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Unpaid Sum</w:t>
      </w:r>
      <w:r>
        <w:rPr>
          <w:rFonts w:ascii="Arial" w:cs="Arial" w:eastAsia="Arial" w:hAnsi="Arial"/>
          <w:sz w:val="17"/>
          <w:szCs w:val="17"/>
          <w:color w:val="auto"/>
        </w:rPr>
        <w:t>” means any sum due and payable but unpaid by any Loan Party under the Loan Documents.</w:t>
      </w:r>
    </w:p>
    <w:p>
      <w:pPr>
        <w:spacing w:after="0" w:line="197" w:lineRule="exact"/>
        <w:rPr>
          <w:rFonts w:ascii="Arial" w:cs="Arial" w:eastAsia="Arial" w:hAnsi="Arial"/>
          <w:sz w:val="16"/>
          <w:szCs w:val="16"/>
          <w:color w:val="auto"/>
        </w:rPr>
      </w:pPr>
    </w:p>
    <w:p>
      <w:pPr>
        <w:ind w:left="5" w:hanging="5"/>
        <w:spacing w:after="0" w:line="313" w:lineRule="auto"/>
        <w:tabs>
          <w:tab w:leader="none" w:pos="290" w:val="left"/>
        </w:tabs>
        <w:numPr>
          <w:ilvl w:val="0"/>
          <w:numId w:val="148"/>
        </w:numPr>
        <w:rPr>
          <w:rFonts w:ascii="Arial" w:cs="Arial" w:eastAsia="Arial" w:hAnsi="Arial"/>
          <w:sz w:val="15"/>
          <w:szCs w:val="15"/>
          <w:color w:val="auto"/>
        </w:rPr>
      </w:pPr>
      <w:r>
        <w:rPr>
          <w:rFonts w:ascii="Arial" w:cs="Arial" w:eastAsia="Arial" w:hAnsi="Arial"/>
          <w:sz w:val="16"/>
          <w:szCs w:val="16"/>
          <w:color w:val="auto"/>
        </w:rPr>
        <w:t>In application of the above formulae, A, B, C and D will be included in the formulae as percentages (i.e. 5 percent will be included in the formula as 5 and not as 0.05). A negative result obtained by subtracting D from B shall be taken as zero. The resulting figures shall be rounded to four decimal places.</w:t>
      </w:r>
    </w:p>
    <w:p>
      <w:pPr>
        <w:spacing w:after="0" w:line="115" w:lineRule="exact"/>
        <w:rPr>
          <w:rFonts w:ascii="Arial" w:cs="Arial" w:eastAsia="Arial" w:hAnsi="Arial"/>
          <w:sz w:val="15"/>
          <w:szCs w:val="15"/>
          <w:color w:val="auto"/>
        </w:rPr>
      </w:pPr>
    </w:p>
    <w:p>
      <w:pPr>
        <w:jc w:val="both"/>
        <w:ind w:left="5" w:hanging="5"/>
        <w:spacing w:after="0" w:line="256" w:lineRule="auto"/>
        <w:tabs>
          <w:tab w:leader="none" w:pos="377" w:val="left"/>
        </w:tabs>
        <w:numPr>
          <w:ilvl w:val="0"/>
          <w:numId w:val="148"/>
        </w:numPr>
        <w:rPr>
          <w:rFonts w:ascii="Arial" w:cs="Arial" w:eastAsia="Arial" w:hAnsi="Arial"/>
          <w:sz w:val="16"/>
          <w:szCs w:val="16"/>
          <w:color w:val="auto"/>
        </w:rPr>
      </w:pPr>
      <w:r>
        <w:rPr>
          <w:rFonts w:ascii="Arial" w:cs="Arial" w:eastAsia="Arial" w:hAnsi="Arial"/>
          <w:sz w:val="17"/>
          <w:szCs w:val="17"/>
          <w:color w:val="auto"/>
        </w:rPr>
        <w:t>If requested by the Administrative Agent, each Reference Bank shall, as soon as practicable after publication by the United Kingdom’s Financial Services Authority, supply to the Administrative Agent, the rate of charge payable by that Reference Bank to the United Kingdom’s Financial Services Authority pursuant to the Fees Rules in respect of the relevant financial year of the United Kingdom’s Financial Services Authority (calculated for this purpose by that Reference Bank as being the average of the Fee Tariffs applicable to that Reference Bank for that financial year) and expressed in Sterling per £1.0 million of the Tariff Base of that Reference Bank.</w:t>
      </w:r>
    </w:p>
    <w:p>
      <w:pPr>
        <w:spacing w:after="0" w:line="160" w:lineRule="exact"/>
        <w:rPr>
          <w:rFonts w:ascii="Arial" w:cs="Arial" w:eastAsia="Arial" w:hAnsi="Arial"/>
          <w:sz w:val="16"/>
          <w:szCs w:val="16"/>
          <w:color w:val="auto"/>
        </w:rPr>
      </w:pPr>
    </w:p>
    <w:p>
      <w:pPr>
        <w:ind w:left="5" w:right="20" w:hanging="5"/>
        <w:spacing w:after="0" w:line="280" w:lineRule="auto"/>
        <w:tabs>
          <w:tab w:leader="none" w:pos="330" w:val="left"/>
        </w:tabs>
        <w:numPr>
          <w:ilvl w:val="0"/>
          <w:numId w:val="148"/>
        </w:numPr>
        <w:rPr>
          <w:rFonts w:ascii="Arial" w:cs="Arial" w:eastAsia="Arial" w:hAnsi="Arial"/>
          <w:sz w:val="16"/>
          <w:szCs w:val="16"/>
          <w:color w:val="auto"/>
        </w:rPr>
      </w:pPr>
      <w:r>
        <w:rPr>
          <w:rFonts w:ascii="Arial" w:cs="Arial" w:eastAsia="Arial" w:hAnsi="Arial"/>
          <w:sz w:val="17"/>
          <w:szCs w:val="17"/>
          <w:color w:val="auto"/>
        </w:rPr>
        <w:t>Each relevant Lender shall supply any information required by the Administrative Agent for the purpose of calculating its Additional Cost Rate. In particular, but without limitation, each relevant Lender shall supply the following information on or prior to the date on which it becomes a Lender:</w:t>
      </w:r>
    </w:p>
    <w:p>
      <w:pPr>
        <w:spacing w:after="0" w:line="139" w:lineRule="exact"/>
        <w:rPr>
          <w:rFonts w:ascii="Arial" w:cs="Arial" w:eastAsia="Arial" w:hAnsi="Arial"/>
          <w:sz w:val="16"/>
          <w:szCs w:val="16"/>
          <w:color w:val="auto"/>
        </w:rPr>
      </w:pPr>
    </w:p>
    <w:p>
      <w:pPr>
        <w:ind w:left="1425" w:hanging="281"/>
        <w:spacing w:after="0"/>
        <w:tabs>
          <w:tab w:leader="none" w:pos="1425" w:val="left"/>
        </w:tabs>
        <w:numPr>
          <w:ilvl w:val="1"/>
          <w:numId w:val="148"/>
        </w:numPr>
        <w:rPr>
          <w:rFonts w:ascii="Arial" w:cs="Arial" w:eastAsia="Arial" w:hAnsi="Arial"/>
          <w:sz w:val="16"/>
          <w:szCs w:val="16"/>
          <w:color w:val="auto"/>
        </w:rPr>
      </w:pPr>
      <w:r>
        <w:rPr>
          <w:rFonts w:ascii="Arial" w:cs="Arial" w:eastAsia="Arial" w:hAnsi="Arial"/>
          <w:sz w:val="17"/>
          <w:szCs w:val="17"/>
          <w:color w:val="auto"/>
        </w:rPr>
        <w:t>the jurisdiction of its Facility Office; and</w:t>
      </w:r>
    </w:p>
    <w:p>
      <w:pPr>
        <w:spacing w:after="0" w:line="197" w:lineRule="exact"/>
        <w:rPr>
          <w:rFonts w:ascii="Arial" w:cs="Arial" w:eastAsia="Arial" w:hAnsi="Arial"/>
          <w:sz w:val="16"/>
          <w:szCs w:val="16"/>
          <w:color w:val="auto"/>
        </w:rPr>
      </w:pPr>
    </w:p>
    <w:p>
      <w:pPr>
        <w:ind w:left="1425" w:hanging="281"/>
        <w:spacing w:after="0"/>
        <w:tabs>
          <w:tab w:leader="none" w:pos="1425" w:val="left"/>
        </w:tabs>
        <w:numPr>
          <w:ilvl w:val="1"/>
          <w:numId w:val="148"/>
        </w:numPr>
        <w:rPr>
          <w:rFonts w:ascii="Arial" w:cs="Arial" w:eastAsia="Arial" w:hAnsi="Arial"/>
          <w:sz w:val="16"/>
          <w:szCs w:val="16"/>
          <w:color w:val="auto"/>
        </w:rPr>
      </w:pPr>
      <w:r>
        <w:rPr>
          <w:rFonts w:ascii="Arial" w:cs="Arial" w:eastAsia="Arial" w:hAnsi="Arial"/>
          <w:sz w:val="17"/>
          <w:szCs w:val="17"/>
          <w:color w:val="auto"/>
        </w:rPr>
        <w:t>any other information that the Administrative Agent may reasonably require for such purpose.</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7"/>
          <w:szCs w:val="17"/>
          <w:color w:val="auto"/>
        </w:rPr>
        <w:t>Each Lender shall promptly notify the Administrative Agent of any change to the information provided by it pursuant to this paragraph.</w:t>
      </w:r>
    </w:p>
    <w:p>
      <w:pPr>
        <w:spacing w:after="0" w:line="198" w:lineRule="exact"/>
        <w:rPr>
          <w:sz w:val="20"/>
          <w:szCs w:val="20"/>
          <w:color w:val="auto"/>
        </w:rPr>
      </w:pPr>
    </w:p>
    <w:p>
      <w:pPr>
        <w:jc w:val="both"/>
        <w:ind w:left="5" w:right="20" w:hanging="5"/>
        <w:spacing w:after="0" w:line="259" w:lineRule="auto"/>
        <w:tabs>
          <w:tab w:leader="none" w:pos="292" w:val="left"/>
        </w:tabs>
        <w:numPr>
          <w:ilvl w:val="0"/>
          <w:numId w:val="149"/>
        </w:numPr>
        <w:rPr>
          <w:rFonts w:ascii="Arial" w:cs="Arial" w:eastAsia="Arial" w:hAnsi="Arial"/>
          <w:sz w:val="16"/>
          <w:szCs w:val="16"/>
          <w:color w:val="auto"/>
        </w:rPr>
      </w:pPr>
      <w:r>
        <w:rPr>
          <w:rFonts w:ascii="Arial" w:cs="Arial" w:eastAsia="Arial" w:hAnsi="Arial"/>
          <w:sz w:val="17"/>
          <w:szCs w:val="17"/>
          <w:color w:val="auto"/>
        </w:rPr>
        <w:t>The percentages of each Lender for the purpose of A and C and the rates of charge of each Reference Bank for the purpose of E shall be determined by the Administrative Agent based upon the information supplied to it pursuant to paragraphs 7 and 8 and on the assumption that, unless a Lender notifies the Administrative Agent to the contrary, each Lender’s obligations in relation to cash ratio deposits and Special Deposits are the same as those of a typical bank from its jurisdiction of incorporation with a Facility Office in the same jurisdiction as its Facility Office.</w:t>
      </w:r>
    </w:p>
    <w:p>
      <w:pPr>
        <w:sectPr>
          <w:pgSz w:w="11900" w:h="16838" w:orient="portrait"/>
          <w:cols w:equalWidth="0" w:num="1">
            <w:col w:w="11445"/>
          </w:cols>
          <w:pgMar w:left="235" w:top="124" w:right="219" w:bottom="0" w:gutter="0" w:footer="0" w:header="0"/>
          <w:type w:val="continuous"/>
        </w:sectPr>
      </w:pPr>
    </w:p>
    <w:bookmarkStart w:id="85" w:name="page86"/>
    <w:bookmarkEnd w:id="85"/>
    <w:p>
      <w:pPr>
        <w:spacing w:after="0" w:line="62" w:lineRule="exact"/>
        <w:rPr>
          <w:sz w:val="20"/>
          <w:szCs w:val="20"/>
          <w:color w:val="auto"/>
        </w:rPr>
      </w:pPr>
    </w:p>
    <w:p>
      <w:pPr>
        <w:jc w:val="both"/>
        <w:ind w:left="5" w:right="20" w:hanging="5"/>
        <w:spacing w:after="0" w:line="264" w:lineRule="auto"/>
        <w:tabs>
          <w:tab w:leader="none" w:pos="289" w:val="left"/>
        </w:tabs>
        <w:numPr>
          <w:ilvl w:val="0"/>
          <w:numId w:val="150"/>
        </w:numPr>
        <w:rPr>
          <w:rFonts w:ascii="Arial" w:cs="Arial" w:eastAsia="Arial" w:hAnsi="Arial"/>
          <w:sz w:val="16"/>
          <w:szCs w:val="16"/>
          <w:color w:val="auto"/>
        </w:rPr>
      </w:pPr>
      <w:r>
        <w:rPr>
          <w:rFonts w:ascii="Arial" w:cs="Arial" w:eastAsia="Arial" w:hAnsi="Arial"/>
          <w:sz w:val="17"/>
          <w:szCs w:val="17"/>
          <w:color w:val="auto"/>
        </w:rPr>
        <w:t>The Administrative Agent shall have no liability to any person if such determination results in an Additional Cost Rate which over or under compensates any Lender and shall be entitled to assume that the information provided by any Lender or Reference Bank pursuant to paragraphs 3, 7 and 8 is true and correct in all respects.</w:t>
      </w:r>
    </w:p>
    <w:p>
      <w:pPr>
        <w:spacing w:after="0" w:line="153" w:lineRule="exact"/>
        <w:rPr>
          <w:rFonts w:ascii="Arial" w:cs="Arial" w:eastAsia="Arial" w:hAnsi="Arial"/>
          <w:sz w:val="16"/>
          <w:szCs w:val="16"/>
          <w:color w:val="auto"/>
        </w:rPr>
      </w:pPr>
    </w:p>
    <w:p>
      <w:pPr>
        <w:ind w:left="5" w:hanging="5"/>
        <w:spacing w:after="0" w:line="313" w:lineRule="auto"/>
        <w:tabs>
          <w:tab w:leader="none" w:pos="401" w:val="left"/>
        </w:tabs>
        <w:numPr>
          <w:ilvl w:val="0"/>
          <w:numId w:val="150"/>
        </w:numPr>
        <w:rPr>
          <w:rFonts w:ascii="Arial" w:cs="Arial" w:eastAsia="Arial" w:hAnsi="Arial"/>
          <w:sz w:val="15"/>
          <w:szCs w:val="15"/>
          <w:color w:val="auto"/>
        </w:rPr>
      </w:pPr>
      <w:r>
        <w:rPr>
          <w:rFonts w:ascii="Arial" w:cs="Arial" w:eastAsia="Arial" w:hAnsi="Arial"/>
          <w:sz w:val="16"/>
          <w:szCs w:val="16"/>
          <w:color w:val="auto"/>
        </w:rPr>
        <w:t>The Administrative Agent shall distribute the additional amounts received as a result of the Mandatory Cost to the relevant Lenders on the basis of the Additional Cost Rate for each such Lender based on the information provided by each Lender and each Reference Bank pursuant to paragraphs 3, 7 and 8.</w:t>
      </w:r>
    </w:p>
    <w:p>
      <w:pPr>
        <w:spacing w:after="0" w:line="115" w:lineRule="exact"/>
        <w:rPr>
          <w:rFonts w:ascii="Arial" w:cs="Arial" w:eastAsia="Arial" w:hAnsi="Arial"/>
          <w:sz w:val="15"/>
          <w:szCs w:val="15"/>
          <w:color w:val="auto"/>
        </w:rPr>
      </w:pPr>
    </w:p>
    <w:p>
      <w:pPr>
        <w:ind w:left="5" w:hanging="5"/>
        <w:spacing w:after="0" w:line="280" w:lineRule="auto"/>
        <w:tabs>
          <w:tab w:leader="none" w:pos="300" w:val="left"/>
        </w:tabs>
        <w:numPr>
          <w:ilvl w:val="0"/>
          <w:numId w:val="150"/>
        </w:numPr>
        <w:rPr>
          <w:rFonts w:ascii="Arial" w:cs="Arial" w:eastAsia="Arial" w:hAnsi="Arial"/>
          <w:sz w:val="16"/>
          <w:szCs w:val="16"/>
          <w:color w:val="auto"/>
        </w:rPr>
      </w:pPr>
      <w:r>
        <w:rPr>
          <w:rFonts w:ascii="Arial" w:cs="Arial" w:eastAsia="Arial" w:hAnsi="Arial"/>
          <w:sz w:val="17"/>
          <w:szCs w:val="17"/>
          <w:color w:val="auto"/>
        </w:rPr>
        <w:t>Any determination by the Administrative Agent pursuant to this Schedule in relation to a formula, the Mandatory Cost, an Additional Cost Rate or any amount payable to a Lender shall, in the absence of manifest error, be conclusive and binding on all parties to this Agreement.</w:t>
      </w:r>
    </w:p>
    <w:p>
      <w:pPr>
        <w:spacing w:after="0" w:line="139" w:lineRule="exact"/>
        <w:rPr>
          <w:rFonts w:ascii="Arial" w:cs="Arial" w:eastAsia="Arial" w:hAnsi="Arial"/>
          <w:sz w:val="16"/>
          <w:szCs w:val="16"/>
          <w:color w:val="auto"/>
        </w:rPr>
      </w:pPr>
    </w:p>
    <w:p>
      <w:pPr>
        <w:jc w:val="both"/>
        <w:ind w:left="5" w:right="20" w:hanging="5"/>
        <w:spacing w:after="0" w:line="256" w:lineRule="auto"/>
        <w:tabs>
          <w:tab w:leader="none" w:pos="356" w:val="left"/>
        </w:tabs>
        <w:numPr>
          <w:ilvl w:val="0"/>
          <w:numId w:val="150"/>
        </w:numPr>
        <w:rPr>
          <w:rFonts w:ascii="Arial" w:cs="Arial" w:eastAsia="Arial" w:hAnsi="Arial"/>
          <w:sz w:val="16"/>
          <w:szCs w:val="16"/>
          <w:color w:val="auto"/>
        </w:rPr>
      </w:pPr>
      <w:r>
        <w:rPr>
          <w:rFonts w:ascii="Arial" w:cs="Arial" w:eastAsia="Arial" w:hAnsi="Arial"/>
          <w:sz w:val="17"/>
          <w:szCs w:val="17"/>
          <w:color w:val="auto"/>
        </w:rPr>
        <w:t xml:space="preserve">The Administrative Agent may from time to time, after consultation with Borrower Representative and the Lenders, determine and notify to all parties to this Agreement any amendments which are required to be made to this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in order to comply with any change in law, regulation or any requirements from time to time imposed by the Bank of England, the United Kingdom’s Financial Services Authority or the European Central Bank (or, in any case, any other authority which replaces all or any of its functions) and any such determination shall, in the absence of manifest error, be conclusive and binding on all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SCHEDULE 2.06</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318375" cy="4433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837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SCHEDULE 3.06</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DISCLOSED MATTERS</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7"/>
          <w:szCs w:val="17"/>
          <w:color w:val="auto"/>
        </w:rPr>
        <w:t>None.</w:t>
      </w:r>
    </w:p>
    <w:p>
      <w:pPr>
        <w:spacing w:after="0" w:line="235"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SCHEDULE 3.10</w:t>
      </w:r>
    </w:p>
    <w:p>
      <w:pPr>
        <w:spacing w:after="0" w:line="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CANADIAN PENSION PLANS</w:t>
      </w:r>
    </w:p>
    <w:p>
      <w:pPr>
        <w:spacing w:after="0" w:line="219" w:lineRule="exact"/>
        <w:rPr>
          <w:sz w:val="20"/>
          <w:szCs w:val="20"/>
          <w:color w:val="auto"/>
        </w:rPr>
      </w:pPr>
    </w:p>
    <w:p>
      <w:pPr>
        <w:ind w:left="5"/>
        <w:spacing w:after="0"/>
        <w:rPr>
          <w:sz w:val="20"/>
          <w:szCs w:val="20"/>
          <w:color w:val="auto"/>
        </w:rPr>
      </w:pPr>
      <w:r>
        <w:rPr>
          <w:rFonts w:ascii="Arial" w:cs="Arial" w:eastAsia="Arial" w:hAnsi="Arial"/>
          <w:sz w:val="19"/>
          <w:szCs w:val="19"/>
          <w:color w:val="auto"/>
        </w:rPr>
        <w:t>None.</w:t>
      </w:r>
    </w:p>
    <w:p>
      <w:pPr>
        <w:spacing w:after="0" w:line="19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SCHEDULE 3.15</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CAPITALIZATION AND SUBSIDIARIES</w:t>
      </w:r>
    </w:p>
    <w:p>
      <w:pPr>
        <w:spacing w:after="0" w:line="309" w:lineRule="exact"/>
        <w:rPr>
          <w:sz w:val="20"/>
          <w:szCs w:val="20"/>
          <w:color w:val="auto"/>
        </w:rPr>
      </w:pPr>
    </w:p>
    <w:tbl>
      <w:tblPr>
        <w:tblLayout w:type="fixed"/>
        <w:tblInd w:w="15" w:type="dxa"/>
        <w:tblCellMar>
          <w:top w:w="0" w:type="dxa"/>
          <w:left w:w="0" w:type="dxa"/>
          <w:bottom w:w="0" w:type="dxa"/>
          <w:right w:w="0" w:type="dxa"/>
        </w:tblCellMar>
      </w:tblPr>
      <w:tr>
        <w:trPr>
          <w:trHeight w:val="203"/>
        </w:trPr>
        <w:tc>
          <w:tcPr>
            <w:tcW w:w="1740" w:type="dxa"/>
            <w:vAlign w:val="bottom"/>
            <w:tcBorders>
              <w:top w:val="single" w:sz="8" w:color="auto"/>
              <w:left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7"/>
                <w:szCs w:val="17"/>
                <w:b w:val="1"/>
                <w:bCs w:val="1"/>
                <w:color w:val="auto"/>
              </w:rPr>
              <w:t>Name of Entity</w:t>
            </w:r>
          </w:p>
        </w:tc>
        <w:tc>
          <w:tcPr>
            <w:tcW w:w="1380" w:type="dxa"/>
            <w:vAlign w:val="bottom"/>
            <w:tcBorders>
              <w:top w:val="single" w:sz="8" w:color="auto"/>
              <w:right w:val="single" w:sz="8" w:color="auto"/>
            </w:tcBorders>
            <w:shd w:val="clear" w:color="auto" w:fill="D9D9D9"/>
          </w:tcPr>
          <w:p>
            <w:pPr>
              <w:ind w:left="260"/>
              <w:spacing w:after="0"/>
              <w:rPr>
                <w:sz w:val="20"/>
                <w:szCs w:val="20"/>
                <w:color w:val="auto"/>
              </w:rPr>
            </w:pPr>
            <w:r>
              <w:rPr>
                <w:rFonts w:ascii="Arial" w:cs="Arial" w:eastAsia="Arial" w:hAnsi="Arial"/>
                <w:sz w:val="17"/>
                <w:szCs w:val="17"/>
                <w:b w:val="1"/>
                <w:bCs w:val="1"/>
                <w:color w:val="auto"/>
              </w:rPr>
              <w:t>Jurisdiction</w:t>
            </w:r>
          </w:p>
        </w:tc>
        <w:tc>
          <w:tcPr>
            <w:tcW w:w="1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6"/>
              </w:rPr>
              <w:t>Total Shares</w:t>
            </w:r>
          </w:p>
        </w:tc>
        <w:tc>
          <w:tcPr>
            <w:tcW w:w="1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8"/>
              </w:rPr>
              <w:t>Type of Equity</w:t>
            </w:r>
          </w:p>
        </w:tc>
        <w:tc>
          <w:tcPr>
            <w:tcW w:w="204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7"/>
                <w:szCs w:val="17"/>
                <w:b w:val="1"/>
                <w:bCs w:val="1"/>
                <w:color w:val="auto"/>
                <w:w w:val="96"/>
              </w:rPr>
              <w:t>Owner of Equity Interest</w:t>
            </w:r>
          </w:p>
        </w:tc>
        <w:tc>
          <w:tcPr>
            <w:tcW w:w="1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7"/>
              </w:rPr>
              <w:t>Percentage Owned of</w:t>
            </w:r>
          </w:p>
        </w:tc>
        <w:tc>
          <w:tcPr>
            <w:tcW w:w="1480" w:type="dxa"/>
            <w:vAlign w:val="bottom"/>
            <w:tcBorders>
              <w:top w:val="single" w:sz="8" w:color="auto"/>
              <w:right w:val="single" w:sz="8" w:color="auto"/>
            </w:tcBorders>
            <w:shd w:val="clear" w:color="auto" w:fill="D9D9D9"/>
          </w:tcPr>
          <w:p>
            <w:pPr>
              <w:ind w:left="220"/>
              <w:spacing w:after="0"/>
              <w:rPr>
                <w:sz w:val="20"/>
                <w:szCs w:val="20"/>
                <w:color w:val="auto"/>
              </w:rPr>
            </w:pPr>
            <w:r>
              <w:rPr>
                <w:rFonts w:ascii="Arial" w:cs="Arial" w:eastAsia="Arial" w:hAnsi="Arial"/>
                <w:sz w:val="17"/>
                <w:szCs w:val="17"/>
                <w:b w:val="1"/>
                <w:bCs w:val="1"/>
                <w:color w:val="auto"/>
              </w:rPr>
              <w:t>Type of Entity</w:t>
            </w:r>
          </w:p>
        </w:tc>
      </w:tr>
      <w:tr>
        <w:trPr>
          <w:trHeight w:val="191"/>
        </w:trPr>
        <w:tc>
          <w:tcPr>
            <w:tcW w:w="1740" w:type="dxa"/>
            <w:vAlign w:val="bottom"/>
            <w:tcBorders>
              <w:left w:val="single" w:sz="8" w:color="auto"/>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shd w:val="clear" w:color="auto" w:fill="D9D9D9"/>
          </w:tcPr>
          <w:p>
            <w:pPr>
              <w:spacing w:after="0"/>
              <w:rPr>
                <w:sz w:val="16"/>
                <w:szCs w:val="16"/>
                <w:color w:val="auto"/>
              </w:rPr>
            </w:pPr>
          </w:p>
        </w:tc>
        <w:tc>
          <w:tcPr>
            <w:tcW w:w="162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7"/>
                <w:szCs w:val="17"/>
                <w:b w:val="1"/>
                <w:bCs w:val="1"/>
                <w:color w:val="auto"/>
                <w:w w:val="91"/>
              </w:rPr>
              <w:t>Authorized /</w:t>
            </w:r>
          </w:p>
        </w:tc>
        <w:tc>
          <w:tcPr>
            <w:tcW w:w="148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7"/>
                <w:szCs w:val="17"/>
                <w:b w:val="1"/>
                <w:bCs w:val="1"/>
                <w:color w:val="auto"/>
                <w:w w:val="91"/>
              </w:rPr>
              <w:t>Interest</w:t>
            </w:r>
          </w:p>
        </w:tc>
        <w:tc>
          <w:tcPr>
            <w:tcW w:w="2040" w:type="dxa"/>
            <w:vAlign w:val="bottom"/>
            <w:tcBorders>
              <w:right w:val="single" w:sz="8" w:color="auto"/>
            </w:tcBorders>
            <w:shd w:val="clear" w:color="auto" w:fill="D9D9D9"/>
          </w:tcPr>
          <w:p>
            <w:pPr>
              <w:spacing w:after="0"/>
              <w:rPr>
                <w:sz w:val="16"/>
                <w:szCs w:val="16"/>
                <w:color w:val="auto"/>
              </w:rPr>
            </w:pPr>
          </w:p>
        </w:tc>
        <w:tc>
          <w:tcPr>
            <w:tcW w:w="1720" w:type="dxa"/>
            <w:vAlign w:val="bottom"/>
            <w:tcBorders>
              <w:right w:val="single" w:sz="8" w:color="auto"/>
            </w:tcBorders>
            <w:shd w:val="clear" w:color="auto" w:fill="D9D9D9"/>
          </w:tcPr>
          <w:p>
            <w:pPr>
              <w:jc w:val="center"/>
              <w:spacing w:after="0" w:line="191" w:lineRule="exact"/>
              <w:rPr>
                <w:sz w:val="20"/>
                <w:szCs w:val="20"/>
                <w:color w:val="auto"/>
              </w:rPr>
            </w:pPr>
            <w:r>
              <w:rPr>
                <w:rFonts w:ascii="Arial" w:cs="Arial" w:eastAsia="Arial" w:hAnsi="Arial"/>
                <w:sz w:val="17"/>
                <w:szCs w:val="17"/>
                <w:b w:val="1"/>
                <w:bCs w:val="1"/>
                <w:color w:val="auto"/>
                <w:w w:val="91"/>
              </w:rPr>
              <w:t>Equity Interest</w:t>
            </w:r>
          </w:p>
        </w:tc>
        <w:tc>
          <w:tcPr>
            <w:tcW w:w="1480" w:type="dxa"/>
            <w:vAlign w:val="bottom"/>
            <w:tcBorders>
              <w:right w:val="single" w:sz="8" w:color="auto"/>
            </w:tcBorders>
            <w:shd w:val="clear" w:color="auto" w:fill="D9D9D9"/>
          </w:tcPr>
          <w:p>
            <w:pPr>
              <w:spacing w:after="0"/>
              <w:rPr>
                <w:sz w:val="16"/>
                <w:szCs w:val="16"/>
                <w:color w:val="auto"/>
              </w:rPr>
            </w:pPr>
          </w:p>
        </w:tc>
      </w:tr>
      <w:tr>
        <w:trPr>
          <w:trHeight w:val="217"/>
        </w:trPr>
        <w:tc>
          <w:tcPr>
            <w:tcW w:w="1740" w:type="dxa"/>
            <w:vAlign w:val="bottom"/>
            <w:tcBorders>
              <w:left w:val="single" w:sz="8" w:color="auto"/>
              <w:right w:val="single" w:sz="8" w:color="auto"/>
            </w:tcBorders>
            <w:shd w:val="clear" w:color="auto" w:fill="D9D9D9"/>
          </w:tcPr>
          <w:p>
            <w:pPr>
              <w:spacing w:after="0"/>
              <w:rPr>
                <w:sz w:val="18"/>
                <w:szCs w:val="18"/>
                <w:color w:val="auto"/>
              </w:rPr>
            </w:pPr>
          </w:p>
        </w:tc>
        <w:tc>
          <w:tcPr>
            <w:tcW w:w="1380" w:type="dxa"/>
            <w:vAlign w:val="bottom"/>
            <w:tcBorders>
              <w:right w:val="single" w:sz="8" w:color="auto"/>
            </w:tcBorders>
            <w:shd w:val="clear" w:color="auto" w:fill="D9D9D9"/>
          </w:tcPr>
          <w:p>
            <w:pPr>
              <w:spacing w:after="0"/>
              <w:rPr>
                <w:sz w:val="18"/>
                <w:szCs w:val="18"/>
                <w:color w:val="auto"/>
              </w:rPr>
            </w:pPr>
          </w:p>
        </w:tc>
        <w:tc>
          <w:tcPr>
            <w:tcW w:w="1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1480" w:type="dxa"/>
            <w:vAlign w:val="bottom"/>
            <w:tcBorders>
              <w:right w:val="single" w:sz="8" w:color="auto"/>
            </w:tcBorders>
            <w:shd w:val="clear" w:color="auto" w:fill="D9D9D9"/>
          </w:tcPr>
          <w:p>
            <w:pPr>
              <w:spacing w:after="0"/>
              <w:rPr>
                <w:sz w:val="18"/>
                <w:szCs w:val="18"/>
                <w:color w:val="auto"/>
              </w:rPr>
            </w:pPr>
          </w:p>
        </w:tc>
        <w:tc>
          <w:tcPr>
            <w:tcW w:w="2040" w:type="dxa"/>
            <w:vAlign w:val="bottom"/>
            <w:tcBorders>
              <w:right w:val="single" w:sz="8" w:color="auto"/>
            </w:tcBorders>
            <w:shd w:val="clear" w:color="auto" w:fill="D9D9D9"/>
          </w:tcPr>
          <w:p>
            <w:pPr>
              <w:spacing w:after="0"/>
              <w:rPr>
                <w:sz w:val="18"/>
                <w:szCs w:val="18"/>
                <w:color w:val="auto"/>
              </w:rPr>
            </w:pPr>
          </w:p>
        </w:tc>
        <w:tc>
          <w:tcPr>
            <w:tcW w:w="1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7"/>
              </w:rPr>
              <w:t>Outstanding</w:t>
            </w:r>
          </w:p>
        </w:tc>
        <w:tc>
          <w:tcPr>
            <w:tcW w:w="1480" w:type="dxa"/>
            <w:vAlign w:val="bottom"/>
            <w:tcBorders>
              <w:right w:val="single" w:sz="8" w:color="auto"/>
            </w:tcBorders>
            <w:shd w:val="clear" w:color="auto" w:fill="D9D9D9"/>
          </w:tcPr>
          <w:p>
            <w:pPr>
              <w:spacing w:after="0"/>
              <w:rPr>
                <w:sz w:val="18"/>
                <w:szCs w:val="18"/>
                <w:color w:val="auto"/>
              </w:rPr>
            </w:pPr>
          </w:p>
        </w:tc>
      </w:tr>
      <w:tr>
        <w:trPr>
          <w:trHeight w:val="570"/>
        </w:trPr>
        <w:tc>
          <w:tcPr>
            <w:tcW w:w="174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1380" w:type="dxa"/>
            <w:vAlign w:val="bottom"/>
            <w:tcBorders>
              <w:bottom w:val="single" w:sz="8" w:color="auto"/>
              <w:right w:val="single" w:sz="8" w:color="auto"/>
            </w:tcBorders>
            <w:shd w:val="clear" w:color="auto" w:fill="D9D9D9"/>
          </w:tcPr>
          <w:p>
            <w:pPr>
              <w:spacing w:after="0"/>
              <w:rPr>
                <w:sz w:val="24"/>
                <w:szCs w:val="24"/>
                <w:color w:val="auto"/>
              </w:rPr>
            </w:pPr>
          </w:p>
        </w:tc>
        <w:tc>
          <w:tcPr>
            <w:tcW w:w="1620" w:type="dxa"/>
            <w:vAlign w:val="bottom"/>
            <w:tcBorders>
              <w:bottom w:val="single" w:sz="8" w:color="auto"/>
              <w:right w:val="single" w:sz="8" w:color="auto"/>
            </w:tcBorders>
            <w:shd w:val="clear" w:color="auto" w:fill="D9D9D9"/>
          </w:tcPr>
          <w:p>
            <w:pPr>
              <w:spacing w:after="0"/>
              <w:rPr>
                <w:sz w:val="24"/>
                <w:szCs w:val="24"/>
                <w:color w:val="auto"/>
              </w:rPr>
            </w:pPr>
          </w:p>
        </w:tc>
        <w:tc>
          <w:tcPr>
            <w:tcW w:w="1480" w:type="dxa"/>
            <w:vAlign w:val="bottom"/>
            <w:tcBorders>
              <w:bottom w:val="single" w:sz="8" w:color="auto"/>
              <w:right w:val="single" w:sz="8" w:color="auto"/>
            </w:tcBorders>
            <w:shd w:val="clear" w:color="auto" w:fill="D9D9D9"/>
          </w:tcPr>
          <w:p>
            <w:pPr>
              <w:spacing w:after="0"/>
              <w:rPr>
                <w:sz w:val="24"/>
                <w:szCs w:val="24"/>
                <w:color w:val="auto"/>
              </w:rPr>
            </w:pPr>
          </w:p>
        </w:tc>
        <w:tc>
          <w:tcPr>
            <w:tcW w:w="2040" w:type="dxa"/>
            <w:vAlign w:val="bottom"/>
            <w:tcBorders>
              <w:bottom w:val="single" w:sz="8" w:color="auto"/>
              <w:right w:val="single" w:sz="8" w:color="auto"/>
            </w:tcBorders>
            <w:shd w:val="clear" w:color="auto" w:fill="D9D9D9"/>
          </w:tcPr>
          <w:p>
            <w:pPr>
              <w:spacing w:after="0"/>
              <w:rPr>
                <w:sz w:val="24"/>
                <w:szCs w:val="24"/>
                <w:color w:val="auto"/>
              </w:rPr>
            </w:pPr>
          </w:p>
        </w:tc>
        <w:tc>
          <w:tcPr>
            <w:tcW w:w="1720" w:type="dxa"/>
            <w:vAlign w:val="bottom"/>
            <w:tcBorders>
              <w:bottom w:val="single" w:sz="8" w:color="auto"/>
              <w:right w:val="single" w:sz="8" w:color="auto"/>
            </w:tcBorders>
            <w:shd w:val="clear" w:color="auto" w:fill="D9D9D9"/>
          </w:tcPr>
          <w:p>
            <w:pPr>
              <w:spacing w:after="0"/>
              <w:rPr>
                <w:sz w:val="24"/>
                <w:szCs w:val="24"/>
                <w:color w:val="auto"/>
              </w:rPr>
            </w:pPr>
          </w:p>
        </w:tc>
        <w:tc>
          <w:tcPr>
            <w:tcW w:w="148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jc w:val="right"/>
              <w:ind w:right="1158"/>
              <w:spacing w:after="0"/>
              <w:rPr>
                <w:sz w:val="20"/>
                <w:szCs w:val="20"/>
                <w:color w:val="auto"/>
              </w:rPr>
            </w:pPr>
            <w:r>
              <w:rPr>
                <w:rFonts w:ascii="Arial" w:cs="Arial" w:eastAsia="Arial" w:hAnsi="Arial"/>
                <w:sz w:val="16"/>
                <w:szCs w:val="16"/>
                <w:color w:val="auto"/>
                <w:w w:val="89"/>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International, Inc.</w:t>
            </w:r>
          </w:p>
        </w:tc>
        <w:tc>
          <w:tcPr>
            <w:tcW w:w="1720" w:type="dxa"/>
            <w:vAlign w:val="bottom"/>
            <w:tcBorders>
              <w:right w:val="single" w:sz="8" w:color="auto"/>
            </w:tcBorders>
          </w:tcPr>
          <w:p>
            <w:pPr>
              <w:jc w:val="right"/>
              <w:ind w:right="1258"/>
              <w:spacing w:after="0"/>
              <w:rPr>
                <w:sz w:val="20"/>
                <w:szCs w:val="20"/>
                <w:color w:val="auto"/>
              </w:rPr>
            </w:pPr>
            <w:r>
              <w:rPr>
                <w:rFonts w:ascii="Arial" w:cs="Arial" w:eastAsia="Arial" w:hAnsi="Arial"/>
                <w:sz w:val="16"/>
                <w:szCs w:val="16"/>
                <w:color w:val="auto"/>
                <w:w w:val="87"/>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Integrated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jc w:val="right"/>
              <w:ind w:right="1158"/>
              <w:spacing w:after="0"/>
              <w:rPr>
                <w:sz w:val="20"/>
                <w:szCs w:val="20"/>
                <w:color w:val="auto"/>
              </w:rPr>
            </w:pPr>
            <w:r>
              <w:rPr>
                <w:rFonts w:ascii="Arial" w:cs="Arial" w:eastAsia="Arial" w:hAnsi="Arial"/>
                <w:sz w:val="16"/>
                <w:szCs w:val="16"/>
                <w:color w:val="auto"/>
                <w:w w:val="89"/>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 Holding Inc.</w:t>
            </w:r>
          </w:p>
        </w:tc>
        <w:tc>
          <w:tcPr>
            <w:tcW w:w="1720" w:type="dxa"/>
            <w:vAlign w:val="bottom"/>
            <w:tcBorders>
              <w:right w:val="single" w:sz="8" w:color="auto"/>
            </w:tcBorders>
          </w:tcPr>
          <w:p>
            <w:pPr>
              <w:jc w:val="right"/>
              <w:ind w:right="1258"/>
              <w:spacing w:after="0"/>
              <w:rPr>
                <w:sz w:val="20"/>
                <w:szCs w:val="20"/>
                <w:color w:val="auto"/>
              </w:rPr>
            </w:pPr>
            <w:r>
              <w:rPr>
                <w:rFonts w:ascii="Arial" w:cs="Arial" w:eastAsia="Arial" w:hAnsi="Arial"/>
                <w:sz w:val="16"/>
                <w:szCs w:val="16"/>
                <w:color w:val="auto"/>
                <w:w w:val="87"/>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Inc. (f/k/a</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37"/>
        </w:trPr>
        <w:tc>
          <w:tcPr>
            <w:tcW w:w="1740" w:type="dxa"/>
            <w:vAlign w:val="bottom"/>
            <w:tcBorders>
              <w:left w:val="single" w:sz="8" w:color="auto"/>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r>
    </w:tbl>
    <w:p>
      <w:pPr>
        <w:sectPr>
          <w:pgSz w:w="11900" w:h="16900" w:orient="portrait"/>
          <w:cols w:equalWidth="0" w:num="1">
            <w:col w:w="11445"/>
          </w:cols>
          <w:pgMar w:left="235" w:top="161" w:right="219" w:bottom="0" w:gutter="0" w:footer="0" w:header="0"/>
        </w:sectPr>
      </w:pPr>
    </w:p>
    <w:bookmarkStart w:id="86" w:name="page87"/>
    <w:bookmarkEnd w:id="86"/>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Bruckner Supply</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Calvert Wire &amp; Cable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Communications Supply</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Corporation</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Carlton-Bates Company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Arkansas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Class A Common</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US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Stock</w:t>
            </w: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Carlton-Bates Company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Arkansas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Carlton-Bates Company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Texas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Carlton-Bates Company</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Texas GP, 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CBC LP Holdings, LLC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Enterprises,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CDW Holdco, LLC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Communications Supply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Connecticut</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US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Conney Investment</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Holdings, 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3"/>
              </w:rPr>
              <w:t>Conney Safety Products,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Conney Investment Holdings,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LLC</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Hi-Line Utility Supply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Illinois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Hill Country Electric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Texas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98.859%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Hill Country Electric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Texas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TVC International Holding,</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1.141%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L.L.C.</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Liberty Wire &amp; Cable,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15,000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Communications Supply</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Corporation</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TVC Communications,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TVC International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TVC Communications,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Holding, 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 Holding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Class A Common</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Stock</w:t>
            </w: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 Holding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25,000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Class B Common</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Stock</w:t>
            </w: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WDCH,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Pennsylvania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CBC LP Holdings,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WDCH,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Pennsylvania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II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WDCH US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WDCH US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II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1"/>
              </w:rPr>
              <w:t>WESCO Enterprises,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 Holding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Equity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Finance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International,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Holdings, LLC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 Holding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Nevada, Ltd.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Nevada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US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Nigeria,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1502218 Alberta, Ltd.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Various Classes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Stone Eagle Electrical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Various Classes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GP 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Stone Eagle Electrical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Stone Eagle Electrical Supply</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.001%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GP Inc.</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Stone Eagle Electrical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1502218 Alberta, Ltd.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Supply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TVC Canada Corp.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89"/>
              </w:rPr>
              <w:t>Canada-Nova Scotia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89"/>
              </w:rPr>
              <w:t>Canada-Nova Scotia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99.55%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Canada Co.</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89"/>
              </w:rPr>
              <w:t>Canada-Nova Scotia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TVC Canada Corp.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Canada Co.</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Canada-Ontario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1,000,000,000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Canada GP Inc.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Canada-Ontario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6.6809%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Canada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GP Inc.</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Canada-Ontario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93.3191%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Canada LP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 II</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89"/>
              </w:rPr>
              <w:t>Canada-Nova Scotia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 III</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89"/>
              </w:rPr>
              <w:t>Canada-Nova Scotia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Canada I,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Holdings,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12.58%</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-6985</wp:posOffset>
            </wp:positionV>
            <wp:extent cx="762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-6985</wp:posOffset>
            </wp:positionV>
            <wp:extent cx="76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-6985</wp:posOffset>
            </wp:positionV>
            <wp:extent cx="762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-6985</wp:posOffset>
            </wp:positionV>
            <wp:extent cx="762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-6985</wp:posOffset>
            </wp:positionV>
            <wp:extent cx="762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-6985</wp:posOffset>
            </wp:positionV>
            <wp:extent cx="762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-6985</wp:posOffset>
            </wp:positionV>
            <wp:extent cx="762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298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-6985</wp:posOffset>
            </wp:positionV>
            <wp:extent cx="762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 cy="29845"/>
                    </a:xfrm>
                    <a:prstGeom prst="rect">
                      <a:avLst/>
                    </a:prstGeom>
                    <a:noFill/>
                  </pic:spPr>
                </pic:pic>
              </a:graphicData>
            </a:graphic>
          </wp:anchor>
        </w:drawing>
      </w:r>
    </w:p>
    <w:p>
      <w:pPr>
        <w:sectPr>
          <w:pgSz w:w="11900" w:h="16864" w:orient="portrait"/>
          <w:cols w:equalWidth="0" w:num="1">
            <w:col w:w="11440"/>
          </w:cols>
          <w:pgMar w:left="240" w:top="133" w:right="219" w:bottom="0" w:gutter="0" w:footer="0" w:header="0"/>
        </w:sectPr>
      </w:pPr>
    </w:p>
    <w:bookmarkStart w:id="87" w:name="page88"/>
    <w:bookmarkEnd w:id="8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Canada I, LP</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WDC Holding Inc.</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87.42%</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Canada II,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II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&lt;0.01%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Canada II, LP</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Canada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&gt;99.99%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 B.V.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Ordinary</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Enterprises,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WDCC Enterprises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III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III B.V.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Ordinary</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Canada I,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II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0.15%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II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99.85%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0.15%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Distribution II ULC</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III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99.85%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III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191"/>
        </w:trPr>
        <w:tc>
          <w:tcPr>
            <w:tcW w:w="174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Distribution</w:t>
            </w: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Canada Co.</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III C.V.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Partnership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II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0.01%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Real Estate I,</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CDW Holdco,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Real Estate II,</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CDW Holdco,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WESCO Real Estate III,</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CDW Holdco,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WESCO Real Estate IV,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Membership Interest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CDW Holdco, LLC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Liability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Receivables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Class A Common</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0.3%</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Stock</w:t>
            </w: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total common</w:t>
            </w: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Receivables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198,000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Class B</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US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99.7%</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total common</w:t>
            </w: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TVC UK Holding</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22,341</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Ordinary</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WDCH, LP</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UK Limited</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Limited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 Angola, LDA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Angola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WESCO Distribution NL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III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90.08%</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WESCO Distribution NL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C.V.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9.92%</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2"/>
              </w:rPr>
              <w:t>TVC Espana Distribucion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do Brasil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Equipamentos</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Eletronicos Ltda.</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do Brasil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&lt;.01%</w:t>
            </w:r>
          </w:p>
        </w:tc>
        <w:tc>
          <w:tcPr>
            <w:tcW w:w="1480" w:type="dxa"/>
            <w:vAlign w:val="bottom"/>
            <w:tcBorders>
              <w:right w:val="single" w:sz="8" w:color="auto"/>
            </w:tcBorders>
          </w:tcPr>
          <w:p>
            <w:pPr>
              <w:spacing w:after="0"/>
              <w:rPr>
                <w:sz w:val="16"/>
                <w:szCs w:val="16"/>
                <w:color w:val="auto"/>
              </w:rPr>
            </w:pP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Equipamentos</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Eletronicos Ltda.</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WEAS Company Srl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.00015%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WEAS Company Srl</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99.9985%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88"/>
              </w:rPr>
              <w:t>Services Voice, Video and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WEAS Company Srl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99.97%</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Data Distribution de</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Mexico, S. de R.L. de</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88"/>
              </w:rPr>
              <w:t>Services Voice, Video and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.03%</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Data Distribution de</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Mexico, S. de R.L. de</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WESCO Distribution de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.00015%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Mexico, Srl</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WESCO Distribution de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99.9985%</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Mexico, Srl</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Voice, Video and Data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.03%</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Distribution de Mexico,</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 de. R.L. de C.V.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Voice, Video and Data</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99.97%</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9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Distribution de Mexico,</w:t>
            </w:r>
          </w:p>
        </w:tc>
        <w:tc>
          <w:tcPr>
            <w:tcW w:w="13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Mexico, Srl</w:t>
            </w:r>
          </w:p>
        </w:tc>
        <w:tc>
          <w:tcPr>
            <w:tcW w:w="17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 de. R.L. de C.V.</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Australia Pty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Ltd.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WESCO Distribution Pte</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Ltd.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Bruckner Supply</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Pte Ltd.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Singapore</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WDINESCO B.V.</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WESCO Distribution NL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WESCO Distribution HK</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Hong Kong</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61"/>
        </w:trPr>
        <w:tc>
          <w:tcPr>
            <w:tcW w:w="174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r>
    </w:tbl>
    <w:p>
      <w:pPr>
        <w:sectPr>
          <w:pgSz w:w="11900" w:h="16900" w:orient="portrait"/>
          <w:cols w:equalWidth="0" w:num="1">
            <w:col w:w="11440"/>
          </w:cols>
          <w:pgMar w:left="240" w:top="140" w:right="219" w:bottom="0" w:gutter="0" w:footer="0" w:header="0"/>
        </w:sectPr>
      </w:pPr>
    </w:p>
    <w:bookmarkStart w:id="88" w:name="page89"/>
    <w:bookmarkEnd w:id="8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Limited</w:t>
            </w:r>
          </w:p>
        </w:tc>
        <w:tc>
          <w:tcPr>
            <w:tcW w:w="138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(Suzhou)</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 HK</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Trading Co. Ltd.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Limited</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Distribution</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 Ltd.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1"/>
              </w:rPr>
              <w:t>Bruckner Polska sp z.o.o.</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Distribution</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International, Ltd.</w:t>
            </w: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1"/>
              </w:rPr>
              <w:t>Bruckner Polska sp z.o.o.</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Poland</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99%</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WND Nigeria Limited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Nigeria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WESCO Nigeria,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WND Nigeria Limited</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Nigeria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WDINESCO B.V.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Hazmasters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Ontario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Shares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WDCC Enterprises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0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Hazmasters Quebec Inc.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Federal (Canada)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Shares</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Hazmasters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WECOL Holdings, ULC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 – 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WDCC Enterprises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WECOL Holdings ULC</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Canada – Alberta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EECOL Electric ULC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Unlimited Liability</w:t>
            </w: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WESCO TLD Holdings</w:t>
            </w: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10,000,000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Baht</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WDC Holding, Inc.</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 Limited Company</w:t>
            </w:r>
          </w:p>
        </w:tc>
      </w:tr>
      <w:tr>
        <w:trPr>
          <w:trHeight w:val="202"/>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 Ltd.</w:t>
            </w:r>
          </w:p>
        </w:tc>
        <w:tc>
          <w:tcPr>
            <w:tcW w:w="138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80" w:type="dxa"/>
            <w:vAlign w:val="bottom"/>
            <w:tcBorders>
              <w:top w:val="single" w:sz="8" w:color="00000A"/>
              <w:left w:val="single" w:sz="8" w:color="00000A"/>
            </w:tcBorders>
            <w:shd w:val="clear" w:color="auto" w:fill="D9D9D9"/>
          </w:tcPr>
          <w:p>
            <w:pPr>
              <w:spacing w:after="0"/>
              <w:rPr>
                <w:sz w:val="16"/>
                <w:szCs w:val="16"/>
                <w:color w:val="auto"/>
              </w:rPr>
            </w:pPr>
          </w:p>
        </w:tc>
        <w:tc>
          <w:tcPr>
            <w:tcW w:w="1220" w:type="dxa"/>
            <w:vAlign w:val="bottom"/>
            <w:tcBorders>
              <w:top w:val="single" w:sz="8" w:color="00000A"/>
              <w:right w:val="single" w:sz="8" w:color="00000A"/>
            </w:tcBorders>
            <w:gridSpan w:val="4"/>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Current Legal</w:t>
            </w:r>
          </w:p>
        </w:tc>
        <w:tc>
          <w:tcPr>
            <w:tcW w:w="260" w:type="dxa"/>
            <w:vAlign w:val="bottom"/>
            <w:tcBorders>
              <w:top w:val="single" w:sz="8" w:color="00000A"/>
            </w:tcBorders>
            <w:shd w:val="clear" w:color="auto" w:fill="D9D9D9"/>
          </w:tcPr>
          <w:p>
            <w:pPr>
              <w:spacing w:after="0"/>
              <w:rPr>
                <w:sz w:val="16"/>
                <w:szCs w:val="16"/>
                <w:color w:val="auto"/>
              </w:rPr>
            </w:pPr>
          </w:p>
        </w:tc>
        <w:tc>
          <w:tcPr>
            <w:tcW w:w="1340" w:type="dxa"/>
            <w:vAlign w:val="bottom"/>
            <w:tcBorders>
              <w:top w:val="single" w:sz="8" w:color="00000A"/>
              <w:right w:val="single" w:sz="8" w:color="00000A"/>
            </w:tcBorders>
            <w:gridSpan w:val="2"/>
            <w:shd w:val="clear" w:color="auto" w:fill="D9D9D9"/>
          </w:tcPr>
          <w:p>
            <w:pPr>
              <w:jc w:val="center"/>
              <w:ind w:right="280"/>
              <w:spacing w:after="0" w:line="191" w:lineRule="exact"/>
              <w:rPr>
                <w:sz w:val="20"/>
                <w:szCs w:val="20"/>
                <w:color w:val="auto"/>
              </w:rPr>
            </w:pPr>
            <w:r>
              <w:rPr>
                <w:rFonts w:ascii="Arial" w:cs="Arial" w:eastAsia="Arial" w:hAnsi="Arial"/>
                <w:sz w:val="17"/>
                <w:szCs w:val="17"/>
                <w:b w:val="1"/>
                <w:bCs w:val="1"/>
                <w:color w:val="auto"/>
                <w:w w:val="91"/>
              </w:rPr>
              <w:t>Record Owner</w:t>
            </w:r>
          </w:p>
        </w:tc>
        <w:tc>
          <w:tcPr>
            <w:tcW w:w="40" w:type="dxa"/>
            <w:vAlign w:val="bottom"/>
            <w:tcBorders>
              <w:top w:val="single" w:sz="8" w:color="00000A"/>
            </w:tcBorders>
            <w:shd w:val="clear" w:color="auto" w:fill="D9D9D9"/>
          </w:tcPr>
          <w:p>
            <w:pPr>
              <w:spacing w:after="0"/>
              <w:rPr>
                <w:sz w:val="16"/>
                <w:szCs w:val="16"/>
                <w:color w:val="auto"/>
              </w:rPr>
            </w:pPr>
          </w:p>
        </w:tc>
        <w:tc>
          <w:tcPr>
            <w:tcW w:w="1460" w:type="dxa"/>
            <w:vAlign w:val="bottom"/>
            <w:tcBorders>
              <w:top w:val="single" w:sz="8" w:color="00000A"/>
              <w:right w:val="single" w:sz="8" w:color="00000A"/>
            </w:tcBorders>
            <w:shd w:val="clear" w:color="auto" w:fill="D9D9D9"/>
          </w:tcPr>
          <w:p>
            <w:pPr>
              <w:jc w:val="center"/>
              <w:spacing w:after="0" w:line="191" w:lineRule="exact"/>
              <w:rPr>
                <w:sz w:val="20"/>
                <w:szCs w:val="20"/>
                <w:color w:val="auto"/>
              </w:rPr>
            </w:pPr>
            <w:r>
              <w:rPr>
                <w:rFonts w:ascii="Arial" w:cs="Arial" w:eastAsia="Arial" w:hAnsi="Arial"/>
                <w:sz w:val="17"/>
                <w:szCs w:val="17"/>
                <w:b w:val="1"/>
                <w:bCs w:val="1"/>
                <w:color w:val="auto"/>
                <w:w w:val="92"/>
              </w:rPr>
              <w:t>Certificate Number</w:t>
            </w:r>
          </w:p>
        </w:tc>
        <w:tc>
          <w:tcPr>
            <w:tcW w:w="2160" w:type="dxa"/>
            <w:vAlign w:val="bottom"/>
            <w:tcBorders>
              <w:top w:val="single" w:sz="8" w:color="00000A"/>
              <w:right w:val="single" w:sz="8" w:color="00000A"/>
            </w:tcBorders>
            <w:gridSpan w:val="4"/>
            <w:shd w:val="clear" w:color="auto" w:fill="D9D9D9"/>
          </w:tcPr>
          <w:p>
            <w:pPr>
              <w:jc w:val="center"/>
              <w:ind w:right="20"/>
              <w:spacing w:after="0" w:line="191" w:lineRule="exact"/>
              <w:rPr>
                <w:sz w:val="20"/>
                <w:szCs w:val="20"/>
                <w:color w:val="auto"/>
              </w:rPr>
            </w:pPr>
            <w:r>
              <w:rPr>
                <w:rFonts w:ascii="Arial" w:cs="Arial" w:eastAsia="Arial" w:hAnsi="Arial"/>
                <w:sz w:val="17"/>
                <w:szCs w:val="17"/>
                <w:b w:val="1"/>
                <w:bCs w:val="1"/>
                <w:color w:val="auto"/>
                <w:w w:val="89"/>
              </w:rPr>
              <w:t>Number of Shares/Interest</w:t>
            </w:r>
          </w:p>
        </w:tc>
        <w:tc>
          <w:tcPr>
            <w:tcW w:w="180" w:type="dxa"/>
            <w:vAlign w:val="bottom"/>
            <w:tcBorders>
              <w:top w:val="single" w:sz="8" w:color="00000A"/>
            </w:tcBorders>
            <w:shd w:val="clear" w:color="auto" w:fill="D9D9D9"/>
          </w:tcPr>
          <w:p>
            <w:pPr>
              <w:spacing w:after="0"/>
              <w:rPr>
                <w:sz w:val="16"/>
                <w:szCs w:val="16"/>
                <w:color w:val="auto"/>
              </w:rPr>
            </w:pPr>
          </w:p>
        </w:tc>
        <w:tc>
          <w:tcPr>
            <w:tcW w:w="1880" w:type="dxa"/>
            <w:vAlign w:val="bottom"/>
            <w:tcBorders>
              <w:top w:val="single" w:sz="8" w:color="00000A"/>
              <w:right w:val="single" w:sz="8" w:color="00000A"/>
            </w:tcBorders>
            <w:gridSpan w:val="2"/>
            <w:shd w:val="clear" w:color="auto" w:fill="D9D9D9"/>
          </w:tcPr>
          <w:p>
            <w:pPr>
              <w:jc w:val="center"/>
              <w:ind w:right="200"/>
              <w:spacing w:after="0" w:line="191" w:lineRule="exact"/>
              <w:rPr>
                <w:sz w:val="20"/>
                <w:szCs w:val="20"/>
                <w:color w:val="auto"/>
              </w:rPr>
            </w:pPr>
            <w:r>
              <w:rPr>
                <w:rFonts w:ascii="Arial" w:cs="Arial" w:eastAsia="Arial" w:hAnsi="Arial"/>
                <w:sz w:val="17"/>
                <w:szCs w:val="17"/>
                <w:b w:val="1"/>
                <w:bCs w:val="1"/>
                <w:color w:val="auto"/>
                <w:w w:val="89"/>
              </w:rPr>
              <w:t>Type of Equity Interest</w:t>
            </w:r>
          </w:p>
        </w:tc>
        <w:tc>
          <w:tcPr>
            <w:tcW w:w="2740" w:type="dxa"/>
            <w:vAlign w:val="bottom"/>
            <w:tcBorders>
              <w:top w:val="single" w:sz="8" w:color="00000A"/>
              <w:right w:val="single" w:sz="8" w:color="00000A"/>
            </w:tcBorders>
            <w:gridSpan w:val="3"/>
            <w:shd w:val="clear" w:color="auto" w:fill="D9D9D9"/>
          </w:tcPr>
          <w:p>
            <w:pPr>
              <w:jc w:val="center"/>
              <w:ind w:right="40"/>
              <w:spacing w:after="0" w:line="191" w:lineRule="exact"/>
              <w:rPr>
                <w:sz w:val="20"/>
                <w:szCs w:val="20"/>
                <w:color w:val="auto"/>
              </w:rPr>
            </w:pPr>
            <w:r>
              <w:rPr>
                <w:rFonts w:ascii="Arial" w:cs="Arial" w:eastAsia="Arial" w:hAnsi="Arial"/>
                <w:sz w:val="17"/>
                <w:szCs w:val="17"/>
                <w:b w:val="1"/>
                <w:bCs w:val="1"/>
                <w:color w:val="auto"/>
                <w:w w:val="90"/>
              </w:rPr>
              <w:t>Type of Entity (Issuer)</w:t>
            </w:r>
          </w:p>
        </w:tc>
      </w:tr>
      <w:tr>
        <w:trPr>
          <w:trHeight w:val="235"/>
        </w:trPr>
        <w:tc>
          <w:tcPr>
            <w:tcW w:w="180" w:type="dxa"/>
            <w:vAlign w:val="bottom"/>
            <w:tcBorders>
              <w:top w:val="single" w:sz="8" w:color="D9D9D9"/>
              <w:left w:val="single" w:sz="8" w:color="00000A"/>
              <w:bottom w:val="single" w:sz="8" w:color="D9D9D9"/>
            </w:tcBorders>
            <w:shd w:val="clear" w:color="auto" w:fill="D9D9D9"/>
          </w:tcPr>
          <w:p>
            <w:pPr>
              <w:spacing w:after="0"/>
              <w:rPr>
                <w:sz w:val="20"/>
                <w:szCs w:val="20"/>
                <w:color w:val="auto"/>
              </w:rPr>
            </w:pPr>
          </w:p>
        </w:tc>
        <w:tc>
          <w:tcPr>
            <w:tcW w:w="20" w:type="dxa"/>
            <w:vAlign w:val="bottom"/>
            <w:tcBorders>
              <w:top w:val="single" w:sz="8" w:color="auto"/>
              <w:bottom w:val="single" w:sz="8" w:color="D9D9D9"/>
            </w:tcBorders>
            <w:shd w:val="clear" w:color="auto" w:fill="D9D9D9"/>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D9D9D9"/>
          </w:tcPr>
          <w:p>
            <w:pPr>
              <w:spacing w:after="0" w:line="171" w:lineRule="exact"/>
              <w:rPr>
                <w:sz w:val="20"/>
                <w:szCs w:val="20"/>
                <w:color w:val="auto"/>
              </w:rPr>
            </w:pPr>
            <w:r>
              <w:rPr>
                <w:rFonts w:ascii="Arial" w:cs="Arial" w:eastAsia="Arial" w:hAnsi="Arial"/>
                <w:sz w:val="17"/>
                <w:szCs w:val="17"/>
                <w:b w:val="1"/>
                <w:bCs w:val="1"/>
                <w:color w:val="auto"/>
                <w:w w:val="90"/>
              </w:rPr>
              <w:t>Entity Owned</w:t>
            </w:r>
          </w:p>
        </w:tc>
        <w:tc>
          <w:tcPr>
            <w:tcW w:w="200" w:type="dxa"/>
            <w:vAlign w:val="bottom"/>
            <w:tcBorders>
              <w:top w:val="single" w:sz="8" w:color="D9D9D9"/>
              <w:bottom w:val="single" w:sz="8" w:color="D9D9D9"/>
              <w:right w:val="single" w:sz="8" w:color="00000A"/>
            </w:tcBorders>
            <w:shd w:val="clear" w:color="auto" w:fill="D9D9D9"/>
          </w:tcPr>
          <w:p>
            <w:pPr>
              <w:spacing w:after="0"/>
              <w:rPr>
                <w:sz w:val="20"/>
                <w:szCs w:val="20"/>
                <w:color w:val="auto"/>
              </w:rPr>
            </w:pPr>
          </w:p>
        </w:tc>
        <w:tc>
          <w:tcPr>
            <w:tcW w:w="260" w:type="dxa"/>
            <w:vAlign w:val="bottom"/>
            <w:tcBorders>
              <w:top w:val="single" w:sz="8" w:color="D9D9D9"/>
              <w:bottom w:val="single" w:sz="8" w:color="D9D9D9"/>
            </w:tcBorders>
            <w:shd w:val="clear" w:color="auto" w:fill="D9D9D9"/>
          </w:tcPr>
          <w:p>
            <w:pPr>
              <w:spacing w:after="0"/>
              <w:rPr>
                <w:sz w:val="20"/>
                <w:szCs w:val="20"/>
                <w:color w:val="auto"/>
              </w:rPr>
            </w:pPr>
          </w:p>
        </w:tc>
        <w:tc>
          <w:tcPr>
            <w:tcW w:w="1060" w:type="dxa"/>
            <w:vAlign w:val="bottom"/>
            <w:tcBorders>
              <w:top w:val="single" w:sz="8" w:color="auto"/>
              <w:bottom w:val="single" w:sz="8" w:color="D9D9D9"/>
            </w:tcBorders>
            <w:shd w:val="clear" w:color="auto" w:fill="D9D9D9"/>
          </w:tcPr>
          <w:p>
            <w:pPr>
              <w:spacing w:after="0"/>
              <w:rPr>
                <w:sz w:val="20"/>
                <w:szCs w:val="20"/>
                <w:color w:val="auto"/>
              </w:rPr>
            </w:pPr>
          </w:p>
        </w:tc>
        <w:tc>
          <w:tcPr>
            <w:tcW w:w="280" w:type="dxa"/>
            <w:vAlign w:val="bottom"/>
            <w:tcBorders>
              <w:top w:val="single" w:sz="8" w:color="D9D9D9"/>
              <w:bottom w:val="single" w:sz="8" w:color="D9D9D9"/>
              <w:right w:val="single" w:sz="8" w:color="00000A"/>
            </w:tcBorders>
            <w:shd w:val="clear" w:color="auto" w:fill="D9D9D9"/>
          </w:tcPr>
          <w:p>
            <w:pPr>
              <w:spacing w:after="0"/>
              <w:rPr>
                <w:sz w:val="20"/>
                <w:szCs w:val="20"/>
                <w:color w:val="auto"/>
              </w:rPr>
            </w:pPr>
          </w:p>
        </w:tc>
        <w:tc>
          <w:tcPr>
            <w:tcW w:w="40" w:type="dxa"/>
            <w:vAlign w:val="bottom"/>
            <w:tcBorders>
              <w:top w:val="single" w:sz="8" w:color="D9D9D9"/>
              <w:bottom w:val="single" w:sz="8" w:color="D9D9D9"/>
            </w:tcBorders>
            <w:shd w:val="clear" w:color="auto" w:fill="D9D9D9"/>
          </w:tcPr>
          <w:p>
            <w:pPr>
              <w:spacing w:after="0"/>
              <w:rPr>
                <w:sz w:val="20"/>
                <w:szCs w:val="20"/>
                <w:color w:val="auto"/>
              </w:rPr>
            </w:pPr>
          </w:p>
        </w:tc>
        <w:tc>
          <w:tcPr>
            <w:tcW w:w="1460" w:type="dxa"/>
            <w:vAlign w:val="bottom"/>
            <w:tcBorders>
              <w:top w:val="single" w:sz="8" w:color="auto"/>
              <w:bottom w:val="single" w:sz="8" w:color="D9D9D9"/>
              <w:right w:val="single" w:sz="8" w:color="00000A"/>
            </w:tcBorders>
            <w:shd w:val="clear" w:color="auto" w:fill="D9D9D9"/>
          </w:tcPr>
          <w:p>
            <w:pPr>
              <w:spacing w:after="0"/>
              <w:rPr>
                <w:sz w:val="20"/>
                <w:szCs w:val="20"/>
                <w:color w:val="auto"/>
              </w:rPr>
            </w:pPr>
          </w:p>
        </w:tc>
        <w:tc>
          <w:tcPr>
            <w:tcW w:w="120" w:type="dxa"/>
            <w:vAlign w:val="bottom"/>
            <w:tcBorders>
              <w:top w:val="single" w:sz="8" w:color="D9D9D9"/>
              <w:bottom w:val="single" w:sz="8" w:color="D9D9D9"/>
            </w:tcBorders>
            <w:shd w:val="clear" w:color="auto" w:fill="D9D9D9"/>
          </w:tcPr>
          <w:p>
            <w:pPr>
              <w:spacing w:after="0"/>
              <w:rPr>
                <w:sz w:val="20"/>
                <w:szCs w:val="20"/>
                <w:color w:val="auto"/>
              </w:rPr>
            </w:pP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1740" w:type="dxa"/>
            <w:vAlign w:val="bottom"/>
            <w:tcBorders>
              <w:top w:val="single" w:sz="8" w:color="auto"/>
              <w:bottom w:val="single" w:sz="8" w:color="D9D9D9"/>
            </w:tcBorders>
            <w:shd w:val="clear" w:color="auto" w:fill="D9D9D9"/>
          </w:tcPr>
          <w:p>
            <w:pPr>
              <w:spacing w:after="0"/>
              <w:rPr>
                <w:sz w:val="20"/>
                <w:szCs w:val="20"/>
                <w:color w:val="auto"/>
              </w:rPr>
            </w:pPr>
          </w:p>
        </w:tc>
        <w:tc>
          <w:tcPr>
            <w:tcW w:w="140" w:type="dxa"/>
            <w:vAlign w:val="bottom"/>
            <w:tcBorders>
              <w:top w:val="single" w:sz="8" w:color="D9D9D9"/>
              <w:bottom w:val="single" w:sz="8" w:color="D9D9D9"/>
              <w:right w:val="single" w:sz="8" w:color="00000A"/>
            </w:tcBorders>
            <w:shd w:val="clear" w:color="auto" w:fill="D9D9D9"/>
          </w:tcPr>
          <w:p>
            <w:pPr>
              <w:spacing w:after="0"/>
              <w:rPr>
                <w:sz w:val="20"/>
                <w:szCs w:val="20"/>
                <w:color w:val="auto"/>
              </w:rPr>
            </w:pPr>
          </w:p>
        </w:tc>
        <w:tc>
          <w:tcPr>
            <w:tcW w:w="180" w:type="dxa"/>
            <w:vAlign w:val="bottom"/>
            <w:tcBorders>
              <w:top w:val="single" w:sz="8" w:color="D9D9D9"/>
              <w:bottom w:val="single" w:sz="8" w:color="D9D9D9"/>
            </w:tcBorders>
            <w:shd w:val="clear" w:color="auto" w:fill="D9D9D9"/>
          </w:tcPr>
          <w:p>
            <w:pPr>
              <w:spacing w:after="0"/>
              <w:rPr>
                <w:sz w:val="20"/>
                <w:szCs w:val="20"/>
                <w:color w:val="auto"/>
              </w:rPr>
            </w:pPr>
          </w:p>
        </w:tc>
        <w:tc>
          <w:tcPr>
            <w:tcW w:w="1660" w:type="dxa"/>
            <w:vAlign w:val="bottom"/>
            <w:tcBorders>
              <w:top w:val="single" w:sz="8" w:color="auto"/>
              <w:bottom w:val="single" w:sz="8" w:color="D9D9D9"/>
            </w:tcBorders>
            <w:shd w:val="clear" w:color="auto" w:fill="D9D9D9"/>
          </w:tcPr>
          <w:p>
            <w:pPr>
              <w:spacing w:after="0"/>
              <w:rPr>
                <w:sz w:val="20"/>
                <w:szCs w:val="20"/>
                <w:color w:val="auto"/>
              </w:rPr>
            </w:pPr>
          </w:p>
        </w:tc>
        <w:tc>
          <w:tcPr>
            <w:tcW w:w="220" w:type="dxa"/>
            <w:vAlign w:val="bottom"/>
            <w:tcBorders>
              <w:top w:val="single" w:sz="8" w:color="D9D9D9"/>
              <w:bottom w:val="single" w:sz="8" w:color="D9D9D9"/>
              <w:right w:val="single" w:sz="8" w:color="00000A"/>
            </w:tcBorders>
            <w:shd w:val="clear" w:color="auto" w:fill="D9D9D9"/>
          </w:tcPr>
          <w:p>
            <w:pPr>
              <w:spacing w:after="0"/>
              <w:rPr>
                <w:sz w:val="20"/>
                <w:szCs w:val="20"/>
                <w:color w:val="auto"/>
              </w:rPr>
            </w:pPr>
          </w:p>
        </w:tc>
        <w:tc>
          <w:tcPr>
            <w:tcW w:w="540" w:type="dxa"/>
            <w:vAlign w:val="bottom"/>
            <w:tcBorders>
              <w:top w:val="single" w:sz="8" w:color="D9D9D9"/>
              <w:bottom w:val="single" w:sz="8" w:color="D9D9D9"/>
            </w:tcBorders>
            <w:shd w:val="clear" w:color="auto" w:fill="D9D9D9"/>
          </w:tcPr>
          <w:p>
            <w:pPr>
              <w:spacing w:after="0"/>
              <w:rPr>
                <w:sz w:val="20"/>
                <w:szCs w:val="20"/>
                <w:color w:val="auto"/>
              </w:rPr>
            </w:pPr>
          </w:p>
        </w:tc>
        <w:tc>
          <w:tcPr>
            <w:tcW w:w="1620" w:type="dxa"/>
            <w:vAlign w:val="bottom"/>
            <w:tcBorders>
              <w:top w:val="single" w:sz="8" w:color="auto"/>
              <w:bottom w:val="single" w:sz="8" w:color="D9D9D9"/>
            </w:tcBorders>
            <w:shd w:val="clear" w:color="auto" w:fill="D9D9D9"/>
          </w:tcPr>
          <w:p>
            <w:pPr>
              <w:spacing w:after="0"/>
              <w:rPr>
                <w:sz w:val="20"/>
                <w:szCs w:val="20"/>
                <w:color w:val="auto"/>
              </w:rPr>
            </w:pPr>
          </w:p>
        </w:tc>
        <w:tc>
          <w:tcPr>
            <w:tcW w:w="580" w:type="dxa"/>
            <w:vAlign w:val="bottom"/>
            <w:tcBorders>
              <w:top w:val="single" w:sz="8" w:color="D9D9D9"/>
              <w:bottom w:val="single" w:sz="8" w:color="D9D9D9"/>
              <w:right w:val="single" w:sz="8" w:color="00000A"/>
            </w:tcBorders>
            <w:shd w:val="clear" w:color="auto" w:fill="D9D9D9"/>
          </w:tcPr>
          <w:p>
            <w:pPr>
              <w:spacing w:after="0"/>
              <w:rPr>
                <w:sz w:val="20"/>
                <w:szCs w:val="20"/>
                <w:color w:val="auto"/>
              </w:rPr>
            </w:pPr>
          </w:p>
        </w:tc>
      </w:tr>
      <w:tr>
        <w:trPr>
          <w:trHeight w:val="194"/>
        </w:trPr>
        <w:tc>
          <w:tcPr>
            <w:tcW w:w="620" w:type="dxa"/>
            <w:vAlign w:val="bottom"/>
            <w:tcBorders>
              <w:top w:val="single" w:sz="8" w:color="00000A"/>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top w:val="single" w:sz="8" w:color="00000A"/>
              <w:right w:val="single" w:sz="8" w:color="00000A"/>
            </w:tcBorders>
            <w:gridSpan w:val="2"/>
          </w:tcPr>
          <w:p>
            <w:pPr>
              <w:jc w:val="right"/>
              <w:ind w:right="40"/>
              <w:spacing w:after="0"/>
              <w:rPr>
                <w:sz w:val="20"/>
                <w:szCs w:val="20"/>
                <w:color w:val="auto"/>
              </w:rPr>
            </w:pPr>
            <w:r>
              <w:rPr>
                <w:rFonts w:ascii="Arial" w:cs="Arial" w:eastAsia="Arial" w:hAnsi="Arial"/>
                <w:sz w:val="16"/>
                <w:szCs w:val="16"/>
                <w:color w:val="auto"/>
              </w:rPr>
              <w:t>Electric</w:t>
            </w:r>
          </w:p>
        </w:tc>
        <w:tc>
          <w:tcPr>
            <w:tcW w:w="160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Borders>
              <w:top w:val="single" w:sz="8" w:color="00000A"/>
            </w:tcBorders>
          </w:tcPr>
          <w:p>
            <w:pPr>
              <w:spacing w:after="0"/>
              <w:rPr>
                <w:sz w:val="16"/>
                <w:szCs w:val="16"/>
                <w:color w:val="auto"/>
              </w:rPr>
            </w:pPr>
          </w:p>
        </w:tc>
        <w:tc>
          <w:tcPr>
            <w:tcW w:w="1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1"/>
              </w:rPr>
              <w:t>Share Certificate #A-</w:t>
            </w:r>
          </w:p>
        </w:tc>
        <w:tc>
          <w:tcPr>
            <w:tcW w:w="120" w:type="dxa"/>
            <w:vAlign w:val="bottom"/>
            <w:tcBorders>
              <w:top w:val="single" w:sz="8" w:color="00000A"/>
            </w:tcBorders>
          </w:tcPr>
          <w:p>
            <w:pPr>
              <w:spacing w:after="0"/>
              <w:rPr>
                <w:sz w:val="16"/>
                <w:szCs w:val="16"/>
                <w:color w:val="auto"/>
              </w:rPr>
            </w:pPr>
          </w:p>
        </w:tc>
        <w:tc>
          <w:tcPr>
            <w:tcW w:w="2040" w:type="dxa"/>
            <w:vAlign w:val="bottom"/>
            <w:tcBorders>
              <w:top w:val="single" w:sz="8" w:color="00000A"/>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90"/>
              </w:rPr>
              <w:t>75 Class A Common Voting</w:t>
            </w:r>
          </w:p>
        </w:tc>
        <w:tc>
          <w:tcPr>
            <w:tcW w:w="180" w:type="dxa"/>
            <w:vAlign w:val="bottom"/>
            <w:tcBorders>
              <w:top w:val="single" w:sz="8" w:color="00000A"/>
            </w:tcBorders>
          </w:tcPr>
          <w:p>
            <w:pPr>
              <w:spacing w:after="0"/>
              <w:rPr>
                <w:sz w:val="16"/>
                <w:szCs w:val="16"/>
                <w:color w:val="auto"/>
              </w:rPr>
            </w:pPr>
          </w:p>
        </w:tc>
        <w:tc>
          <w:tcPr>
            <w:tcW w:w="1880" w:type="dxa"/>
            <w:vAlign w:val="bottom"/>
            <w:tcBorders>
              <w:top w:val="single" w:sz="8" w:color="00000A"/>
              <w:right w:val="single" w:sz="8" w:color="00000A"/>
            </w:tcBorders>
            <w:gridSpan w:val="2"/>
          </w:tcPr>
          <w:p>
            <w:pPr>
              <w:jc w:val="center"/>
              <w:ind w:right="200"/>
              <w:spacing w:after="0"/>
              <w:rPr>
                <w:sz w:val="20"/>
                <w:szCs w:val="20"/>
                <w:color w:val="auto"/>
              </w:rPr>
            </w:pPr>
            <w:r>
              <w:rPr>
                <w:rFonts w:ascii="Arial" w:cs="Arial" w:eastAsia="Arial" w:hAnsi="Arial"/>
                <w:sz w:val="16"/>
                <w:szCs w:val="16"/>
                <w:color w:val="auto"/>
                <w:w w:val="89"/>
              </w:rPr>
              <w:t>Common Voting Shares</w:t>
            </w:r>
          </w:p>
        </w:tc>
        <w:tc>
          <w:tcPr>
            <w:tcW w:w="540" w:type="dxa"/>
            <w:vAlign w:val="bottom"/>
            <w:tcBorders>
              <w:top w:val="single" w:sz="8" w:color="00000A"/>
            </w:tcBorders>
          </w:tcPr>
          <w:p>
            <w:pPr>
              <w:spacing w:after="0"/>
              <w:rPr>
                <w:sz w:val="16"/>
                <w:szCs w:val="16"/>
                <w:color w:val="auto"/>
              </w:rPr>
            </w:pPr>
          </w:p>
        </w:tc>
        <w:tc>
          <w:tcPr>
            <w:tcW w:w="2200" w:type="dxa"/>
            <w:vAlign w:val="bottom"/>
            <w:tcBorders>
              <w:top w:val="single" w:sz="8" w:color="00000A"/>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202"/>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ULC</w:t>
            </w: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1500" w:type="dxa"/>
            <w:vAlign w:val="bottom"/>
            <w:tcBorders>
              <w:right w:val="single" w:sz="8" w:color="00000A"/>
            </w:tcBorders>
            <w:gridSpan w:val="2"/>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40"/>
              <w:spacing w:after="0"/>
              <w:rPr>
                <w:sz w:val="20"/>
                <w:szCs w:val="20"/>
                <w:color w:val="auto"/>
              </w:rPr>
            </w:pPr>
            <w:r>
              <w:rPr>
                <w:rFonts w:ascii="Arial" w:cs="Arial" w:eastAsia="Arial" w:hAnsi="Arial"/>
                <w:sz w:val="16"/>
                <w:szCs w:val="16"/>
                <w:color w:val="auto"/>
              </w:rPr>
              <w:t>Electric</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1500" w:type="dxa"/>
            <w:vAlign w:val="bottom"/>
            <w:tcBorders>
              <w:right w:val="single" w:sz="8" w:color="00000A"/>
            </w:tcBorders>
            <w:gridSpan w:val="2"/>
          </w:tcPr>
          <w:p>
            <w:pPr>
              <w:jc w:val="center"/>
              <w:spacing w:after="0"/>
              <w:rPr>
                <w:sz w:val="20"/>
                <w:szCs w:val="20"/>
                <w:color w:val="auto"/>
              </w:rPr>
            </w:pPr>
            <w:r>
              <w:rPr>
                <w:rFonts w:ascii="Arial" w:cs="Arial" w:eastAsia="Arial" w:hAnsi="Arial"/>
                <w:sz w:val="16"/>
                <w:szCs w:val="16"/>
                <w:color w:val="auto"/>
                <w:w w:val="91"/>
              </w:rPr>
              <w:t>Share Certificate #B-3</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90"/>
              </w:rPr>
              <w:t>25 Class B Common 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00"/>
              <w:spacing w:after="0"/>
              <w:rPr>
                <w:sz w:val="20"/>
                <w:szCs w:val="20"/>
                <w:color w:val="auto"/>
              </w:rPr>
            </w:pPr>
            <w:r>
              <w:rPr>
                <w:rFonts w:ascii="Arial" w:cs="Arial" w:eastAsia="Arial" w:hAnsi="Arial"/>
                <w:sz w:val="16"/>
                <w:szCs w:val="16"/>
                <w:color w:val="auto"/>
                <w:w w:val="89"/>
              </w:rPr>
              <w:t>Common Voting Shares</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202"/>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ULC</w:t>
            </w: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40"/>
              <w:spacing w:after="0"/>
              <w:rPr>
                <w:sz w:val="20"/>
                <w:szCs w:val="20"/>
                <w:color w:val="auto"/>
              </w:rPr>
            </w:pPr>
            <w:r>
              <w:rPr>
                <w:rFonts w:ascii="Arial" w:cs="Arial" w:eastAsia="Arial" w:hAnsi="Arial"/>
                <w:sz w:val="16"/>
                <w:szCs w:val="16"/>
                <w:color w:val="auto"/>
              </w:rPr>
              <w:t>Electric</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Share Certificate #G</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60"/>
              <w:spacing w:after="0"/>
              <w:rPr>
                <w:sz w:val="20"/>
                <w:szCs w:val="20"/>
                <w:color w:val="auto"/>
              </w:rPr>
            </w:pPr>
            <w:r>
              <w:rPr>
                <w:rFonts w:ascii="Arial" w:cs="Arial" w:eastAsia="Arial" w:hAnsi="Arial"/>
                <w:sz w:val="16"/>
                <w:szCs w:val="16"/>
                <w:color w:val="auto"/>
                <w:w w:val="90"/>
              </w:rPr>
              <w:t>1000 Class G Non-Voting,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90"/>
              </w:rPr>
              <w:t>Non-Voting, Retractable</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191"/>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ULC</w:t>
            </w:r>
          </w:p>
        </w:tc>
        <w:tc>
          <w:tcPr>
            <w:tcW w:w="58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Borders>
              <w:right w:val="single" w:sz="8" w:color="00000A"/>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Series 3-G3</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87"/>
              </w:rPr>
              <w:t>Retractable Preferred Shares,</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86"/>
              </w:rPr>
              <w:t>Preferred Shares</w:t>
            </w: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r>
      <w:tr>
        <w:trPr>
          <w:trHeight w:val="202"/>
        </w:trPr>
        <w:tc>
          <w:tcPr>
            <w:tcW w:w="180" w:type="dxa"/>
            <w:vAlign w:val="bottom"/>
            <w:tcBorders>
              <w:lef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5"/>
              </w:rPr>
              <w:t>Series 3</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40"/>
              <w:spacing w:after="0"/>
              <w:rPr>
                <w:sz w:val="20"/>
                <w:szCs w:val="20"/>
                <w:color w:val="auto"/>
              </w:rPr>
            </w:pPr>
            <w:r>
              <w:rPr>
                <w:rFonts w:ascii="Arial" w:cs="Arial" w:eastAsia="Arial" w:hAnsi="Arial"/>
                <w:sz w:val="16"/>
                <w:szCs w:val="16"/>
                <w:color w:val="auto"/>
              </w:rPr>
              <w:t>Electric</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Share Certificate #G</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60"/>
              <w:spacing w:after="0"/>
              <w:rPr>
                <w:sz w:val="20"/>
                <w:szCs w:val="20"/>
                <w:color w:val="auto"/>
              </w:rPr>
            </w:pPr>
            <w:r>
              <w:rPr>
                <w:rFonts w:ascii="Arial" w:cs="Arial" w:eastAsia="Arial" w:hAnsi="Arial"/>
                <w:sz w:val="16"/>
                <w:szCs w:val="16"/>
                <w:color w:val="auto"/>
                <w:w w:val="90"/>
              </w:rPr>
              <w:t>1000 Class G Non-Voting,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90"/>
              </w:rPr>
              <w:t>Non-Voting, Retractable</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191"/>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ULC</w:t>
            </w:r>
          </w:p>
        </w:tc>
        <w:tc>
          <w:tcPr>
            <w:tcW w:w="58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Borders>
              <w:right w:val="single" w:sz="8" w:color="00000A"/>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Series 4-G3</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87"/>
              </w:rPr>
              <w:t>Retractable Preferred Shares,</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86"/>
              </w:rPr>
              <w:t>Preferred Shares</w:t>
            </w: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r>
      <w:tr>
        <w:trPr>
          <w:trHeight w:val="202"/>
        </w:trPr>
        <w:tc>
          <w:tcPr>
            <w:tcW w:w="180" w:type="dxa"/>
            <w:vAlign w:val="bottom"/>
            <w:tcBorders>
              <w:lef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5"/>
              </w:rPr>
              <w:t>Series 4</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60"/>
              <w:spacing w:after="0"/>
              <w:rPr>
                <w:sz w:val="20"/>
                <w:szCs w:val="20"/>
                <w:color w:val="auto"/>
              </w:rPr>
            </w:pPr>
            <w:r>
              <w:rPr>
                <w:rFonts w:ascii="Arial" w:cs="Arial" w:eastAsia="Arial" w:hAnsi="Arial"/>
                <w:sz w:val="16"/>
                <w:szCs w:val="16"/>
                <w:color w:val="auto"/>
                <w:w w:val="95"/>
              </w:rPr>
              <w:t>Properties</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1"/>
              </w:rPr>
              <w:t>Share Certificate #A-</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90"/>
              </w:rPr>
              <w:t>75 Class A Common 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00"/>
              <w:spacing w:after="0"/>
              <w:rPr>
                <w:sz w:val="20"/>
                <w:szCs w:val="20"/>
                <w:color w:val="auto"/>
              </w:rPr>
            </w:pPr>
            <w:r>
              <w:rPr>
                <w:rFonts w:ascii="Arial" w:cs="Arial" w:eastAsia="Arial" w:hAnsi="Arial"/>
                <w:sz w:val="16"/>
                <w:szCs w:val="16"/>
                <w:color w:val="auto"/>
                <w:w w:val="89"/>
              </w:rPr>
              <w:t>Common Voting Shares</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202"/>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Corp.</w:t>
            </w: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1500" w:type="dxa"/>
            <w:vAlign w:val="bottom"/>
            <w:tcBorders>
              <w:right w:val="single" w:sz="8" w:color="00000A"/>
            </w:tcBorders>
            <w:gridSpan w:val="2"/>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60"/>
              <w:spacing w:after="0"/>
              <w:rPr>
                <w:sz w:val="20"/>
                <w:szCs w:val="20"/>
                <w:color w:val="auto"/>
              </w:rPr>
            </w:pPr>
            <w:r>
              <w:rPr>
                <w:rFonts w:ascii="Arial" w:cs="Arial" w:eastAsia="Arial" w:hAnsi="Arial"/>
                <w:sz w:val="16"/>
                <w:szCs w:val="16"/>
                <w:color w:val="auto"/>
                <w:w w:val="95"/>
              </w:rPr>
              <w:t>Properties</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1500" w:type="dxa"/>
            <w:vAlign w:val="bottom"/>
            <w:tcBorders>
              <w:right w:val="single" w:sz="8" w:color="00000A"/>
            </w:tcBorders>
            <w:gridSpan w:val="2"/>
          </w:tcPr>
          <w:p>
            <w:pPr>
              <w:jc w:val="center"/>
              <w:spacing w:after="0"/>
              <w:rPr>
                <w:sz w:val="20"/>
                <w:szCs w:val="20"/>
                <w:color w:val="auto"/>
              </w:rPr>
            </w:pPr>
            <w:r>
              <w:rPr>
                <w:rFonts w:ascii="Arial" w:cs="Arial" w:eastAsia="Arial" w:hAnsi="Arial"/>
                <w:sz w:val="16"/>
                <w:szCs w:val="16"/>
                <w:color w:val="auto"/>
                <w:w w:val="91"/>
              </w:rPr>
              <w:t>Share Certificate #B-2</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90"/>
              </w:rPr>
              <w:t>25 Class B Common 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00"/>
              <w:spacing w:after="0"/>
              <w:rPr>
                <w:sz w:val="20"/>
                <w:szCs w:val="20"/>
                <w:color w:val="auto"/>
              </w:rPr>
            </w:pPr>
            <w:r>
              <w:rPr>
                <w:rFonts w:ascii="Arial" w:cs="Arial" w:eastAsia="Arial" w:hAnsi="Arial"/>
                <w:sz w:val="16"/>
                <w:szCs w:val="16"/>
                <w:color w:val="auto"/>
                <w:w w:val="89"/>
              </w:rPr>
              <w:t>Common Voting Shares</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202"/>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Corp.</w:t>
            </w: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60"/>
              <w:spacing w:after="0"/>
              <w:rPr>
                <w:sz w:val="20"/>
                <w:szCs w:val="20"/>
                <w:color w:val="auto"/>
              </w:rPr>
            </w:pPr>
            <w:r>
              <w:rPr>
                <w:rFonts w:ascii="Arial" w:cs="Arial" w:eastAsia="Arial" w:hAnsi="Arial"/>
                <w:sz w:val="16"/>
                <w:szCs w:val="16"/>
                <w:color w:val="auto"/>
                <w:w w:val="95"/>
              </w:rPr>
              <w:t>Properties</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Share Certificate</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60"/>
              <w:spacing w:after="0"/>
              <w:rPr>
                <w:sz w:val="20"/>
                <w:szCs w:val="20"/>
                <w:color w:val="auto"/>
              </w:rPr>
            </w:pPr>
            <w:r>
              <w:rPr>
                <w:rFonts w:ascii="Arial" w:cs="Arial" w:eastAsia="Arial" w:hAnsi="Arial"/>
                <w:sz w:val="16"/>
                <w:szCs w:val="16"/>
                <w:color w:val="auto"/>
                <w:w w:val="90"/>
              </w:rPr>
              <w:t>1000 Class G Non-Voting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90"/>
              </w:rPr>
              <w:t>Non-Voting, Retractable</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191"/>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Corp.</w:t>
            </w:r>
          </w:p>
        </w:tc>
        <w:tc>
          <w:tcPr>
            <w:tcW w:w="58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Borders>
              <w:right w:val="single" w:sz="8" w:color="00000A"/>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1"/>
              </w:rPr>
              <w:t>#G1-G2</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87"/>
              </w:rPr>
              <w:t>Retractable Preferred Shares,</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86"/>
              </w:rPr>
              <w:t>Preferred Shares</w:t>
            </w: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r>
      <w:tr>
        <w:trPr>
          <w:trHeight w:val="202"/>
        </w:trPr>
        <w:tc>
          <w:tcPr>
            <w:tcW w:w="180" w:type="dxa"/>
            <w:vAlign w:val="bottom"/>
            <w:tcBorders>
              <w:lef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5"/>
              </w:rPr>
              <w:t>Series 1</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194"/>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EECOL</w:t>
            </w:r>
          </w:p>
        </w:tc>
        <w:tc>
          <w:tcPr>
            <w:tcW w:w="780" w:type="dxa"/>
            <w:vAlign w:val="bottom"/>
            <w:tcBorders>
              <w:right w:val="single" w:sz="8" w:color="00000A"/>
            </w:tcBorders>
            <w:gridSpan w:val="2"/>
          </w:tcPr>
          <w:p>
            <w:pPr>
              <w:jc w:val="right"/>
              <w:ind w:right="60"/>
              <w:spacing w:after="0"/>
              <w:rPr>
                <w:sz w:val="20"/>
                <w:szCs w:val="20"/>
                <w:color w:val="auto"/>
              </w:rPr>
            </w:pPr>
            <w:r>
              <w:rPr>
                <w:rFonts w:ascii="Arial" w:cs="Arial" w:eastAsia="Arial" w:hAnsi="Arial"/>
                <w:sz w:val="16"/>
                <w:szCs w:val="16"/>
                <w:color w:val="auto"/>
                <w:w w:val="95"/>
              </w:rPr>
              <w:t>Properties</w:t>
            </w:r>
          </w:p>
        </w:tc>
        <w:tc>
          <w:tcPr>
            <w:tcW w:w="160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16"/>
                <w:szCs w:val="16"/>
                <w:color w:val="auto"/>
                <w:w w:val="90"/>
              </w:rPr>
              <w:t>WDCC Enterprises Inc.</w:t>
            </w: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Share Certificate</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60"/>
              <w:spacing w:after="0"/>
              <w:rPr>
                <w:sz w:val="20"/>
                <w:szCs w:val="20"/>
                <w:color w:val="auto"/>
              </w:rPr>
            </w:pPr>
            <w:r>
              <w:rPr>
                <w:rFonts w:ascii="Arial" w:cs="Arial" w:eastAsia="Arial" w:hAnsi="Arial"/>
                <w:sz w:val="16"/>
                <w:szCs w:val="16"/>
                <w:color w:val="auto"/>
                <w:w w:val="90"/>
              </w:rPr>
              <w:t>1000 Class G Non-Voting</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90"/>
              </w:rPr>
              <w:t>Non-Voting Retractable</w:t>
            </w:r>
          </w:p>
        </w:tc>
        <w:tc>
          <w:tcPr>
            <w:tcW w:w="540" w:type="dxa"/>
            <w:vAlign w:val="bottom"/>
          </w:tcPr>
          <w:p>
            <w:pPr>
              <w:spacing w:after="0"/>
              <w:rPr>
                <w:sz w:val="16"/>
                <w:szCs w:val="16"/>
                <w:color w:val="auto"/>
              </w:rPr>
            </w:pPr>
          </w:p>
        </w:tc>
        <w:tc>
          <w:tcPr>
            <w:tcW w:w="220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16"/>
                <w:szCs w:val="16"/>
                <w:color w:val="auto"/>
                <w:w w:val="93"/>
              </w:rPr>
              <w:t>Alberta Corporation</w:t>
            </w:r>
          </w:p>
        </w:tc>
      </w:tr>
      <w:tr>
        <w:trPr>
          <w:trHeight w:val="191"/>
        </w:trPr>
        <w:tc>
          <w:tcPr>
            <w:tcW w:w="620" w:type="dxa"/>
            <w:vAlign w:val="bottom"/>
            <w:tcBorders>
              <w:left w:val="single" w:sz="8" w:color="00000A"/>
            </w:tcBorders>
            <w:gridSpan w:val="3"/>
          </w:tcPr>
          <w:p>
            <w:pPr>
              <w:ind w:left="40"/>
              <w:spacing w:after="0"/>
              <w:rPr>
                <w:sz w:val="20"/>
                <w:szCs w:val="20"/>
                <w:color w:val="auto"/>
              </w:rPr>
            </w:pPr>
            <w:r>
              <w:rPr>
                <w:rFonts w:ascii="Arial" w:cs="Arial" w:eastAsia="Arial" w:hAnsi="Arial"/>
                <w:sz w:val="16"/>
                <w:szCs w:val="16"/>
                <w:color w:val="auto"/>
              </w:rPr>
              <w:t>Corp.</w:t>
            </w:r>
          </w:p>
        </w:tc>
        <w:tc>
          <w:tcPr>
            <w:tcW w:w="58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Borders>
              <w:right w:val="single" w:sz="8" w:color="00000A"/>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1"/>
              </w:rPr>
              <w:t>#G2-G2</w:t>
            </w:r>
          </w:p>
        </w:tc>
        <w:tc>
          <w:tcPr>
            <w:tcW w:w="120" w:type="dxa"/>
            <w:vAlign w:val="bottom"/>
          </w:tcPr>
          <w:p>
            <w:pPr>
              <w:spacing w:after="0"/>
              <w:rPr>
                <w:sz w:val="16"/>
                <w:szCs w:val="16"/>
                <w:color w:val="auto"/>
              </w:rPr>
            </w:pPr>
          </w:p>
        </w:tc>
        <w:tc>
          <w:tcPr>
            <w:tcW w:w="2040" w:type="dxa"/>
            <w:vAlign w:val="bottom"/>
            <w:tcBorders>
              <w:right w:val="single" w:sz="8" w:color="00000A"/>
            </w:tcBorders>
            <w:gridSpan w:val="3"/>
          </w:tcPr>
          <w:p>
            <w:pPr>
              <w:jc w:val="center"/>
              <w:ind w:right="140"/>
              <w:spacing w:after="0"/>
              <w:rPr>
                <w:sz w:val="20"/>
                <w:szCs w:val="20"/>
                <w:color w:val="auto"/>
              </w:rPr>
            </w:pPr>
            <w:r>
              <w:rPr>
                <w:rFonts w:ascii="Arial" w:cs="Arial" w:eastAsia="Arial" w:hAnsi="Arial"/>
                <w:sz w:val="16"/>
                <w:szCs w:val="16"/>
                <w:color w:val="auto"/>
                <w:w w:val="87"/>
              </w:rPr>
              <w:t>Retractable Preferred Shares,</w:t>
            </w:r>
          </w:p>
        </w:tc>
        <w:tc>
          <w:tcPr>
            <w:tcW w:w="180" w:type="dxa"/>
            <w:vAlign w:val="bottom"/>
          </w:tcPr>
          <w:p>
            <w:pPr>
              <w:spacing w:after="0"/>
              <w:rPr>
                <w:sz w:val="16"/>
                <w:szCs w:val="16"/>
                <w:color w:val="auto"/>
              </w:rPr>
            </w:pPr>
          </w:p>
        </w:tc>
        <w:tc>
          <w:tcPr>
            <w:tcW w:w="1880" w:type="dxa"/>
            <w:vAlign w:val="bottom"/>
            <w:tcBorders>
              <w:right w:val="single" w:sz="8" w:color="00000A"/>
            </w:tcBorders>
            <w:gridSpan w:val="2"/>
          </w:tcPr>
          <w:p>
            <w:pPr>
              <w:jc w:val="center"/>
              <w:ind w:right="220"/>
              <w:spacing w:after="0"/>
              <w:rPr>
                <w:sz w:val="20"/>
                <w:szCs w:val="20"/>
                <w:color w:val="auto"/>
              </w:rPr>
            </w:pPr>
            <w:r>
              <w:rPr>
                <w:rFonts w:ascii="Arial" w:cs="Arial" w:eastAsia="Arial" w:hAnsi="Arial"/>
                <w:sz w:val="16"/>
                <w:szCs w:val="16"/>
                <w:color w:val="auto"/>
                <w:w w:val="86"/>
              </w:rPr>
              <w:t>Preferred Shares</w:t>
            </w: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r>
      <w:tr>
        <w:trPr>
          <w:trHeight w:val="202"/>
        </w:trPr>
        <w:tc>
          <w:tcPr>
            <w:tcW w:w="180" w:type="dxa"/>
            <w:vAlign w:val="bottom"/>
            <w:tcBorders>
              <w:lef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right w:val="single" w:sz="8" w:color="00000A"/>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00000A"/>
            </w:tcBorders>
            <w:gridSpan w:val="2"/>
          </w:tcPr>
          <w:p>
            <w:pPr>
              <w:jc w:val="center"/>
              <w:ind w:right="300"/>
              <w:spacing w:after="0"/>
              <w:rPr>
                <w:sz w:val="20"/>
                <w:szCs w:val="20"/>
                <w:color w:val="auto"/>
              </w:rPr>
            </w:pPr>
            <w:r>
              <w:rPr>
                <w:rFonts w:ascii="Arial" w:cs="Arial" w:eastAsia="Arial" w:hAnsi="Arial"/>
                <w:sz w:val="16"/>
                <w:szCs w:val="16"/>
                <w:color w:val="auto"/>
                <w:w w:val="85"/>
              </w:rPr>
              <w:t>Series 2</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right w:val="single" w:sz="8" w:color="00000A"/>
            </w:tcBorders>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Borders>
              <w:right w:val="single" w:sz="8" w:color="00000A"/>
            </w:tcBorders>
          </w:tcPr>
          <w:p>
            <w:pPr>
              <w:spacing w:after="0"/>
              <w:rPr>
                <w:sz w:val="17"/>
                <w:szCs w:val="17"/>
                <w:color w:val="auto"/>
              </w:rPr>
            </w:pPr>
          </w:p>
        </w:tc>
      </w:tr>
      <w:tr>
        <w:trPr>
          <w:trHeight w:val="25"/>
        </w:trPr>
        <w:tc>
          <w:tcPr>
            <w:tcW w:w="180" w:type="dxa"/>
            <w:vAlign w:val="bottom"/>
            <w:tcBorders>
              <w:left w:val="single" w:sz="8" w:color="00000A"/>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1740" w:type="dxa"/>
            <w:vAlign w:val="bottom"/>
            <w:tcBorders>
              <w:bottom w:val="single" w:sz="8" w:color="00000A"/>
            </w:tcBorders>
          </w:tcPr>
          <w:p>
            <w:pPr>
              <w:spacing w:after="0"/>
              <w:rPr>
                <w:sz w:val="2"/>
                <w:szCs w:val="2"/>
                <w:color w:val="auto"/>
              </w:rPr>
            </w:pPr>
          </w:p>
        </w:tc>
        <w:tc>
          <w:tcPr>
            <w:tcW w:w="140" w:type="dxa"/>
            <w:vAlign w:val="bottom"/>
            <w:tcBorders>
              <w:bottom w:val="single" w:sz="8" w:color="00000A"/>
              <w:right w:val="single" w:sz="8" w:color="00000A"/>
            </w:tcBorders>
          </w:tcPr>
          <w:p>
            <w:pPr>
              <w:spacing w:after="0"/>
              <w:rPr>
                <w:sz w:val="2"/>
                <w:szCs w:val="2"/>
                <w:color w:val="auto"/>
              </w:rPr>
            </w:pPr>
          </w:p>
        </w:tc>
        <w:tc>
          <w:tcPr>
            <w:tcW w:w="1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tcBorders>
          </w:tcPr>
          <w:p>
            <w:pPr>
              <w:spacing w:after="0"/>
              <w:rPr>
                <w:sz w:val="2"/>
                <w:szCs w:val="2"/>
                <w:color w:val="auto"/>
              </w:rPr>
            </w:pPr>
          </w:p>
        </w:tc>
        <w:tc>
          <w:tcPr>
            <w:tcW w:w="220" w:type="dxa"/>
            <w:vAlign w:val="bottom"/>
            <w:tcBorders>
              <w:bottom w:val="single" w:sz="8" w:color="00000A"/>
              <w:right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620" w:type="dxa"/>
            <w:vAlign w:val="bottom"/>
            <w:tcBorders>
              <w:bottom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r>
      <w:tr>
        <w:trPr>
          <w:trHeight w:val="52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Other Equity Investments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93" w:lineRule="exact"/>
        <w:rPr>
          <w:sz w:val="20"/>
          <w:szCs w:val="20"/>
          <w:color w:val="auto"/>
        </w:rPr>
      </w:pPr>
    </w:p>
    <w:p>
      <w:pPr>
        <w:ind w:left="560" w:hanging="279"/>
        <w:spacing w:after="0"/>
        <w:tabs>
          <w:tab w:leader="none" w:pos="5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WDINESCO B.V. owns a 49% interest in WDI Angola Ltd.</w:t>
      </w:r>
    </w:p>
    <w:p>
      <w:pPr>
        <w:spacing w:after="0" w:line="13" w:lineRule="exact"/>
        <w:rPr>
          <w:rFonts w:ascii="Arial" w:cs="Arial" w:eastAsia="Arial" w:hAnsi="Arial"/>
          <w:sz w:val="16"/>
          <w:szCs w:val="16"/>
          <w:color w:val="auto"/>
        </w:rPr>
      </w:pPr>
    </w:p>
    <w:p>
      <w:pPr>
        <w:ind w:left="560" w:hanging="279"/>
        <w:spacing w:after="0"/>
        <w:tabs>
          <w:tab w:leader="none" w:pos="5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EECOL Electric ULC – owns a limited partnership interest in IED Limited Partnership II and shares of Sask Alta Holdings S.A. (Chile)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SCHEDULE 4.01</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Second Restatement Date Collateral Access Agreements</w:t>
      </w:r>
    </w:p>
    <w:p>
      <w:pPr>
        <w:spacing w:after="0" w:line="325" w:lineRule="exact"/>
        <w:rPr>
          <w:sz w:val="20"/>
          <w:szCs w:val="20"/>
          <w:color w:val="auto"/>
        </w:rPr>
      </w:pPr>
    </w:p>
    <w:tbl>
      <w:tblPr>
        <w:tblLayout w:type="fixed"/>
        <w:tblInd w:w="70" w:type="dxa"/>
        <w:tblCellMar>
          <w:top w:w="0" w:type="dxa"/>
          <w:left w:w="0" w:type="dxa"/>
          <w:bottom w:w="0" w:type="dxa"/>
          <w:right w:w="0" w:type="dxa"/>
        </w:tblCellMar>
      </w:tblPr>
      <w:tr>
        <w:trPr>
          <w:trHeight w:val="202"/>
        </w:trPr>
        <w:tc>
          <w:tcPr>
            <w:tcW w:w="1740" w:type="dxa"/>
            <w:vAlign w:val="bottom"/>
            <w:tcBorders>
              <w:top w:val="single" w:sz="8" w:color="auto"/>
              <w:left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w w:val="95"/>
              </w:rPr>
              <w:t>Name of Applicable Loan</w:t>
            </w:r>
          </w:p>
        </w:tc>
        <w:tc>
          <w:tcPr>
            <w:tcW w:w="920" w:type="dxa"/>
            <w:vAlign w:val="bottom"/>
            <w:tcBorders>
              <w:top w:val="single" w:sz="8" w:color="auto"/>
              <w:right w:val="single" w:sz="8" w:color="auto"/>
            </w:tcBorders>
            <w:shd w:val="clear" w:color="auto" w:fill="BFBFBF"/>
          </w:tcPr>
          <w:p>
            <w:pPr>
              <w:spacing w:after="0"/>
              <w:rPr>
                <w:sz w:val="17"/>
                <w:szCs w:val="17"/>
                <w:color w:val="auto"/>
              </w:rPr>
            </w:pPr>
          </w:p>
        </w:tc>
        <w:tc>
          <w:tcPr>
            <w:tcW w:w="320" w:type="dxa"/>
            <w:vAlign w:val="bottom"/>
            <w:tcBorders>
              <w:top w:val="single" w:sz="8" w:color="auto"/>
            </w:tcBorders>
            <w:shd w:val="clear" w:color="auto" w:fill="BFBFBF"/>
          </w:tcPr>
          <w:p>
            <w:pPr>
              <w:spacing w:after="0"/>
              <w:rPr>
                <w:sz w:val="17"/>
                <w:szCs w:val="17"/>
                <w:color w:val="auto"/>
              </w:rPr>
            </w:pPr>
          </w:p>
        </w:tc>
        <w:tc>
          <w:tcPr>
            <w:tcW w:w="3200" w:type="dxa"/>
            <w:vAlign w:val="bottom"/>
            <w:tcBorders>
              <w:top w:val="single" w:sz="8" w:color="auto"/>
              <w:right w:val="single" w:sz="8" w:color="auto"/>
            </w:tcBorders>
            <w:shd w:val="clear" w:color="auto" w:fill="BFBFBF"/>
          </w:tcPr>
          <w:p>
            <w:pPr>
              <w:spacing w:after="0"/>
              <w:rPr>
                <w:sz w:val="17"/>
                <w:szCs w:val="17"/>
                <w:color w:val="auto"/>
              </w:rPr>
            </w:pPr>
          </w:p>
        </w:tc>
        <w:tc>
          <w:tcPr>
            <w:tcW w:w="2380" w:type="dxa"/>
            <w:vAlign w:val="bottom"/>
            <w:tcBorders>
              <w:top w:val="single" w:sz="8" w:color="auto"/>
              <w:right w:val="single" w:sz="8" w:color="auto"/>
            </w:tcBorders>
            <w:shd w:val="clear" w:color="auto" w:fill="BFBFBF"/>
          </w:tcPr>
          <w:p>
            <w:pPr>
              <w:spacing w:after="0"/>
              <w:rPr>
                <w:sz w:val="17"/>
                <w:szCs w:val="17"/>
                <w:color w:val="auto"/>
              </w:rPr>
            </w:pPr>
          </w:p>
        </w:tc>
        <w:tc>
          <w:tcPr>
            <w:tcW w:w="800" w:type="dxa"/>
            <w:vAlign w:val="bottom"/>
            <w:tcBorders>
              <w:top w:val="single" w:sz="8" w:color="auto"/>
              <w:right w:val="single" w:sz="8" w:color="auto"/>
            </w:tcBorders>
            <w:shd w:val="clear" w:color="auto" w:fill="BFBFBF"/>
          </w:tcPr>
          <w:p>
            <w:pPr>
              <w:spacing w:after="0"/>
              <w:rPr>
                <w:sz w:val="17"/>
                <w:szCs w:val="17"/>
                <w:color w:val="auto"/>
              </w:rPr>
            </w:pPr>
          </w:p>
        </w:tc>
        <w:tc>
          <w:tcPr>
            <w:tcW w:w="900" w:type="dxa"/>
            <w:vAlign w:val="bottom"/>
            <w:tcBorders>
              <w:top w:val="single" w:sz="8" w:color="auto"/>
              <w:right w:val="single" w:sz="8" w:color="auto"/>
            </w:tcBorders>
            <w:shd w:val="clear" w:color="auto" w:fill="BFBFBF"/>
          </w:tcPr>
          <w:p>
            <w:pPr>
              <w:spacing w:after="0"/>
              <w:rPr>
                <w:sz w:val="17"/>
                <w:szCs w:val="17"/>
                <w:color w:val="auto"/>
              </w:rPr>
            </w:pPr>
          </w:p>
        </w:tc>
        <w:tc>
          <w:tcPr>
            <w:tcW w:w="1140" w:type="dxa"/>
            <w:vAlign w:val="bottom"/>
            <w:tcBorders>
              <w:top w:val="single" w:sz="8" w:color="auto"/>
              <w:right w:val="single" w:sz="8" w:color="auto"/>
            </w:tcBorders>
            <w:shd w:val="clear" w:color="auto" w:fill="BFBFBF"/>
          </w:tcPr>
          <w:p>
            <w:pPr>
              <w:spacing w:after="0"/>
              <w:rPr>
                <w:sz w:val="17"/>
                <w:szCs w:val="17"/>
                <w:color w:val="auto"/>
              </w:rPr>
            </w:pPr>
          </w:p>
        </w:tc>
      </w:tr>
      <w:tr>
        <w:trPr>
          <w:trHeight w:val="220"/>
        </w:trPr>
        <w:tc>
          <w:tcPr>
            <w:tcW w:w="1740" w:type="dxa"/>
            <w:vAlign w:val="bottom"/>
            <w:tcBorders>
              <w:left w:val="single" w:sz="8" w:color="auto"/>
              <w:bottom w:val="single" w:sz="8" w:color="BFBFBF"/>
              <w:right w:val="single" w:sz="8" w:color="auto"/>
            </w:tcBorders>
            <w:shd w:val="clear" w:color="auto" w:fill="BFBFBF"/>
          </w:tcPr>
          <w:p>
            <w:pPr>
              <w:ind w:left="700"/>
              <w:spacing w:after="0"/>
              <w:rPr>
                <w:sz w:val="20"/>
                <w:szCs w:val="20"/>
                <w:color w:val="auto"/>
              </w:rPr>
            </w:pPr>
            <w:r>
              <w:rPr>
                <w:rFonts w:ascii="Arial" w:cs="Arial" w:eastAsia="Arial" w:hAnsi="Arial"/>
                <w:sz w:val="14"/>
                <w:szCs w:val="14"/>
                <w:b w:val="1"/>
                <w:bCs w:val="1"/>
                <w:color w:val="auto"/>
              </w:rPr>
              <w:t>Party</w:t>
            </w:r>
          </w:p>
        </w:tc>
        <w:tc>
          <w:tcPr>
            <w:tcW w:w="920" w:type="dxa"/>
            <w:vAlign w:val="bottom"/>
            <w:tcBorders>
              <w:bottom w:val="single" w:sz="8" w:color="BFBFBF"/>
              <w:right w:val="single" w:sz="8" w:color="auto"/>
            </w:tcBorders>
            <w:shd w:val="clear" w:color="auto" w:fill="BFBFBF"/>
          </w:tcPr>
          <w:p>
            <w:pPr>
              <w:ind w:left="180"/>
              <w:spacing w:after="0"/>
              <w:rPr>
                <w:sz w:val="20"/>
                <w:szCs w:val="20"/>
                <w:color w:val="auto"/>
              </w:rPr>
            </w:pPr>
            <w:r>
              <w:rPr>
                <w:rFonts w:ascii="Arial" w:cs="Arial" w:eastAsia="Arial" w:hAnsi="Arial"/>
                <w:sz w:val="14"/>
                <w:szCs w:val="14"/>
                <w:b w:val="1"/>
                <w:bCs w:val="1"/>
                <w:color w:val="auto"/>
              </w:rPr>
              <w:t>Lease ID</w:t>
            </w:r>
          </w:p>
        </w:tc>
        <w:tc>
          <w:tcPr>
            <w:tcW w:w="320" w:type="dxa"/>
            <w:vAlign w:val="bottom"/>
            <w:tcBorders>
              <w:bottom w:val="single" w:sz="8" w:color="BFBFBF"/>
            </w:tcBorders>
            <w:shd w:val="clear" w:color="auto" w:fill="BFBFBF"/>
          </w:tcPr>
          <w:p>
            <w:pPr>
              <w:spacing w:after="0"/>
              <w:rPr>
                <w:sz w:val="18"/>
                <w:szCs w:val="18"/>
                <w:color w:val="auto"/>
              </w:rPr>
            </w:pPr>
          </w:p>
        </w:tc>
        <w:tc>
          <w:tcPr>
            <w:tcW w:w="3200" w:type="dxa"/>
            <w:vAlign w:val="bottom"/>
            <w:tcBorders>
              <w:bottom w:val="single" w:sz="8" w:color="BFBFBF"/>
              <w:right w:val="single" w:sz="8" w:color="auto"/>
            </w:tcBorders>
            <w:shd w:val="clear" w:color="auto" w:fill="BFBFBF"/>
          </w:tcPr>
          <w:p>
            <w:pPr>
              <w:ind w:left="980"/>
              <w:spacing w:after="0"/>
              <w:rPr>
                <w:sz w:val="20"/>
                <w:szCs w:val="20"/>
                <w:color w:val="auto"/>
              </w:rPr>
            </w:pPr>
            <w:r>
              <w:rPr>
                <w:rFonts w:ascii="Arial" w:cs="Arial" w:eastAsia="Arial" w:hAnsi="Arial"/>
                <w:sz w:val="14"/>
                <w:szCs w:val="14"/>
                <w:b w:val="1"/>
                <w:bCs w:val="1"/>
                <w:color w:val="auto"/>
              </w:rPr>
              <w:t>Street Address</w:t>
            </w:r>
          </w:p>
        </w:tc>
        <w:tc>
          <w:tcPr>
            <w:tcW w:w="2380" w:type="dxa"/>
            <w:vAlign w:val="bottom"/>
            <w:tcBorders>
              <w:bottom w:val="single" w:sz="8" w:color="BFBFBF"/>
              <w:right w:val="single" w:sz="8" w:color="auto"/>
            </w:tcBorders>
            <w:shd w:val="clear" w:color="auto" w:fill="BFBFBF"/>
          </w:tcPr>
          <w:p>
            <w:pPr>
              <w:ind w:left="1060"/>
              <w:spacing w:after="0"/>
              <w:rPr>
                <w:sz w:val="20"/>
                <w:szCs w:val="20"/>
                <w:color w:val="auto"/>
              </w:rPr>
            </w:pPr>
            <w:r>
              <w:rPr>
                <w:rFonts w:ascii="Arial" w:cs="Arial" w:eastAsia="Arial" w:hAnsi="Arial"/>
                <w:sz w:val="14"/>
                <w:szCs w:val="14"/>
                <w:b w:val="1"/>
                <w:bCs w:val="1"/>
                <w:color w:val="auto"/>
              </w:rPr>
              <w:t>City</w:t>
            </w:r>
          </w:p>
        </w:tc>
        <w:tc>
          <w:tcPr>
            <w:tcW w:w="800" w:type="dxa"/>
            <w:vAlign w:val="bottom"/>
            <w:tcBorders>
              <w:bottom w:val="single" w:sz="8" w:color="BFBFBF"/>
              <w:right w:val="single" w:sz="8" w:color="auto"/>
            </w:tcBorders>
            <w:shd w:val="clear" w:color="auto" w:fill="BFBFBF"/>
          </w:tcPr>
          <w:p>
            <w:pPr>
              <w:ind w:left="240"/>
              <w:spacing w:after="0"/>
              <w:rPr>
                <w:sz w:val="20"/>
                <w:szCs w:val="20"/>
                <w:color w:val="auto"/>
              </w:rPr>
            </w:pPr>
            <w:r>
              <w:rPr>
                <w:rFonts w:ascii="Arial" w:cs="Arial" w:eastAsia="Arial" w:hAnsi="Arial"/>
                <w:sz w:val="14"/>
                <w:szCs w:val="14"/>
                <w:b w:val="1"/>
                <w:bCs w:val="1"/>
                <w:color w:val="auto"/>
              </w:rPr>
              <w:t>State</w:t>
            </w:r>
          </w:p>
        </w:tc>
        <w:tc>
          <w:tcPr>
            <w:tcW w:w="900" w:type="dxa"/>
            <w:vAlign w:val="bottom"/>
            <w:tcBorders>
              <w:bottom w:val="single" w:sz="8" w:color="BFBFBF"/>
              <w:right w:val="single" w:sz="8" w:color="auto"/>
            </w:tcBorders>
            <w:shd w:val="clear" w:color="auto" w:fill="BFBFBF"/>
          </w:tcPr>
          <w:p>
            <w:pPr>
              <w:ind w:left="80"/>
              <w:spacing w:after="0"/>
              <w:rPr>
                <w:sz w:val="20"/>
                <w:szCs w:val="20"/>
                <w:color w:val="auto"/>
              </w:rPr>
            </w:pPr>
            <w:r>
              <w:rPr>
                <w:rFonts w:ascii="Arial" w:cs="Arial" w:eastAsia="Arial" w:hAnsi="Arial"/>
                <w:sz w:val="14"/>
                <w:szCs w:val="14"/>
                <w:b w:val="1"/>
                <w:bCs w:val="1"/>
                <w:color w:val="auto"/>
                <w:w w:val="96"/>
              </w:rPr>
              <w:t>Postal Code</w:t>
            </w:r>
          </w:p>
        </w:tc>
        <w:tc>
          <w:tcPr>
            <w:tcW w:w="1140" w:type="dxa"/>
            <w:vAlign w:val="bottom"/>
            <w:tcBorders>
              <w:bottom w:val="single" w:sz="8" w:color="BFBFBF"/>
              <w:right w:val="single" w:sz="8" w:color="auto"/>
            </w:tcBorders>
            <w:shd w:val="clear" w:color="auto" w:fill="BFBFBF"/>
          </w:tcPr>
          <w:p>
            <w:pPr>
              <w:ind w:left="200"/>
              <w:spacing w:after="0"/>
              <w:rPr>
                <w:sz w:val="20"/>
                <w:szCs w:val="20"/>
                <w:color w:val="auto"/>
              </w:rPr>
            </w:pPr>
            <w:r>
              <w:rPr>
                <w:rFonts w:ascii="Arial" w:cs="Arial" w:eastAsia="Arial" w:hAnsi="Arial"/>
                <w:sz w:val="14"/>
                <w:szCs w:val="14"/>
                <w:b w:val="1"/>
                <w:bCs w:val="1"/>
                <w:color w:val="auto"/>
              </w:rPr>
              <w:t>Space Type</w:t>
            </w:r>
          </w:p>
        </w:tc>
      </w:tr>
      <w:tr>
        <w:trPr>
          <w:trHeight w:val="189"/>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1116</w:t>
            </w:r>
          </w:p>
        </w:tc>
        <w:tc>
          <w:tcPr>
            <w:tcW w:w="3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35 Otis Street</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Westborough</w:t>
            </w:r>
          </w:p>
        </w:tc>
        <w:tc>
          <w:tcPr>
            <w:tcW w:w="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1581</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1116A</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15 Constitution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Woburn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1120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200 Perimeter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Manchester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1120A</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117 Londonderry Turnpike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Hooksett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1339</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1525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Mt. Read Boulevard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Rochester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14606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1447</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2505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Boulevard of the Generals</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Norristown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19403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1449</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759 Roble 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Allentown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18109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1452</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5 Germay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Wilmington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19899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1503</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1709A Dubroc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Killeen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76541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1504</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3375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Rock Prairie Road West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College Station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77845-5056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1506</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3003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 Loop 410</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San Antonio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78218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1507</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13403 Western Oak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Helotes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78023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9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1508</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1215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 Industrial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Braunfels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78130-3926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bl>
    <w:p>
      <w:pPr>
        <w:sectPr>
          <w:pgSz w:w="11900" w:h="16900" w:orient="portrait"/>
          <w:cols w:equalWidth="0" w:num="1">
            <w:col w:w="11440"/>
          </w:cols>
          <w:pgMar w:left="240" w:top="140" w:right="219" w:bottom="0" w:gutter="0" w:footer="0" w:header="0"/>
        </w:sectPr>
      </w:pPr>
    </w:p>
    <w:bookmarkStart w:id="89" w:name="page90"/>
    <w:bookmarkEnd w:id="89"/>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r>
      <w:tr>
        <w:trPr>
          <w:trHeight w:val="187"/>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w w:val="98"/>
              </w:rPr>
              <w:t>Hill Country Electric 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LP</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1509</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1305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Sidney Baker</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Kerrville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78028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1561</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1700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-1710 Edison Highway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Baltimore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21213-1589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TVC</w:t>
            </w:r>
          </w:p>
        </w:tc>
        <w:tc>
          <w:tcPr>
            <w:tcW w:w="112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w w:val="97"/>
              </w:rPr>
              <w:t>Communications,</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L.L.C.</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1605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181 Fulling Mill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Middletown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17057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TVC</w:t>
            </w:r>
          </w:p>
        </w:tc>
        <w:tc>
          <w:tcPr>
            <w:tcW w:w="112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w w:val="97"/>
              </w:rPr>
              <w:t>Communications,</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L.L.C.</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1623</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15085 La Palma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91710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TVC</w:t>
            </w:r>
          </w:p>
        </w:tc>
        <w:tc>
          <w:tcPr>
            <w:tcW w:w="112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w w:val="97"/>
              </w:rPr>
              <w:t>Communications,</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L.L.C.</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1640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10814 West, 78TH 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Shawnee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66214-1262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1715</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5904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Old Mobile Highway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Pascagoula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39581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1765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1255 and 1255-C Trapper Circle NW</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Roanoke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1768</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418 Aberdeen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Hampton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23661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1772</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105 Industrial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Lynchburg</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24501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1904</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4900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Lyons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Miamisburg</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45342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1908</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3600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 69th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Little Rock</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72209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1915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524 Suncrest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37615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1922</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501 Hutton Street, Uwharrie Ct.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Raleigh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27606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1923</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2912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Rogers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Fort Smith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72901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1924</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241 S. Union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Springfield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65802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1956</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200 Lies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Carol Stream</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60188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1958</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10035 East, 40th Ave.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Denver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80239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1964</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5050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Oakbrook Parkway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Norcross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30093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1967</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5051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L.B. McLeod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Orlando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32811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1970</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5950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 Boulevard N.E.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Albuquerque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NM</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87109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1972</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33162 Sterling Ponds Boulevard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Sterling Heights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48312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1979</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13505 East 61st Street, Suite A</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Tulsa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240" w:type="dxa"/>
            <w:vAlign w:val="bottom"/>
            <w:tcBorders>
              <w:left w:val="single" w:sz="8" w:color="auto"/>
              <w:bottom w:val="single" w:sz="8" w:color="auto"/>
            </w:tcBorders>
            <w:gridSpan w:val="3"/>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24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Communications</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Supply</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Corporation</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1980</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6500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Bowden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Jacksonville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32256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1983</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17909 Cleveland Parkway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Cleveland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44135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Calvert</w:t>
            </w:r>
          </w:p>
        </w:tc>
        <w:tc>
          <w:tcPr>
            <w:tcW w:w="340" w:type="dxa"/>
            <w:vAlign w:val="bottom"/>
          </w:tcPr>
          <w:p>
            <w:pPr>
              <w:ind w:left="20"/>
              <w:spacing w:after="0"/>
              <w:rPr>
                <w:sz w:val="20"/>
                <w:szCs w:val="20"/>
                <w:color w:val="auto"/>
              </w:rPr>
            </w:pPr>
            <w:r>
              <w:rPr>
                <w:rFonts w:ascii="Arial" w:cs="Arial" w:eastAsia="Arial" w:hAnsi="Arial"/>
                <w:sz w:val="14"/>
                <w:szCs w:val="14"/>
                <w:color w:val="auto"/>
              </w:rPr>
              <w:t>Wire</w:t>
            </w:r>
          </w:p>
        </w:tc>
        <w:tc>
          <w:tcPr>
            <w:tcW w:w="280" w:type="dxa"/>
            <w:vAlign w:val="bottom"/>
          </w:tcPr>
          <w:p>
            <w:pPr>
              <w:jc w:val="right"/>
              <w:spacing w:after="0"/>
              <w:rPr>
                <w:sz w:val="20"/>
                <w:szCs w:val="20"/>
                <w:color w:val="auto"/>
              </w:rPr>
            </w:pPr>
            <w:r>
              <w:rPr>
                <w:rFonts w:ascii="Arial" w:cs="Arial" w:eastAsia="Arial" w:hAnsi="Arial"/>
                <w:sz w:val="14"/>
                <w:szCs w:val="14"/>
                <w:color w:val="auto"/>
              </w:rPr>
              <w:t>&amp;</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Cable</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93"/>
              </w:rPr>
              <w:t>Company</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1984</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4276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Strausser N.W.</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North Canton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44720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Liberty Wire &amp; Cable,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1986</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11675 Ridgeline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Colorado Springs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80921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1999</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951 Monster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Renton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98057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2145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400 Edinburgh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Moncton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E1E 2L1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2210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130 Brunswick Blvd.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Montreal Hybrid DC (Pointe-Claire)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PQ</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H9R 4X8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2216</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2404 de la Province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Longueuil</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PQ</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J4G 1G1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2370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353 Sovereign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London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N6A 4C3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2375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567 South Vidal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Sarnia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N7S 4T1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2385</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1355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Riverside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Timmins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P4N 7N6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2390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48 Pacific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Sudbury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P3C 3H9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2450</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1902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Stock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Regina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S4N 5W7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2460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3911 Millar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Saskatoon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S7P 0C1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2465</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4075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- 5th Avenue East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Prince Albert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SK</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S6V 3V8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Excess</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2515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11491 - 98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Grande Prairie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T8V 5S5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2520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385 Mackenzie Boulevard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Fort McMurray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T9H 5E2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2525A</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2319-9th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Nisku</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T9E 7Z7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2530</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Unit A, 5901-- 47th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Lloydminster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T9V 2G4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2619</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1055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Clark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Vancouver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V5L 3K1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2625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12844 Anvil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Surrey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V3W 8E7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2645</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1809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Fremont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Nanaimo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V9S 3H3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2670</w:t>
            </w:r>
          </w:p>
        </w:tc>
        <w:tc>
          <w:tcPr>
            <w:tcW w:w="320" w:type="dxa"/>
            <w:vAlign w:val="bottom"/>
          </w:tcPr>
          <w:p>
            <w:pPr>
              <w:ind w:left="20"/>
              <w:spacing w:after="0"/>
              <w:rPr>
                <w:sz w:val="20"/>
                <w:szCs w:val="20"/>
                <w:color w:val="auto"/>
              </w:rPr>
            </w:pPr>
            <w:r>
              <w:rPr>
                <w:rFonts w:ascii="Arial" w:cs="Arial" w:eastAsia="Arial" w:hAnsi="Arial"/>
                <w:sz w:val="14"/>
                <w:szCs w:val="14"/>
                <w:color w:val="auto"/>
                <w:w w:val="89"/>
              </w:rPr>
              <w:t>2328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Sixth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Castlegar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V1N 2W1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340" w:type="dxa"/>
            <w:vAlign w:val="bottom"/>
          </w:tcPr>
          <w:p>
            <w:pPr>
              <w:spacing w:after="0"/>
              <w:rPr>
                <w:sz w:val="16"/>
                <w:szCs w:val="16"/>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Distribution</w:t>
            </w: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9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Canada LP</w:t>
            </w: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2685</w:t>
            </w:r>
          </w:p>
        </w:tc>
        <w:tc>
          <w:tcPr>
            <w:tcW w:w="35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157 - 7th 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Kitimat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V8C 2C4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6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-6985</wp:posOffset>
            </wp:positionV>
            <wp:extent cx="7620"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-6985</wp:posOffset>
            </wp:positionV>
            <wp:extent cx="7620"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-6985</wp:posOffset>
            </wp:positionV>
            <wp:extent cx="7620"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-6985</wp:posOffset>
            </wp:positionV>
            <wp:extent cx="7620"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-6985</wp:posOffset>
            </wp:positionV>
            <wp:extent cx="7620"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-6985</wp:posOffset>
            </wp:positionV>
            <wp:extent cx="7620"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-6985</wp:posOffset>
            </wp:positionV>
            <wp:extent cx="7620"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2222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-6985</wp:posOffset>
            </wp:positionV>
            <wp:extent cx="7620"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77" w:orient="portrait"/>
          <w:cols w:equalWidth="0" w:num="1">
            <w:col w:w="11380"/>
          </w:cols>
          <w:pgMar w:left="300" w:top="140" w:right="219" w:bottom="0" w:gutter="0" w:footer="0" w:header="0"/>
        </w:sectPr>
      </w:pPr>
    </w:p>
    <w:bookmarkStart w:id="90" w:name="page91"/>
    <w:bookmarkEnd w:id="9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7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Distribution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2750</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255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Fortin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Vanier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PQ</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G1M 3M2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181"/>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Canada LP</w:t>
            </w:r>
          </w:p>
        </w:tc>
        <w:tc>
          <w:tcPr>
            <w:tcW w:w="7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7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Distribution</w:t>
            </w:r>
          </w:p>
        </w:tc>
        <w:tc>
          <w:tcPr>
            <w:tcW w:w="9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Canada LP</w:t>
            </w:r>
          </w:p>
        </w:tc>
        <w:tc>
          <w:tcPr>
            <w:tcW w:w="7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2755</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1190 Rue Manic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Chicoutimi</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PQ</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G7K 1A2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7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Distribution</w:t>
            </w:r>
          </w:p>
        </w:tc>
        <w:tc>
          <w:tcPr>
            <w:tcW w:w="9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Canada LP</w:t>
            </w:r>
          </w:p>
        </w:tc>
        <w:tc>
          <w:tcPr>
            <w:tcW w:w="7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2765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253</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Joliette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Sept Iles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PQ</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G4R 2A8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6"/>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WESCO</w:t>
            </w:r>
          </w:p>
        </w:tc>
        <w:tc>
          <w:tcPr>
            <w:tcW w:w="7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Distribution</w:t>
            </w:r>
          </w:p>
        </w:tc>
        <w:tc>
          <w:tcPr>
            <w:tcW w:w="9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181"/>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Canada LP</w:t>
            </w:r>
          </w:p>
        </w:tc>
        <w:tc>
          <w:tcPr>
            <w:tcW w:w="7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2775</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4-6 Second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Wabush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NF</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A0R 1B0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Excess</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EECOL Electric ULC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2835-08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2683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Moray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Courtenay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V9N 8M9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89"/>
              </w:rPr>
              <w:t>Hazmasters, Inc.</w:t>
            </w:r>
          </w:p>
        </w:tc>
        <w:tc>
          <w:tcPr>
            <w:tcW w:w="7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2988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3103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Thunderbird Crescent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Burnaby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V5A 3G1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89"/>
              </w:rPr>
              <w:t>Hazmasters, Inc.</w:t>
            </w:r>
          </w:p>
        </w:tc>
        <w:tc>
          <w:tcPr>
            <w:tcW w:w="7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2994</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225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Watt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Heights (Winnipeg)</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MB</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R2L 1S6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89"/>
              </w:rPr>
              <w:t>Hazmasters, Inc.</w:t>
            </w:r>
          </w:p>
        </w:tc>
        <w:tc>
          <w:tcPr>
            <w:tcW w:w="7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2998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1200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Kenmount 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Paradise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A1L 1N3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3228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2262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112th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Holland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49424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3229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2857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Enterprise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Saginaw</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48603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3270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6519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Fairfield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Northwood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43619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3337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8431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Boardman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44512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3375</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24 39th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Pittsburgh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15201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3405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6860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Ashfield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Cincinnati</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45242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3410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2256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City Gate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Columbus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43219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3410A</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155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Downtowner Plaza</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Coshocton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43812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3540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1328F South John B. Dennis Parkway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Kingsport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37660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3560</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724</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Pine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Albany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31701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3562</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114 Corporate Park East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LaGrange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30241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3580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25 Telfair Place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Savannah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31401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3615A</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1958-B&amp;C Hilton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Statesville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28677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3619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5521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LakeView 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Charlotte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28269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3640</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706</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A Garlington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Greenville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29607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3715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250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Finney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Huntsville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35824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3725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566</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Beauregard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Mobile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36603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3735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1400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- 1410 Fort Negley Boulevard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Nashville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37203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3905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1220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Washington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Cedarburg (Relocates to Jackson)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53012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3905A</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Northwest Passage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Jackson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53037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5114</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4111 West Mitchell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Milwaukee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53215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5228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3412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Boland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Bend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46628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5234</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401</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South Third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Evansville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47708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5235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3419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Bashford Avenue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Louisville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40218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5444</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1210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Esi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Springdale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72764-1100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5454</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630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East Boulevard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Iron Mountain (Kingsford)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49802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5692</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337</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West Cotton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Longview</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75601-6223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5696</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1535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Wilkinson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Shreveport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71103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5792</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520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34th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Lubbock</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79404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5799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3862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Tractor Trail</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San Angelo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76903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5802</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921</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West Mary Frontage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Garden City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67846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5808</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915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North Adams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Peoria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61603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6103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East Trent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Spokane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99202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6217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1544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 Maple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Fresno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93703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6218A</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1709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Junction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San Jose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95112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6221</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2500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Dean Lesher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Concord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94520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6228</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1150 Connolly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Elko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NV</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89801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6329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7790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Convoy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San Diego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92111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6440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2815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Garrett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Pocatello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83201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6456</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500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Mainline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Green River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82935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6502</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411 Lehuakona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Kahului</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96732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6503</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10 Kukila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Hilo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96720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6505</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74-5590 Eho 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Kailua-Kona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96740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6668</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1211 South 27th Street West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Billings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MT</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59102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6672</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 Winland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Gillette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82718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6673</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133</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Commerce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Fort Collins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80524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6709</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26407 Highway 33</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Fellows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93224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6716</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170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S. Skylane Drive, Bldg. # 1</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Durango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81303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7423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2900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Gray Fox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Monroe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28110-8420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7430</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501</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Avenue R. SW</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Winter Haven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33880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7434</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255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Jordan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Tifton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31794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7435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4030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Express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Arlington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76001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7440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23192 Gallatin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Elkhart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46514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7440B</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2702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Ada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Elkhart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46514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7447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1700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 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67114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7458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1395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Teare Ave.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Meridian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83642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7461</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3380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 Durango St.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Phoenix</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AZ</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85009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7465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2219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Eddie Williams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Johnson City</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37601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00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35"/>
        </w:trPr>
        <w:tc>
          <w:tcPr>
            <w:tcW w:w="10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bl>
    <w:p>
      <w:pPr>
        <w:sectPr>
          <w:pgSz w:w="11900" w:h="16900" w:orient="portrait"/>
          <w:cols w:equalWidth="0" w:num="1">
            <w:col w:w="11380"/>
          </w:cols>
          <w:pgMar w:left="300" w:top="140" w:right="219" w:bottom="0" w:gutter="0" w:footer="0" w:header="0"/>
        </w:sectPr>
      </w:pPr>
    </w:p>
    <w:bookmarkStart w:id="91" w:name="page92"/>
    <w:bookmarkEnd w:id="91"/>
    <w:p>
      <w:pPr>
        <w:spacing w:after="0" w:line="62" w:lineRule="exact"/>
        <w:rPr>
          <w:sz w:val="20"/>
          <w:szCs w:val="20"/>
          <w:color w:val="auto"/>
        </w:rPr>
      </w:pPr>
    </w:p>
    <w:tbl>
      <w:tblPr>
        <w:tblLayout w:type="fixed"/>
        <w:tblInd w:w="75" w:type="dxa"/>
        <w:tblCellMar>
          <w:top w:w="0" w:type="dxa"/>
          <w:left w:w="0" w:type="dxa"/>
          <w:bottom w:w="0" w:type="dxa"/>
          <w:right w:w="0" w:type="dxa"/>
        </w:tblCellMar>
      </w:tblPr>
      <w:tr>
        <w:trPr>
          <w:trHeight w:val="202"/>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7540</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9"/>
              </w:rPr>
              <w:t>1050</w:t>
            </w:r>
          </w:p>
        </w:tc>
        <w:tc>
          <w:tcPr>
            <w:tcW w:w="3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 Plummer Street</w:t>
            </w:r>
          </w:p>
        </w:tc>
        <w:tc>
          <w:tcPr>
            <w:tcW w:w="2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Tucson</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AZ</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85719</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7540A</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1665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 22nd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Tucson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AZ</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85710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7545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500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Prime Place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Hauppauge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11788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7551</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3011 Lausat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Metairie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70001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7553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5105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US Highway 90</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Broussard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70518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7557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7049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Brookhollow West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Houston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77040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7559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2835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Andrews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Pascagoula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MS</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39567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7565A</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310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Brookshire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Greer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29651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7565C</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280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Morley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Saginaw</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48601-9464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Office</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7574</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30-30 60th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Woodside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11377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7575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909</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 Pont Des Mouton Rd.,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Lafayette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70503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7580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118 Hawbaker Industrial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State College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16803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7587</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152-A Furlong Industrial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Kernersville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27284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7601</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201</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Washington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Monroe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71201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7602</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1803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Farmerville Highway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Ruston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71270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7609</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Bar Harbor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Trenton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4605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Excess</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7609S</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Bar Harbor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Trenton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4605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7610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80 Farm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Bangor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4401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7611</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327</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Marginal Way &amp; 341 Marginal 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Portland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4101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7623</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716</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Belvedere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Kokomo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46901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7630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3550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179th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Hammond</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46323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7638</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1224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Grinnell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Kankakee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60901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7644</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1520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41st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Manitowoc</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54221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7646</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125</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Tecumseh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Adrian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49221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1880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McFarland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Alpharetta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30005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4304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 First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Duluth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55807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7654</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5554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 Enterprise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Mountain Iron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55768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7656</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1945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Commerce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Athens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30607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1570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Macon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31206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7658</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808</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Bradford Street SW</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Gainesville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30501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7659</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100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Branch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Columbia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29223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7660</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1811 Wall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Florence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29501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7662</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7431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Industry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Charleston (North Charleston)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29418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7669</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47 Englewood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Sheboygan Falls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53085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7670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1245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Danner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Aurora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OH</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44202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7673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7033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Walrond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Roanoke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24019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7675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5525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Polaris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Las Vegas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NV</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89118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7679</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119 Hamilton Park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Tallahassee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32304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7681</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1630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 23rd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Gainesville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32609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7684</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1703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Marvin Griffin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Augusta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30906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7685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813</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Gil Harbin Industrial Parkway</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Valdosta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31601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7692</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2003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Rutland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Austin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78758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7696A</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3641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Wedington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Fayetteville</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72704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7805</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200</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Bendix</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Taos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NM</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87581</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7809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2515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Preble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Pittsburgh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15233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7815</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11333 E. 55th Avenue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Denver</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80239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7815A</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10401 East 102nd Ave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Henderson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80640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7819</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1709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 Orchard Knob Ave.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Chattanooga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37406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gridSpan w:val="3"/>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Carlton-Bates Company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7836</w:t>
            </w:r>
          </w:p>
        </w:tc>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9211 Slack Road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Shreveport</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71106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7843</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1721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 Fortune Court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Lexington</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40509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7849A</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738</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Sunset Blvd.</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West Columbia</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29169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gridSpan w:val="2"/>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7853</w:t>
            </w:r>
          </w:p>
        </w:tc>
        <w:tc>
          <w:tcPr>
            <w:tcW w:w="240" w:type="dxa"/>
            <w:vAlign w:val="bottom"/>
          </w:tcPr>
          <w:p>
            <w:pPr>
              <w:ind w:left="20"/>
              <w:spacing w:after="0"/>
              <w:rPr>
                <w:sz w:val="20"/>
                <w:szCs w:val="20"/>
                <w:color w:val="auto"/>
              </w:rPr>
            </w:pPr>
            <w:r>
              <w:rPr>
                <w:rFonts w:ascii="Arial" w:cs="Arial" w:eastAsia="Arial" w:hAnsi="Arial"/>
                <w:sz w:val="14"/>
                <w:szCs w:val="14"/>
                <w:color w:val="auto"/>
                <w:w w:val="85"/>
              </w:rPr>
              <w:t>901</w:t>
            </w:r>
          </w:p>
        </w:tc>
        <w:tc>
          <w:tcPr>
            <w:tcW w:w="32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S. 9th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Bismarck</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ND</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58504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7855</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2301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Fleur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Des Moines</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50316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7881</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4410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Dividend Street</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San Antonio</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TX</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78219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7884</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3025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Stonybrook Drive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Raleigh</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27604</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9"/>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WESCO Distribution,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7957</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6251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Knott Ave.</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Los Angeles (Buena Park)</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90620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Industrial</w:t>
            </w:r>
          </w:p>
        </w:tc>
      </w:tr>
      <w:tr>
        <w:trPr>
          <w:trHeight w:val="29"/>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u w:val="single" w:color="auto"/>
          <w:color w:val="auto"/>
        </w:rPr>
        <w:t>SCHEDULE 6.01</w:t>
      </w:r>
    </w:p>
    <w:p>
      <w:pPr>
        <w:spacing w:after="0" w:line="186"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u w:val="single" w:color="auto"/>
          <w:color w:val="auto"/>
        </w:rPr>
        <w:t>EXISTING INDEBTEDNESS</w:t>
      </w:r>
    </w:p>
    <w:p>
      <w:pPr>
        <w:spacing w:after="0" w:line="190" w:lineRule="exact"/>
        <w:rPr>
          <w:sz w:val="20"/>
          <w:szCs w:val="20"/>
          <w:color w:val="auto"/>
        </w:rPr>
      </w:pPr>
    </w:p>
    <w:p>
      <w:pPr>
        <w:ind w:left="285" w:hanging="285"/>
        <w:spacing w:after="0"/>
        <w:tabs>
          <w:tab w:leader="none" w:pos="285"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INTERCOMPANY INDEBTEDNESS</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tbl>
      <w:tblPr>
        <w:tblLayout w:type="fixed"/>
        <w:tblInd w:w="255" w:type="dxa"/>
        <w:tblCellMar>
          <w:top w:w="0" w:type="dxa"/>
          <w:left w:w="0" w:type="dxa"/>
          <w:bottom w:w="0" w:type="dxa"/>
          <w:right w:w="0" w:type="dxa"/>
        </w:tblCellMar>
      </w:tblPr>
      <w:tr>
        <w:trPr>
          <w:trHeight w:val="191"/>
        </w:trPr>
        <w:tc>
          <w:tcPr>
            <w:tcW w:w="760" w:type="dxa"/>
            <w:vAlign w:val="bottom"/>
            <w:tcBorders>
              <w:top w:val="single" w:sz="8" w:color="00000A"/>
              <w:left w:val="single" w:sz="8" w:color="D9D9D9"/>
            </w:tcBorders>
            <w:shd w:val="clear" w:color="auto" w:fill="D9D9D9"/>
          </w:tcPr>
          <w:p>
            <w:pPr>
              <w:ind w:left="40"/>
              <w:spacing w:after="0" w:line="191" w:lineRule="exact"/>
              <w:rPr>
                <w:sz w:val="20"/>
                <w:szCs w:val="20"/>
                <w:color w:val="auto"/>
              </w:rPr>
            </w:pPr>
            <w:r>
              <w:rPr>
                <w:rFonts w:ascii="Arial" w:cs="Arial" w:eastAsia="Arial" w:hAnsi="Arial"/>
                <w:sz w:val="17"/>
                <w:szCs w:val="17"/>
                <w:b w:val="1"/>
                <w:bCs w:val="1"/>
                <w:color w:val="auto"/>
              </w:rPr>
              <w:t>Holder</w:t>
            </w:r>
          </w:p>
        </w:tc>
        <w:tc>
          <w:tcPr>
            <w:tcW w:w="480" w:type="dxa"/>
            <w:vAlign w:val="bottom"/>
            <w:tcBorders>
              <w:top w:val="single" w:sz="8" w:color="00000A"/>
              <w:right w:val="single" w:sz="8" w:color="00000A"/>
            </w:tcBorders>
            <w:gridSpan w:val="2"/>
            <w:shd w:val="clear" w:color="auto" w:fill="D9D9D9"/>
          </w:tcPr>
          <w:p>
            <w:pPr>
              <w:ind w:left="140"/>
              <w:spacing w:after="0" w:line="191" w:lineRule="exact"/>
              <w:rPr>
                <w:sz w:val="20"/>
                <w:szCs w:val="20"/>
                <w:color w:val="auto"/>
              </w:rPr>
            </w:pPr>
            <w:r>
              <w:rPr>
                <w:rFonts w:ascii="Arial" w:cs="Arial" w:eastAsia="Arial" w:hAnsi="Arial"/>
                <w:sz w:val="17"/>
                <w:szCs w:val="17"/>
                <w:b w:val="1"/>
                <w:bCs w:val="1"/>
                <w:color w:val="auto"/>
                <w:w w:val="99"/>
              </w:rPr>
              <w:t>and</w:t>
            </w:r>
          </w:p>
        </w:tc>
        <w:tc>
          <w:tcPr>
            <w:tcW w:w="1200" w:type="dxa"/>
            <w:vAlign w:val="bottom"/>
            <w:tcBorders>
              <w:top w:val="single" w:sz="8" w:color="00000A"/>
              <w:right w:val="single" w:sz="8" w:color="00000A"/>
            </w:tcBorders>
            <w:gridSpan w:val="2"/>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Obligor</w:t>
            </w:r>
          </w:p>
        </w:tc>
        <w:tc>
          <w:tcPr>
            <w:tcW w:w="1660" w:type="dxa"/>
            <w:vAlign w:val="bottom"/>
            <w:tcBorders>
              <w:top w:val="single" w:sz="8" w:color="00000A"/>
              <w:right w:val="single" w:sz="8" w:color="00000A"/>
            </w:tcBorders>
            <w:gridSpan w:val="3"/>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Initial</w:t>
            </w:r>
          </w:p>
        </w:tc>
        <w:tc>
          <w:tcPr>
            <w:tcW w:w="860" w:type="dxa"/>
            <w:vAlign w:val="bottom"/>
            <w:tcBorders>
              <w:top w:val="single" w:sz="8" w:color="00000A"/>
            </w:tcBorders>
            <w:gridSpan w:val="2"/>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Current</w:t>
            </w:r>
          </w:p>
        </w:tc>
        <w:tc>
          <w:tcPr>
            <w:tcW w:w="1000" w:type="dxa"/>
            <w:vAlign w:val="bottom"/>
            <w:tcBorders>
              <w:top w:val="single" w:sz="8" w:color="00000A"/>
              <w:right w:val="single" w:sz="8" w:color="00000A"/>
            </w:tcBorders>
            <w:shd w:val="clear" w:color="auto" w:fill="D9D9D9"/>
          </w:tcPr>
          <w:p>
            <w:pPr>
              <w:ind w:left="280"/>
              <w:spacing w:after="0" w:line="191" w:lineRule="exact"/>
              <w:rPr>
                <w:sz w:val="20"/>
                <w:szCs w:val="20"/>
                <w:color w:val="auto"/>
              </w:rPr>
            </w:pPr>
            <w:r>
              <w:rPr>
                <w:rFonts w:ascii="Arial" w:cs="Arial" w:eastAsia="Arial" w:hAnsi="Arial"/>
                <w:sz w:val="17"/>
                <w:szCs w:val="17"/>
                <w:b w:val="1"/>
                <w:bCs w:val="1"/>
                <w:color w:val="auto"/>
                <w:w w:val="94"/>
              </w:rPr>
              <w:t>Principal</w:t>
            </w:r>
          </w:p>
        </w:tc>
        <w:tc>
          <w:tcPr>
            <w:tcW w:w="1100" w:type="dxa"/>
            <w:vAlign w:val="bottom"/>
            <w:tcBorders>
              <w:top w:val="single" w:sz="8" w:color="00000A"/>
              <w:right w:val="single" w:sz="8" w:color="00000A"/>
            </w:tcBorders>
            <w:gridSpan w:val="2"/>
            <w:shd w:val="clear" w:color="auto" w:fill="D9D9D9"/>
          </w:tcPr>
          <w:p>
            <w:pPr>
              <w:spacing w:after="0" w:line="191" w:lineRule="exact"/>
              <w:rPr>
                <w:sz w:val="20"/>
                <w:szCs w:val="20"/>
                <w:color w:val="auto"/>
              </w:rPr>
            </w:pPr>
            <w:r>
              <w:rPr>
                <w:rFonts w:ascii="Arial" w:cs="Arial" w:eastAsia="Arial" w:hAnsi="Arial"/>
                <w:sz w:val="17"/>
                <w:szCs w:val="17"/>
                <w:b w:val="1"/>
                <w:bCs w:val="1"/>
                <w:color w:val="auto"/>
                <w:w w:val="94"/>
              </w:rPr>
              <w:t>Original Issue</w:t>
            </w:r>
          </w:p>
        </w:tc>
        <w:tc>
          <w:tcPr>
            <w:tcW w:w="980" w:type="dxa"/>
            <w:vAlign w:val="bottom"/>
            <w:tcBorders>
              <w:top w:val="single" w:sz="8" w:color="00000A"/>
              <w:right w:val="single" w:sz="8" w:color="00000A"/>
            </w:tcBorders>
            <w:gridSpan w:val="3"/>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Maturity</w:t>
            </w:r>
          </w:p>
        </w:tc>
        <w:tc>
          <w:tcPr>
            <w:tcW w:w="980" w:type="dxa"/>
            <w:vAlign w:val="bottom"/>
            <w:tcBorders>
              <w:top w:val="single" w:sz="8" w:color="00000A"/>
              <w:right w:val="single" w:sz="8" w:color="00000A"/>
            </w:tcBorders>
            <w:gridSpan w:val="3"/>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Interest</w:t>
            </w:r>
          </w:p>
        </w:tc>
        <w:tc>
          <w:tcPr>
            <w:tcW w:w="820" w:type="dxa"/>
            <w:vAlign w:val="bottom"/>
            <w:tcBorders>
              <w:top w:val="single" w:sz="8" w:color="00000A"/>
            </w:tcBorders>
            <w:gridSpan w:val="2"/>
            <w:shd w:val="clear" w:color="auto" w:fill="D9D9D9"/>
          </w:tcPr>
          <w:p>
            <w:pPr>
              <w:spacing w:after="0" w:line="191" w:lineRule="exact"/>
              <w:rPr>
                <w:sz w:val="20"/>
                <w:szCs w:val="20"/>
                <w:color w:val="auto"/>
              </w:rPr>
            </w:pPr>
            <w:r>
              <w:rPr>
                <w:rFonts w:ascii="Arial" w:cs="Arial" w:eastAsia="Arial" w:hAnsi="Arial"/>
                <w:sz w:val="17"/>
                <w:szCs w:val="17"/>
                <w:b w:val="1"/>
                <w:bCs w:val="1"/>
                <w:color w:val="auto"/>
              </w:rPr>
              <w:t>Secured</w:t>
            </w:r>
          </w:p>
        </w:tc>
        <w:tc>
          <w:tcPr>
            <w:tcW w:w="160" w:type="dxa"/>
            <w:vAlign w:val="bottom"/>
            <w:tcBorders>
              <w:top w:val="single" w:sz="8" w:color="00000A"/>
              <w:right w:val="single" w:sz="8" w:color="00000A"/>
            </w:tcBorders>
            <w:shd w:val="clear" w:color="auto" w:fill="D9D9D9"/>
          </w:tcPr>
          <w:p>
            <w:pPr>
              <w:jc w:val="right"/>
              <w:spacing w:after="0" w:line="191" w:lineRule="exact"/>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00000A"/>
              <w:right w:val="single" w:sz="8" w:color="00000A"/>
            </w:tcBorders>
            <w:gridSpan w:val="2"/>
            <w:shd w:val="clear" w:color="auto" w:fill="D9D9D9"/>
          </w:tcPr>
          <w:p>
            <w:pPr>
              <w:spacing w:after="0" w:line="191" w:lineRule="exact"/>
              <w:rPr>
                <w:sz w:val="20"/>
                <w:szCs w:val="20"/>
                <w:color w:val="auto"/>
              </w:rPr>
            </w:pPr>
            <w:r>
              <w:rPr>
                <w:rFonts w:ascii="Arial" w:cs="Arial" w:eastAsia="Arial" w:hAnsi="Arial"/>
                <w:sz w:val="17"/>
                <w:szCs w:val="17"/>
                <w:b w:val="1"/>
                <w:bCs w:val="1"/>
                <w:color w:val="auto"/>
                <w:w w:val="97"/>
              </w:rPr>
              <w:t>Guaranteed</w:t>
            </w:r>
          </w:p>
        </w:tc>
      </w:tr>
      <w:tr>
        <w:trPr>
          <w:trHeight w:val="20"/>
        </w:trPr>
        <w:tc>
          <w:tcPr>
            <w:tcW w:w="1100" w:type="dxa"/>
            <w:vAlign w:val="bottom"/>
            <w:tcBorders>
              <w:left w:val="single" w:sz="8" w:color="D9D9D9"/>
            </w:tcBorders>
            <w:gridSpan w:val="2"/>
            <w:shd w:val="clear" w:color="auto" w:fill="000000"/>
          </w:tcPr>
          <w:p>
            <w:pPr>
              <w:spacing w:after="0" w:line="20" w:lineRule="exact"/>
              <w:rPr>
                <w:sz w:val="1"/>
                <w:szCs w:val="1"/>
                <w:color w:val="auto"/>
              </w:rPr>
            </w:pPr>
          </w:p>
        </w:tc>
        <w:tc>
          <w:tcPr>
            <w:tcW w:w="140" w:type="dxa"/>
            <w:vAlign w:val="bottom"/>
            <w:tcBorders>
              <w:right w:val="single" w:sz="8" w:color="00000A"/>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Borders>
              <w:right w:val="single" w:sz="8" w:color="00000A"/>
            </w:tcBorders>
            <w:shd w:val="clear" w:color="auto" w:fill="D9D9D9"/>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D9D9D9"/>
          </w:tcPr>
          <w:p>
            <w:pPr>
              <w:spacing w:after="0" w:line="20" w:lineRule="exact"/>
              <w:rPr>
                <w:sz w:val="1"/>
                <w:szCs w:val="1"/>
                <w:color w:val="auto"/>
              </w:rPr>
            </w:pPr>
          </w:p>
        </w:tc>
        <w:tc>
          <w:tcPr>
            <w:tcW w:w="360" w:type="dxa"/>
            <w:vAlign w:val="bottom"/>
            <w:tcBorders>
              <w:right w:val="single" w:sz="8" w:color="00000A"/>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00000A"/>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00000A"/>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00000A"/>
            </w:tcBorders>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Borders>
              <w:right w:val="single" w:sz="8" w:color="00000A"/>
            </w:tcBorders>
            <w:shd w:val="clear" w:color="auto" w:fill="D9D9D9"/>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00000A"/>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Borders>
              <w:right w:val="single" w:sz="8" w:color="00000A"/>
            </w:tcBorders>
            <w:shd w:val="clear" w:color="auto" w:fill="000000"/>
          </w:tcPr>
          <w:p>
            <w:pPr>
              <w:spacing w:after="0" w:line="20" w:lineRule="exact"/>
              <w:rPr>
                <w:sz w:val="1"/>
                <w:szCs w:val="1"/>
                <w:color w:val="auto"/>
              </w:rPr>
            </w:pPr>
          </w:p>
        </w:tc>
      </w:tr>
      <w:tr>
        <w:trPr>
          <w:trHeight w:val="171"/>
        </w:trPr>
        <w:tc>
          <w:tcPr>
            <w:tcW w:w="1240" w:type="dxa"/>
            <w:vAlign w:val="bottom"/>
            <w:tcBorders>
              <w:left w:val="single" w:sz="8" w:color="D9D9D9"/>
              <w:right w:val="single" w:sz="8" w:color="00000A"/>
            </w:tcBorders>
            <w:gridSpan w:val="3"/>
            <w:shd w:val="clear" w:color="auto" w:fill="D9D9D9"/>
          </w:tcPr>
          <w:p>
            <w:pPr>
              <w:ind w:left="40"/>
              <w:spacing w:after="0" w:line="171" w:lineRule="exact"/>
              <w:rPr>
                <w:sz w:val="20"/>
                <w:szCs w:val="20"/>
                <w:color w:val="auto"/>
              </w:rPr>
            </w:pPr>
            <w:r>
              <w:rPr>
                <w:rFonts w:ascii="Arial" w:cs="Arial" w:eastAsia="Arial" w:hAnsi="Arial"/>
                <w:sz w:val="17"/>
                <w:szCs w:val="17"/>
                <w:b w:val="1"/>
                <w:bCs w:val="1"/>
                <w:color w:val="auto"/>
                <w:w w:val="98"/>
              </w:rPr>
              <w:t>Original Payee</w:t>
            </w:r>
          </w:p>
        </w:tc>
        <w:tc>
          <w:tcPr>
            <w:tcW w:w="560" w:type="dxa"/>
            <w:vAlign w:val="bottom"/>
            <w:shd w:val="clear" w:color="auto" w:fill="D9D9D9"/>
          </w:tcPr>
          <w:p>
            <w:pPr>
              <w:spacing w:after="0"/>
              <w:rPr>
                <w:sz w:val="14"/>
                <w:szCs w:val="14"/>
                <w:color w:val="auto"/>
              </w:rPr>
            </w:pPr>
          </w:p>
        </w:tc>
        <w:tc>
          <w:tcPr>
            <w:tcW w:w="640" w:type="dxa"/>
            <w:vAlign w:val="bottom"/>
            <w:tcBorders>
              <w:right w:val="single" w:sz="8" w:color="00000A"/>
            </w:tcBorders>
            <w:shd w:val="clear" w:color="auto" w:fill="D9D9D9"/>
          </w:tcPr>
          <w:p>
            <w:pPr>
              <w:spacing w:after="0"/>
              <w:rPr>
                <w:sz w:val="14"/>
                <w:szCs w:val="14"/>
                <w:color w:val="auto"/>
              </w:rPr>
            </w:pPr>
          </w:p>
        </w:tc>
        <w:tc>
          <w:tcPr>
            <w:tcW w:w="1660" w:type="dxa"/>
            <w:vAlign w:val="bottom"/>
            <w:tcBorders>
              <w:right w:val="single" w:sz="8" w:color="00000A"/>
            </w:tcBorders>
            <w:gridSpan w:val="3"/>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Principal Amount</w:t>
            </w:r>
          </w:p>
        </w:tc>
        <w:tc>
          <w:tcPr>
            <w:tcW w:w="860" w:type="dxa"/>
            <w:vAlign w:val="bottom"/>
            <w:gridSpan w:val="2"/>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Amount</w:t>
            </w:r>
          </w:p>
        </w:tc>
        <w:tc>
          <w:tcPr>
            <w:tcW w:w="1000" w:type="dxa"/>
            <w:vAlign w:val="bottom"/>
            <w:tcBorders>
              <w:right w:val="single" w:sz="8" w:color="00000A"/>
            </w:tcBorders>
            <w:shd w:val="clear" w:color="auto" w:fill="D9D9D9"/>
          </w:tcPr>
          <w:p>
            <w:pPr>
              <w:spacing w:after="0"/>
              <w:rPr>
                <w:sz w:val="14"/>
                <w:szCs w:val="14"/>
                <w:color w:val="auto"/>
              </w:rPr>
            </w:pPr>
          </w:p>
        </w:tc>
        <w:tc>
          <w:tcPr>
            <w:tcW w:w="1100" w:type="dxa"/>
            <w:vAlign w:val="bottom"/>
            <w:tcBorders>
              <w:right w:val="single" w:sz="8" w:color="00000A"/>
            </w:tcBorders>
            <w:gridSpan w:val="2"/>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Date</w:t>
            </w:r>
          </w:p>
        </w:tc>
        <w:tc>
          <w:tcPr>
            <w:tcW w:w="980" w:type="dxa"/>
            <w:vAlign w:val="bottom"/>
            <w:tcBorders>
              <w:right w:val="single" w:sz="8" w:color="00000A"/>
            </w:tcBorders>
            <w:gridSpan w:val="3"/>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Date</w:t>
            </w:r>
          </w:p>
        </w:tc>
        <w:tc>
          <w:tcPr>
            <w:tcW w:w="980" w:type="dxa"/>
            <w:vAlign w:val="bottom"/>
            <w:tcBorders>
              <w:right w:val="single" w:sz="8" w:color="00000A"/>
            </w:tcBorders>
            <w:gridSpan w:val="3"/>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Rate</w:t>
            </w:r>
          </w:p>
        </w:tc>
        <w:tc>
          <w:tcPr>
            <w:tcW w:w="820" w:type="dxa"/>
            <w:vAlign w:val="bottom"/>
            <w:gridSpan w:val="2"/>
            <w:shd w:val="clear" w:color="auto" w:fill="D9D9D9"/>
          </w:tcPr>
          <w:p>
            <w:pPr>
              <w:spacing w:after="0" w:line="171" w:lineRule="exact"/>
              <w:rPr>
                <w:sz w:val="20"/>
                <w:szCs w:val="20"/>
                <w:color w:val="auto"/>
              </w:rPr>
            </w:pPr>
            <w:r>
              <w:rPr>
                <w:rFonts w:ascii="Arial" w:cs="Arial" w:eastAsia="Arial" w:hAnsi="Arial"/>
                <w:sz w:val="17"/>
                <w:szCs w:val="17"/>
                <w:b w:val="1"/>
                <w:bCs w:val="1"/>
                <w:color w:val="auto"/>
                <w:w w:val="91"/>
              </w:rPr>
              <w:t>Unsecured</w:t>
            </w:r>
          </w:p>
        </w:tc>
        <w:tc>
          <w:tcPr>
            <w:tcW w:w="160" w:type="dxa"/>
            <w:vAlign w:val="bottom"/>
            <w:tcBorders>
              <w:right w:val="single" w:sz="8" w:color="00000A"/>
            </w:tcBorders>
            <w:shd w:val="clear" w:color="auto" w:fill="D9D9D9"/>
          </w:tcPr>
          <w:p>
            <w:pPr>
              <w:spacing w:after="0"/>
              <w:rPr>
                <w:sz w:val="14"/>
                <w:szCs w:val="14"/>
                <w:color w:val="auto"/>
              </w:rPr>
            </w:pPr>
          </w:p>
        </w:tc>
        <w:tc>
          <w:tcPr>
            <w:tcW w:w="440" w:type="dxa"/>
            <w:vAlign w:val="bottom"/>
            <w:shd w:val="clear" w:color="auto" w:fill="D9D9D9"/>
          </w:tcPr>
          <w:p>
            <w:pPr>
              <w:spacing w:after="0" w:line="171" w:lineRule="exact"/>
              <w:rPr>
                <w:sz w:val="20"/>
                <w:szCs w:val="20"/>
                <w:color w:val="auto"/>
              </w:rPr>
            </w:pPr>
            <w:r>
              <w:rPr>
                <w:rFonts w:ascii="Arial" w:cs="Arial" w:eastAsia="Arial" w:hAnsi="Arial"/>
                <w:sz w:val="17"/>
                <w:szCs w:val="17"/>
                <w:b w:val="1"/>
                <w:bCs w:val="1"/>
                <w:color w:val="auto"/>
              </w:rPr>
              <w:t>/</w:t>
            </w:r>
          </w:p>
        </w:tc>
        <w:tc>
          <w:tcPr>
            <w:tcW w:w="520" w:type="dxa"/>
            <w:vAlign w:val="bottom"/>
            <w:tcBorders>
              <w:right w:val="single" w:sz="8" w:color="00000A"/>
            </w:tcBorders>
            <w:shd w:val="clear" w:color="auto" w:fill="D9D9D9"/>
          </w:tcPr>
          <w:p>
            <w:pPr>
              <w:ind w:left="200"/>
              <w:spacing w:after="0" w:line="171" w:lineRule="exact"/>
              <w:rPr>
                <w:sz w:val="20"/>
                <w:szCs w:val="20"/>
                <w:color w:val="auto"/>
              </w:rPr>
            </w:pPr>
            <w:r>
              <w:rPr>
                <w:rFonts w:ascii="Arial" w:cs="Arial" w:eastAsia="Arial" w:hAnsi="Arial"/>
                <w:sz w:val="17"/>
                <w:szCs w:val="17"/>
                <w:b w:val="1"/>
                <w:bCs w:val="1"/>
                <w:color w:val="auto"/>
                <w:w w:val="98"/>
              </w:rPr>
              <w:t>Not</w:t>
            </w:r>
          </w:p>
        </w:tc>
      </w:tr>
      <w:tr>
        <w:trPr>
          <w:trHeight w:val="230"/>
        </w:trPr>
        <w:tc>
          <w:tcPr>
            <w:tcW w:w="760" w:type="dxa"/>
            <w:vAlign w:val="bottom"/>
            <w:tcBorders>
              <w:top w:val="single" w:sz="8" w:color="auto"/>
              <w:left w:val="single" w:sz="8" w:color="D9D9D9"/>
              <w:bottom w:val="single" w:sz="8" w:color="auto"/>
            </w:tcBorders>
            <w:shd w:val="clear" w:color="auto" w:fill="D9D9D9"/>
          </w:tcPr>
          <w:p>
            <w:pPr>
              <w:spacing w:after="0"/>
              <w:rPr>
                <w:sz w:val="20"/>
                <w:szCs w:val="20"/>
                <w:color w:val="auto"/>
              </w:rPr>
            </w:pPr>
          </w:p>
        </w:tc>
        <w:tc>
          <w:tcPr>
            <w:tcW w:w="34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560" w:type="dxa"/>
            <w:vAlign w:val="bottom"/>
            <w:tcBorders>
              <w:top w:val="single" w:sz="8" w:color="D9D9D9"/>
              <w:bottom w:val="single" w:sz="8" w:color="auto"/>
            </w:tcBorders>
            <w:shd w:val="clear" w:color="auto" w:fill="D9D9D9"/>
          </w:tcPr>
          <w:p>
            <w:pPr>
              <w:spacing w:after="0"/>
              <w:rPr>
                <w:sz w:val="20"/>
                <w:szCs w:val="20"/>
                <w:color w:val="auto"/>
              </w:rPr>
            </w:pPr>
          </w:p>
        </w:tc>
        <w:tc>
          <w:tcPr>
            <w:tcW w:w="64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440" w:type="dxa"/>
            <w:vAlign w:val="bottom"/>
            <w:tcBorders>
              <w:top w:val="single" w:sz="8" w:color="auto"/>
              <w:bottom w:val="single" w:sz="8" w:color="auto"/>
            </w:tcBorders>
            <w:shd w:val="clear" w:color="auto" w:fill="D9D9D9"/>
          </w:tcPr>
          <w:p>
            <w:pPr>
              <w:spacing w:after="0"/>
              <w:rPr>
                <w:sz w:val="20"/>
                <w:szCs w:val="20"/>
                <w:color w:val="auto"/>
              </w:rPr>
            </w:pPr>
          </w:p>
        </w:tc>
        <w:tc>
          <w:tcPr>
            <w:tcW w:w="860" w:type="dxa"/>
            <w:vAlign w:val="bottom"/>
            <w:tcBorders>
              <w:top w:val="single" w:sz="8" w:color="auto"/>
              <w:bottom w:val="single" w:sz="8" w:color="auto"/>
            </w:tcBorders>
            <w:shd w:val="clear" w:color="auto" w:fill="D9D9D9"/>
          </w:tcPr>
          <w:p>
            <w:pPr>
              <w:spacing w:after="0"/>
              <w:rPr>
                <w:sz w:val="20"/>
                <w:szCs w:val="20"/>
                <w:color w:val="auto"/>
              </w:rPr>
            </w:pPr>
          </w:p>
        </w:tc>
        <w:tc>
          <w:tcPr>
            <w:tcW w:w="36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580" w:type="dxa"/>
            <w:vAlign w:val="bottom"/>
            <w:tcBorders>
              <w:top w:val="single" w:sz="8" w:color="auto"/>
              <w:bottom w:val="single" w:sz="8" w:color="auto"/>
            </w:tcBorders>
            <w:shd w:val="clear" w:color="auto" w:fill="D9D9D9"/>
          </w:tcPr>
          <w:p>
            <w:pPr>
              <w:spacing w:after="0"/>
              <w:rPr>
                <w:sz w:val="20"/>
                <w:szCs w:val="20"/>
                <w:color w:val="auto"/>
              </w:rPr>
            </w:pPr>
          </w:p>
        </w:tc>
        <w:tc>
          <w:tcPr>
            <w:tcW w:w="280" w:type="dxa"/>
            <w:vAlign w:val="bottom"/>
            <w:tcBorders>
              <w:top w:val="single" w:sz="8" w:color="D9D9D9"/>
              <w:bottom w:val="single" w:sz="8" w:color="auto"/>
            </w:tcBorders>
            <w:shd w:val="clear" w:color="auto" w:fill="D9D9D9"/>
          </w:tcPr>
          <w:p>
            <w:pPr>
              <w:spacing w:after="0"/>
              <w:rPr>
                <w:sz w:val="20"/>
                <w:szCs w:val="20"/>
                <w:color w:val="auto"/>
              </w:rPr>
            </w:pPr>
          </w:p>
        </w:tc>
        <w:tc>
          <w:tcPr>
            <w:tcW w:w="100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340" w:type="dxa"/>
            <w:vAlign w:val="bottom"/>
            <w:tcBorders>
              <w:top w:val="single" w:sz="8" w:color="auto"/>
              <w:bottom w:val="single" w:sz="8" w:color="auto"/>
            </w:tcBorders>
            <w:shd w:val="clear" w:color="auto" w:fill="D9D9D9"/>
          </w:tcPr>
          <w:p>
            <w:pPr>
              <w:spacing w:after="0"/>
              <w:rPr>
                <w:sz w:val="20"/>
                <w:szCs w:val="20"/>
                <w:color w:val="auto"/>
              </w:rPr>
            </w:pPr>
          </w:p>
        </w:tc>
        <w:tc>
          <w:tcPr>
            <w:tcW w:w="76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340" w:type="dxa"/>
            <w:vAlign w:val="bottom"/>
            <w:tcBorders>
              <w:top w:val="single" w:sz="8" w:color="auto"/>
              <w:bottom w:val="single" w:sz="8" w:color="auto"/>
            </w:tcBorders>
            <w:shd w:val="clear" w:color="auto" w:fill="D9D9D9"/>
          </w:tcPr>
          <w:p>
            <w:pPr>
              <w:spacing w:after="0"/>
              <w:rPr>
                <w:sz w:val="20"/>
                <w:szCs w:val="20"/>
                <w:color w:val="auto"/>
              </w:rPr>
            </w:pPr>
          </w:p>
        </w:tc>
        <w:tc>
          <w:tcPr>
            <w:tcW w:w="300" w:type="dxa"/>
            <w:vAlign w:val="bottom"/>
            <w:tcBorders>
              <w:top w:val="single" w:sz="8" w:color="D9D9D9"/>
              <w:bottom w:val="single" w:sz="8" w:color="auto"/>
            </w:tcBorders>
            <w:shd w:val="clear" w:color="auto" w:fill="D9D9D9"/>
          </w:tcPr>
          <w:p>
            <w:pPr>
              <w:spacing w:after="0"/>
              <w:rPr>
                <w:sz w:val="20"/>
                <w:szCs w:val="20"/>
                <w:color w:val="auto"/>
              </w:rPr>
            </w:pPr>
          </w:p>
        </w:tc>
        <w:tc>
          <w:tcPr>
            <w:tcW w:w="34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340" w:type="dxa"/>
            <w:vAlign w:val="bottom"/>
            <w:tcBorders>
              <w:top w:val="single" w:sz="8" w:color="auto"/>
              <w:bottom w:val="single" w:sz="8" w:color="auto"/>
            </w:tcBorders>
            <w:shd w:val="clear" w:color="auto" w:fill="D9D9D9"/>
          </w:tcPr>
          <w:p>
            <w:pPr>
              <w:spacing w:after="0"/>
              <w:rPr>
                <w:sz w:val="20"/>
                <w:szCs w:val="20"/>
                <w:color w:val="auto"/>
              </w:rPr>
            </w:pPr>
          </w:p>
        </w:tc>
        <w:tc>
          <w:tcPr>
            <w:tcW w:w="220" w:type="dxa"/>
            <w:vAlign w:val="bottom"/>
            <w:tcBorders>
              <w:top w:val="single" w:sz="8" w:color="D9D9D9"/>
              <w:bottom w:val="single" w:sz="8" w:color="auto"/>
            </w:tcBorders>
            <w:shd w:val="clear" w:color="auto" w:fill="D9D9D9"/>
          </w:tcPr>
          <w:p>
            <w:pPr>
              <w:spacing w:after="0"/>
              <w:rPr>
                <w:sz w:val="20"/>
                <w:szCs w:val="20"/>
                <w:color w:val="auto"/>
              </w:rPr>
            </w:pPr>
          </w:p>
        </w:tc>
        <w:tc>
          <w:tcPr>
            <w:tcW w:w="42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760" w:type="dxa"/>
            <w:vAlign w:val="bottom"/>
            <w:tcBorders>
              <w:top w:val="single" w:sz="8" w:color="auto"/>
              <w:bottom w:val="single" w:sz="8" w:color="auto"/>
            </w:tcBorders>
            <w:shd w:val="clear" w:color="auto" w:fill="D9D9D9"/>
          </w:tcPr>
          <w:p>
            <w:pPr>
              <w:spacing w:after="0"/>
              <w:rPr>
                <w:sz w:val="20"/>
                <w:szCs w:val="20"/>
                <w:color w:val="auto"/>
              </w:rPr>
            </w:pPr>
          </w:p>
        </w:tc>
        <w:tc>
          <w:tcPr>
            <w:tcW w:w="60" w:type="dxa"/>
            <w:vAlign w:val="bottom"/>
            <w:tcBorders>
              <w:top w:val="single" w:sz="8" w:color="D9D9D9"/>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00000A"/>
            </w:tcBorders>
            <w:shd w:val="clear" w:color="auto" w:fill="D9D9D9"/>
          </w:tcPr>
          <w:p>
            <w:pPr>
              <w:spacing w:after="0"/>
              <w:rPr>
                <w:sz w:val="20"/>
                <w:szCs w:val="20"/>
                <w:color w:val="auto"/>
              </w:rPr>
            </w:pPr>
          </w:p>
        </w:tc>
        <w:tc>
          <w:tcPr>
            <w:tcW w:w="960" w:type="dxa"/>
            <w:vAlign w:val="bottom"/>
            <w:tcBorders>
              <w:top w:val="single" w:sz="8" w:color="auto"/>
              <w:bottom w:val="single" w:sz="8" w:color="auto"/>
              <w:right w:val="single" w:sz="8" w:color="00000A"/>
            </w:tcBorders>
            <w:gridSpan w:val="2"/>
            <w:shd w:val="clear" w:color="auto" w:fill="D9D9D9"/>
          </w:tcPr>
          <w:p>
            <w:pPr>
              <w:spacing w:after="0" w:line="171" w:lineRule="exact"/>
              <w:rPr>
                <w:sz w:val="20"/>
                <w:szCs w:val="20"/>
                <w:color w:val="auto"/>
              </w:rPr>
            </w:pPr>
            <w:r>
              <w:rPr>
                <w:rFonts w:ascii="Arial" w:cs="Arial" w:eastAsia="Arial" w:hAnsi="Arial"/>
                <w:sz w:val="17"/>
                <w:szCs w:val="17"/>
                <w:b w:val="1"/>
                <w:bCs w:val="1"/>
                <w:color w:val="auto"/>
                <w:w w:val="97"/>
              </w:rPr>
              <w:t>Guaranteed</w:t>
            </w:r>
          </w:p>
        </w:tc>
      </w:tr>
      <w:tr>
        <w:trPr>
          <w:trHeight w:val="194"/>
        </w:trPr>
        <w:tc>
          <w:tcPr>
            <w:tcW w:w="760" w:type="dxa"/>
            <w:vAlign w:val="bottom"/>
          </w:tcPr>
          <w:p>
            <w:pPr>
              <w:ind w:left="40"/>
              <w:spacing w:after="0"/>
              <w:rPr>
                <w:sz w:val="20"/>
                <w:szCs w:val="20"/>
                <w:color w:val="auto"/>
              </w:rPr>
            </w:pPr>
            <w:r>
              <w:rPr>
                <w:rFonts w:ascii="Arial" w:cs="Arial" w:eastAsia="Arial" w:hAnsi="Arial"/>
                <w:sz w:val="16"/>
                <w:szCs w:val="16"/>
                <w:color w:val="auto"/>
              </w:rPr>
              <w:t>WESCO</w:t>
            </w:r>
          </w:p>
        </w:tc>
        <w:tc>
          <w:tcPr>
            <w:tcW w:w="340" w:type="dxa"/>
            <w:vAlign w:val="bottom"/>
          </w:tcPr>
          <w:p>
            <w:pPr>
              <w:spacing w:after="0"/>
              <w:rPr>
                <w:sz w:val="16"/>
                <w:szCs w:val="16"/>
                <w:color w:val="auto"/>
              </w:rPr>
            </w:pPr>
          </w:p>
        </w:tc>
        <w:tc>
          <w:tcPr>
            <w:tcW w:w="140" w:type="dxa"/>
            <w:vAlign w:val="bottom"/>
            <w:tcBorders>
              <w:right w:val="single" w:sz="8" w:color="00000A"/>
            </w:tcBorders>
          </w:tcPr>
          <w:p>
            <w:pPr>
              <w:spacing w:after="0"/>
              <w:rPr>
                <w:sz w:val="16"/>
                <w:szCs w:val="16"/>
                <w:color w:val="auto"/>
              </w:rPr>
            </w:pPr>
          </w:p>
        </w:tc>
        <w:tc>
          <w:tcPr>
            <w:tcW w:w="1200" w:type="dxa"/>
            <w:vAlign w:val="bottom"/>
            <w:tcBorders>
              <w:right w:val="single" w:sz="8" w:color="00000A"/>
            </w:tcBorders>
            <w:gridSpan w:val="2"/>
          </w:tcPr>
          <w:p>
            <w:pPr>
              <w:spacing w:after="0"/>
              <w:rPr>
                <w:sz w:val="20"/>
                <w:szCs w:val="20"/>
                <w:color w:val="auto"/>
              </w:rPr>
            </w:pPr>
            <w:r>
              <w:rPr>
                <w:rFonts w:ascii="Arial" w:cs="Arial" w:eastAsia="Arial" w:hAnsi="Arial"/>
                <w:sz w:val="16"/>
                <w:szCs w:val="16"/>
                <w:color w:val="auto"/>
              </w:rPr>
              <w:t>WESCO</w:t>
            </w:r>
          </w:p>
        </w:tc>
        <w:tc>
          <w:tcPr>
            <w:tcW w:w="1300" w:type="dxa"/>
            <w:vAlign w:val="bottom"/>
            <w:gridSpan w:val="2"/>
          </w:tcPr>
          <w:p>
            <w:pPr>
              <w:spacing w:after="0"/>
              <w:rPr>
                <w:sz w:val="20"/>
                <w:szCs w:val="20"/>
                <w:color w:val="auto"/>
              </w:rPr>
            </w:pPr>
            <w:r>
              <w:rPr>
                <w:rFonts w:ascii="Arial" w:cs="Arial" w:eastAsia="Arial" w:hAnsi="Arial"/>
                <w:sz w:val="16"/>
                <w:szCs w:val="16"/>
                <w:color w:val="auto"/>
              </w:rPr>
              <w:t>$839,364</w:t>
            </w:r>
          </w:p>
        </w:tc>
        <w:tc>
          <w:tcPr>
            <w:tcW w:w="360" w:type="dxa"/>
            <w:vAlign w:val="bottom"/>
            <w:tcBorders>
              <w:right w:val="single" w:sz="8" w:color="00000A"/>
            </w:tcBorders>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gridSpan w:val="2"/>
          </w:tcPr>
          <w:p>
            <w:pPr>
              <w:spacing w:after="0"/>
              <w:rPr>
                <w:sz w:val="20"/>
                <w:szCs w:val="20"/>
                <w:color w:val="auto"/>
              </w:rPr>
            </w:pPr>
            <w:r>
              <w:rPr>
                <w:rFonts w:ascii="Arial" w:cs="Arial" w:eastAsia="Arial" w:hAnsi="Arial"/>
                <w:sz w:val="16"/>
                <w:szCs w:val="16"/>
                <w:color w:val="auto"/>
                <w:w w:val="95"/>
              </w:rPr>
              <w:t>March 19, 2002</w:t>
            </w:r>
          </w:p>
        </w:tc>
        <w:tc>
          <w:tcPr>
            <w:tcW w:w="980" w:type="dxa"/>
            <w:vAlign w:val="bottom"/>
            <w:tcBorders>
              <w:right w:val="single" w:sz="8" w:color="00000A"/>
            </w:tcBorders>
            <w:gridSpan w:val="3"/>
          </w:tcPr>
          <w:p>
            <w:pPr>
              <w:spacing w:after="0"/>
              <w:rPr>
                <w:sz w:val="20"/>
                <w:szCs w:val="20"/>
                <w:color w:val="auto"/>
              </w:rPr>
            </w:pPr>
            <w:r>
              <w:rPr>
                <w:rFonts w:ascii="Arial" w:cs="Arial" w:eastAsia="Arial" w:hAnsi="Arial"/>
                <w:sz w:val="16"/>
                <w:szCs w:val="16"/>
                <w:color w:val="auto"/>
                <w:w w:val="95"/>
              </w:rPr>
              <w:t>Demand Note</w:t>
            </w:r>
          </w:p>
        </w:tc>
        <w:tc>
          <w:tcPr>
            <w:tcW w:w="340" w:type="dxa"/>
            <w:vAlign w:val="bottom"/>
          </w:tcPr>
          <w:p>
            <w:pPr>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420" w:type="dxa"/>
            <w:vAlign w:val="bottom"/>
            <w:tcBorders>
              <w:right w:val="single" w:sz="8" w:color="00000A"/>
            </w:tcBorders>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rPr>
              <w:t>Unsecured</w:t>
            </w:r>
          </w:p>
        </w:tc>
        <w:tc>
          <w:tcPr>
            <w:tcW w:w="160" w:type="dxa"/>
            <w:vAlign w:val="bottom"/>
            <w:tcBorders>
              <w:right w:val="single" w:sz="8" w:color="00000A"/>
            </w:tcBorders>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Not</w:t>
            </w:r>
          </w:p>
        </w:tc>
        <w:tc>
          <w:tcPr>
            <w:tcW w:w="520" w:type="dxa"/>
            <w:vAlign w:val="bottom"/>
            <w:tcBorders>
              <w:right w:val="single" w:sz="8" w:color="00000A"/>
            </w:tcBorders>
          </w:tcPr>
          <w:p>
            <w:pPr>
              <w:spacing w:after="0"/>
              <w:rPr>
                <w:sz w:val="16"/>
                <w:szCs w:val="16"/>
                <w:color w:val="auto"/>
              </w:rPr>
            </w:pPr>
          </w:p>
        </w:tc>
      </w:tr>
      <w:tr>
        <w:trPr>
          <w:trHeight w:val="202"/>
        </w:trPr>
        <w:tc>
          <w:tcPr>
            <w:tcW w:w="1240" w:type="dxa"/>
            <w:vAlign w:val="bottom"/>
            <w:tcBorders>
              <w:right w:val="single" w:sz="8" w:color="00000A"/>
            </w:tcBorders>
            <w:gridSpan w:val="3"/>
          </w:tcPr>
          <w:p>
            <w:pPr>
              <w:ind w:left="40"/>
              <w:spacing w:after="0"/>
              <w:rPr>
                <w:sz w:val="20"/>
                <w:szCs w:val="20"/>
                <w:color w:val="auto"/>
              </w:rPr>
            </w:pPr>
            <w:r>
              <w:rPr>
                <w:rFonts w:ascii="Arial" w:cs="Arial" w:eastAsia="Arial" w:hAnsi="Arial"/>
                <w:sz w:val="16"/>
                <w:szCs w:val="16"/>
                <w:color w:val="auto"/>
              </w:rPr>
              <w:t>Distribution, Inc.</w:t>
            </w:r>
          </w:p>
        </w:tc>
        <w:tc>
          <w:tcPr>
            <w:tcW w:w="1200" w:type="dxa"/>
            <w:vAlign w:val="bottom"/>
            <w:tcBorders>
              <w:right w:val="single" w:sz="8" w:color="00000A"/>
            </w:tcBorders>
            <w:gridSpan w:val="2"/>
          </w:tcPr>
          <w:p>
            <w:pPr>
              <w:spacing w:after="0"/>
              <w:rPr>
                <w:sz w:val="20"/>
                <w:szCs w:val="20"/>
                <w:color w:val="auto"/>
              </w:rPr>
            </w:pPr>
            <w:r>
              <w:rPr>
                <w:rFonts w:ascii="Arial" w:cs="Arial" w:eastAsia="Arial" w:hAnsi="Arial"/>
                <w:sz w:val="16"/>
                <w:szCs w:val="16"/>
                <w:color w:val="auto"/>
              </w:rPr>
              <w:t>Distribution-</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right w:val="single" w:sz="8" w:color="00000A"/>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right w:val="single" w:sz="8" w:color="00000A"/>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gridSpan w:val="2"/>
          </w:tcPr>
          <w:p>
            <w:pPr>
              <w:spacing w:after="0"/>
              <w:rPr>
                <w:sz w:val="20"/>
                <w:szCs w:val="20"/>
                <w:color w:val="auto"/>
              </w:rPr>
            </w:pPr>
            <w:r>
              <w:rPr>
                <w:rFonts w:ascii="Arial" w:cs="Arial" w:eastAsia="Arial" w:hAnsi="Arial"/>
                <w:sz w:val="16"/>
                <w:szCs w:val="16"/>
                <w:color w:val="auto"/>
              </w:rPr>
              <w:t>guaranteed</w:t>
            </w:r>
          </w:p>
        </w:tc>
      </w:tr>
      <w:tr>
        <w:trPr>
          <w:trHeight w:val="287"/>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00000A"/>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right w:val="single" w:sz="8" w:color="00000A"/>
            </w:tcBorders>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Borders>
              <w:right w:val="single" w:sz="8" w:color="00000A"/>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right w:val="single" w:sz="8" w:color="00000A"/>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right w:val="single" w:sz="8" w:color="00000A"/>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right w:val="single" w:sz="8" w:color="00000A"/>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right w:val="single" w:sz="8" w:color="00000A"/>
            </w:tcBorders>
          </w:tcPr>
          <w:p>
            <w:pPr>
              <w:spacing w:after="0"/>
              <w:rPr>
                <w:sz w:val="24"/>
                <w:szCs w:val="24"/>
                <w:color w:val="auto"/>
              </w:rPr>
            </w:pPr>
          </w:p>
        </w:tc>
      </w:tr>
    </w:tbl>
    <w:p>
      <w:pPr>
        <w:sectPr>
          <w:pgSz w:w="11900" w:h="16900" w:orient="portrait"/>
          <w:cols w:equalWidth="0" w:num="1">
            <w:col w:w="11445"/>
          </w:cols>
          <w:pgMar w:left="235" w:top="140" w:right="219" w:bottom="0" w:gutter="0" w:footer="0" w:header="0"/>
        </w:sectPr>
      </w:pPr>
    </w:p>
    <w:bookmarkStart w:id="92" w:name="page93"/>
    <w:bookmarkEnd w:id="9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International</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Limited (UK)</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6"/>
              </w:rPr>
              <w:t>WESCO Nigeria,</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$691,281</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WESCO Finance</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Corporation</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 Equity</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Corporation</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30, 1999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 Holding</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$300,000,000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$98,843,093.33</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9"/>
              </w:rPr>
              <w:t>September 28,</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Inc.</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2005</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Carlton-Bates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9"/>
              </w:rPr>
              <w:t>September 29,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Company of</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2005</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Texas GP,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00000A"/>
              <w:bottom w:val="single" w:sz="8" w:color="00000A"/>
              <w:right w:val="single" w:sz="8" w:color="00000A"/>
            </w:tcBorders>
          </w:tcPr>
          <w:p>
            <w:pPr>
              <w:spacing w:after="0"/>
              <w:rPr>
                <w:sz w:val="18"/>
                <w:szCs w:val="18"/>
                <w:color w:val="auto"/>
              </w:rPr>
            </w:pPr>
          </w:p>
        </w:tc>
        <w:tc>
          <w:tcPr>
            <w:tcW w:w="1220" w:type="dxa"/>
            <w:vAlign w:val="bottom"/>
            <w:tcBorders>
              <w:bottom w:val="single" w:sz="8" w:color="00000A"/>
              <w:right w:val="single" w:sz="8" w:color="00000A"/>
            </w:tcBorders>
          </w:tcPr>
          <w:p>
            <w:pPr>
              <w:spacing w:after="0"/>
              <w:rPr>
                <w:sz w:val="18"/>
                <w:szCs w:val="18"/>
                <w:color w:val="auto"/>
              </w:rPr>
            </w:pPr>
          </w:p>
        </w:tc>
        <w:tc>
          <w:tcPr>
            <w:tcW w:w="1640" w:type="dxa"/>
            <w:vAlign w:val="bottom"/>
            <w:tcBorders>
              <w:bottom w:val="single" w:sz="8" w:color="00000A"/>
              <w:right w:val="single" w:sz="8" w:color="00000A"/>
            </w:tcBorders>
          </w:tcPr>
          <w:p>
            <w:pPr>
              <w:spacing w:after="0"/>
              <w:rPr>
                <w:sz w:val="18"/>
                <w:szCs w:val="18"/>
                <w:color w:val="auto"/>
              </w:rPr>
            </w:pPr>
          </w:p>
        </w:tc>
        <w:tc>
          <w:tcPr>
            <w:tcW w:w="1860" w:type="dxa"/>
            <w:vAlign w:val="bottom"/>
            <w:tcBorders>
              <w:bottom w:val="single" w:sz="8" w:color="00000A"/>
              <w:right w:val="single" w:sz="8" w:color="00000A"/>
            </w:tcBorders>
          </w:tcPr>
          <w:p>
            <w:pPr>
              <w:spacing w:after="0"/>
              <w:rPr>
                <w:sz w:val="18"/>
                <w:szCs w:val="18"/>
                <w:color w:val="auto"/>
              </w:rPr>
            </w:pPr>
          </w:p>
        </w:tc>
        <w:tc>
          <w:tcPr>
            <w:tcW w:w="1100" w:type="dxa"/>
            <w:vAlign w:val="bottom"/>
            <w:tcBorders>
              <w:bottom w:val="single" w:sz="8" w:color="00000A"/>
              <w:right w:val="single" w:sz="8" w:color="00000A"/>
            </w:tcBorders>
          </w:tcPr>
          <w:p>
            <w:pPr>
              <w:spacing w:after="0"/>
              <w:rPr>
                <w:sz w:val="18"/>
                <w:szCs w:val="18"/>
                <w:color w:val="auto"/>
              </w:rPr>
            </w:pPr>
          </w:p>
        </w:tc>
        <w:tc>
          <w:tcPr>
            <w:tcW w:w="1000" w:type="dxa"/>
            <w:vAlign w:val="bottom"/>
            <w:tcBorders>
              <w:bottom w:val="single" w:sz="8" w:color="00000A"/>
              <w:right w:val="single" w:sz="8" w:color="00000A"/>
            </w:tcBorders>
          </w:tcPr>
          <w:p>
            <w:pPr>
              <w:spacing w:after="0"/>
              <w:rPr>
                <w:sz w:val="18"/>
                <w:szCs w:val="18"/>
                <w:color w:val="auto"/>
              </w:rPr>
            </w:pPr>
          </w:p>
        </w:tc>
        <w:tc>
          <w:tcPr>
            <w:tcW w:w="96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Liberty Wire &amp;</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$1,250,000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$1,250,000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20,</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Cable,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16"/>
        </w:trPr>
        <w:tc>
          <w:tcPr>
            <w:tcW w:w="1220" w:type="dxa"/>
            <w:vAlign w:val="bottom"/>
            <w:tcBorders>
              <w:left w:val="single" w:sz="8" w:color="00000A"/>
              <w:bottom w:val="single" w:sz="8" w:color="00000A"/>
              <w:right w:val="single" w:sz="8" w:color="00000A"/>
            </w:tcBorders>
          </w:tcPr>
          <w:p>
            <w:pPr>
              <w:spacing w:after="0"/>
              <w:rPr>
                <w:sz w:val="18"/>
                <w:szCs w:val="18"/>
                <w:color w:val="auto"/>
              </w:rPr>
            </w:pPr>
          </w:p>
        </w:tc>
        <w:tc>
          <w:tcPr>
            <w:tcW w:w="1220" w:type="dxa"/>
            <w:vAlign w:val="bottom"/>
            <w:tcBorders>
              <w:bottom w:val="single" w:sz="8" w:color="00000A"/>
              <w:right w:val="single" w:sz="8" w:color="00000A"/>
            </w:tcBorders>
          </w:tcPr>
          <w:p>
            <w:pPr>
              <w:spacing w:after="0"/>
              <w:rPr>
                <w:sz w:val="18"/>
                <w:szCs w:val="18"/>
                <w:color w:val="auto"/>
              </w:rPr>
            </w:pPr>
          </w:p>
        </w:tc>
        <w:tc>
          <w:tcPr>
            <w:tcW w:w="1640" w:type="dxa"/>
            <w:vAlign w:val="bottom"/>
            <w:tcBorders>
              <w:bottom w:val="single" w:sz="8" w:color="00000A"/>
              <w:right w:val="single" w:sz="8" w:color="00000A"/>
            </w:tcBorders>
          </w:tcPr>
          <w:p>
            <w:pPr>
              <w:spacing w:after="0"/>
              <w:rPr>
                <w:sz w:val="18"/>
                <w:szCs w:val="18"/>
                <w:color w:val="auto"/>
              </w:rPr>
            </w:pPr>
          </w:p>
        </w:tc>
        <w:tc>
          <w:tcPr>
            <w:tcW w:w="1860" w:type="dxa"/>
            <w:vAlign w:val="bottom"/>
            <w:tcBorders>
              <w:bottom w:val="single" w:sz="8" w:color="00000A"/>
              <w:right w:val="single" w:sz="8" w:color="00000A"/>
            </w:tcBorders>
          </w:tcPr>
          <w:p>
            <w:pPr>
              <w:spacing w:after="0"/>
              <w:rPr>
                <w:sz w:val="18"/>
                <w:szCs w:val="18"/>
                <w:color w:val="auto"/>
              </w:rPr>
            </w:pPr>
          </w:p>
        </w:tc>
        <w:tc>
          <w:tcPr>
            <w:tcW w:w="1100" w:type="dxa"/>
            <w:vAlign w:val="bottom"/>
            <w:tcBorders>
              <w:bottom w:val="single" w:sz="8" w:color="00000A"/>
              <w:right w:val="single" w:sz="8" w:color="00000A"/>
            </w:tcBorders>
          </w:tcPr>
          <w:p>
            <w:pPr>
              <w:spacing w:after="0"/>
              <w:rPr>
                <w:sz w:val="18"/>
                <w:szCs w:val="18"/>
                <w:color w:val="auto"/>
              </w:rPr>
            </w:pPr>
          </w:p>
        </w:tc>
        <w:tc>
          <w:tcPr>
            <w:tcW w:w="1000" w:type="dxa"/>
            <w:vAlign w:val="bottom"/>
            <w:tcBorders>
              <w:bottom w:val="single" w:sz="8" w:color="00000A"/>
              <w:right w:val="single" w:sz="8" w:color="00000A"/>
            </w:tcBorders>
          </w:tcPr>
          <w:p>
            <w:pPr>
              <w:spacing w:after="0"/>
              <w:rPr>
                <w:sz w:val="18"/>
                <w:szCs w:val="18"/>
                <w:color w:val="auto"/>
              </w:rPr>
            </w:pPr>
          </w:p>
        </w:tc>
        <w:tc>
          <w:tcPr>
            <w:tcW w:w="96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 Equity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$184,000,000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$97,639,318 (Payments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January 1, 2003</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made quarterly)</w:t>
            </w: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 Equity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30, 1999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 Equity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Carlton-Bates</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October 4, 2005</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Company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1"/>
              </w:rPr>
              <w:t>Receivables Corp</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3"/>
              </w:rPr>
              <w:t>WESCO Finance</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$334,181,639.04</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Prime + 1%</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2015</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3"/>
              </w:rPr>
              <w:t>WESCO Finance</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$146,250,000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9"/>
              </w:rPr>
              <w:t>September 28,</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Prime + 1%</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$450,563,657 (aggregate</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2005</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2015</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balance across all three</w:t>
            </w: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ntoes)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3"/>
              </w:rPr>
              <w:t>WESCO Finance</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$226,690,302</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January 29,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Integrated</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Supply,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(f/k/aBruckner</w:t>
            </w: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0"/>
              </w:rPr>
              <w:t>Supply Company,</w:t>
            </w: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 )</w:t>
            </w: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5"/>
              </w:rPr>
              <w:t>Communications</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February 22,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Supply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2007</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Calvert Wire &amp;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February 22,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Cable</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2007</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Corporation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Liberty Wire &amp;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February 22,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Cable,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2007</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49"/>
        </w:trPr>
        <w:tc>
          <w:tcPr>
            <w:tcW w:w="1220" w:type="dxa"/>
            <w:vAlign w:val="bottom"/>
            <w:tcBorders>
              <w:left w:val="single" w:sz="8" w:color="00000A"/>
              <w:right w:val="single" w:sz="8" w:color="00000A"/>
            </w:tcBorders>
          </w:tcPr>
          <w:p>
            <w:pPr>
              <w:spacing w:after="0"/>
              <w:rPr>
                <w:sz w:val="4"/>
                <w:szCs w:val="4"/>
                <w:color w:val="auto"/>
              </w:rPr>
            </w:pPr>
          </w:p>
        </w:tc>
        <w:tc>
          <w:tcPr>
            <w:tcW w:w="1220" w:type="dxa"/>
            <w:vAlign w:val="bottom"/>
            <w:tcBorders>
              <w:right w:val="single" w:sz="8" w:color="00000A"/>
            </w:tcBorders>
          </w:tcPr>
          <w:p>
            <w:pPr>
              <w:spacing w:after="0"/>
              <w:rPr>
                <w:sz w:val="4"/>
                <w:szCs w:val="4"/>
                <w:color w:val="auto"/>
              </w:rPr>
            </w:pPr>
          </w:p>
        </w:tc>
        <w:tc>
          <w:tcPr>
            <w:tcW w:w="1640" w:type="dxa"/>
            <w:vAlign w:val="bottom"/>
            <w:tcBorders>
              <w:right w:val="single" w:sz="8" w:color="00000A"/>
            </w:tcBorders>
          </w:tcPr>
          <w:p>
            <w:pPr>
              <w:spacing w:after="0"/>
              <w:rPr>
                <w:sz w:val="4"/>
                <w:szCs w:val="4"/>
                <w:color w:val="auto"/>
              </w:rPr>
            </w:pPr>
          </w:p>
        </w:tc>
        <w:tc>
          <w:tcPr>
            <w:tcW w:w="1860" w:type="dxa"/>
            <w:vAlign w:val="bottom"/>
            <w:tcBorders>
              <w:right w:val="single" w:sz="8" w:color="00000A"/>
            </w:tcBorders>
          </w:tcPr>
          <w:p>
            <w:pPr>
              <w:spacing w:after="0"/>
              <w:rPr>
                <w:sz w:val="4"/>
                <w:szCs w:val="4"/>
                <w:color w:val="auto"/>
              </w:rPr>
            </w:pPr>
          </w:p>
        </w:tc>
        <w:tc>
          <w:tcPr>
            <w:tcW w:w="1100" w:type="dxa"/>
            <w:vAlign w:val="bottom"/>
            <w:tcBorders>
              <w:right w:val="single" w:sz="8" w:color="00000A"/>
            </w:tcBorders>
          </w:tcPr>
          <w:p>
            <w:pPr>
              <w:spacing w:after="0"/>
              <w:rPr>
                <w:sz w:val="4"/>
                <w:szCs w:val="4"/>
                <w:color w:val="auto"/>
              </w:rPr>
            </w:pPr>
          </w:p>
        </w:tc>
        <w:tc>
          <w:tcPr>
            <w:tcW w:w="1000" w:type="dxa"/>
            <w:vAlign w:val="bottom"/>
            <w:tcBorders>
              <w:right w:val="single" w:sz="8" w:color="00000A"/>
            </w:tcBorders>
          </w:tcPr>
          <w:p>
            <w:pPr>
              <w:spacing w:after="0"/>
              <w:rPr>
                <w:sz w:val="4"/>
                <w:szCs w:val="4"/>
                <w:color w:val="auto"/>
              </w:rPr>
            </w:pPr>
          </w:p>
        </w:tc>
        <w:tc>
          <w:tcPr>
            <w:tcW w:w="960" w:type="dxa"/>
            <w:vAlign w:val="bottom"/>
            <w:tcBorders>
              <w:right w:val="single" w:sz="8" w:color="00000A"/>
            </w:tcBorders>
          </w:tcPr>
          <w:p>
            <w:pPr>
              <w:spacing w:after="0"/>
              <w:rPr>
                <w:sz w:val="4"/>
                <w:szCs w:val="4"/>
                <w:color w:val="auto"/>
              </w:rPr>
            </w:pPr>
          </w:p>
        </w:tc>
        <w:tc>
          <w:tcPr>
            <w:tcW w:w="980" w:type="dxa"/>
            <w:vAlign w:val="bottom"/>
            <w:tcBorders>
              <w:right w:val="single" w:sz="8" w:color="00000A"/>
            </w:tcBorders>
          </w:tcPr>
          <w:p>
            <w:pPr>
              <w:spacing w:after="0"/>
              <w:rPr>
                <w:sz w:val="4"/>
                <w:szCs w:val="4"/>
                <w:color w:val="auto"/>
              </w:rPr>
            </w:pPr>
          </w:p>
        </w:tc>
        <w:tc>
          <w:tcPr>
            <w:tcW w:w="98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960"/>
          </w:cols>
          <w:pgMar w:left="480" w:top="134" w:right="459" w:bottom="0" w:gutter="0" w:footer="0" w:header="0"/>
        </w:sectPr>
      </w:pPr>
    </w:p>
    <w:bookmarkStart w:id="93" w:name="page94"/>
    <w:bookmarkEnd w:id="93"/>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8"/>
              </w:rPr>
              <w:t>WDC HOLDING</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WDCH US LP</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$290,000,000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$290,000,000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January 8, 2014</w:t>
            </w:r>
          </w:p>
        </w:tc>
        <w:tc>
          <w:tcPr>
            <w:tcW w:w="10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October 10,</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27"/>
        </w:trPr>
        <w:tc>
          <w:tcPr>
            <w:tcW w:w="1220" w:type="dxa"/>
            <w:vAlign w:val="bottom"/>
            <w:tcBorders>
              <w:left w:val="single" w:sz="8" w:color="00000A"/>
              <w:right w:val="single" w:sz="8" w:color="00000A"/>
            </w:tcBorders>
          </w:tcPr>
          <w:p>
            <w:pPr>
              <w:spacing w:after="0"/>
              <w:rPr>
                <w:sz w:val="19"/>
                <w:szCs w:val="19"/>
                <w:color w:val="auto"/>
              </w:rPr>
            </w:pPr>
          </w:p>
        </w:tc>
        <w:tc>
          <w:tcPr>
            <w:tcW w:w="1220" w:type="dxa"/>
            <w:vAlign w:val="bottom"/>
            <w:tcBorders>
              <w:right w:val="single" w:sz="8" w:color="00000A"/>
            </w:tcBorders>
          </w:tcPr>
          <w:p>
            <w:pPr>
              <w:spacing w:after="0"/>
              <w:rPr>
                <w:sz w:val="19"/>
                <w:szCs w:val="19"/>
                <w:color w:val="auto"/>
              </w:rPr>
            </w:pP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(Canadian Dollars)</w:t>
            </w:r>
          </w:p>
        </w:tc>
        <w:tc>
          <w:tcPr>
            <w:tcW w:w="1100" w:type="dxa"/>
            <w:vAlign w:val="bottom"/>
            <w:tcBorders>
              <w:right w:val="single" w:sz="8" w:color="00000A"/>
            </w:tcBorders>
          </w:tcPr>
          <w:p>
            <w:pPr>
              <w:spacing w:after="0"/>
              <w:rPr>
                <w:sz w:val="19"/>
                <w:szCs w:val="19"/>
                <w:color w:val="auto"/>
              </w:rPr>
            </w:pPr>
          </w:p>
        </w:tc>
        <w:tc>
          <w:tcPr>
            <w:tcW w:w="10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4"/>
        </w:trPr>
        <w:tc>
          <w:tcPr>
            <w:tcW w:w="122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WDCH, LP</w:t>
            </w:r>
          </w:p>
        </w:tc>
        <w:tc>
          <w:tcPr>
            <w:tcW w:w="122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WDCH US LP</w:t>
            </w:r>
          </w:p>
        </w:tc>
        <w:tc>
          <w:tcPr>
            <w:tcW w:w="164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rPr>
              <w:t>$134,393,721</w:t>
            </w:r>
          </w:p>
        </w:tc>
        <w:tc>
          <w:tcPr>
            <w:tcW w:w="186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$134,393,721</w:t>
            </w:r>
          </w:p>
        </w:tc>
        <w:tc>
          <w:tcPr>
            <w:tcW w:w="11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September 2,</w:t>
            </w:r>
          </w:p>
        </w:tc>
        <w:tc>
          <w:tcPr>
            <w:tcW w:w="10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November 3,</w:t>
            </w:r>
          </w:p>
        </w:tc>
        <w:tc>
          <w:tcPr>
            <w:tcW w:w="96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rPr>
              <w:t>8.75%</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(Canadian 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2004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2016</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370"/>
        </w:trPr>
        <w:tc>
          <w:tcPr>
            <w:tcW w:w="1220" w:type="dxa"/>
            <w:vAlign w:val="bottom"/>
            <w:tcBorders>
              <w:left w:val="single" w:sz="8" w:color="00000A"/>
              <w:right w:val="single" w:sz="8" w:color="00000A"/>
            </w:tcBorders>
          </w:tcPr>
          <w:p>
            <w:pPr>
              <w:spacing w:after="0"/>
              <w:rPr>
                <w:sz w:val="24"/>
                <w:szCs w:val="24"/>
                <w:color w:val="auto"/>
              </w:rPr>
            </w:pPr>
          </w:p>
        </w:tc>
        <w:tc>
          <w:tcPr>
            <w:tcW w:w="1220" w:type="dxa"/>
            <w:vAlign w:val="bottom"/>
            <w:tcBorders>
              <w:right w:val="single" w:sz="8" w:color="00000A"/>
            </w:tcBorders>
          </w:tcPr>
          <w:p>
            <w:pPr>
              <w:spacing w:after="0"/>
              <w:rPr>
                <w:sz w:val="24"/>
                <w:szCs w:val="24"/>
                <w:color w:val="auto"/>
              </w:rPr>
            </w:pPr>
          </w:p>
        </w:tc>
        <w:tc>
          <w:tcPr>
            <w:tcW w:w="1640" w:type="dxa"/>
            <w:vAlign w:val="bottom"/>
            <w:tcBorders>
              <w:right w:val="single" w:sz="8" w:color="00000A"/>
            </w:tcBorders>
          </w:tcPr>
          <w:p>
            <w:pPr>
              <w:spacing w:after="0"/>
              <w:rPr>
                <w:sz w:val="24"/>
                <w:szCs w:val="24"/>
                <w:color w:val="auto"/>
              </w:rPr>
            </w:pPr>
          </w:p>
        </w:tc>
        <w:tc>
          <w:tcPr>
            <w:tcW w:w="1860" w:type="dxa"/>
            <w:vAlign w:val="bottom"/>
            <w:tcBorders>
              <w:right w:val="single" w:sz="8" w:color="00000A"/>
            </w:tcBorders>
          </w:tcPr>
          <w:p>
            <w:pPr>
              <w:spacing w:after="0"/>
              <w:rPr>
                <w:sz w:val="24"/>
                <w:szCs w:val="24"/>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24"/>
                <w:szCs w:val="24"/>
                <w:color w:val="auto"/>
              </w:rPr>
            </w:pPr>
          </w:p>
        </w:tc>
        <w:tc>
          <w:tcPr>
            <w:tcW w:w="960" w:type="dxa"/>
            <w:vAlign w:val="bottom"/>
            <w:tcBorders>
              <w:right w:val="single" w:sz="8" w:color="00000A"/>
            </w:tcBorders>
          </w:tcPr>
          <w:p>
            <w:pPr>
              <w:spacing w:after="0"/>
              <w:rPr>
                <w:sz w:val="24"/>
                <w:szCs w:val="24"/>
                <w:color w:val="auto"/>
              </w:rPr>
            </w:pPr>
          </w:p>
        </w:tc>
        <w:tc>
          <w:tcPr>
            <w:tcW w:w="980" w:type="dxa"/>
            <w:vAlign w:val="bottom"/>
            <w:tcBorders>
              <w:right w:val="single" w:sz="8" w:color="00000A"/>
            </w:tcBorders>
          </w:tcPr>
          <w:p>
            <w:pPr>
              <w:spacing w:after="0"/>
              <w:rPr>
                <w:sz w:val="24"/>
                <w:szCs w:val="24"/>
                <w:color w:val="auto"/>
              </w:rPr>
            </w:pPr>
          </w:p>
        </w:tc>
        <w:tc>
          <w:tcPr>
            <w:tcW w:w="9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WDCH,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WDCH US LP</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$108,201,463</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$108,201,463</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10,</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November 3,</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8.75%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(Canadian 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2016</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WDCH,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WDCH US LP</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$203,000,000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$203,000,000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10,</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10,</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(Canadian 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TVC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16,</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2"/>
              </w:rPr>
              <w:t>Communications,</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2010</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L.L.C.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February 22,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Distribution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2010</w:t>
            </w: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Canada LP</w:t>
            </w: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CDW Holdco,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7"/>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LLC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4"/>
              </w:rPr>
              <w:t>WESCO Nigeria,</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19, 2002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7"/>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6"/>
                <w:szCs w:val="16"/>
                <w:color w:val="auto"/>
              </w:rPr>
              <w:t>August 22,</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80"/>
        </w:trPr>
        <w:tc>
          <w:tcPr>
            <w:tcW w:w="1220" w:type="dxa"/>
            <w:vAlign w:val="bottom"/>
            <w:tcBorders>
              <w:left w:val="single" w:sz="8" w:color="00000A"/>
              <w:right w:val="single" w:sz="8" w:color="00000A"/>
            </w:tcBorders>
          </w:tcPr>
          <w:p>
            <w:pPr>
              <w:spacing w:after="0"/>
              <w:rPr>
                <w:sz w:val="15"/>
                <w:szCs w:val="15"/>
                <w:color w:val="auto"/>
              </w:rPr>
            </w:pPr>
          </w:p>
        </w:tc>
        <w:tc>
          <w:tcPr>
            <w:tcW w:w="122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tcPr>
          <w:p>
            <w:pPr>
              <w:spacing w:after="0"/>
              <w:rPr>
                <w:sz w:val="15"/>
                <w:szCs w:val="15"/>
                <w:color w:val="auto"/>
              </w:rPr>
            </w:pPr>
          </w:p>
        </w:tc>
        <w:tc>
          <w:tcPr>
            <w:tcW w:w="1860" w:type="dxa"/>
            <w:vAlign w:val="bottom"/>
            <w:tcBorders>
              <w:right w:val="single" w:sz="8" w:color="00000A"/>
            </w:tcBorders>
          </w:tcPr>
          <w:p>
            <w:pPr>
              <w:spacing w:after="0"/>
              <w:rPr>
                <w:sz w:val="15"/>
                <w:szCs w:val="15"/>
                <w:color w:val="auto"/>
              </w:rPr>
            </w:pPr>
          </w:p>
        </w:tc>
        <w:tc>
          <w:tcPr>
            <w:tcW w:w="110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tcPr>
          <w:p>
            <w:pPr>
              <w:spacing w:after="0"/>
              <w:rPr>
                <w:sz w:val="15"/>
                <w:szCs w:val="15"/>
                <w:color w:val="auto"/>
              </w:rPr>
            </w:pPr>
          </w:p>
        </w:tc>
        <w:tc>
          <w:tcPr>
            <w:tcW w:w="96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9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220" w:type="dxa"/>
            <w:vAlign w:val="bottom"/>
            <w:tcBorders>
              <w:left w:val="single" w:sz="8" w:color="00000A"/>
              <w:right w:val="single" w:sz="8" w:color="00000A"/>
            </w:tcBorders>
          </w:tcPr>
          <w:p>
            <w:pPr>
              <w:spacing w:after="0"/>
              <w:rPr>
                <w:sz w:val="19"/>
                <w:szCs w:val="19"/>
                <w:color w:val="auto"/>
              </w:rPr>
            </w:pPr>
          </w:p>
        </w:tc>
        <w:tc>
          <w:tcPr>
            <w:tcW w:w="1220" w:type="dxa"/>
            <w:vAlign w:val="bottom"/>
            <w:tcBorders>
              <w:right w:val="single" w:sz="8" w:color="00000A"/>
            </w:tcBorders>
          </w:tcPr>
          <w:p>
            <w:pPr>
              <w:spacing w:after="0"/>
              <w:rPr>
                <w:sz w:val="19"/>
                <w:szCs w:val="19"/>
                <w:color w:val="auto"/>
              </w:rPr>
            </w:pPr>
          </w:p>
        </w:tc>
        <w:tc>
          <w:tcPr>
            <w:tcW w:w="1640" w:type="dxa"/>
            <w:vAlign w:val="bottom"/>
            <w:tcBorders>
              <w:right w:val="single" w:sz="8" w:color="00000A"/>
            </w:tcBorders>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2011</w:t>
            </w:r>
          </w:p>
        </w:tc>
        <w:tc>
          <w:tcPr>
            <w:tcW w:w="1000" w:type="dxa"/>
            <w:vAlign w:val="bottom"/>
            <w:tcBorders>
              <w:right w:val="single" w:sz="8" w:color="00000A"/>
            </w:tcBorders>
          </w:tcPr>
          <w:p>
            <w:pPr>
              <w:spacing w:after="0"/>
              <w:rPr>
                <w:sz w:val="19"/>
                <w:szCs w:val="19"/>
                <w:color w:val="auto"/>
              </w:rPr>
            </w:pPr>
          </w:p>
        </w:tc>
        <w:tc>
          <w:tcPr>
            <w:tcW w:w="96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22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Conney Safety</w:t>
            </w:r>
          </w:p>
        </w:tc>
        <w:tc>
          <w:tcPr>
            <w:tcW w:w="122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w w:val="90"/>
              </w:rPr>
              <w:t>October 9, 2012</w:t>
            </w:r>
          </w:p>
        </w:tc>
        <w:tc>
          <w:tcPr>
            <w:tcW w:w="10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Products, LLC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20" w:type="dxa"/>
            <w:vAlign w:val="bottom"/>
            <w:tcBorders>
              <w:left w:val="single" w:sz="8" w:color="00000A"/>
              <w:right w:val="single" w:sz="8" w:color="00000A"/>
            </w:tcBorders>
          </w:tcPr>
          <w:p>
            <w:pPr>
              <w:spacing w:after="0"/>
              <w:rPr>
                <w:sz w:val="19"/>
                <w:szCs w:val="19"/>
                <w:color w:val="auto"/>
              </w:rPr>
            </w:pPr>
          </w:p>
        </w:tc>
        <w:tc>
          <w:tcPr>
            <w:tcW w:w="1220" w:type="dxa"/>
            <w:vAlign w:val="bottom"/>
            <w:tcBorders>
              <w:right w:val="single" w:sz="8" w:color="00000A"/>
            </w:tcBorders>
          </w:tcPr>
          <w:p>
            <w:pPr>
              <w:spacing w:after="0"/>
              <w:rPr>
                <w:sz w:val="19"/>
                <w:szCs w:val="19"/>
                <w:color w:val="auto"/>
              </w:rPr>
            </w:pPr>
          </w:p>
        </w:tc>
        <w:tc>
          <w:tcPr>
            <w:tcW w:w="1640" w:type="dxa"/>
            <w:vAlign w:val="bottom"/>
            <w:tcBorders>
              <w:right w:val="single" w:sz="8" w:color="00000A"/>
            </w:tcBorders>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1100" w:type="dxa"/>
            <w:vAlign w:val="bottom"/>
            <w:tcBorders>
              <w:right w:val="single" w:sz="8" w:color="00000A"/>
            </w:tcBorders>
          </w:tcPr>
          <w:p>
            <w:pPr>
              <w:spacing w:after="0"/>
              <w:rPr>
                <w:sz w:val="19"/>
                <w:szCs w:val="19"/>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spacing w:after="0"/>
              <w:rPr>
                <w:sz w:val="19"/>
                <w:szCs w:val="19"/>
                <w:color w:val="auto"/>
              </w:rPr>
            </w:pPr>
          </w:p>
        </w:tc>
        <w:tc>
          <w:tcPr>
            <w:tcW w:w="9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22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w w:val="95"/>
              </w:rPr>
              <w:t>$571,578.75 (Canadian</w:t>
            </w:r>
          </w:p>
        </w:tc>
        <w:tc>
          <w:tcPr>
            <w:tcW w:w="186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$571,578.75 (Canadian</w:t>
            </w:r>
          </w:p>
        </w:tc>
        <w:tc>
          <w:tcPr>
            <w:tcW w:w="11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July 31, 2010</w:t>
            </w:r>
          </w:p>
        </w:tc>
        <w:tc>
          <w:tcPr>
            <w:tcW w:w="100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top w:val="single" w:sz="8" w:color="auto"/>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top w:val="single" w:sz="8" w:color="auto"/>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Distribution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HK</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Dollars)</w:t>
            </w: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Canada GP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Limited</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$250,000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17, 2009</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Demand Note</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9"/>
              </w:rPr>
              <w:t>Distribution,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(Suzhou) Trading</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Company Ltd.</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4"/>
              </w:rPr>
              <w:t>WESCO Canada</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$7,362,801 (Canadian</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$7,362,801 (CAD)</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31,</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December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II,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Enterprsies,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Dollars)</w:t>
            </w: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4"/>
              </w:rPr>
              <w:t>WESCO Canada</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$7,529,797.43</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9"/>
              </w:rPr>
              <w:t>$7,529,797.43 (Canadian</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31,</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December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II,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 Holding,</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w w:val="95"/>
              </w:rPr>
              <w:t>$74,900,000 (Canadian</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$74,900,000 (CAD)</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July 18, 2014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8"/>
              </w:rPr>
              <w:t>July 18, 2024</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6.125%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Dollars)</w:t>
            </w: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Hazmasters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$74,619,505.62</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$74,619,505.62 (CAD)</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March 17, 2014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March 17,</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8"/>
              </w:rPr>
              <w:t>Enterprises, Inc.</w:t>
            </w: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2024</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16"/>
        </w:trPr>
        <w:tc>
          <w:tcPr>
            <w:tcW w:w="1220" w:type="dxa"/>
            <w:vAlign w:val="bottom"/>
            <w:tcBorders>
              <w:left w:val="single" w:sz="8" w:color="00000A"/>
              <w:bottom w:val="single" w:sz="8" w:color="00000A"/>
              <w:right w:val="single" w:sz="8" w:color="00000A"/>
            </w:tcBorders>
          </w:tcPr>
          <w:p>
            <w:pPr>
              <w:spacing w:after="0"/>
              <w:rPr>
                <w:sz w:val="18"/>
                <w:szCs w:val="18"/>
                <w:color w:val="auto"/>
              </w:rPr>
            </w:pPr>
          </w:p>
        </w:tc>
        <w:tc>
          <w:tcPr>
            <w:tcW w:w="1220" w:type="dxa"/>
            <w:vAlign w:val="bottom"/>
            <w:tcBorders>
              <w:bottom w:val="single" w:sz="8" w:color="00000A"/>
              <w:right w:val="single" w:sz="8" w:color="00000A"/>
            </w:tcBorders>
          </w:tcPr>
          <w:p>
            <w:pPr>
              <w:spacing w:after="0"/>
              <w:rPr>
                <w:sz w:val="18"/>
                <w:szCs w:val="18"/>
                <w:color w:val="auto"/>
              </w:rPr>
            </w:pPr>
          </w:p>
        </w:tc>
        <w:tc>
          <w:tcPr>
            <w:tcW w:w="1640" w:type="dxa"/>
            <w:vAlign w:val="bottom"/>
            <w:tcBorders>
              <w:bottom w:val="single" w:sz="8" w:color="00000A"/>
              <w:right w:val="single" w:sz="8" w:color="00000A"/>
            </w:tcBorders>
          </w:tcPr>
          <w:p>
            <w:pPr>
              <w:spacing w:after="0"/>
              <w:rPr>
                <w:sz w:val="18"/>
                <w:szCs w:val="18"/>
                <w:color w:val="auto"/>
              </w:rPr>
            </w:pPr>
          </w:p>
        </w:tc>
        <w:tc>
          <w:tcPr>
            <w:tcW w:w="1860" w:type="dxa"/>
            <w:vAlign w:val="bottom"/>
            <w:tcBorders>
              <w:bottom w:val="single" w:sz="8" w:color="00000A"/>
              <w:right w:val="single" w:sz="8" w:color="00000A"/>
            </w:tcBorders>
          </w:tcPr>
          <w:p>
            <w:pPr>
              <w:spacing w:after="0"/>
              <w:rPr>
                <w:sz w:val="18"/>
                <w:szCs w:val="18"/>
                <w:color w:val="auto"/>
              </w:rPr>
            </w:pPr>
          </w:p>
        </w:tc>
        <w:tc>
          <w:tcPr>
            <w:tcW w:w="1100" w:type="dxa"/>
            <w:vAlign w:val="bottom"/>
            <w:tcBorders>
              <w:bottom w:val="single" w:sz="8" w:color="00000A"/>
              <w:right w:val="single" w:sz="8" w:color="00000A"/>
            </w:tcBorders>
          </w:tcPr>
          <w:p>
            <w:pPr>
              <w:spacing w:after="0"/>
              <w:rPr>
                <w:sz w:val="18"/>
                <w:szCs w:val="18"/>
                <w:color w:val="auto"/>
              </w:rPr>
            </w:pPr>
          </w:p>
        </w:tc>
        <w:tc>
          <w:tcPr>
            <w:tcW w:w="1000" w:type="dxa"/>
            <w:vAlign w:val="bottom"/>
            <w:tcBorders>
              <w:bottom w:val="single" w:sz="8" w:color="00000A"/>
              <w:right w:val="single" w:sz="8" w:color="00000A"/>
            </w:tcBorders>
          </w:tcPr>
          <w:p>
            <w:pPr>
              <w:spacing w:after="0"/>
              <w:rPr>
                <w:sz w:val="18"/>
                <w:szCs w:val="18"/>
                <w:color w:val="auto"/>
              </w:rPr>
            </w:pPr>
          </w:p>
        </w:tc>
        <w:tc>
          <w:tcPr>
            <w:tcW w:w="96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98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4"/>
              </w:rPr>
              <w:t>WESCO Canada</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w w:val="95"/>
              </w:rPr>
              <w:t>$90,000,000 (Canadian</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$90,000,000 (CAD)</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13,</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December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II,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Dollars)</w:t>
            </w: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 Holding</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WESCO Canada</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$150,000,000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$150,000,000</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13,</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December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.95%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I LP</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 Holding</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$480,000,000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$480,000,000 (CAD)</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December 13,</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3"/>
              </w:rPr>
              <w:t>December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7.5%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 Holding</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$27,841,282</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$979,331</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20, 2011</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On 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Distribution, Inc.</w:t>
            </w: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WDCH 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 Holding</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$27,841,282</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$979,331</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20, 2011</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On 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WDCC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EECOL Electric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$1,300,000,000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4"/>
              </w:rPr>
              <w:t>$1,300,000,000 (Canadian</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16,</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16,</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6.5%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Enterprises Inc.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ULC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WECOL</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$1,300,000,000</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4"/>
              </w:rPr>
              <w:t>$1,300,000,000 (Canadian</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16,</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On Demand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0%</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Holdings ULC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(Canadian 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WESCO</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WDCC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w w:val="95"/>
              </w:rPr>
              <w:t>$23,000,000 (Canadian</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$23,000,000 (Canadian</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9"/>
              </w:rPr>
              <w:t>September 25,</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October 31,</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2.5%</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Distribution</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Enterprises Inc.</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Dollars)</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Dollars)</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2015</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Canada LP</w:t>
            </w: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spacing w:after="0"/>
              <w:rPr>
                <w:sz w:val="17"/>
                <w:szCs w:val="17"/>
                <w:color w:val="auto"/>
              </w:rPr>
            </w:pP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Hi-Line Utility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30, 2015</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0"/>
              </w:rPr>
              <w:t>Supply Company,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LLC</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640" w:type="dxa"/>
            <w:vAlign w:val="bottom"/>
            <w:tcBorders>
              <w:right w:val="single" w:sz="8" w:color="00000A"/>
            </w:tcBorders>
          </w:tcPr>
          <w:p>
            <w:pPr>
              <w:spacing w:after="0"/>
              <w:rPr>
                <w:sz w:val="17"/>
                <w:szCs w:val="17"/>
                <w:color w:val="auto"/>
              </w:rPr>
            </w:pPr>
          </w:p>
        </w:tc>
        <w:tc>
          <w:tcPr>
            <w:tcW w:w="1860" w:type="dxa"/>
            <w:vAlign w:val="bottom"/>
            <w:tcBorders>
              <w:right w:val="single" w:sz="8" w:color="00000A"/>
            </w:tcBorders>
          </w:tcPr>
          <w:p>
            <w:pPr>
              <w:spacing w:after="0"/>
              <w:rPr>
                <w:sz w:val="17"/>
                <w:szCs w:val="17"/>
                <w:color w:val="auto"/>
              </w:rPr>
            </w:pPr>
          </w:p>
        </w:tc>
        <w:tc>
          <w:tcPr>
            <w:tcW w:w="1100" w:type="dxa"/>
            <w:vAlign w:val="bottom"/>
            <w:tcBorders>
              <w:right w:val="single" w:sz="8" w:color="00000A"/>
            </w:tcBorders>
          </w:tcPr>
          <w:p>
            <w:pPr>
              <w:spacing w:after="0"/>
              <w:rPr>
                <w:sz w:val="17"/>
                <w:szCs w:val="17"/>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9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2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64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96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Hill Country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WESCO</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Floating (shall not</w:t>
            </w:r>
          </w:p>
        </w:tc>
        <w:tc>
          <w:tcPr>
            <w:tcW w:w="186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Changes daily</w:t>
            </w:r>
          </w:p>
        </w:tc>
        <w:tc>
          <w:tcPr>
            <w:tcW w:w="11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June 30, 2015</w:t>
            </w: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2"/>
              </w:rPr>
              <w:t>121 days after</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Telerate</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Unsecured</w:t>
            </w: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Electric Supply,</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Receivables</w:t>
            </w:r>
          </w:p>
        </w:tc>
        <w:tc>
          <w:tcPr>
            <w:tcW w:w="164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exceed $150,000,000)</w:t>
            </w: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5"/>
              </w:rPr>
              <w:t>Purchase and</w:t>
            </w:r>
          </w:p>
        </w:tc>
        <w:tc>
          <w:tcPr>
            <w:tcW w:w="960" w:type="dxa"/>
            <w:vAlign w:val="bottom"/>
            <w:tcBorders>
              <w:right w:val="single" w:sz="8" w:color="00000A"/>
            </w:tcBorders>
          </w:tcPr>
          <w:p>
            <w:pPr>
              <w:spacing w:after="0"/>
              <w:rPr>
                <w:sz w:val="20"/>
                <w:szCs w:val="20"/>
                <w:color w:val="auto"/>
              </w:rPr>
            </w:pPr>
            <w:r>
              <w:rPr>
                <w:rFonts w:ascii="Arial" w:cs="Arial" w:eastAsia="Arial" w:hAnsi="Arial"/>
                <w:sz w:val="16"/>
                <w:szCs w:val="16"/>
                <w:color w:val="auto"/>
              </w:rPr>
              <w:t>Screen Rate</w:t>
            </w: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guaranteed</w:t>
            </w: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L.P.</w:t>
            </w:r>
          </w:p>
        </w:tc>
        <w:tc>
          <w:tcPr>
            <w:tcW w:w="12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Corp.</w:t>
            </w: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Sale</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00000A"/>
              <w:right w:val="single" w:sz="8" w:color="00000A"/>
            </w:tcBorders>
          </w:tcPr>
          <w:p>
            <w:pPr>
              <w:spacing w:after="0"/>
              <w:rPr>
                <w:sz w:val="16"/>
                <w:szCs w:val="16"/>
                <w:color w:val="auto"/>
              </w:rPr>
            </w:pPr>
          </w:p>
        </w:tc>
        <w:tc>
          <w:tcPr>
            <w:tcW w:w="1220" w:type="dxa"/>
            <w:vAlign w:val="bottom"/>
            <w:tcBorders>
              <w:right w:val="single" w:sz="8" w:color="00000A"/>
            </w:tcBorders>
          </w:tcPr>
          <w:p>
            <w:pPr>
              <w:spacing w:after="0"/>
              <w:rPr>
                <w:sz w:val="16"/>
                <w:szCs w:val="16"/>
                <w:color w:val="auto"/>
              </w:rPr>
            </w:pPr>
          </w:p>
        </w:tc>
        <w:tc>
          <w:tcPr>
            <w:tcW w:w="1640" w:type="dxa"/>
            <w:vAlign w:val="bottom"/>
            <w:tcBorders>
              <w:right w:val="single" w:sz="8" w:color="00000A"/>
            </w:tcBorders>
          </w:tcPr>
          <w:p>
            <w:pPr>
              <w:spacing w:after="0"/>
              <w:rPr>
                <w:sz w:val="16"/>
                <w:szCs w:val="16"/>
                <w:color w:val="auto"/>
              </w:rPr>
            </w:pPr>
          </w:p>
        </w:tc>
        <w:tc>
          <w:tcPr>
            <w:tcW w:w="1860" w:type="dxa"/>
            <w:vAlign w:val="bottom"/>
            <w:tcBorders>
              <w:right w:val="single" w:sz="8" w:color="00000A"/>
            </w:tcBorders>
          </w:tcPr>
          <w:p>
            <w:pPr>
              <w:spacing w:after="0"/>
              <w:rPr>
                <w:sz w:val="16"/>
                <w:szCs w:val="16"/>
                <w:color w:val="auto"/>
              </w:rPr>
            </w:pPr>
          </w:p>
        </w:tc>
        <w:tc>
          <w:tcPr>
            <w:tcW w:w="110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Termination</w:t>
            </w:r>
          </w:p>
        </w:tc>
        <w:tc>
          <w:tcPr>
            <w:tcW w:w="96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98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00000A"/>
              <w:right w:val="single" w:sz="8" w:color="00000A"/>
            </w:tcBorders>
          </w:tcPr>
          <w:p>
            <w:pPr>
              <w:spacing w:after="0"/>
              <w:rPr>
                <w:sz w:val="18"/>
                <w:szCs w:val="18"/>
                <w:color w:val="auto"/>
              </w:rPr>
            </w:pPr>
          </w:p>
        </w:tc>
        <w:tc>
          <w:tcPr>
            <w:tcW w:w="1220" w:type="dxa"/>
            <w:vAlign w:val="bottom"/>
            <w:tcBorders>
              <w:right w:val="single" w:sz="8" w:color="00000A"/>
            </w:tcBorders>
          </w:tcPr>
          <w:p>
            <w:pPr>
              <w:spacing w:after="0"/>
              <w:rPr>
                <w:sz w:val="18"/>
                <w:szCs w:val="18"/>
                <w:color w:val="auto"/>
              </w:rPr>
            </w:pPr>
          </w:p>
        </w:tc>
        <w:tc>
          <w:tcPr>
            <w:tcW w:w="1640" w:type="dxa"/>
            <w:vAlign w:val="bottom"/>
            <w:tcBorders>
              <w:right w:val="single" w:sz="8" w:color="00000A"/>
            </w:tcBorders>
          </w:tcPr>
          <w:p>
            <w:pPr>
              <w:spacing w:after="0"/>
              <w:rPr>
                <w:sz w:val="18"/>
                <w:szCs w:val="18"/>
                <w:color w:val="auto"/>
              </w:rPr>
            </w:pPr>
          </w:p>
        </w:tc>
        <w:tc>
          <w:tcPr>
            <w:tcW w:w="1860" w:type="dxa"/>
            <w:vAlign w:val="bottom"/>
            <w:tcBorders>
              <w:right w:val="single" w:sz="8" w:color="00000A"/>
            </w:tcBorders>
          </w:tcPr>
          <w:p>
            <w:pPr>
              <w:spacing w:after="0"/>
              <w:rPr>
                <w:sz w:val="18"/>
                <w:szCs w:val="18"/>
                <w:color w:val="auto"/>
              </w:rPr>
            </w:pPr>
          </w:p>
        </w:tc>
        <w:tc>
          <w:tcPr>
            <w:tcW w:w="1100" w:type="dxa"/>
            <w:vAlign w:val="bottom"/>
            <w:tcBorders>
              <w:right w:val="single" w:sz="8" w:color="00000A"/>
            </w:tcBorders>
          </w:tcPr>
          <w:p>
            <w:pPr>
              <w:spacing w:after="0"/>
              <w:rPr>
                <w:sz w:val="18"/>
                <w:szCs w:val="18"/>
                <w:color w:val="auto"/>
              </w:rPr>
            </w:pPr>
          </w:p>
        </w:tc>
        <w:tc>
          <w:tcPr>
            <w:tcW w:w="10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Date</w:t>
            </w:r>
          </w:p>
        </w:tc>
        <w:tc>
          <w:tcPr>
            <w:tcW w:w="960" w:type="dxa"/>
            <w:vAlign w:val="bottom"/>
            <w:tcBorders>
              <w:right w:val="single" w:sz="8" w:color="00000A"/>
            </w:tcBorders>
          </w:tcPr>
          <w:p>
            <w:pPr>
              <w:spacing w:after="0"/>
              <w:rPr>
                <w:sz w:val="18"/>
                <w:szCs w:val="18"/>
                <w:color w:val="auto"/>
              </w:rPr>
            </w:pPr>
          </w:p>
        </w:tc>
        <w:tc>
          <w:tcPr>
            <w:tcW w:w="980" w:type="dxa"/>
            <w:vAlign w:val="bottom"/>
            <w:tcBorders>
              <w:right w:val="single" w:sz="8" w:color="00000A"/>
            </w:tcBorders>
          </w:tcPr>
          <w:p>
            <w:pPr>
              <w:spacing w:after="0"/>
              <w:rPr>
                <w:sz w:val="18"/>
                <w:szCs w:val="18"/>
                <w:color w:val="auto"/>
              </w:rPr>
            </w:pPr>
          </w:p>
        </w:tc>
        <w:tc>
          <w:tcPr>
            <w:tcW w:w="9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0960"/>
          </w:cols>
          <w:pgMar w:left="480" w:top="134" w:right="459" w:bottom="0" w:gutter="0" w:footer="0" w:header="0"/>
        </w:sectPr>
      </w:pPr>
    </w:p>
    <w:bookmarkStart w:id="94" w:name="page95"/>
    <w:bookmarkEnd w:id="9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308610</wp:posOffset>
            </wp:positionH>
            <wp:positionV relativeFrom="page">
              <wp:posOffset>88900</wp:posOffset>
            </wp:positionV>
            <wp:extent cx="69526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52615" cy="7620"/>
                    </a:xfrm>
                    <a:prstGeom prst="rect">
                      <a:avLst/>
                    </a:prstGeom>
                    <a:noFill/>
                  </pic:spPr>
                </pic:pic>
              </a:graphicData>
            </a:graphic>
          </wp:anchor>
        </w:drawing>
      </w:r>
    </w:p>
    <w:p>
      <w:pPr>
        <w:ind w:left="285" w:hanging="285"/>
        <w:spacing w:after="0"/>
        <w:tabs>
          <w:tab w:leader="none" w:pos="285"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THIRD PARTY INDEBTEDNESS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5" w:right="30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Guaranty Agreement dated as of December 26, 2012 made by WESCO International, Inc. and WESCO Distribution, Inc., as Guarantors, in favor of AGNL Conney, L.L.C.</w:t>
      </w:r>
    </w:p>
    <w:p>
      <w:pPr>
        <w:spacing w:after="0" w:line="151" w:lineRule="exact"/>
        <w:rPr>
          <w:rFonts w:ascii="Arial" w:cs="Arial" w:eastAsia="Arial" w:hAnsi="Arial"/>
          <w:sz w:val="17"/>
          <w:szCs w:val="17"/>
          <w:color w:val="auto"/>
        </w:rPr>
      </w:pPr>
    </w:p>
    <w:p>
      <w:pPr>
        <w:ind w:left="285" w:right="2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Indemnity Agreement between Orlando Corporation and WESCO Distribution, Inc. dated May 19, 2011 (regarding lease dated May 19, 2011 between Orlando Corporation and WESCO Distribution Canada LP)</w:t>
      </w:r>
    </w:p>
    <w:p>
      <w:pPr>
        <w:spacing w:after="0" w:line="187" w:lineRule="exact"/>
        <w:rPr>
          <w:rFonts w:ascii="Arial" w:cs="Arial" w:eastAsia="Arial" w:hAnsi="Arial"/>
          <w:sz w:val="17"/>
          <w:szCs w:val="17"/>
          <w:color w:val="auto"/>
        </w:rPr>
      </w:pPr>
    </w:p>
    <w:p>
      <w:pPr>
        <w:ind w:left="285" w:right="16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$15,000,000 Uncommitted Credit Facility between WESCO Distribution International, Ltd. and Bank of America, N.A., originally dated January 25, 2012 as amended from time to time.</w:t>
      </w:r>
    </w:p>
    <w:p>
      <w:pPr>
        <w:spacing w:after="0" w:line="151" w:lineRule="exact"/>
        <w:rPr>
          <w:rFonts w:ascii="Arial" w:cs="Arial" w:eastAsia="Arial" w:hAnsi="Arial"/>
          <w:sz w:val="17"/>
          <w:szCs w:val="17"/>
          <w:color w:val="auto"/>
        </w:rPr>
      </w:pPr>
    </w:p>
    <w:p>
      <w:pPr>
        <w:ind w:left="285" w:right="12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$5,500,000 Uncommitted Banker’s Undertaking Facility and Uncommitted Overdraft Facility between WESCO Australia Pty Ltd and Bank of America, N.A. dated January 4, 2010 as amended from time to time.</w:t>
      </w:r>
    </w:p>
    <w:p>
      <w:pPr>
        <w:spacing w:after="0" w:line="151" w:lineRule="exact"/>
        <w:rPr>
          <w:rFonts w:ascii="Arial" w:cs="Arial" w:eastAsia="Arial" w:hAnsi="Arial"/>
          <w:sz w:val="17"/>
          <w:szCs w:val="17"/>
          <w:color w:val="auto"/>
        </w:rPr>
      </w:pPr>
    </w:p>
    <w:p>
      <w:pPr>
        <w:ind w:left="285" w:right="8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$12,500,000 line of credit between WESCO Distribution de Mexico S.de.R.L. de C.V. and Bank of America Mexico, S.A. Institucion de Banca Multiple dated December 30, 2011 as amended from time to time.</w:t>
      </w:r>
    </w:p>
    <w:p>
      <w:pPr>
        <w:spacing w:after="0" w:line="151" w:lineRule="exact"/>
        <w:rPr>
          <w:rFonts w:ascii="Arial" w:cs="Arial" w:eastAsia="Arial" w:hAnsi="Arial"/>
          <w:sz w:val="17"/>
          <w:szCs w:val="17"/>
          <w:color w:val="auto"/>
        </w:rPr>
      </w:pPr>
    </w:p>
    <w:p>
      <w:pPr>
        <w:ind w:left="285" w:right="22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$5,000,000 line of credit between WESCO Sourcing and Procurement Services Pte Ltd and Bank of America, N.A. dated March 13, 2012, as amended from time to time.</w:t>
      </w:r>
    </w:p>
    <w:p>
      <w:pPr>
        <w:spacing w:after="0" w:line="151" w:lineRule="exact"/>
        <w:rPr>
          <w:rFonts w:ascii="Arial" w:cs="Arial" w:eastAsia="Arial" w:hAnsi="Arial"/>
          <w:sz w:val="17"/>
          <w:szCs w:val="17"/>
          <w:color w:val="auto"/>
        </w:rPr>
      </w:pPr>
    </w:p>
    <w:p>
      <w:pPr>
        <w:ind w:left="285" w:right="6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BRL 7,600,000 line of credit between WESCO do Brasil Equipamentos Electronicos Ltda and HSBC Bank Brasil S.A. dated April 16, 2012, as amended from time to time.</w:t>
      </w:r>
    </w:p>
    <w:p>
      <w:pPr>
        <w:spacing w:after="0" w:line="151" w:lineRule="exact"/>
        <w:rPr>
          <w:rFonts w:ascii="Arial" w:cs="Arial" w:eastAsia="Arial" w:hAnsi="Arial"/>
          <w:sz w:val="17"/>
          <w:szCs w:val="17"/>
          <w:color w:val="auto"/>
        </w:rPr>
      </w:pPr>
    </w:p>
    <w:p>
      <w:pPr>
        <w:ind w:left="285" w:hanging="285"/>
        <w:spacing w:after="0"/>
        <w:tabs>
          <w:tab w:leader="none" w:pos="2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PLN 25,008,005 Overdraft Facility between Bruckner Polska sp z.o.o. and HSBC Bank Polska S.A. dated September 5, 2012, as amended from time to time.</w:t>
      </w:r>
    </w:p>
    <w:p>
      <w:pPr>
        <w:spacing w:after="0" w:line="221" w:lineRule="exact"/>
        <w:rPr>
          <w:rFonts w:ascii="Arial" w:cs="Arial" w:eastAsia="Arial" w:hAnsi="Arial"/>
          <w:sz w:val="16"/>
          <w:szCs w:val="16"/>
          <w:color w:val="auto"/>
        </w:rPr>
      </w:pPr>
    </w:p>
    <w:p>
      <w:pPr>
        <w:ind w:left="285" w:hanging="285"/>
        <w:spacing w:after="0"/>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$2,650,000 line of credit between WESCO Distribution International, Ltd and HSBC Bank, plc dated May 25, 2012, as amended from time to time.</w:t>
      </w:r>
    </w:p>
    <w:p>
      <w:pPr>
        <w:spacing w:after="0" w:line="245" w:lineRule="exact"/>
        <w:rPr>
          <w:rFonts w:ascii="Arial" w:cs="Arial" w:eastAsia="Arial" w:hAnsi="Arial"/>
          <w:sz w:val="17"/>
          <w:szCs w:val="17"/>
          <w:color w:val="auto"/>
        </w:rPr>
      </w:pPr>
    </w:p>
    <w:p>
      <w:pPr>
        <w:ind w:left="285" w:hanging="285"/>
        <w:spacing w:after="0"/>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$16,000,000 line of credit between EECOL Electric Peru S.A.C and ScotiaBank, dated February 13, 2013, as amended from time to time.</w:t>
      </w:r>
    </w:p>
    <w:p>
      <w:pPr>
        <w:spacing w:after="0" w:line="245" w:lineRule="exact"/>
        <w:rPr>
          <w:rFonts w:ascii="Arial" w:cs="Arial" w:eastAsia="Arial" w:hAnsi="Arial"/>
          <w:sz w:val="17"/>
          <w:szCs w:val="17"/>
          <w:color w:val="auto"/>
        </w:rPr>
      </w:pPr>
    </w:p>
    <w:p>
      <w:pPr>
        <w:ind w:left="285" w:hanging="285"/>
        <w:spacing w:after="0"/>
        <w:tabs>
          <w:tab w:leader="none" w:pos="2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$15,000,000 line of credit between EECOL Industrial Electric (Sudamerica) Limitada and ScotiaBank, dated August 5, 2013, as amended from time to time.</w:t>
      </w:r>
    </w:p>
    <w:p>
      <w:pPr>
        <w:spacing w:after="0" w:line="256" w:lineRule="exact"/>
        <w:rPr>
          <w:rFonts w:ascii="Arial" w:cs="Arial" w:eastAsia="Arial" w:hAnsi="Arial"/>
          <w:sz w:val="16"/>
          <w:szCs w:val="16"/>
          <w:color w:val="auto"/>
        </w:rPr>
      </w:pPr>
    </w:p>
    <w:p>
      <w:pPr>
        <w:ind w:left="285" w:hanging="285"/>
        <w:spacing w:after="0"/>
        <w:tabs>
          <w:tab w:leader="none" w:pos="2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$10,750,000 line of credit between EECOL Industrial Electric (Sudamerica) Limitada and Banco de Chile, dated May 27, 2014, as amended from time to time.</w:t>
      </w:r>
    </w:p>
    <w:p>
      <w:pPr>
        <w:spacing w:after="0" w:line="256" w:lineRule="exact"/>
        <w:rPr>
          <w:rFonts w:ascii="Arial" w:cs="Arial" w:eastAsia="Arial" w:hAnsi="Arial"/>
          <w:sz w:val="16"/>
          <w:szCs w:val="16"/>
          <w:color w:val="auto"/>
        </w:rPr>
      </w:pPr>
    </w:p>
    <w:p>
      <w:pPr>
        <w:ind w:left="285" w:hanging="285"/>
        <w:spacing w:after="0"/>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$3,000,000 Overdraft Facility between WESCO Netherlands B.V. and Bank of America dated June 24, 2014 as amended from time to time.</w:t>
      </w:r>
    </w:p>
    <w:p>
      <w:pPr>
        <w:spacing w:after="0" w:line="245" w:lineRule="exact"/>
        <w:rPr>
          <w:rFonts w:ascii="Arial" w:cs="Arial" w:eastAsia="Arial" w:hAnsi="Arial"/>
          <w:sz w:val="17"/>
          <w:szCs w:val="17"/>
          <w:color w:val="auto"/>
        </w:rPr>
      </w:pPr>
    </w:p>
    <w:p>
      <w:pPr>
        <w:ind w:left="285" w:right="48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outstanding under the 6% Convertible Debentures due 2029 issued pursuant to outstanding under the Indenture, dated August 27, 2009, by and among WESCO International, Inc., WESCO Distribution, Inc. and The Bank of New York, as Trustee.</w:t>
      </w:r>
    </w:p>
    <w:p>
      <w:pPr>
        <w:spacing w:after="0" w:line="187" w:lineRule="exact"/>
        <w:rPr>
          <w:rFonts w:ascii="Arial" w:cs="Arial" w:eastAsia="Arial" w:hAnsi="Arial"/>
          <w:sz w:val="17"/>
          <w:szCs w:val="17"/>
          <w:color w:val="auto"/>
        </w:rPr>
      </w:pPr>
    </w:p>
    <w:p>
      <w:pPr>
        <w:jc w:val="both"/>
        <w:ind w:left="285" w:right="80" w:hanging="285"/>
        <w:spacing w:after="0" w:line="264"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outstanding under the Fourth Amended and Restated Receivables Purchase Agreement dated as of September ___, 2015, and as amended from time to time, among WESCO Receivables, as seller, WESCO Distribution, Inc., as servicer, the purchasers from time to time party thereto, and PNC Bank National Association, as administrator.</w:t>
      </w:r>
    </w:p>
    <w:p>
      <w:pPr>
        <w:spacing w:after="0" w:line="165" w:lineRule="exact"/>
        <w:rPr>
          <w:rFonts w:ascii="Arial" w:cs="Arial" w:eastAsia="Arial" w:hAnsi="Arial"/>
          <w:sz w:val="17"/>
          <w:szCs w:val="17"/>
          <w:color w:val="auto"/>
        </w:rPr>
      </w:pPr>
    </w:p>
    <w:p>
      <w:pPr>
        <w:jc w:val="both"/>
        <w:ind w:left="285" w:right="240" w:hanging="285"/>
        <w:spacing w:after="0" w:line="259"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outstanding under the Term Loan Agreement dated as of December 12, 2012, as amended from time to time, among WESCO Distribution, Inc., as US Borrower, WDCC Enterprises Inc., as Canadian Borrower, WESCO International, Inc., the Lenders party thereto and Credit Suisse AG, Cayman Islands Branch, as Administrative Agent and Collateral Agent, Barclays Bank PLC, as Syndication Agent, the Joint Lead Arrangers and Co-Documentation Agents party thereto.</w:t>
      </w:r>
    </w:p>
    <w:p>
      <w:pPr>
        <w:spacing w:after="0" w:line="204" w:lineRule="exact"/>
        <w:rPr>
          <w:rFonts w:ascii="Arial" w:cs="Arial" w:eastAsia="Arial" w:hAnsi="Arial"/>
          <w:sz w:val="17"/>
          <w:szCs w:val="17"/>
          <w:color w:val="auto"/>
        </w:rPr>
      </w:pPr>
    </w:p>
    <w:p>
      <w:pPr>
        <w:ind w:left="285" w:right="60" w:hanging="285"/>
        <w:spacing w:after="0" w:line="280" w:lineRule="auto"/>
        <w:tabs>
          <w:tab w:leader="none" w:pos="2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outstanding under the 5.375% Senior Notes due 2021 issued pursuant to the Indenture, dated November 26, 2013, among WESCO Distribution, Inc., as Issuer, the Parent Guarantor named therein and U.S. Bank National Association, as Trustee.</w:t>
      </w:r>
    </w:p>
    <w:p>
      <w:pPr>
        <w:spacing w:after="0" w:line="200" w:lineRule="exact"/>
        <w:rPr>
          <w:sz w:val="20"/>
          <w:szCs w:val="20"/>
          <w:color w:val="auto"/>
        </w:rPr>
      </w:pPr>
    </w:p>
    <w:p>
      <w:pPr>
        <w:spacing w:after="0" w:line="203"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SCHEDULE 6.02</w:t>
      </w:r>
    </w:p>
    <w:p>
      <w:pPr>
        <w:spacing w:after="0" w:line="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LIENS</w:t>
      </w:r>
    </w:p>
    <w:p>
      <w:pPr>
        <w:spacing w:after="0" w:line="325" w:lineRule="exact"/>
        <w:rPr>
          <w:sz w:val="20"/>
          <w:szCs w:val="20"/>
          <w:color w:val="auto"/>
        </w:rPr>
      </w:pPr>
    </w:p>
    <w:tbl>
      <w:tblPr>
        <w:tblLayout w:type="fixed"/>
        <w:tblInd w:w="15" w:type="dxa"/>
        <w:tblCellMar>
          <w:top w:w="0" w:type="dxa"/>
          <w:left w:w="0" w:type="dxa"/>
          <w:bottom w:w="0" w:type="dxa"/>
          <w:right w:w="0" w:type="dxa"/>
        </w:tblCellMar>
      </w:tblPr>
      <w:tr>
        <w:trPr>
          <w:trHeight w:val="276"/>
        </w:trPr>
        <w:tc>
          <w:tcPr>
            <w:tcW w:w="3220" w:type="dxa"/>
            <w:vAlign w:val="bottom"/>
            <w:tcBorders>
              <w:top w:val="single" w:sz="8" w:color="00000A"/>
              <w:left w:val="single" w:sz="8" w:color="00000A"/>
              <w:right w:val="single" w:sz="8" w:color="00000A"/>
            </w:tcBorders>
            <w:shd w:val="clear" w:color="auto" w:fill="BFBFBF"/>
          </w:tcPr>
          <w:p>
            <w:pPr>
              <w:ind w:left="1360"/>
              <w:spacing w:after="0"/>
              <w:rPr>
                <w:sz w:val="20"/>
                <w:szCs w:val="20"/>
                <w:color w:val="auto"/>
              </w:rPr>
            </w:pPr>
            <w:r>
              <w:rPr>
                <w:rFonts w:ascii="Arial" w:cs="Arial" w:eastAsia="Arial" w:hAnsi="Arial"/>
                <w:sz w:val="17"/>
                <w:szCs w:val="17"/>
                <w:b w:val="1"/>
                <w:bCs w:val="1"/>
                <w:color w:val="auto"/>
              </w:rPr>
              <w:t>Debtor</w:t>
            </w:r>
          </w:p>
        </w:tc>
        <w:tc>
          <w:tcPr>
            <w:tcW w:w="700" w:type="dxa"/>
            <w:vAlign w:val="bottom"/>
            <w:tcBorders>
              <w:top w:val="single" w:sz="8" w:color="00000A"/>
              <w:right w:val="single" w:sz="8" w:color="00000A"/>
            </w:tcBorders>
            <w:shd w:val="clear" w:color="auto" w:fill="BFBFBF"/>
          </w:tcPr>
          <w:p>
            <w:pPr>
              <w:ind w:left="160"/>
              <w:spacing w:after="0"/>
              <w:rPr>
                <w:sz w:val="20"/>
                <w:szCs w:val="20"/>
                <w:color w:val="auto"/>
              </w:rPr>
            </w:pPr>
            <w:r>
              <w:rPr>
                <w:rFonts w:ascii="Arial" w:cs="Arial" w:eastAsia="Arial" w:hAnsi="Arial"/>
                <w:sz w:val="17"/>
                <w:szCs w:val="17"/>
                <w:b w:val="1"/>
                <w:bCs w:val="1"/>
                <w:color w:val="auto"/>
              </w:rPr>
              <w:t>State</w:t>
            </w:r>
          </w:p>
        </w:tc>
        <w:tc>
          <w:tcPr>
            <w:tcW w:w="1600" w:type="dxa"/>
            <w:vAlign w:val="bottom"/>
            <w:tcBorders>
              <w:top w:val="single" w:sz="8" w:color="00000A"/>
              <w:right w:val="single" w:sz="8" w:color="00000A"/>
            </w:tcBorders>
            <w:shd w:val="clear" w:color="auto" w:fill="BFBFBF"/>
          </w:tcPr>
          <w:p>
            <w:pPr>
              <w:ind w:left="360"/>
              <w:spacing w:after="0"/>
              <w:rPr>
                <w:sz w:val="20"/>
                <w:szCs w:val="20"/>
                <w:color w:val="auto"/>
              </w:rPr>
            </w:pPr>
            <w:r>
              <w:rPr>
                <w:rFonts w:ascii="Arial" w:cs="Arial" w:eastAsia="Arial" w:hAnsi="Arial"/>
                <w:sz w:val="17"/>
                <w:szCs w:val="17"/>
                <w:b w:val="1"/>
                <w:bCs w:val="1"/>
                <w:color w:val="auto"/>
              </w:rPr>
              <w:t>Jurisdiction</w:t>
            </w:r>
          </w:p>
        </w:tc>
        <w:tc>
          <w:tcPr>
            <w:tcW w:w="2040" w:type="dxa"/>
            <w:vAlign w:val="bottom"/>
            <w:tcBorders>
              <w:top w:val="single" w:sz="8" w:color="00000A"/>
              <w:right w:val="single" w:sz="8" w:color="00000A"/>
            </w:tcBorders>
            <w:shd w:val="clear" w:color="auto" w:fill="BFBFBF"/>
          </w:tcPr>
          <w:p>
            <w:pPr>
              <w:ind w:left="500"/>
              <w:spacing w:after="0"/>
              <w:rPr>
                <w:sz w:val="20"/>
                <w:szCs w:val="20"/>
                <w:color w:val="auto"/>
              </w:rPr>
            </w:pPr>
            <w:r>
              <w:rPr>
                <w:rFonts w:ascii="Arial" w:cs="Arial" w:eastAsia="Arial" w:hAnsi="Arial"/>
                <w:sz w:val="17"/>
                <w:szCs w:val="17"/>
                <w:b w:val="1"/>
                <w:bCs w:val="1"/>
                <w:color w:val="auto"/>
              </w:rPr>
              <w:t>Secured Party</w:t>
            </w:r>
          </w:p>
        </w:tc>
        <w:tc>
          <w:tcPr>
            <w:tcW w:w="3900" w:type="dxa"/>
            <w:vAlign w:val="bottom"/>
            <w:tcBorders>
              <w:top w:val="single" w:sz="8" w:color="00000A"/>
              <w:right w:val="single" w:sz="8" w:color="00000A"/>
            </w:tcBorders>
            <w:shd w:val="clear" w:color="auto" w:fill="BFBFBF"/>
          </w:tcPr>
          <w:p>
            <w:pPr>
              <w:ind w:left="960"/>
              <w:spacing w:after="0"/>
              <w:rPr>
                <w:sz w:val="20"/>
                <w:szCs w:val="20"/>
                <w:color w:val="auto"/>
              </w:rPr>
            </w:pPr>
            <w:r>
              <w:rPr>
                <w:rFonts w:ascii="Arial" w:cs="Arial" w:eastAsia="Arial" w:hAnsi="Arial"/>
                <w:sz w:val="17"/>
                <w:szCs w:val="17"/>
                <w:b w:val="1"/>
                <w:bCs w:val="1"/>
                <w:color w:val="auto"/>
              </w:rPr>
              <w:t>UCC Filing No./Filing Date</w:t>
            </w:r>
          </w:p>
        </w:tc>
      </w:tr>
      <w:tr>
        <w:trPr>
          <w:trHeight w:val="141"/>
        </w:trPr>
        <w:tc>
          <w:tcPr>
            <w:tcW w:w="3220" w:type="dxa"/>
            <w:vAlign w:val="bottom"/>
            <w:tcBorders>
              <w:left w:val="single" w:sz="8" w:color="00000A"/>
              <w:bottom w:val="single" w:sz="8" w:color="00000A"/>
              <w:right w:val="single" w:sz="8" w:color="00000A"/>
            </w:tcBorders>
            <w:shd w:val="clear" w:color="auto" w:fill="BFBFBF"/>
          </w:tcPr>
          <w:p>
            <w:pPr>
              <w:spacing w:after="0"/>
              <w:rPr>
                <w:sz w:val="12"/>
                <w:szCs w:val="12"/>
                <w:color w:val="auto"/>
              </w:rPr>
            </w:pPr>
          </w:p>
        </w:tc>
        <w:tc>
          <w:tcPr>
            <w:tcW w:w="700" w:type="dxa"/>
            <w:vAlign w:val="bottom"/>
            <w:tcBorders>
              <w:bottom w:val="single" w:sz="8" w:color="00000A"/>
              <w:right w:val="single" w:sz="8" w:color="00000A"/>
            </w:tcBorders>
            <w:shd w:val="clear" w:color="auto" w:fill="BFBFBF"/>
          </w:tcPr>
          <w:p>
            <w:pPr>
              <w:spacing w:after="0"/>
              <w:rPr>
                <w:sz w:val="12"/>
                <w:szCs w:val="12"/>
                <w:color w:val="auto"/>
              </w:rPr>
            </w:pPr>
          </w:p>
        </w:tc>
        <w:tc>
          <w:tcPr>
            <w:tcW w:w="1600" w:type="dxa"/>
            <w:vAlign w:val="bottom"/>
            <w:tcBorders>
              <w:bottom w:val="single" w:sz="8" w:color="00000A"/>
              <w:right w:val="single" w:sz="8" w:color="00000A"/>
            </w:tcBorders>
            <w:shd w:val="clear" w:color="auto" w:fill="BFBFBF"/>
          </w:tcPr>
          <w:p>
            <w:pPr>
              <w:spacing w:after="0"/>
              <w:rPr>
                <w:sz w:val="12"/>
                <w:szCs w:val="12"/>
                <w:color w:val="auto"/>
              </w:rPr>
            </w:pPr>
          </w:p>
        </w:tc>
        <w:tc>
          <w:tcPr>
            <w:tcW w:w="2040" w:type="dxa"/>
            <w:vAlign w:val="bottom"/>
            <w:tcBorders>
              <w:bottom w:val="single" w:sz="8" w:color="auto"/>
              <w:right w:val="single" w:sz="8" w:color="00000A"/>
            </w:tcBorders>
            <w:shd w:val="clear" w:color="auto" w:fill="BFBFBF"/>
          </w:tcPr>
          <w:p>
            <w:pPr>
              <w:spacing w:after="0"/>
              <w:rPr>
                <w:sz w:val="12"/>
                <w:szCs w:val="12"/>
                <w:color w:val="auto"/>
              </w:rPr>
            </w:pPr>
          </w:p>
        </w:tc>
        <w:tc>
          <w:tcPr>
            <w:tcW w:w="3900" w:type="dxa"/>
            <w:vAlign w:val="bottom"/>
            <w:tcBorders>
              <w:bottom w:val="single" w:sz="8" w:color="00000A"/>
              <w:right w:val="single" w:sz="8" w:color="00000A"/>
            </w:tcBorders>
            <w:shd w:val="clear" w:color="auto" w:fill="BFBFBF"/>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2006 63965134</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11/14/2006</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2011 3433573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9/7/2011</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2011 3434159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9/7/2011</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Modern Leasing Inc. of Iowa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0059736</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1/6/2011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Sulzer Metco</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1184830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3/31/2011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Raymond Leasing</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3672822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Corporation</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9/20/2013</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18"/>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spacing w:after="0"/>
              <w:rPr>
                <w:sz w:val="18"/>
                <w:szCs w:val="18"/>
                <w:color w:val="auto"/>
              </w:rPr>
            </w:pPr>
          </w:p>
        </w:tc>
      </w:tr>
    </w:tbl>
    <w:p>
      <w:pPr>
        <w:sectPr>
          <w:pgSz w:w="11900" w:h="16900" w:orient="portrait"/>
          <w:cols w:equalWidth="0" w:num="1">
            <w:col w:w="11445"/>
          </w:cols>
          <w:pgMar w:left="235" w:top="703" w:right="219" w:bottom="0" w:gutter="0" w:footer="0" w:header="0"/>
        </w:sectPr>
      </w:pPr>
    </w:p>
    <w:bookmarkStart w:id="95" w:name="page96"/>
    <w:bookmarkEnd w:id="95"/>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1719037</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4/22/2015</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Company,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NY</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Modern Leasing Inc. of Iowa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03305365673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3/30/2012</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Bruckner Supply Co.</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NY</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Modern Leasing Inc. of Iowa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07315817472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7/31/2013</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58"/>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Communications Supply Corporation</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CT</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Citibank,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0002333959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6/7/2005</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0002742928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3/25/2010</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0003045508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3/26/2015</w:t>
            </w:r>
          </w:p>
        </w:tc>
      </w:tr>
      <w:tr>
        <w:trPr>
          <w:trHeight w:val="93"/>
        </w:trPr>
        <w:tc>
          <w:tcPr>
            <w:tcW w:w="3220" w:type="dxa"/>
            <w:vAlign w:val="bottom"/>
            <w:tcBorders>
              <w:left w:val="single" w:sz="8" w:color="00000A"/>
              <w:bottom w:val="single" w:sz="8" w:color="auto"/>
              <w:right w:val="single" w:sz="8" w:color="00000A"/>
            </w:tcBorders>
          </w:tcPr>
          <w:p>
            <w:pPr>
              <w:spacing w:after="0"/>
              <w:rPr>
                <w:sz w:val="8"/>
                <w:szCs w:val="8"/>
                <w:color w:val="auto"/>
              </w:rPr>
            </w:pPr>
          </w:p>
        </w:tc>
        <w:tc>
          <w:tcPr>
            <w:tcW w:w="700" w:type="dxa"/>
            <w:vAlign w:val="bottom"/>
            <w:tcBorders>
              <w:bottom w:val="single" w:sz="8" w:color="auto"/>
              <w:right w:val="single" w:sz="8" w:color="00000A"/>
            </w:tcBorders>
          </w:tcPr>
          <w:p>
            <w:pPr>
              <w:spacing w:after="0"/>
              <w:rPr>
                <w:sz w:val="8"/>
                <w:szCs w:val="8"/>
                <w:color w:val="auto"/>
              </w:rPr>
            </w:pPr>
          </w:p>
        </w:tc>
        <w:tc>
          <w:tcPr>
            <w:tcW w:w="1600" w:type="dxa"/>
            <w:vAlign w:val="bottom"/>
            <w:tcBorders>
              <w:bottom w:val="single" w:sz="8" w:color="auto"/>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auto"/>
              <w:right w:val="single" w:sz="8" w:color="00000A"/>
            </w:tcBorders>
          </w:tcPr>
          <w:p>
            <w:pPr>
              <w:spacing w:after="0"/>
              <w:rPr>
                <w:sz w:val="8"/>
                <w:szCs w:val="8"/>
                <w:color w:val="auto"/>
              </w:rPr>
            </w:pPr>
          </w:p>
        </w:tc>
      </w:tr>
      <w:tr>
        <w:trPr>
          <w:trHeight w:val="282"/>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Communications Supply Corporation</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CT</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0002880570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6/7/2012</w:t>
            </w:r>
          </w:p>
        </w:tc>
      </w:tr>
      <w:tr>
        <w:trPr>
          <w:trHeight w:val="93"/>
        </w:trPr>
        <w:tc>
          <w:tcPr>
            <w:tcW w:w="3220" w:type="dxa"/>
            <w:vAlign w:val="bottom"/>
            <w:tcBorders>
              <w:left w:val="single" w:sz="8" w:color="00000A"/>
              <w:bottom w:val="single" w:sz="8" w:color="auto"/>
              <w:right w:val="single" w:sz="8" w:color="00000A"/>
            </w:tcBorders>
          </w:tcPr>
          <w:p>
            <w:pPr>
              <w:spacing w:after="0"/>
              <w:rPr>
                <w:sz w:val="8"/>
                <w:szCs w:val="8"/>
                <w:color w:val="auto"/>
              </w:rPr>
            </w:pPr>
          </w:p>
        </w:tc>
        <w:tc>
          <w:tcPr>
            <w:tcW w:w="700" w:type="dxa"/>
            <w:vAlign w:val="bottom"/>
            <w:tcBorders>
              <w:bottom w:val="single" w:sz="8" w:color="auto"/>
              <w:right w:val="single" w:sz="8" w:color="00000A"/>
            </w:tcBorders>
          </w:tcPr>
          <w:p>
            <w:pPr>
              <w:spacing w:after="0"/>
              <w:rPr>
                <w:sz w:val="8"/>
                <w:szCs w:val="8"/>
                <w:color w:val="auto"/>
              </w:rPr>
            </w:pPr>
          </w:p>
        </w:tc>
        <w:tc>
          <w:tcPr>
            <w:tcW w:w="1600" w:type="dxa"/>
            <w:vAlign w:val="bottom"/>
            <w:tcBorders>
              <w:bottom w:val="single" w:sz="8" w:color="auto"/>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auto"/>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Hill Country Electric Supply, L.P.</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TX</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13-0022322904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7/15/2013</w:t>
            </w:r>
          </w:p>
        </w:tc>
      </w:tr>
      <w:tr>
        <w:trPr>
          <w:trHeight w:val="141"/>
        </w:trPr>
        <w:tc>
          <w:tcPr>
            <w:tcW w:w="3220" w:type="dxa"/>
            <w:vAlign w:val="bottom"/>
            <w:tcBorders>
              <w:left w:val="single" w:sz="8" w:color="00000A"/>
              <w:bottom w:val="single" w:sz="8" w:color="auto"/>
              <w:right w:val="single" w:sz="8" w:color="00000A"/>
            </w:tcBorders>
          </w:tcPr>
          <w:p>
            <w:pPr>
              <w:spacing w:after="0"/>
              <w:rPr>
                <w:sz w:val="12"/>
                <w:szCs w:val="12"/>
                <w:color w:val="auto"/>
              </w:rPr>
            </w:pPr>
          </w:p>
        </w:tc>
        <w:tc>
          <w:tcPr>
            <w:tcW w:w="700" w:type="dxa"/>
            <w:vAlign w:val="bottom"/>
            <w:tcBorders>
              <w:bottom w:val="single" w:sz="8" w:color="auto"/>
              <w:right w:val="single" w:sz="8" w:color="00000A"/>
            </w:tcBorders>
          </w:tcPr>
          <w:p>
            <w:pPr>
              <w:spacing w:after="0"/>
              <w:rPr>
                <w:sz w:val="12"/>
                <w:szCs w:val="12"/>
                <w:color w:val="auto"/>
              </w:rPr>
            </w:pPr>
          </w:p>
        </w:tc>
        <w:tc>
          <w:tcPr>
            <w:tcW w:w="1600" w:type="dxa"/>
            <w:vAlign w:val="bottom"/>
            <w:tcBorders>
              <w:bottom w:val="single" w:sz="8" w:color="auto"/>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auto"/>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2005 4023363</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12/27/2005</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2010 3716929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10/22/2010</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2010 3717018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10/22/2010</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2015 3284550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7/29/2015</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2015 3302295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7/30/2015</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2006 2579167</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7/26/2006</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2011 2202235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6/9/2011</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2011 2202243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6/9/2011</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2006 3985090</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11/15/2006</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2011 3413583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9/2/2011</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2011 3413575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9/2/2011</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2007 1453744</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4/18/2007</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2012 0518383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2/9/2012</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2012 0518391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2/9/2012</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2012 0519373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2/9/2012</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2007 4529284</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11/30/2007</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2012 3564210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9/15/2012</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2012 3564228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09/15/2012</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2008 1756517</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5/21/2008</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2013 1336925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4/8/2013</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2013 1336941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4/8/2013</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2008 2838397</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8/20/2008</w:t>
            </w:r>
          </w:p>
        </w:tc>
      </w:tr>
      <w:tr>
        <w:trPr>
          <w:trHeight w:val="117"/>
        </w:trPr>
        <w:tc>
          <w:tcPr>
            <w:tcW w:w="3220" w:type="dxa"/>
            <w:vAlign w:val="bottom"/>
            <w:tcBorders>
              <w:left w:val="single" w:sz="8" w:color="00000A"/>
              <w:right w:val="single" w:sz="8" w:color="00000A"/>
            </w:tcBorders>
          </w:tcPr>
          <w:p>
            <w:pPr>
              <w:spacing w:after="0"/>
              <w:rPr>
                <w:sz w:val="10"/>
                <w:szCs w:val="10"/>
                <w:color w:val="auto"/>
              </w:rPr>
            </w:pPr>
          </w:p>
        </w:tc>
        <w:tc>
          <w:tcPr>
            <w:tcW w:w="700" w:type="dxa"/>
            <w:vAlign w:val="bottom"/>
            <w:tcBorders>
              <w:right w:val="single" w:sz="8" w:color="00000A"/>
            </w:tcBorders>
          </w:tcPr>
          <w:p>
            <w:pPr>
              <w:spacing w:after="0"/>
              <w:rPr>
                <w:sz w:val="10"/>
                <w:szCs w:val="10"/>
                <w:color w:val="auto"/>
              </w:rPr>
            </w:pPr>
          </w:p>
        </w:tc>
        <w:tc>
          <w:tcPr>
            <w:tcW w:w="1600" w:type="dxa"/>
            <w:vAlign w:val="bottom"/>
            <w:tcBorders>
              <w:right w:val="single" w:sz="8" w:color="00000A"/>
            </w:tcBorders>
          </w:tcPr>
          <w:p>
            <w:pPr>
              <w:spacing w:after="0"/>
              <w:rPr>
                <w:sz w:val="10"/>
                <w:szCs w:val="10"/>
                <w:color w:val="auto"/>
              </w:rPr>
            </w:pPr>
          </w:p>
        </w:tc>
        <w:tc>
          <w:tcPr>
            <w:tcW w:w="2040" w:type="dxa"/>
            <w:vAlign w:val="bottom"/>
            <w:tcBorders>
              <w:right w:val="single" w:sz="8" w:color="00000A"/>
            </w:tcBorders>
          </w:tcPr>
          <w:p>
            <w:pPr>
              <w:spacing w:after="0"/>
              <w:rPr>
                <w:sz w:val="10"/>
                <w:szCs w:val="10"/>
                <w:color w:val="auto"/>
              </w:rPr>
            </w:pPr>
          </w:p>
        </w:tc>
        <w:tc>
          <w:tcPr>
            <w:tcW w:w="3900" w:type="dxa"/>
            <w:vAlign w:val="bottom"/>
            <w:tcBorders>
              <w:right w:val="single" w:sz="8" w:color="00000A"/>
            </w:tcBorders>
          </w:tcPr>
          <w:p>
            <w:pPr>
              <w:spacing w:after="0"/>
              <w:rPr>
                <w:sz w:val="10"/>
                <w:szCs w:val="10"/>
                <w:color w:val="auto"/>
              </w:rPr>
            </w:pPr>
          </w:p>
        </w:tc>
      </w:tr>
    </w:tbl>
    <w:p>
      <w:pPr>
        <w:sectPr>
          <w:pgSz w:w="11900" w:h="16900" w:orient="portrait"/>
          <w:cols w:equalWidth="0" w:num="1">
            <w:col w:w="11440"/>
          </w:cols>
          <w:pgMar w:left="240" w:top="115" w:right="219" w:bottom="0" w:gutter="0" w:footer="0" w:header="0"/>
        </w:sectPr>
      </w:pPr>
    </w:p>
    <w:bookmarkStart w:id="96" w:name="page97"/>
    <w:bookmarkEnd w:id="96"/>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220" w:type="dxa"/>
            <w:vAlign w:val="bottom"/>
            <w:tcBorders>
              <w:left w:val="single" w:sz="8" w:color="00000A"/>
              <w:right w:val="single" w:sz="8" w:color="00000A"/>
            </w:tcBorders>
          </w:tcPr>
          <w:p>
            <w:pPr>
              <w:spacing w:after="0"/>
              <w:rPr>
                <w:sz w:val="21"/>
                <w:szCs w:val="21"/>
                <w:color w:val="auto"/>
              </w:rPr>
            </w:pPr>
          </w:p>
        </w:tc>
        <w:tc>
          <w:tcPr>
            <w:tcW w:w="700" w:type="dxa"/>
            <w:vAlign w:val="bottom"/>
            <w:tcBorders>
              <w:right w:val="single" w:sz="8" w:color="00000A"/>
            </w:tcBorders>
          </w:tcPr>
          <w:p>
            <w:pPr>
              <w:spacing w:after="0"/>
              <w:rPr>
                <w:sz w:val="21"/>
                <w:szCs w:val="21"/>
                <w:color w:val="auto"/>
              </w:rPr>
            </w:pPr>
          </w:p>
        </w:tc>
        <w:tc>
          <w:tcPr>
            <w:tcW w:w="1600" w:type="dxa"/>
            <w:vAlign w:val="bottom"/>
            <w:tcBorders>
              <w:right w:val="single" w:sz="8" w:color="00000A"/>
            </w:tcBorders>
          </w:tcPr>
          <w:p>
            <w:pPr>
              <w:spacing w:after="0"/>
              <w:rPr>
                <w:sz w:val="21"/>
                <w:szCs w:val="21"/>
                <w:color w:val="auto"/>
              </w:rPr>
            </w:pPr>
          </w:p>
        </w:tc>
        <w:tc>
          <w:tcPr>
            <w:tcW w:w="2040" w:type="dxa"/>
            <w:vAlign w:val="bottom"/>
            <w:tcBorders>
              <w:right w:val="single" w:sz="8" w:color="00000A"/>
            </w:tcBorders>
          </w:tcPr>
          <w:p>
            <w:pPr>
              <w:spacing w:after="0"/>
              <w:rPr>
                <w:sz w:val="21"/>
                <w:szCs w:val="21"/>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2013 3097285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8/7/2013</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2008 2906046</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8/26/2008</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2013 3223915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8/16/2013</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2008 2929717</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8/28/2008</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2013 3248466</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8/19/2013</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2008 2988978</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9/4/2008</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2013 3303972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8/23/2013</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United States Steel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2009 4010754</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Corporation</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12/15/2009</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2014 4653119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11/18/2014</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3432543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3433269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58"/>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3433285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2014 0832048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3/4/2014</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3434036</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3434044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3434069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3434085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3814070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4191734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4569665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12/23/2010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4569699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12/23/2010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2010 4656033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12/31/2010</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0318751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1/27/2011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0339799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1/28/2011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0386360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2/2/2011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0438773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2/7/2011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0547342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2/15/2011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0689797</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2/24/2011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123"/>
        </w:trPr>
        <w:tc>
          <w:tcPr>
            <w:tcW w:w="3220" w:type="dxa"/>
            <w:vAlign w:val="bottom"/>
            <w:tcBorders>
              <w:left w:val="single" w:sz="8" w:color="00000A"/>
              <w:right w:val="single" w:sz="8" w:color="00000A"/>
            </w:tcBorders>
          </w:tcPr>
          <w:p>
            <w:pPr>
              <w:spacing w:after="0"/>
              <w:rPr>
                <w:sz w:val="10"/>
                <w:szCs w:val="10"/>
                <w:color w:val="auto"/>
              </w:rPr>
            </w:pPr>
          </w:p>
        </w:tc>
        <w:tc>
          <w:tcPr>
            <w:tcW w:w="700" w:type="dxa"/>
            <w:vAlign w:val="bottom"/>
            <w:tcBorders>
              <w:right w:val="single" w:sz="8" w:color="00000A"/>
            </w:tcBorders>
          </w:tcPr>
          <w:p>
            <w:pPr>
              <w:spacing w:after="0"/>
              <w:rPr>
                <w:sz w:val="10"/>
                <w:szCs w:val="10"/>
                <w:color w:val="auto"/>
              </w:rPr>
            </w:pPr>
          </w:p>
        </w:tc>
        <w:tc>
          <w:tcPr>
            <w:tcW w:w="1600" w:type="dxa"/>
            <w:vAlign w:val="bottom"/>
            <w:tcBorders>
              <w:right w:val="single" w:sz="8" w:color="00000A"/>
            </w:tcBorders>
          </w:tcPr>
          <w:p>
            <w:pPr>
              <w:spacing w:after="0"/>
              <w:rPr>
                <w:sz w:val="10"/>
                <w:szCs w:val="10"/>
                <w:color w:val="auto"/>
              </w:rPr>
            </w:pPr>
          </w:p>
        </w:tc>
        <w:tc>
          <w:tcPr>
            <w:tcW w:w="2040" w:type="dxa"/>
            <w:vAlign w:val="bottom"/>
            <w:tcBorders>
              <w:right w:val="single" w:sz="8" w:color="00000A"/>
            </w:tcBorders>
          </w:tcPr>
          <w:p>
            <w:pPr>
              <w:spacing w:after="0"/>
              <w:rPr>
                <w:sz w:val="10"/>
                <w:szCs w:val="10"/>
                <w:color w:val="auto"/>
              </w:rPr>
            </w:pPr>
          </w:p>
        </w:tc>
        <w:tc>
          <w:tcPr>
            <w:tcW w:w="3900" w:type="dxa"/>
            <w:vAlign w:val="bottom"/>
            <w:tcBorders>
              <w:right w:val="single" w:sz="8" w:color="00000A"/>
            </w:tcBorders>
          </w:tcPr>
          <w:p>
            <w:pPr>
              <w:spacing w:after="0"/>
              <w:rPr>
                <w:sz w:val="10"/>
                <w:szCs w:val="10"/>
                <w:color w:val="auto"/>
              </w:rPr>
            </w:pPr>
          </w:p>
        </w:tc>
      </w:tr>
    </w:tbl>
    <w:p>
      <w:pPr>
        <w:sectPr>
          <w:pgSz w:w="11900" w:h="16900" w:orient="portrait"/>
          <w:cols w:equalWidth="0" w:num="1">
            <w:col w:w="11440"/>
          </w:cols>
          <w:pgMar w:left="240" w:top="140" w:right="219" w:bottom="0" w:gutter="0" w:footer="0" w:header="0"/>
        </w:sectPr>
      </w:pPr>
    </w:p>
    <w:bookmarkStart w:id="97" w:name="page98"/>
    <w:bookmarkEnd w:id="9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0690621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2/24/2011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0774458</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0774466</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0916711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3/11/2011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1007882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3/18/2011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1029720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1111577</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3/25/2011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1187676</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3/31/2011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1188559</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3/31/2011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1214991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1215444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1227605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4/4/2011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1232381</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4/4/2011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1602062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4/28/2011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1644635</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5/3/2011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2324690</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6/17/2011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2542564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2542572</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7/1/2011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2766023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7/19/2011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Comdoc,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3000323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8/3/2011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4661883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12/6/2011</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Toyota Motor Credit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1887977</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Corporation</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4/27/2012</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Assignor: C&amp;D Factory</w:t>
            </w:r>
          </w:p>
        </w:tc>
        <w:tc>
          <w:tcPr>
            <w:tcW w:w="3900" w:type="dxa"/>
            <w:vAlign w:val="bottom"/>
            <w:tcBorders>
              <w:right w:val="single" w:sz="8" w:color="00000A"/>
            </w:tcBorders>
          </w:tcPr>
          <w:p>
            <w:pPr>
              <w:spacing w:after="0"/>
              <w:rPr>
                <w:sz w:val="24"/>
                <w:szCs w:val="24"/>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Direct, Inc.</w:t>
            </w:r>
          </w:p>
        </w:tc>
        <w:tc>
          <w:tcPr>
            <w:tcW w:w="3900" w:type="dxa"/>
            <w:vAlign w:val="bottom"/>
            <w:tcBorders>
              <w:right w:val="single" w:sz="8" w:color="00000A"/>
            </w:tcBorders>
          </w:tcPr>
          <w:p>
            <w:pPr>
              <w:spacing w:after="0"/>
              <w:rPr>
                <w:sz w:val="18"/>
                <w:szCs w:val="18"/>
                <w:color w:val="auto"/>
              </w:rPr>
            </w:pP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Orbian Financial Services II,</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1948365</w:t>
            </w: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5/21/2012</w:t>
            </w: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2015 2300787</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6/1/2015</w:t>
            </w: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De Lage Landen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2518613</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6/29/2012</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2821074</w:t>
            </w: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7/23/2012</w:t>
            </w: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2012 5053261</w:t>
            </w:r>
          </w:p>
        </w:tc>
      </w:tr>
      <w:tr>
        <w:trPr>
          <w:trHeight w:val="198"/>
        </w:trPr>
        <w:tc>
          <w:tcPr>
            <w:tcW w:w="3220" w:type="dxa"/>
            <w:vAlign w:val="bottom"/>
            <w:tcBorders>
              <w:left w:val="single" w:sz="8" w:color="00000A"/>
              <w:right w:val="single" w:sz="8" w:color="00000A"/>
            </w:tcBorders>
          </w:tcPr>
          <w:p>
            <w:pPr>
              <w:spacing w:after="0"/>
              <w:rPr>
                <w:sz w:val="17"/>
                <w:szCs w:val="17"/>
                <w:color w:val="auto"/>
              </w:rPr>
            </w:pPr>
          </w:p>
        </w:tc>
        <w:tc>
          <w:tcPr>
            <w:tcW w:w="700" w:type="dxa"/>
            <w:vAlign w:val="bottom"/>
            <w:tcBorders>
              <w:right w:val="single" w:sz="8" w:color="00000A"/>
            </w:tcBorders>
          </w:tcPr>
          <w:p>
            <w:pPr>
              <w:spacing w:after="0"/>
              <w:rPr>
                <w:sz w:val="17"/>
                <w:szCs w:val="17"/>
                <w:color w:val="auto"/>
              </w:rPr>
            </w:pPr>
          </w:p>
        </w:tc>
        <w:tc>
          <w:tcPr>
            <w:tcW w:w="1600" w:type="dxa"/>
            <w:vAlign w:val="bottom"/>
            <w:tcBorders>
              <w:right w:val="single" w:sz="8" w:color="00000A"/>
            </w:tcBorders>
          </w:tcPr>
          <w:p>
            <w:pPr>
              <w:spacing w:after="0"/>
              <w:rPr>
                <w:sz w:val="17"/>
                <w:szCs w:val="17"/>
                <w:color w:val="auto"/>
              </w:rPr>
            </w:pPr>
          </w:p>
        </w:tc>
        <w:tc>
          <w:tcPr>
            <w:tcW w:w="2040" w:type="dxa"/>
            <w:vAlign w:val="bottom"/>
            <w:tcBorders>
              <w:right w:val="single" w:sz="8" w:color="00000A"/>
            </w:tcBorders>
          </w:tcPr>
          <w:p>
            <w:pPr>
              <w:spacing w:after="0"/>
              <w:rPr>
                <w:sz w:val="17"/>
                <w:szCs w:val="17"/>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12/27/2012</w:t>
            </w:r>
          </w:p>
        </w:tc>
      </w:tr>
    </w:tbl>
    <w:p>
      <w:pPr>
        <w:sectPr>
          <w:pgSz w:w="11900" w:h="16900" w:orient="portrait"/>
          <w:cols w:equalWidth="0" w:num="1">
            <w:col w:w="11440"/>
          </w:cols>
          <w:pgMar w:left="240" w:top="115" w:right="219" w:bottom="0" w:gutter="0" w:footer="0" w:header="0"/>
        </w:sectPr>
      </w:pPr>
    </w:p>
    <w:bookmarkStart w:id="98" w:name="page99"/>
    <w:bookmarkEnd w:id="9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0077405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1/7/2013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0077462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1/7/2013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0505587</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2/7/2013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1238212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4/1/2013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De Lage Landen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2536184</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7/1/2013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4071503</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10/16/2013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4473279</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11/13/2013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4713989</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12/2/2013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0082057</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1/8/2014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0195966</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1/15/2014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0485029</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2/6/2014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1284249</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4/1/2014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IBM Credit LLC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1321710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4/3/2014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1692607</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4/30/2014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Cameron Technology</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1999663</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Investors II LP</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5/16/2014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2507515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6/25/2014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6"/>
              </w:rPr>
              <w:t>Amended: WESCO Distribution Canada LP</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Citibank, N.A., its Branches,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2631232</w:t>
            </w:r>
          </w:p>
        </w:tc>
        <w:tc>
          <w:tcPr>
            <w:tcW w:w="0" w:type="dxa"/>
            <w:vAlign w:val="bottom"/>
          </w:tcPr>
          <w:p>
            <w:pPr>
              <w:spacing w:after="0"/>
              <w:rPr>
                <w:sz w:val="1"/>
                <w:szCs w:val="1"/>
                <w:color w:val="auto"/>
              </w:rPr>
            </w:pPr>
          </w:p>
        </w:tc>
      </w:tr>
      <w:tr>
        <w:trPr>
          <w:trHeight w:val="217"/>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Subsidiaries and Affiliates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7/2/2014</w:t>
            </w:r>
          </w:p>
        </w:tc>
        <w:tc>
          <w:tcPr>
            <w:tcW w:w="0" w:type="dxa"/>
            <w:vAlign w:val="bottom"/>
          </w:tcPr>
          <w:p>
            <w:pPr>
              <w:spacing w:after="0"/>
              <w:rPr>
                <w:sz w:val="1"/>
                <w:szCs w:val="1"/>
                <w:color w:val="auto"/>
              </w:rPr>
            </w:pPr>
          </w:p>
        </w:tc>
      </w:tr>
      <w:tr>
        <w:trPr>
          <w:trHeight w:val="21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Original: WESCO Distribution, Inc.</w:t>
            </w: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Amendment: 2015 0277953</w:t>
            </w:r>
          </w:p>
        </w:tc>
        <w:tc>
          <w:tcPr>
            <w:tcW w:w="0" w:type="dxa"/>
            <w:vAlign w:val="bottom"/>
          </w:tcPr>
          <w:p>
            <w:pPr>
              <w:spacing w:after="0"/>
              <w:rPr>
                <w:sz w:val="1"/>
                <w:szCs w:val="1"/>
                <w:color w:val="auto"/>
              </w:rPr>
            </w:pPr>
          </w:p>
        </w:tc>
      </w:tr>
      <w:tr>
        <w:trPr>
          <w:trHeight w:val="97"/>
        </w:trPr>
        <w:tc>
          <w:tcPr>
            <w:tcW w:w="3220" w:type="dxa"/>
            <w:vAlign w:val="bottom"/>
            <w:tcBorders>
              <w:left w:val="single" w:sz="8" w:color="00000A"/>
              <w:right w:val="single" w:sz="8" w:color="00000A"/>
            </w:tcBorders>
          </w:tcPr>
          <w:p>
            <w:pPr>
              <w:spacing w:after="0"/>
              <w:rPr>
                <w:sz w:val="8"/>
                <w:szCs w:val="8"/>
                <w:color w:val="auto"/>
              </w:rPr>
            </w:pPr>
          </w:p>
        </w:tc>
        <w:tc>
          <w:tcPr>
            <w:tcW w:w="700" w:type="dxa"/>
            <w:vAlign w:val="bottom"/>
            <w:tcBorders>
              <w:right w:val="single" w:sz="8" w:color="00000A"/>
            </w:tcBorders>
          </w:tcPr>
          <w:p>
            <w:pPr>
              <w:spacing w:after="0"/>
              <w:rPr>
                <w:sz w:val="8"/>
                <w:szCs w:val="8"/>
                <w:color w:val="auto"/>
              </w:rPr>
            </w:pPr>
          </w:p>
        </w:tc>
        <w:tc>
          <w:tcPr>
            <w:tcW w:w="1600" w:type="dxa"/>
            <w:vAlign w:val="bottom"/>
            <w:tcBorders>
              <w:right w:val="single" w:sz="8" w:color="00000A"/>
            </w:tcBorders>
          </w:tcPr>
          <w:p>
            <w:pPr>
              <w:spacing w:after="0"/>
              <w:rPr>
                <w:sz w:val="8"/>
                <w:szCs w:val="8"/>
                <w:color w:val="auto"/>
              </w:rPr>
            </w:pPr>
          </w:p>
        </w:tc>
        <w:tc>
          <w:tcPr>
            <w:tcW w:w="2040" w:type="dxa"/>
            <w:vAlign w:val="bottom"/>
            <w:tcBorders>
              <w:right w:val="single" w:sz="8" w:color="00000A"/>
            </w:tcBorders>
          </w:tcPr>
          <w:p>
            <w:pPr>
              <w:spacing w:after="0"/>
              <w:rPr>
                <w:sz w:val="8"/>
                <w:szCs w:val="8"/>
                <w:color w:val="auto"/>
              </w:rPr>
            </w:pPr>
          </w:p>
        </w:tc>
        <w:tc>
          <w:tcPr>
            <w:tcW w:w="390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1/13/2015</w:t>
            </w:r>
          </w:p>
        </w:tc>
        <w:tc>
          <w:tcPr>
            <w:tcW w:w="0" w:type="dxa"/>
            <w:vAlign w:val="bottom"/>
          </w:tcPr>
          <w:p>
            <w:pPr>
              <w:spacing w:after="0"/>
              <w:rPr>
                <w:sz w:val="1"/>
                <w:szCs w:val="1"/>
                <w:color w:val="auto"/>
              </w:rPr>
            </w:pP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3355286</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8/20/2014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3722238</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9/17/2014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4153896</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10/15/2014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Wells Fargo Bank, N.A.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4154522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10/15/2014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New Equipment Leasing,</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4587994</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11/13/2014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New Equipment Leasing,</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4590865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11/13/2014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5033402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12/11/2014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New Equipment Leasing,</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2014 5138342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12/17/2014</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0269216</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220" w:type="dxa"/>
            <w:vAlign w:val="bottom"/>
            <w:tcBorders>
              <w:left w:val="single" w:sz="8" w:color="00000A"/>
              <w:right w:val="single" w:sz="8" w:color="00000A"/>
            </w:tcBorders>
          </w:tcPr>
          <w:p>
            <w:pPr>
              <w:spacing w:after="0"/>
              <w:rPr>
                <w:sz w:val="8"/>
                <w:szCs w:val="8"/>
                <w:color w:val="auto"/>
              </w:rPr>
            </w:pPr>
          </w:p>
        </w:tc>
        <w:tc>
          <w:tcPr>
            <w:tcW w:w="700" w:type="dxa"/>
            <w:vAlign w:val="bottom"/>
            <w:tcBorders>
              <w:right w:val="single" w:sz="8" w:color="00000A"/>
            </w:tcBorders>
          </w:tcPr>
          <w:p>
            <w:pPr>
              <w:spacing w:after="0"/>
              <w:rPr>
                <w:sz w:val="8"/>
                <w:szCs w:val="8"/>
                <w:color w:val="auto"/>
              </w:rPr>
            </w:pPr>
          </w:p>
        </w:tc>
        <w:tc>
          <w:tcPr>
            <w:tcW w:w="1600" w:type="dxa"/>
            <w:vAlign w:val="bottom"/>
            <w:tcBorders>
              <w:right w:val="single" w:sz="8" w:color="00000A"/>
            </w:tcBorders>
          </w:tcPr>
          <w:p>
            <w:pPr>
              <w:spacing w:after="0"/>
              <w:rPr>
                <w:sz w:val="8"/>
                <w:szCs w:val="8"/>
                <w:color w:val="auto"/>
              </w:rPr>
            </w:pPr>
          </w:p>
        </w:tc>
        <w:tc>
          <w:tcPr>
            <w:tcW w:w="2040" w:type="dxa"/>
            <w:vAlign w:val="bottom"/>
            <w:tcBorders>
              <w:right w:val="single" w:sz="8" w:color="00000A"/>
            </w:tcBorders>
          </w:tcPr>
          <w:p>
            <w:pPr>
              <w:spacing w:after="0"/>
              <w:rPr>
                <w:sz w:val="8"/>
                <w:szCs w:val="8"/>
                <w:color w:val="auto"/>
              </w:rPr>
            </w:pPr>
          </w:p>
        </w:tc>
        <w:tc>
          <w:tcPr>
            <w:tcW w:w="390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40" w:right="219" w:bottom="0" w:gutter="0" w:footer="0" w:header="0"/>
        </w:sectPr>
      </w:pPr>
    </w:p>
    <w:bookmarkStart w:id="99" w:name="page100"/>
    <w:bookmarkEnd w:id="9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Bank of the West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0826247</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2/27/2015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0921295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3/5/2015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Bank of the West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1105450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3/16/2015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Bank of the West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1767127</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4/24/2015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2082625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5/14/2015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2271368</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5/28/2015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Assigned: Key Equipment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2409067</w:t>
            </w:r>
          </w:p>
        </w:tc>
        <w:tc>
          <w:tcPr>
            <w:tcW w:w="0" w:type="dxa"/>
            <w:vAlign w:val="bottom"/>
          </w:tcPr>
          <w:p>
            <w:pPr>
              <w:spacing w:after="0"/>
              <w:rPr>
                <w:sz w:val="1"/>
                <w:szCs w:val="1"/>
                <w:color w:val="auto"/>
              </w:rPr>
            </w:pPr>
          </w:p>
        </w:tc>
      </w:tr>
      <w:tr>
        <w:trPr>
          <w:trHeight w:val="191"/>
        </w:trPr>
        <w:tc>
          <w:tcPr>
            <w:tcW w:w="3220" w:type="dxa"/>
            <w:vAlign w:val="bottom"/>
            <w:tcBorders>
              <w:left w:val="single" w:sz="8" w:color="00000A"/>
              <w:right w:val="single" w:sz="8" w:color="00000A"/>
            </w:tcBorders>
          </w:tcPr>
          <w:p>
            <w:pPr>
              <w:spacing w:after="0"/>
              <w:rPr>
                <w:sz w:val="16"/>
                <w:szCs w:val="16"/>
                <w:color w:val="auto"/>
              </w:rPr>
            </w:pPr>
          </w:p>
        </w:tc>
        <w:tc>
          <w:tcPr>
            <w:tcW w:w="700" w:type="dxa"/>
            <w:vAlign w:val="bottom"/>
            <w:tcBorders>
              <w:right w:val="single" w:sz="8" w:color="00000A"/>
            </w:tcBorders>
          </w:tcPr>
          <w:p>
            <w:pPr>
              <w:spacing w:after="0"/>
              <w:rPr>
                <w:sz w:val="16"/>
                <w:szCs w:val="16"/>
                <w:color w:val="auto"/>
              </w:rPr>
            </w:pPr>
          </w:p>
        </w:tc>
        <w:tc>
          <w:tcPr>
            <w:tcW w:w="1600" w:type="dxa"/>
            <w:vAlign w:val="bottom"/>
            <w:tcBorders>
              <w:right w:val="single" w:sz="8" w:color="00000A"/>
            </w:tcBorders>
          </w:tcPr>
          <w:p>
            <w:pPr>
              <w:spacing w:after="0"/>
              <w:rPr>
                <w:sz w:val="16"/>
                <w:szCs w:val="16"/>
                <w:color w:val="auto"/>
              </w:rPr>
            </w:pPr>
          </w:p>
        </w:tc>
        <w:tc>
          <w:tcPr>
            <w:tcW w:w="2040" w:type="dxa"/>
            <w:vAlign w:val="bottom"/>
            <w:tcBorders>
              <w:right w:val="single" w:sz="8" w:color="00000A"/>
            </w:tcBorders>
          </w:tcPr>
          <w:p>
            <w:pPr>
              <w:ind w:left="20"/>
              <w:spacing w:after="0" w:line="191" w:lineRule="exact"/>
              <w:rPr>
                <w:sz w:val="20"/>
                <w:szCs w:val="20"/>
                <w:color w:val="auto"/>
              </w:rPr>
            </w:pPr>
            <w:r>
              <w:rPr>
                <w:rFonts w:ascii="Arial" w:cs="Arial" w:eastAsia="Arial" w:hAnsi="Arial"/>
                <w:sz w:val="17"/>
                <w:szCs w:val="17"/>
                <w:color w:val="auto"/>
              </w:rPr>
              <w:t>Finance, a Division of</w:t>
            </w:r>
          </w:p>
        </w:tc>
        <w:tc>
          <w:tcPr>
            <w:tcW w:w="3900" w:type="dxa"/>
            <w:vAlign w:val="bottom"/>
            <w:tcBorders>
              <w:right w:val="single" w:sz="8" w:color="00000A"/>
            </w:tcBorders>
          </w:tcPr>
          <w:p>
            <w:pPr>
              <w:ind w:left="20"/>
              <w:spacing w:after="0" w:line="191" w:lineRule="exact"/>
              <w:rPr>
                <w:sz w:val="20"/>
                <w:szCs w:val="20"/>
                <w:color w:val="auto"/>
              </w:rPr>
            </w:pPr>
            <w:r>
              <w:rPr>
                <w:rFonts w:ascii="Arial" w:cs="Arial" w:eastAsia="Arial" w:hAnsi="Arial"/>
                <w:sz w:val="17"/>
                <w:szCs w:val="17"/>
                <w:color w:val="auto"/>
              </w:rPr>
              <w:t>File Date: 6/5/2015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Keybank NA</w:t>
            </w: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Assignment: 2015 3334157</w:t>
            </w:r>
          </w:p>
        </w:tc>
        <w:tc>
          <w:tcPr>
            <w:tcW w:w="0" w:type="dxa"/>
            <w:vAlign w:val="bottom"/>
          </w:tcPr>
          <w:p>
            <w:pPr>
              <w:spacing w:after="0"/>
              <w:rPr>
                <w:sz w:val="1"/>
                <w:szCs w:val="1"/>
                <w:color w:val="auto"/>
              </w:rPr>
            </w:pPr>
          </w:p>
        </w:tc>
      </w:tr>
      <w:tr>
        <w:trPr>
          <w:trHeight w:val="121"/>
        </w:trPr>
        <w:tc>
          <w:tcPr>
            <w:tcW w:w="3220" w:type="dxa"/>
            <w:vAlign w:val="bottom"/>
            <w:tcBorders>
              <w:left w:val="single" w:sz="8" w:color="00000A"/>
              <w:right w:val="single" w:sz="8" w:color="00000A"/>
            </w:tcBorders>
          </w:tcPr>
          <w:p>
            <w:pPr>
              <w:spacing w:after="0"/>
              <w:rPr>
                <w:sz w:val="10"/>
                <w:szCs w:val="10"/>
                <w:color w:val="auto"/>
              </w:rPr>
            </w:pPr>
          </w:p>
        </w:tc>
        <w:tc>
          <w:tcPr>
            <w:tcW w:w="700" w:type="dxa"/>
            <w:vAlign w:val="bottom"/>
            <w:tcBorders>
              <w:right w:val="single" w:sz="8" w:color="00000A"/>
            </w:tcBorders>
          </w:tcPr>
          <w:p>
            <w:pPr>
              <w:spacing w:after="0"/>
              <w:rPr>
                <w:sz w:val="10"/>
                <w:szCs w:val="10"/>
                <w:color w:val="auto"/>
              </w:rPr>
            </w:pPr>
          </w:p>
        </w:tc>
        <w:tc>
          <w:tcPr>
            <w:tcW w:w="1600" w:type="dxa"/>
            <w:vAlign w:val="bottom"/>
            <w:tcBorders>
              <w:right w:val="single" w:sz="8" w:color="00000A"/>
            </w:tcBorders>
          </w:tcPr>
          <w:p>
            <w:pPr>
              <w:spacing w:after="0"/>
              <w:rPr>
                <w:sz w:val="10"/>
                <w:szCs w:val="10"/>
                <w:color w:val="auto"/>
              </w:rPr>
            </w:pPr>
          </w:p>
        </w:tc>
        <w:tc>
          <w:tcPr>
            <w:tcW w:w="2040" w:type="dxa"/>
            <w:vAlign w:val="bottom"/>
            <w:tcBorders>
              <w:right w:val="single" w:sz="8" w:color="00000A"/>
            </w:tcBorders>
          </w:tcPr>
          <w:p>
            <w:pPr>
              <w:spacing w:after="0"/>
              <w:rPr>
                <w:sz w:val="10"/>
                <w:szCs w:val="10"/>
                <w:color w:val="auto"/>
              </w:rPr>
            </w:pPr>
          </w:p>
        </w:tc>
        <w:tc>
          <w:tcPr>
            <w:tcW w:w="390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Borders>
              <w:left w:val="single" w:sz="8" w:color="00000A"/>
              <w:right w:val="single" w:sz="8" w:color="00000A"/>
            </w:tcBorders>
          </w:tcPr>
          <w:p>
            <w:pPr>
              <w:spacing w:after="0"/>
              <w:rPr>
                <w:sz w:val="16"/>
                <w:szCs w:val="16"/>
                <w:color w:val="auto"/>
              </w:rPr>
            </w:pPr>
          </w:p>
        </w:tc>
        <w:tc>
          <w:tcPr>
            <w:tcW w:w="700" w:type="dxa"/>
            <w:vAlign w:val="bottom"/>
            <w:tcBorders>
              <w:right w:val="single" w:sz="8" w:color="00000A"/>
            </w:tcBorders>
          </w:tcPr>
          <w:p>
            <w:pPr>
              <w:spacing w:after="0"/>
              <w:rPr>
                <w:sz w:val="16"/>
                <w:szCs w:val="16"/>
                <w:color w:val="auto"/>
              </w:rPr>
            </w:pPr>
          </w:p>
        </w:tc>
        <w:tc>
          <w:tcPr>
            <w:tcW w:w="1600" w:type="dxa"/>
            <w:vAlign w:val="bottom"/>
            <w:tcBorders>
              <w:right w:val="single" w:sz="8" w:color="00000A"/>
            </w:tcBorders>
          </w:tcPr>
          <w:p>
            <w:pPr>
              <w:spacing w:after="0"/>
              <w:rPr>
                <w:sz w:val="16"/>
                <w:szCs w:val="16"/>
                <w:color w:val="auto"/>
              </w:rPr>
            </w:pPr>
          </w:p>
        </w:tc>
        <w:tc>
          <w:tcPr>
            <w:tcW w:w="2040" w:type="dxa"/>
            <w:vAlign w:val="bottom"/>
            <w:tcBorders>
              <w:right w:val="single" w:sz="8" w:color="00000A"/>
            </w:tcBorders>
          </w:tcPr>
          <w:p>
            <w:pPr>
              <w:ind w:left="20"/>
              <w:spacing w:after="0" w:line="191" w:lineRule="exact"/>
              <w:rPr>
                <w:sz w:val="20"/>
                <w:szCs w:val="20"/>
                <w:color w:val="auto"/>
              </w:rPr>
            </w:pPr>
            <w:r>
              <w:rPr>
                <w:rFonts w:ascii="Arial" w:cs="Arial" w:eastAsia="Arial" w:hAnsi="Arial"/>
                <w:sz w:val="17"/>
                <w:szCs w:val="17"/>
                <w:color w:val="auto"/>
              </w:rPr>
              <w:t>Original: Oracle Credit</w:t>
            </w:r>
          </w:p>
        </w:tc>
        <w:tc>
          <w:tcPr>
            <w:tcW w:w="3900" w:type="dxa"/>
            <w:vAlign w:val="bottom"/>
            <w:tcBorders>
              <w:right w:val="single" w:sz="8" w:color="00000A"/>
            </w:tcBorders>
          </w:tcPr>
          <w:p>
            <w:pPr>
              <w:ind w:left="20"/>
              <w:spacing w:after="0" w:line="191" w:lineRule="exact"/>
              <w:rPr>
                <w:sz w:val="20"/>
                <w:szCs w:val="20"/>
                <w:color w:val="auto"/>
              </w:rPr>
            </w:pPr>
            <w:r>
              <w:rPr>
                <w:rFonts w:ascii="Arial" w:cs="Arial" w:eastAsia="Arial" w:hAnsi="Arial"/>
                <w:sz w:val="17"/>
                <w:szCs w:val="17"/>
                <w:color w:val="auto"/>
              </w:rPr>
              <w:t>File Date: 7/31/2015</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Corporation</w:t>
            </w:r>
          </w:p>
        </w:tc>
        <w:tc>
          <w:tcPr>
            <w:tcW w:w="390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Gelco Fleet Trust</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2015 3208443</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7/24/2015</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PA</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33590237</w:t>
            </w:r>
          </w:p>
        </w:tc>
        <w:tc>
          <w:tcPr>
            <w:tcW w:w="0" w:type="dxa"/>
            <w:vAlign w:val="bottom"/>
          </w:tcPr>
          <w:p>
            <w:pPr>
              <w:spacing w:after="0"/>
              <w:rPr>
                <w:sz w:val="1"/>
                <w:szCs w:val="1"/>
                <w:color w:val="auto"/>
              </w:rPr>
            </w:pP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2/7/2001</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2005 112906728</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11/29/2005</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2010 121003170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12/10/2010</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2010 121003980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12/10/2010</w:t>
            </w:r>
          </w:p>
        </w:tc>
        <w:tc>
          <w:tcPr>
            <w:tcW w:w="0" w:type="dxa"/>
            <w:vAlign w:val="bottom"/>
          </w:tcPr>
          <w:p>
            <w:pPr>
              <w:spacing w:after="0"/>
              <w:rPr>
                <w:sz w:val="1"/>
                <w:szCs w:val="1"/>
                <w:color w:val="auto"/>
              </w:rPr>
            </w:pP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PA</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De Lage Landen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051608460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5/16/2011</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PA</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De Lage Landen Financial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060906641</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6/9/2011</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PA</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Cargill Incorported</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2013 020507689</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2/5/2013</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00000A"/>
              <w:right w:val="single" w:sz="8" w:color="00000A"/>
            </w:tcBorders>
          </w:tcPr>
          <w:p>
            <w:pPr>
              <w:spacing w:after="0"/>
              <w:rPr>
                <w:sz w:val="12"/>
                <w:szCs w:val="12"/>
                <w:color w:val="auto"/>
              </w:rPr>
            </w:pPr>
          </w:p>
        </w:tc>
        <w:tc>
          <w:tcPr>
            <w:tcW w:w="700" w:type="dxa"/>
            <w:vAlign w:val="bottom"/>
            <w:tcBorders>
              <w:bottom w:val="single" w:sz="8" w:color="00000A"/>
              <w:right w:val="single" w:sz="8" w:color="00000A"/>
            </w:tcBorders>
          </w:tcPr>
          <w:p>
            <w:pPr>
              <w:spacing w:after="0"/>
              <w:rPr>
                <w:sz w:val="12"/>
                <w:szCs w:val="12"/>
                <w:color w:val="auto"/>
              </w:rPr>
            </w:pPr>
          </w:p>
        </w:tc>
        <w:tc>
          <w:tcPr>
            <w:tcW w:w="1600" w:type="dxa"/>
            <w:vAlign w:val="bottom"/>
            <w:tcBorders>
              <w:bottom w:val="single" w:sz="8" w:color="00000A"/>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00000A"/>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International,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NMHG Financial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2006 0110650</w:t>
            </w:r>
          </w:p>
        </w:tc>
        <w:tc>
          <w:tcPr>
            <w:tcW w:w="0" w:type="dxa"/>
            <w:vAlign w:val="bottom"/>
          </w:tcPr>
          <w:p>
            <w:pPr>
              <w:spacing w:after="0"/>
              <w:rPr>
                <w:sz w:val="1"/>
                <w:szCs w:val="1"/>
                <w:color w:val="auto"/>
              </w:rPr>
            </w:pPr>
          </w:p>
        </w:tc>
      </w:tr>
      <w:tr>
        <w:trPr>
          <w:trHeight w:val="236"/>
        </w:trPr>
        <w:tc>
          <w:tcPr>
            <w:tcW w:w="3220" w:type="dxa"/>
            <w:vAlign w:val="bottom"/>
            <w:tcBorders>
              <w:left w:val="single" w:sz="8" w:color="00000A"/>
              <w:right w:val="single" w:sz="8" w:color="00000A"/>
            </w:tcBorders>
          </w:tcPr>
          <w:p>
            <w:pPr>
              <w:spacing w:after="0"/>
              <w:rPr>
                <w:sz w:val="20"/>
                <w:szCs w:val="20"/>
                <w:color w:val="auto"/>
              </w:rPr>
            </w:pPr>
          </w:p>
        </w:tc>
        <w:tc>
          <w:tcPr>
            <w:tcW w:w="70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1/11/2006</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2010 3984006</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11/12/2010</w:t>
            </w:r>
          </w:p>
        </w:tc>
        <w:tc>
          <w:tcPr>
            <w:tcW w:w="0" w:type="dxa"/>
            <w:vAlign w:val="bottom"/>
          </w:tcPr>
          <w:p>
            <w:pPr>
              <w:spacing w:after="0"/>
              <w:rPr>
                <w:sz w:val="1"/>
                <w:szCs w:val="1"/>
                <w:color w:val="auto"/>
              </w:rPr>
            </w:pPr>
          </w:p>
        </w:tc>
      </w:tr>
      <w:tr>
        <w:trPr>
          <w:trHeight w:val="93"/>
        </w:trPr>
        <w:tc>
          <w:tcPr>
            <w:tcW w:w="3220" w:type="dxa"/>
            <w:vAlign w:val="bottom"/>
            <w:tcBorders>
              <w:left w:val="single" w:sz="8" w:color="00000A"/>
              <w:bottom w:val="single" w:sz="8" w:color="00000A"/>
              <w:right w:val="single" w:sz="8" w:color="00000A"/>
            </w:tcBorders>
          </w:tcPr>
          <w:p>
            <w:pPr>
              <w:spacing w:after="0"/>
              <w:rPr>
                <w:sz w:val="8"/>
                <w:szCs w:val="8"/>
                <w:color w:val="auto"/>
              </w:rPr>
            </w:pPr>
          </w:p>
        </w:tc>
        <w:tc>
          <w:tcPr>
            <w:tcW w:w="700" w:type="dxa"/>
            <w:vAlign w:val="bottom"/>
            <w:tcBorders>
              <w:bottom w:val="single" w:sz="8" w:color="00000A"/>
              <w:right w:val="single" w:sz="8" w:color="00000A"/>
            </w:tcBorders>
          </w:tcPr>
          <w:p>
            <w:pPr>
              <w:spacing w:after="0"/>
              <w:rPr>
                <w:sz w:val="8"/>
                <w:szCs w:val="8"/>
                <w:color w:val="auto"/>
              </w:rPr>
            </w:pPr>
          </w:p>
        </w:tc>
        <w:tc>
          <w:tcPr>
            <w:tcW w:w="1600" w:type="dxa"/>
            <w:vAlign w:val="bottom"/>
            <w:tcBorders>
              <w:bottom w:val="single" w:sz="8" w:color="00000A"/>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International,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Amended: General Electric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2006 3702222</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Capital Corp</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10/04/2006</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Original: Lease Plan USA,</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Amendment: 2011 2064270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5/31/2011</w:t>
            </w:r>
          </w:p>
        </w:tc>
        <w:tc>
          <w:tcPr>
            <w:tcW w:w="0" w:type="dxa"/>
            <w:vAlign w:val="bottom"/>
          </w:tcPr>
          <w:p>
            <w:pPr>
              <w:spacing w:after="0"/>
              <w:rPr>
                <w:sz w:val="1"/>
                <w:szCs w:val="1"/>
                <w:color w:val="auto"/>
              </w:rPr>
            </w:pPr>
          </w:p>
        </w:tc>
      </w:tr>
      <w:tr>
        <w:trPr>
          <w:trHeight w:val="312"/>
        </w:trPr>
        <w:tc>
          <w:tcPr>
            <w:tcW w:w="3220" w:type="dxa"/>
            <w:vAlign w:val="bottom"/>
            <w:tcBorders>
              <w:left w:val="single" w:sz="8" w:color="00000A"/>
              <w:right w:val="single" w:sz="8" w:color="00000A"/>
            </w:tcBorders>
          </w:tcPr>
          <w:p>
            <w:pPr>
              <w:spacing w:after="0"/>
              <w:rPr>
                <w:sz w:val="24"/>
                <w:szCs w:val="24"/>
                <w:color w:val="auto"/>
              </w:rPr>
            </w:pPr>
          </w:p>
        </w:tc>
        <w:tc>
          <w:tcPr>
            <w:tcW w:w="7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tcPr>
          <w:p>
            <w:pPr>
              <w:spacing w:after="0"/>
              <w:rPr>
                <w:sz w:val="24"/>
                <w:szCs w:val="24"/>
                <w:color w:val="auto"/>
              </w:rPr>
            </w:pPr>
          </w:p>
        </w:tc>
        <w:tc>
          <w:tcPr>
            <w:tcW w:w="20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Continuation: 2011 2064320</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5/31/2011</w:t>
            </w:r>
          </w:p>
        </w:tc>
        <w:tc>
          <w:tcPr>
            <w:tcW w:w="0" w:type="dxa"/>
            <w:vAlign w:val="bottom"/>
          </w:tcPr>
          <w:p>
            <w:pPr>
              <w:spacing w:after="0"/>
              <w:rPr>
                <w:sz w:val="1"/>
                <w:szCs w:val="1"/>
                <w:color w:val="auto"/>
              </w:rPr>
            </w:pPr>
          </w:p>
        </w:tc>
      </w:tr>
      <w:tr>
        <w:trPr>
          <w:trHeight w:val="93"/>
        </w:trPr>
        <w:tc>
          <w:tcPr>
            <w:tcW w:w="3220" w:type="dxa"/>
            <w:vAlign w:val="bottom"/>
            <w:tcBorders>
              <w:left w:val="single" w:sz="8" w:color="00000A"/>
              <w:bottom w:val="single" w:sz="8" w:color="auto"/>
              <w:right w:val="single" w:sz="8" w:color="00000A"/>
            </w:tcBorders>
          </w:tcPr>
          <w:p>
            <w:pPr>
              <w:spacing w:after="0"/>
              <w:rPr>
                <w:sz w:val="8"/>
                <w:szCs w:val="8"/>
                <w:color w:val="auto"/>
              </w:rPr>
            </w:pPr>
          </w:p>
        </w:tc>
        <w:tc>
          <w:tcPr>
            <w:tcW w:w="700" w:type="dxa"/>
            <w:vAlign w:val="bottom"/>
            <w:tcBorders>
              <w:bottom w:val="single" w:sz="8" w:color="auto"/>
              <w:right w:val="single" w:sz="8" w:color="00000A"/>
            </w:tcBorders>
          </w:tcPr>
          <w:p>
            <w:pPr>
              <w:spacing w:after="0"/>
              <w:rPr>
                <w:sz w:val="8"/>
                <w:szCs w:val="8"/>
                <w:color w:val="auto"/>
              </w:rPr>
            </w:pPr>
          </w:p>
        </w:tc>
        <w:tc>
          <w:tcPr>
            <w:tcW w:w="1600" w:type="dxa"/>
            <w:vAlign w:val="bottom"/>
            <w:tcBorders>
              <w:bottom w:val="single" w:sz="8" w:color="auto"/>
              <w:right w:val="single" w:sz="8" w:color="00000A"/>
            </w:tcBorders>
          </w:tcPr>
          <w:p>
            <w:pPr>
              <w:spacing w:after="0"/>
              <w:rPr>
                <w:sz w:val="8"/>
                <w:szCs w:val="8"/>
                <w:color w:val="auto"/>
              </w:rPr>
            </w:pPr>
          </w:p>
        </w:tc>
        <w:tc>
          <w:tcPr>
            <w:tcW w:w="2040" w:type="dxa"/>
            <w:vAlign w:val="bottom"/>
            <w:tcBorders>
              <w:bottom w:val="single" w:sz="8" w:color="auto"/>
              <w:right w:val="single" w:sz="8" w:color="00000A"/>
            </w:tcBorders>
          </w:tcPr>
          <w:p>
            <w:pPr>
              <w:spacing w:after="0"/>
              <w:rPr>
                <w:sz w:val="8"/>
                <w:szCs w:val="8"/>
                <w:color w:val="auto"/>
              </w:rPr>
            </w:pPr>
          </w:p>
        </w:tc>
        <w:tc>
          <w:tcPr>
            <w:tcW w:w="3900" w:type="dxa"/>
            <w:vAlign w:val="bottom"/>
            <w:tcBorders>
              <w:bottom w:val="single" w:sz="8" w:color="auto"/>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International, Inc.</w:t>
            </w:r>
          </w:p>
        </w:tc>
        <w:tc>
          <w:tcPr>
            <w:tcW w:w="7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w:t>
            </w:r>
          </w:p>
        </w:tc>
        <w:tc>
          <w:tcPr>
            <w:tcW w:w="16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State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Cisco Systems Capital</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UCC: 2011 2969544</w:t>
            </w:r>
          </w:p>
        </w:tc>
        <w:tc>
          <w:tcPr>
            <w:tcW w:w="0" w:type="dxa"/>
            <w:vAlign w:val="bottom"/>
          </w:tcPr>
          <w:p>
            <w:pPr>
              <w:spacing w:after="0"/>
              <w:rPr>
                <w:sz w:val="1"/>
                <w:szCs w:val="1"/>
                <w:color w:val="auto"/>
              </w:rPr>
            </w:pPr>
          </w:p>
        </w:tc>
      </w:tr>
      <w:tr>
        <w:trPr>
          <w:trHeight w:val="213"/>
        </w:trPr>
        <w:tc>
          <w:tcPr>
            <w:tcW w:w="3220" w:type="dxa"/>
            <w:vAlign w:val="bottom"/>
            <w:tcBorders>
              <w:left w:val="single" w:sz="8" w:color="00000A"/>
              <w:right w:val="single" w:sz="8" w:color="00000A"/>
            </w:tcBorders>
          </w:tcPr>
          <w:p>
            <w:pPr>
              <w:spacing w:after="0"/>
              <w:rPr>
                <w:sz w:val="18"/>
                <w:szCs w:val="18"/>
                <w:color w:val="auto"/>
              </w:rPr>
            </w:pPr>
          </w:p>
        </w:tc>
        <w:tc>
          <w:tcPr>
            <w:tcW w:w="700" w:type="dxa"/>
            <w:vAlign w:val="bottom"/>
            <w:tcBorders>
              <w:right w:val="single" w:sz="8" w:color="00000A"/>
            </w:tcBorders>
          </w:tcPr>
          <w:p>
            <w:pPr>
              <w:spacing w:after="0"/>
              <w:rPr>
                <w:sz w:val="18"/>
                <w:szCs w:val="18"/>
                <w:color w:val="auto"/>
              </w:rPr>
            </w:pPr>
          </w:p>
        </w:tc>
        <w:tc>
          <w:tcPr>
            <w:tcW w:w="1600" w:type="dxa"/>
            <w:vAlign w:val="bottom"/>
            <w:tcBorders>
              <w:right w:val="single" w:sz="8" w:color="00000A"/>
            </w:tcBorders>
          </w:tcPr>
          <w:p>
            <w:pPr>
              <w:spacing w:after="0"/>
              <w:rPr>
                <w:sz w:val="18"/>
                <w:szCs w:val="18"/>
                <w:color w:val="auto"/>
              </w:rPr>
            </w:pP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Corporation</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Date: 8/1/2011</w:t>
            </w:r>
          </w:p>
        </w:tc>
        <w:tc>
          <w:tcPr>
            <w:tcW w:w="0" w:type="dxa"/>
            <w:vAlign w:val="bottom"/>
          </w:tcPr>
          <w:p>
            <w:pPr>
              <w:spacing w:after="0"/>
              <w:rPr>
                <w:sz w:val="1"/>
                <w:szCs w:val="1"/>
                <w:color w:val="auto"/>
              </w:rPr>
            </w:pPr>
          </w:p>
        </w:tc>
      </w:tr>
      <w:tr>
        <w:trPr>
          <w:trHeight w:val="141"/>
        </w:trPr>
        <w:tc>
          <w:tcPr>
            <w:tcW w:w="3220" w:type="dxa"/>
            <w:vAlign w:val="bottom"/>
            <w:tcBorders>
              <w:left w:val="single" w:sz="8" w:color="00000A"/>
              <w:bottom w:val="single" w:sz="8" w:color="auto"/>
              <w:right w:val="single" w:sz="8" w:color="00000A"/>
            </w:tcBorders>
          </w:tcPr>
          <w:p>
            <w:pPr>
              <w:spacing w:after="0"/>
              <w:rPr>
                <w:sz w:val="12"/>
                <w:szCs w:val="12"/>
                <w:color w:val="auto"/>
              </w:rPr>
            </w:pPr>
          </w:p>
        </w:tc>
        <w:tc>
          <w:tcPr>
            <w:tcW w:w="700" w:type="dxa"/>
            <w:vAlign w:val="bottom"/>
            <w:tcBorders>
              <w:bottom w:val="single" w:sz="8" w:color="auto"/>
              <w:right w:val="single" w:sz="8" w:color="00000A"/>
            </w:tcBorders>
          </w:tcPr>
          <w:p>
            <w:pPr>
              <w:spacing w:after="0"/>
              <w:rPr>
                <w:sz w:val="12"/>
                <w:szCs w:val="12"/>
                <w:color w:val="auto"/>
              </w:rPr>
            </w:pPr>
          </w:p>
        </w:tc>
        <w:tc>
          <w:tcPr>
            <w:tcW w:w="1600" w:type="dxa"/>
            <w:vAlign w:val="bottom"/>
            <w:tcBorders>
              <w:bottom w:val="single" w:sz="8" w:color="auto"/>
              <w:right w:val="single" w:sz="8" w:color="00000A"/>
            </w:tcBorders>
          </w:tcPr>
          <w:p>
            <w:pPr>
              <w:spacing w:after="0"/>
              <w:rPr>
                <w:sz w:val="12"/>
                <w:szCs w:val="12"/>
                <w:color w:val="auto"/>
              </w:rPr>
            </w:pPr>
          </w:p>
        </w:tc>
        <w:tc>
          <w:tcPr>
            <w:tcW w:w="2040" w:type="dxa"/>
            <w:vAlign w:val="bottom"/>
            <w:tcBorders>
              <w:bottom w:val="single" w:sz="8" w:color="auto"/>
              <w:right w:val="single" w:sz="8" w:color="00000A"/>
            </w:tcBorders>
          </w:tcPr>
          <w:p>
            <w:pPr>
              <w:spacing w:after="0"/>
              <w:rPr>
                <w:sz w:val="12"/>
                <w:szCs w:val="12"/>
                <w:color w:val="auto"/>
              </w:rPr>
            </w:pPr>
          </w:p>
        </w:tc>
        <w:tc>
          <w:tcPr>
            <w:tcW w:w="3900" w:type="dxa"/>
            <w:vAlign w:val="bottom"/>
            <w:tcBorders>
              <w:bottom w:val="single" w:sz="8" w:color="auto"/>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30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3120" w:type="dxa"/>
            <w:vAlign w:val="bottom"/>
            <w:tcBorders>
              <w:top w:val="single" w:sz="8" w:color="00000A"/>
              <w:left w:val="single" w:sz="8" w:color="00000A"/>
              <w:right w:val="single" w:sz="8" w:color="00000A"/>
            </w:tcBorders>
            <w:shd w:val="clear" w:color="auto" w:fill="BFBFBF"/>
          </w:tcPr>
          <w:p>
            <w:pPr>
              <w:ind w:left="40"/>
              <w:spacing w:after="0"/>
              <w:rPr>
                <w:sz w:val="20"/>
                <w:szCs w:val="20"/>
                <w:color w:val="auto"/>
              </w:rPr>
            </w:pPr>
            <w:r>
              <w:rPr>
                <w:rFonts w:ascii="Arial" w:cs="Arial" w:eastAsia="Arial" w:hAnsi="Arial"/>
                <w:sz w:val="17"/>
                <w:szCs w:val="17"/>
                <w:b w:val="1"/>
                <w:bCs w:val="1"/>
                <w:color w:val="auto"/>
              </w:rPr>
              <w:t>Debtor</w:t>
            </w:r>
          </w:p>
        </w:tc>
        <w:tc>
          <w:tcPr>
            <w:tcW w:w="800" w:type="dxa"/>
            <w:vAlign w:val="bottom"/>
            <w:tcBorders>
              <w:top w:val="single" w:sz="8" w:color="00000A"/>
              <w:right w:val="single" w:sz="8" w:color="00000A"/>
            </w:tcBorders>
            <w:shd w:val="clear" w:color="auto" w:fill="BFBFBF"/>
          </w:tcPr>
          <w:p>
            <w:pPr>
              <w:spacing w:after="0"/>
              <w:rPr>
                <w:sz w:val="20"/>
                <w:szCs w:val="20"/>
                <w:color w:val="auto"/>
              </w:rPr>
            </w:pPr>
            <w:r>
              <w:rPr>
                <w:rFonts w:ascii="Arial" w:cs="Arial" w:eastAsia="Arial" w:hAnsi="Arial"/>
                <w:sz w:val="17"/>
                <w:szCs w:val="17"/>
                <w:b w:val="1"/>
                <w:bCs w:val="1"/>
                <w:color w:val="auto"/>
              </w:rPr>
              <w:t>Province</w:t>
            </w:r>
          </w:p>
        </w:tc>
        <w:tc>
          <w:tcPr>
            <w:tcW w:w="3640" w:type="dxa"/>
            <w:vAlign w:val="bottom"/>
            <w:tcBorders>
              <w:top w:val="single" w:sz="8" w:color="00000A"/>
              <w:right w:val="single" w:sz="8" w:color="00000A"/>
            </w:tcBorders>
            <w:shd w:val="clear" w:color="auto" w:fill="BFBFBF"/>
          </w:tcPr>
          <w:p>
            <w:pPr>
              <w:spacing w:after="0"/>
              <w:rPr>
                <w:sz w:val="20"/>
                <w:szCs w:val="20"/>
                <w:color w:val="auto"/>
              </w:rPr>
            </w:pPr>
            <w:r>
              <w:rPr>
                <w:rFonts w:ascii="Arial" w:cs="Arial" w:eastAsia="Arial" w:hAnsi="Arial"/>
                <w:sz w:val="17"/>
                <w:szCs w:val="17"/>
                <w:b w:val="1"/>
                <w:bCs w:val="1"/>
                <w:color w:val="auto"/>
              </w:rPr>
              <w:t>Secured Party</w:t>
            </w:r>
          </w:p>
        </w:tc>
        <w:tc>
          <w:tcPr>
            <w:tcW w:w="3900" w:type="dxa"/>
            <w:vAlign w:val="bottom"/>
            <w:tcBorders>
              <w:top w:val="single" w:sz="8" w:color="00000A"/>
              <w:right w:val="single" w:sz="8" w:color="00000A"/>
            </w:tcBorders>
            <w:shd w:val="clear" w:color="auto" w:fill="BFBFBF"/>
          </w:tcPr>
          <w:p>
            <w:pPr>
              <w:ind w:left="20"/>
              <w:spacing w:after="0"/>
              <w:rPr>
                <w:sz w:val="20"/>
                <w:szCs w:val="20"/>
                <w:color w:val="auto"/>
              </w:rPr>
            </w:pPr>
            <w:r>
              <w:rPr>
                <w:rFonts w:ascii="Arial" w:cs="Arial" w:eastAsia="Arial" w:hAnsi="Arial"/>
                <w:sz w:val="17"/>
                <w:szCs w:val="17"/>
                <w:b w:val="1"/>
                <w:bCs w:val="1"/>
                <w:color w:val="auto"/>
              </w:rPr>
              <w:t>PPSA Filing No./Expiry Date</w:t>
            </w:r>
          </w:p>
        </w:tc>
        <w:tc>
          <w:tcPr>
            <w:tcW w:w="0" w:type="dxa"/>
            <w:vAlign w:val="bottom"/>
          </w:tcPr>
          <w:p>
            <w:pPr>
              <w:spacing w:after="0"/>
              <w:rPr>
                <w:sz w:val="1"/>
                <w:szCs w:val="1"/>
                <w:color w:val="auto"/>
              </w:rPr>
            </w:pPr>
          </w:p>
        </w:tc>
      </w:tr>
      <w:tr>
        <w:trPr>
          <w:trHeight w:val="117"/>
        </w:trPr>
        <w:tc>
          <w:tcPr>
            <w:tcW w:w="3120" w:type="dxa"/>
            <w:vAlign w:val="bottom"/>
            <w:tcBorders>
              <w:left w:val="single" w:sz="8" w:color="00000A"/>
              <w:bottom w:val="single" w:sz="8" w:color="00000A"/>
              <w:right w:val="single" w:sz="8" w:color="00000A"/>
            </w:tcBorders>
            <w:shd w:val="clear" w:color="auto" w:fill="BFBFBF"/>
          </w:tcPr>
          <w:p>
            <w:pPr>
              <w:spacing w:after="0"/>
              <w:rPr>
                <w:sz w:val="10"/>
                <w:szCs w:val="10"/>
                <w:color w:val="auto"/>
              </w:rPr>
            </w:pPr>
          </w:p>
        </w:tc>
        <w:tc>
          <w:tcPr>
            <w:tcW w:w="800" w:type="dxa"/>
            <w:vAlign w:val="bottom"/>
            <w:tcBorders>
              <w:bottom w:val="single" w:sz="8" w:color="00000A"/>
              <w:right w:val="single" w:sz="8" w:color="00000A"/>
            </w:tcBorders>
            <w:shd w:val="clear" w:color="auto" w:fill="BFBFBF"/>
          </w:tcPr>
          <w:p>
            <w:pPr>
              <w:spacing w:after="0"/>
              <w:rPr>
                <w:sz w:val="10"/>
                <w:szCs w:val="10"/>
                <w:color w:val="auto"/>
              </w:rPr>
            </w:pPr>
          </w:p>
        </w:tc>
        <w:tc>
          <w:tcPr>
            <w:tcW w:w="3640" w:type="dxa"/>
            <w:vAlign w:val="bottom"/>
            <w:tcBorders>
              <w:bottom w:val="single" w:sz="8" w:color="auto"/>
              <w:right w:val="single" w:sz="8" w:color="00000A"/>
            </w:tcBorders>
            <w:shd w:val="clear" w:color="auto" w:fill="BFBFBF"/>
          </w:tcPr>
          <w:p>
            <w:pPr>
              <w:spacing w:after="0"/>
              <w:rPr>
                <w:sz w:val="10"/>
                <w:szCs w:val="10"/>
                <w:color w:val="auto"/>
              </w:rPr>
            </w:pPr>
          </w:p>
        </w:tc>
        <w:tc>
          <w:tcPr>
            <w:tcW w:w="3900" w:type="dxa"/>
            <w:vAlign w:val="bottom"/>
            <w:tcBorders>
              <w:bottom w:val="single" w:sz="8" w:color="00000A"/>
              <w:right w:val="single" w:sz="8" w:color="00000A"/>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Co</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Liftow Limited</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709499691 -</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20150831 1703 1462 7229</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August 31, 2016</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Element Fleet Management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683380206 -</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20121206 0857 1254 4133</w:t>
            </w:r>
          </w:p>
        </w:tc>
        <w:tc>
          <w:tcPr>
            <w:tcW w:w="0" w:type="dxa"/>
            <w:vAlign w:val="bottom"/>
          </w:tcPr>
          <w:p>
            <w:pPr>
              <w:spacing w:after="0"/>
              <w:rPr>
                <w:sz w:val="1"/>
                <w:szCs w:val="1"/>
                <w:color w:val="auto"/>
              </w:rPr>
            </w:pPr>
          </w:p>
        </w:tc>
      </w:tr>
      <w:tr>
        <w:trPr>
          <w:trHeight w:val="191"/>
        </w:trPr>
        <w:tc>
          <w:tcPr>
            <w:tcW w:w="3120" w:type="dxa"/>
            <w:vAlign w:val="bottom"/>
            <w:tcBorders>
              <w:left w:val="single" w:sz="8" w:color="00000A"/>
              <w:right w:val="single" w:sz="8" w:color="00000A"/>
            </w:tcBorders>
            <w:vMerge w:val="continue"/>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3640" w:type="dxa"/>
            <w:vAlign w:val="bottom"/>
            <w:tcBorders>
              <w:right w:val="single" w:sz="8" w:color="00000A"/>
            </w:tcBorders>
          </w:tcPr>
          <w:p>
            <w:pPr>
              <w:spacing w:after="0"/>
              <w:rPr>
                <w:sz w:val="16"/>
                <w:szCs w:val="16"/>
                <w:color w:val="auto"/>
              </w:rPr>
            </w:pP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December 6, 2022</w:t>
            </w:r>
          </w:p>
        </w:tc>
        <w:tc>
          <w:tcPr>
            <w:tcW w:w="0" w:type="dxa"/>
            <w:vAlign w:val="bottom"/>
          </w:tcPr>
          <w:p>
            <w:pPr>
              <w:spacing w:after="0"/>
              <w:rPr>
                <w:sz w:val="1"/>
                <w:szCs w:val="1"/>
                <w:color w:val="auto"/>
              </w:rPr>
            </w:pPr>
          </w:p>
        </w:tc>
      </w:tr>
      <w:tr>
        <w:trPr>
          <w:trHeight w:val="203"/>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EECOL Electric Corp.</w:t>
            </w:r>
          </w:p>
        </w:tc>
        <w:tc>
          <w:tcPr>
            <w:tcW w:w="800" w:type="dxa"/>
            <w:vAlign w:val="bottom"/>
            <w:tcBorders>
              <w:right w:val="single" w:sz="8" w:color="00000A"/>
            </w:tcBorders>
          </w:tcPr>
          <w:p>
            <w:pPr>
              <w:spacing w:after="0"/>
              <w:rPr>
                <w:sz w:val="17"/>
                <w:szCs w:val="17"/>
                <w:color w:val="auto"/>
              </w:rPr>
            </w:pPr>
          </w:p>
        </w:tc>
        <w:tc>
          <w:tcPr>
            <w:tcW w:w="3640" w:type="dxa"/>
            <w:vAlign w:val="bottom"/>
            <w:tcBorders>
              <w:right w:val="single" w:sz="8" w:color="00000A"/>
            </w:tcBorders>
          </w:tcPr>
          <w:p>
            <w:pPr>
              <w:spacing w:after="0"/>
              <w:rPr>
                <w:sz w:val="17"/>
                <w:szCs w:val="17"/>
                <w:color w:val="auto"/>
              </w:rPr>
            </w:pPr>
          </w:p>
        </w:tc>
        <w:tc>
          <w:tcPr>
            <w:tcW w:w="3900" w:type="dxa"/>
            <w:vAlign w:val="bottom"/>
            <w:tcBorders>
              <w:right w:val="single" w:sz="8" w:color="00000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20" w:type="dxa"/>
            <w:vAlign w:val="bottom"/>
            <w:tcBorders>
              <w:left w:val="single" w:sz="8" w:color="00000A"/>
              <w:right w:val="single" w:sz="8" w:color="00000A"/>
            </w:tcBorders>
            <w:vMerge w:val="continue"/>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3640" w:type="dxa"/>
            <w:vAlign w:val="bottom"/>
            <w:tcBorders>
              <w:right w:val="single" w:sz="8" w:color="00000A"/>
            </w:tcBorders>
          </w:tcPr>
          <w:p>
            <w:pPr>
              <w:spacing w:after="0"/>
              <w:rPr>
                <w:sz w:val="16"/>
                <w:szCs w:val="16"/>
                <w:color w:val="auto"/>
              </w:rPr>
            </w:pPr>
          </w:p>
        </w:tc>
        <w:tc>
          <w:tcPr>
            <w:tcW w:w="39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120" w:type="dxa"/>
            <w:vAlign w:val="bottom"/>
            <w:tcBorders>
              <w:left w:val="single" w:sz="8" w:color="00000A"/>
              <w:right w:val="single" w:sz="8" w:color="00000A"/>
            </w:tcBorders>
          </w:tcPr>
          <w:p>
            <w:pPr>
              <w:spacing w:after="0"/>
              <w:rPr>
                <w:sz w:val="6"/>
                <w:szCs w:val="6"/>
                <w:color w:val="auto"/>
              </w:rPr>
            </w:pPr>
          </w:p>
        </w:tc>
        <w:tc>
          <w:tcPr>
            <w:tcW w:w="800" w:type="dxa"/>
            <w:vAlign w:val="bottom"/>
            <w:tcBorders>
              <w:right w:val="single" w:sz="8" w:color="00000A"/>
            </w:tcBorders>
          </w:tcPr>
          <w:p>
            <w:pPr>
              <w:spacing w:after="0"/>
              <w:rPr>
                <w:sz w:val="6"/>
                <w:szCs w:val="6"/>
                <w:color w:val="auto"/>
              </w:rPr>
            </w:pPr>
          </w:p>
        </w:tc>
        <w:tc>
          <w:tcPr>
            <w:tcW w:w="3640" w:type="dxa"/>
            <w:vAlign w:val="bottom"/>
            <w:tcBorders>
              <w:right w:val="single" w:sz="8" w:color="00000A"/>
            </w:tcBorders>
          </w:tcPr>
          <w:p>
            <w:pPr>
              <w:spacing w:after="0"/>
              <w:rPr>
                <w:sz w:val="6"/>
                <w:szCs w:val="6"/>
                <w:color w:val="auto"/>
              </w:rPr>
            </w:pPr>
          </w:p>
        </w:tc>
        <w:tc>
          <w:tcPr>
            <w:tcW w:w="3900" w:type="dxa"/>
            <w:vAlign w:val="bottom"/>
            <w:tcBorders>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15" w:right="219" w:bottom="0" w:gutter="0" w:footer="0" w:header="0"/>
        </w:sectPr>
      </w:pPr>
    </w:p>
    <w:bookmarkStart w:id="100" w:name="page101"/>
    <w:bookmarkEnd w:id="100"/>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957590 Ontario Inc. o/a Global Leasing</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677513079</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20120411 1640 9049 0207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April 11, 2018</w:t>
            </w:r>
          </w:p>
        </w:tc>
        <w:tc>
          <w:tcPr>
            <w:tcW w:w="0" w:type="dxa"/>
            <w:vAlign w:val="bottom"/>
          </w:tcPr>
          <w:p>
            <w:pPr>
              <w:spacing w:after="0"/>
              <w:rPr>
                <w:sz w:val="1"/>
                <w:szCs w:val="1"/>
                <w:color w:val="auto"/>
              </w:rPr>
            </w:pPr>
          </w:p>
        </w:tc>
      </w:tr>
      <w:tr>
        <w:trPr>
          <w:trHeight w:val="520"/>
        </w:trPr>
        <w:tc>
          <w:tcPr>
            <w:tcW w:w="3120" w:type="dxa"/>
            <w:vAlign w:val="bottom"/>
            <w:tcBorders>
              <w:left w:val="single" w:sz="8" w:color="00000A"/>
              <w:bottom w:val="single" w:sz="8" w:color="00000A"/>
              <w:right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Co.</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841343904</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19980602 1901 1531 3453</w:t>
            </w:r>
          </w:p>
        </w:tc>
        <w:tc>
          <w:tcPr>
            <w:tcW w:w="0" w:type="dxa"/>
            <w:vAlign w:val="bottom"/>
          </w:tcPr>
          <w:p>
            <w:pPr>
              <w:spacing w:after="0"/>
              <w:rPr>
                <w:sz w:val="1"/>
                <w:szCs w:val="1"/>
                <w:color w:val="auto"/>
              </w:rPr>
            </w:pPr>
          </w:p>
        </w:tc>
      </w:tr>
      <w:tr>
        <w:trPr>
          <w:trHeight w:val="191"/>
        </w:trPr>
        <w:tc>
          <w:tcPr>
            <w:tcW w:w="3120" w:type="dxa"/>
            <w:vAlign w:val="bottom"/>
            <w:tcBorders>
              <w:left w:val="single" w:sz="8" w:color="00000A"/>
              <w:right w:val="single" w:sz="8" w:color="00000A"/>
            </w:tcBorders>
            <w:vMerge w:val="continue"/>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3640" w:type="dxa"/>
            <w:vAlign w:val="bottom"/>
            <w:tcBorders>
              <w:right w:val="single" w:sz="8" w:color="00000A"/>
            </w:tcBorders>
          </w:tcPr>
          <w:p>
            <w:pPr>
              <w:spacing w:after="0"/>
              <w:rPr>
                <w:sz w:val="16"/>
                <w:szCs w:val="16"/>
                <w:color w:val="auto"/>
              </w:rPr>
            </w:pPr>
          </w:p>
        </w:tc>
        <w:tc>
          <w:tcPr>
            <w:tcW w:w="390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7"/>
                <w:szCs w:val="17"/>
                <w:color w:val="auto"/>
              </w:rPr>
              <w:t>June 2, 2018</w:t>
            </w:r>
          </w:p>
        </w:tc>
        <w:tc>
          <w:tcPr>
            <w:tcW w:w="0" w:type="dxa"/>
            <w:vAlign w:val="bottom"/>
          </w:tcPr>
          <w:p>
            <w:pPr>
              <w:spacing w:after="0"/>
              <w:rPr>
                <w:sz w:val="1"/>
                <w:szCs w:val="1"/>
                <w:color w:val="auto"/>
              </w:rPr>
            </w:pPr>
          </w:p>
        </w:tc>
      </w:tr>
      <w:tr>
        <w:trPr>
          <w:trHeight w:val="203"/>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WESCO Distribution-Canada, Inc.</w:t>
            </w:r>
          </w:p>
        </w:tc>
        <w:tc>
          <w:tcPr>
            <w:tcW w:w="800" w:type="dxa"/>
            <w:vAlign w:val="bottom"/>
            <w:tcBorders>
              <w:right w:val="single" w:sz="8" w:color="00000A"/>
            </w:tcBorders>
          </w:tcPr>
          <w:p>
            <w:pPr>
              <w:spacing w:after="0"/>
              <w:rPr>
                <w:sz w:val="17"/>
                <w:szCs w:val="17"/>
                <w:color w:val="auto"/>
              </w:rPr>
            </w:pPr>
          </w:p>
        </w:tc>
        <w:tc>
          <w:tcPr>
            <w:tcW w:w="3640" w:type="dxa"/>
            <w:vAlign w:val="bottom"/>
            <w:tcBorders>
              <w:right w:val="single" w:sz="8" w:color="00000A"/>
            </w:tcBorders>
          </w:tcPr>
          <w:p>
            <w:pPr>
              <w:spacing w:after="0"/>
              <w:rPr>
                <w:sz w:val="17"/>
                <w:szCs w:val="17"/>
                <w:color w:val="auto"/>
              </w:rPr>
            </w:pPr>
          </w:p>
        </w:tc>
        <w:tc>
          <w:tcPr>
            <w:tcW w:w="3900" w:type="dxa"/>
            <w:vAlign w:val="bottom"/>
            <w:tcBorders>
              <w:right w:val="single" w:sz="8" w:color="00000A"/>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20" w:type="dxa"/>
            <w:vAlign w:val="bottom"/>
            <w:tcBorders>
              <w:left w:val="single" w:sz="8" w:color="00000A"/>
              <w:right w:val="single" w:sz="8" w:color="00000A"/>
            </w:tcBorders>
            <w:vMerge w:val="continue"/>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364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06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Distribution-Canada GP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Distribution-Canada LP</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695133963</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20140410 1047 6005 2657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April 10, 2018</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693989442</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20140225 1453 6005 1834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Expiry Date: February 25,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693994851</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20140225 1612 6005 1837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February 25, 2020</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692931663</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20140103 1311 6005 1074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January 3, 2017</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692741727</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20131220 1318 6005 0913</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December 20, 2023</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Roynat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692139888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20131126 1459 1901 1039</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November 26,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691622568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20131105 1322 6005 0006</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November 5,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RCAP Leasing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687722301</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20130612 1446 8077 7904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June 12, 2018</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RCAP Leasing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687495708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20130605 1034 8077 7275</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June 5, 2018</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686392668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20130426 1033 6005 6824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April 26, 2016</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679045788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20120608 1221 6005 1966</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June 8, 2016</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675912627</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19"/>
                <w:szCs w:val="19"/>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20120130 1112 6005 9755</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January 30, 2017</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30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4"/>
              </w:rPr>
              <w:t>Hazmasters Environmental Equipment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ON</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Element Fleet Management Inc.</w:t>
            </w:r>
          </w:p>
        </w:tc>
        <w:tc>
          <w:tcPr>
            <w:tcW w:w="840" w:type="dxa"/>
            <w:vAlign w:val="bottom"/>
          </w:tcPr>
          <w:p>
            <w:pPr>
              <w:ind w:left="20"/>
              <w:spacing w:after="0"/>
              <w:rPr>
                <w:sz w:val="20"/>
                <w:szCs w:val="20"/>
                <w:color w:val="auto"/>
              </w:rPr>
            </w:pPr>
            <w:r>
              <w:rPr>
                <w:rFonts w:ascii="Arial" w:cs="Arial" w:eastAsia="Arial" w:hAnsi="Arial"/>
                <w:sz w:val="17"/>
                <w:szCs w:val="17"/>
                <w:color w:val="auto"/>
                <w:w w:val="93"/>
              </w:rPr>
              <w:t>664382898</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3120" w:type="dxa"/>
            <w:vAlign w:val="bottom"/>
            <w:tcBorders>
              <w:left w:val="single" w:sz="8" w:color="00000A"/>
              <w:right w:val="single" w:sz="8" w:color="00000A"/>
            </w:tcBorders>
          </w:tcPr>
          <w:p>
            <w:pPr>
              <w:spacing w:after="0"/>
              <w:rPr>
                <w:sz w:val="23"/>
                <w:szCs w:val="23"/>
                <w:color w:val="auto"/>
              </w:rPr>
            </w:pPr>
          </w:p>
        </w:tc>
        <w:tc>
          <w:tcPr>
            <w:tcW w:w="800" w:type="dxa"/>
            <w:vAlign w:val="bottom"/>
            <w:tcBorders>
              <w:right w:val="single" w:sz="8" w:color="00000A"/>
            </w:tcBorders>
          </w:tcPr>
          <w:p>
            <w:pPr>
              <w:spacing w:after="0"/>
              <w:rPr>
                <w:sz w:val="23"/>
                <w:szCs w:val="23"/>
                <w:color w:val="auto"/>
              </w:rPr>
            </w:pPr>
          </w:p>
        </w:tc>
        <w:tc>
          <w:tcPr>
            <w:tcW w:w="3640" w:type="dxa"/>
            <w:vAlign w:val="bottom"/>
            <w:tcBorders>
              <w:right w:val="single" w:sz="8" w:color="00000A"/>
            </w:tcBorders>
          </w:tcPr>
          <w:p>
            <w:pPr>
              <w:spacing w:after="0"/>
              <w:rPr>
                <w:sz w:val="23"/>
                <w:szCs w:val="23"/>
                <w:color w:val="auto"/>
              </w:rPr>
            </w:pPr>
          </w:p>
        </w:tc>
        <w:tc>
          <w:tcPr>
            <w:tcW w:w="840" w:type="dxa"/>
            <w:vAlign w:val="bottom"/>
          </w:tcPr>
          <w:p>
            <w:pPr>
              <w:spacing w:after="0"/>
              <w:rPr>
                <w:sz w:val="23"/>
                <w:szCs w:val="23"/>
                <w:color w:val="auto"/>
              </w:rPr>
            </w:pPr>
          </w:p>
        </w:tc>
        <w:tc>
          <w:tcPr>
            <w:tcW w:w="306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40" w:right="219" w:bottom="0" w:gutter="0" w:footer="0" w:header="0"/>
        </w:sectPr>
      </w:pPr>
    </w:p>
    <w:bookmarkStart w:id="101" w:name="page102"/>
    <w:bookmarkEnd w:id="101"/>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20100913 1449 1530 7051</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September 13, 2025</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7684926</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INC.</w:t>
            </w: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June 2, 2018</w:t>
            </w:r>
          </w:p>
        </w:tc>
        <w:tc>
          <w:tcPr>
            <w:tcW w:w="0" w:type="dxa"/>
            <w:vAlign w:val="bottom"/>
          </w:tcPr>
          <w:p>
            <w:pPr>
              <w:spacing w:after="0"/>
              <w:rPr>
                <w:sz w:val="1"/>
                <w:szCs w:val="1"/>
                <w:color w:val="auto"/>
              </w:rPr>
            </w:pPr>
          </w:p>
        </w:tc>
      </w:tr>
      <w:tr>
        <w:trPr>
          <w:trHeight w:val="214"/>
        </w:trPr>
        <w:tc>
          <w:tcPr>
            <w:tcW w:w="3120" w:type="dxa"/>
            <w:vAlign w:val="bottom"/>
            <w:tcBorders>
              <w:left w:val="single" w:sz="8" w:color="00000A"/>
              <w:right w:val="single" w:sz="8" w:color="00000A"/>
            </w:tcBorders>
            <w:vMerge w:val="continue"/>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36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ROYNAT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746507I</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July 27, 2021</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EECOL Electric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w w:val="98"/>
              </w:rPr>
              <w:t>ARPAC STORAGE SYSTEMS CORPORATION</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635248I</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01, 2016</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RCAP 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805765G</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20, 2017</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ROYNAT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703453G</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April 24, 2017</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ROYNAT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683307H</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November 27,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720750H</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December 20, 2023</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BC</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893972H</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April 10, 2018</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w w:val="98"/>
              </w:rPr>
              <w:t>De Lage Landen Financial Services Canada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09113029974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November 30, 2015</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Co.</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Ricoh Canada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13090318247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September 3,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Roynat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15011222042</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January 12, 2021</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Integrated Distribution Systems LP O/A Wajax</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15070624281</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Equipment</w:t>
            </w: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July 6, 2016</w:t>
            </w:r>
          </w:p>
        </w:tc>
        <w:tc>
          <w:tcPr>
            <w:tcW w:w="0" w:type="dxa"/>
            <w:vAlign w:val="bottom"/>
          </w:tcPr>
          <w:p>
            <w:pPr>
              <w:spacing w:after="0"/>
              <w:rPr>
                <w:sz w:val="1"/>
                <w:szCs w:val="1"/>
                <w:color w:val="auto"/>
              </w:rPr>
            </w:pPr>
          </w:p>
        </w:tc>
      </w:tr>
      <w:tr>
        <w:trPr>
          <w:trHeight w:val="214"/>
        </w:trPr>
        <w:tc>
          <w:tcPr>
            <w:tcW w:w="3120" w:type="dxa"/>
            <w:vAlign w:val="bottom"/>
            <w:tcBorders>
              <w:left w:val="single" w:sz="8" w:color="00000A"/>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36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120" w:type="dxa"/>
            <w:vAlign w:val="bottom"/>
            <w:tcBorders>
              <w:left w:val="single" w:sz="8" w:color="00000A"/>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3640" w:type="dxa"/>
            <w:vAlign w:val="bottom"/>
            <w:tcBorders>
              <w:bottom w:val="single" w:sz="8" w:color="00000A"/>
              <w:right w:val="single" w:sz="8" w:color="00000A"/>
            </w:tcBorders>
          </w:tcPr>
          <w:p>
            <w:pPr>
              <w:spacing w:after="0"/>
              <w:rPr>
                <w:sz w:val="11"/>
                <w:szCs w:val="11"/>
                <w:color w:val="auto"/>
              </w:rPr>
            </w:pPr>
          </w:p>
        </w:tc>
        <w:tc>
          <w:tcPr>
            <w:tcW w:w="39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Eecol Electric Corp.</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Integrated Distribution Systems LP O/A Wajax</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15052728691</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Equipment</w:t>
            </w: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May 27, 2016</w:t>
            </w:r>
          </w:p>
        </w:tc>
        <w:tc>
          <w:tcPr>
            <w:tcW w:w="0" w:type="dxa"/>
            <w:vAlign w:val="bottom"/>
          </w:tcPr>
          <w:p>
            <w:pPr>
              <w:spacing w:after="0"/>
              <w:rPr>
                <w:sz w:val="1"/>
                <w:szCs w:val="1"/>
                <w:color w:val="auto"/>
              </w:rPr>
            </w:pPr>
          </w:p>
        </w:tc>
      </w:tr>
      <w:tr>
        <w:trPr>
          <w:trHeight w:val="214"/>
        </w:trPr>
        <w:tc>
          <w:tcPr>
            <w:tcW w:w="3120" w:type="dxa"/>
            <w:vAlign w:val="bottom"/>
            <w:tcBorders>
              <w:left w:val="single" w:sz="8" w:color="00000A"/>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3640" w:type="dxa"/>
            <w:vAlign w:val="bottom"/>
            <w:tcBorders>
              <w:right w:val="single" w:sz="8" w:color="00000A"/>
            </w:tcBorders>
          </w:tcPr>
          <w:p>
            <w:pPr>
              <w:spacing w:after="0"/>
              <w:rPr>
                <w:sz w:val="18"/>
                <w:szCs w:val="18"/>
                <w:color w:val="auto"/>
              </w:rPr>
            </w:pPr>
          </w:p>
        </w:tc>
        <w:tc>
          <w:tcPr>
            <w:tcW w:w="3900" w:type="dxa"/>
            <w:vAlign w:val="bottom"/>
            <w:tcBorders>
              <w:right w:val="single" w:sz="8" w:color="00000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Eecol Electric Corp.</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Integrated Distribution Systems LP O/A Wajax</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15061013801</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Equipment</w:t>
            </w: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June 10, 2016</w:t>
            </w:r>
          </w:p>
        </w:tc>
        <w:tc>
          <w:tcPr>
            <w:tcW w:w="0" w:type="dxa"/>
            <w:vAlign w:val="bottom"/>
          </w:tcPr>
          <w:p>
            <w:pPr>
              <w:spacing w:after="0"/>
              <w:rPr>
                <w:sz w:val="1"/>
                <w:szCs w:val="1"/>
                <w:color w:val="auto"/>
              </w:rPr>
            </w:pPr>
          </w:p>
        </w:tc>
      </w:tr>
      <w:tr>
        <w:trPr>
          <w:trHeight w:val="203"/>
        </w:trPr>
        <w:tc>
          <w:tcPr>
            <w:tcW w:w="3120" w:type="dxa"/>
            <w:vAlign w:val="bottom"/>
            <w:tcBorders>
              <w:left w:val="single" w:sz="8" w:color="00000A"/>
              <w:right w:val="single" w:sz="8" w:color="00000A"/>
            </w:tcBorders>
          </w:tcPr>
          <w:p>
            <w:pPr>
              <w:spacing w:after="0"/>
              <w:rPr>
                <w:sz w:val="17"/>
                <w:szCs w:val="17"/>
                <w:color w:val="auto"/>
              </w:rPr>
            </w:pPr>
          </w:p>
        </w:tc>
        <w:tc>
          <w:tcPr>
            <w:tcW w:w="800" w:type="dxa"/>
            <w:vAlign w:val="bottom"/>
            <w:tcBorders>
              <w:right w:val="single" w:sz="8" w:color="00000A"/>
            </w:tcBorders>
          </w:tcPr>
          <w:p>
            <w:pPr>
              <w:spacing w:after="0"/>
              <w:rPr>
                <w:sz w:val="17"/>
                <w:szCs w:val="17"/>
                <w:color w:val="auto"/>
              </w:rPr>
            </w:pPr>
          </w:p>
        </w:tc>
        <w:tc>
          <w:tcPr>
            <w:tcW w:w="3640" w:type="dxa"/>
            <w:vAlign w:val="bottom"/>
            <w:tcBorders>
              <w:right w:val="single" w:sz="8" w:color="00000A"/>
            </w:tcBorders>
          </w:tcPr>
          <w:p>
            <w:pPr>
              <w:spacing w:after="0"/>
              <w:rPr>
                <w:sz w:val="17"/>
                <w:szCs w:val="17"/>
                <w:color w:val="auto"/>
              </w:rPr>
            </w:pPr>
          </w:p>
        </w:tc>
        <w:tc>
          <w:tcPr>
            <w:tcW w:w="3900" w:type="dxa"/>
            <w:vAlign w:val="bottom"/>
            <w:tcBorders>
              <w:right w:val="single" w:sz="8" w:color="00000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20" w:type="dxa"/>
            <w:vAlign w:val="bottom"/>
            <w:tcBorders>
              <w:left w:val="single" w:sz="8" w:color="00000A"/>
              <w:bottom w:val="single" w:sz="8" w:color="00000A"/>
              <w:right w:val="single" w:sz="8" w:color="00000A"/>
            </w:tcBorders>
          </w:tcPr>
          <w:p>
            <w:pPr>
              <w:spacing w:after="0"/>
              <w:rPr>
                <w:sz w:val="16"/>
                <w:szCs w:val="16"/>
                <w:color w:val="auto"/>
              </w:rPr>
            </w:pPr>
          </w:p>
        </w:tc>
        <w:tc>
          <w:tcPr>
            <w:tcW w:w="800" w:type="dxa"/>
            <w:vAlign w:val="bottom"/>
            <w:tcBorders>
              <w:bottom w:val="single" w:sz="8" w:color="00000A"/>
              <w:right w:val="single" w:sz="8" w:color="00000A"/>
            </w:tcBorders>
          </w:tcPr>
          <w:p>
            <w:pPr>
              <w:spacing w:after="0"/>
              <w:rPr>
                <w:sz w:val="16"/>
                <w:szCs w:val="16"/>
                <w:color w:val="auto"/>
              </w:rPr>
            </w:pPr>
          </w:p>
        </w:tc>
        <w:tc>
          <w:tcPr>
            <w:tcW w:w="3640" w:type="dxa"/>
            <w:vAlign w:val="bottom"/>
            <w:tcBorders>
              <w:bottom w:val="single" w:sz="8" w:color="00000A"/>
              <w:right w:val="single" w:sz="8" w:color="00000A"/>
            </w:tcBorders>
          </w:tcPr>
          <w:p>
            <w:pPr>
              <w:spacing w:after="0"/>
              <w:rPr>
                <w:sz w:val="16"/>
                <w:szCs w:val="16"/>
                <w:color w:val="auto"/>
              </w:rPr>
            </w:pPr>
          </w:p>
        </w:tc>
        <w:tc>
          <w:tcPr>
            <w:tcW w:w="390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12072400248</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July 24, 2016</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G.N. Johnston Equipment Co. Ltd.</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13032216453</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March 22,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RCAP Leasing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13061212820</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12, 2018</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13122010501</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December 20, 2023</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-6985</wp:posOffset>
            </wp:positionV>
            <wp:extent cx="762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 cy="37465"/>
                    </a:xfrm>
                    <a:prstGeom prst="rect">
                      <a:avLst/>
                    </a:prstGeom>
                    <a:noFill/>
                  </pic:spPr>
                </pic:pic>
              </a:graphicData>
            </a:graphic>
          </wp:anchor>
        </w:drawing>
        <w:drawing>
          <wp:anchor simplePos="0" relativeHeight="251657728" behindDoc="1" locked="0" layoutInCell="0" allowOverlap="1">
            <wp:simplePos x="0" y="0"/>
            <wp:positionH relativeFrom="column">
              <wp:posOffset>4793615</wp:posOffset>
            </wp:positionH>
            <wp:positionV relativeFrom="paragraph">
              <wp:posOffset>-6985</wp:posOffset>
            </wp:positionV>
            <wp:extent cx="762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0" cy="3746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-6985</wp:posOffset>
            </wp:positionV>
            <wp:extent cx="762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0" cy="37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-6985</wp:posOffset>
            </wp:positionV>
            <wp:extent cx="762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 cy="37465"/>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-6985</wp:posOffset>
            </wp:positionV>
            <wp:extent cx="762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 cy="37465"/>
                    </a:xfrm>
                    <a:prstGeom prst="rect">
                      <a:avLst/>
                    </a:prstGeom>
                    <a:noFill/>
                  </pic:spPr>
                </pic:pic>
              </a:graphicData>
            </a:graphic>
          </wp:anchor>
        </w:drawing>
      </w:r>
    </w:p>
    <w:p>
      <w:pPr>
        <w:sectPr>
          <w:pgSz w:w="11900" w:h="16853" w:orient="portrait"/>
          <w:cols w:equalWidth="0" w:num="1">
            <w:col w:w="11440"/>
          </w:cols>
          <w:pgMar w:left="240" w:top="140" w:right="219" w:bottom="0" w:gutter="0" w:footer="0" w:header="0"/>
        </w:sectPr>
      </w:pPr>
    </w:p>
    <w:bookmarkStart w:id="102" w:name="page103"/>
    <w:bookmarkEnd w:id="102"/>
    <w:p>
      <w:pPr>
        <w:spacing w:after="0" w:line="62" w:lineRule="exact"/>
        <w:rPr>
          <w:sz w:val="20"/>
          <w:szCs w:val="20"/>
          <w:color w:val="auto"/>
        </w:rPr>
      </w:pPr>
    </w:p>
    <w:tbl>
      <w:tblPr>
        <w:tblLayout w:type="fixed"/>
        <w:tblInd w:w="30" w:type="dxa"/>
        <w:tblCellMar>
          <w:top w:w="0" w:type="dxa"/>
          <w:left w:w="0" w:type="dxa"/>
          <w:bottom w:w="0" w:type="dxa"/>
          <w:right w:w="0" w:type="dxa"/>
        </w:tblCellMar>
      </w:tblPr>
      <w:tr>
        <w:trPr>
          <w:trHeight w:val="266"/>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14022521743</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February 25, 2019</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AB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14022525562</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February 25, 2020</w:t>
            </w: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SK</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112282172</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June 2, 2018</w:t>
            </w:r>
          </w:p>
        </w:tc>
        <w:tc>
          <w:tcPr>
            <w:tcW w:w="0" w:type="dxa"/>
            <w:vAlign w:val="bottom"/>
          </w:tcPr>
          <w:p>
            <w:pPr>
              <w:spacing w:after="0"/>
              <w:rPr>
                <w:sz w:val="1"/>
                <w:szCs w:val="1"/>
                <w:color w:val="auto"/>
              </w:rPr>
            </w:pPr>
          </w:p>
        </w:tc>
      </w:tr>
      <w:tr>
        <w:trPr>
          <w:trHeight w:val="203"/>
        </w:trPr>
        <w:tc>
          <w:tcPr>
            <w:tcW w:w="3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17"/>
                <w:szCs w:val="17"/>
                <w:color w:val="auto"/>
              </w:rPr>
            </w:pPr>
          </w:p>
        </w:tc>
        <w:tc>
          <w:tcPr>
            <w:tcW w:w="3640" w:type="dxa"/>
            <w:vAlign w:val="bottom"/>
            <w:tcBorders>
              <w:right w:val="single" w:sz="8" w:color="00000A"/>
            </w:tcBorders>
          </w:tcPr>
          <w:p>
            <w:pPr>
              <w:spacing w:after="0"/>
              <w:rPr>
                <w:sz w:val="17"/>
                <w:szCs w:val="17"/>
                <w:color w:val="auto"/>
              </w:rPr>
            </w:pPr>
          </w:p>
        </w:tc>
        <w:tc>
          <w:tcPr>
            <w:tcW w:w="3900" w:type="dxa"/>
            <w:vAlign w:val="bottom"/>
            <w:tcBorders>
              <w:right w:val="single" w:sz="8" w:color="00000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20" w:type="dxa"/>
            <w:vAlign w:val="bottom"/>
            <w:tcBorders>
              <w:left w:val="single" w:sz="8" w:color="00000A"/>
              <w:right w:val="single" w:sz="8" w:color="00000A"/>
            </w:tcBorders>
            <w:vMerge w:val="continue"/>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3640" w:type="dxa"/>
            <w:vAlign w:val="bottom"/>
            <w:tcBorders>
              <w:right w:val="single" w:sz="8" w:color="00000A"/>
            </w:tcBorders>
          </w:tcPr>
          <w:p>
            <w:pPr>
              <w:spacing w:after="0"/>
              <w:rPr>
                <w:sz w:val="16"/>
                <w:szCs w:val="16"/>
                <w:color w:val="auto"/>
              </w:rPr>
            </w:pPr>
          </w:p>
        </w:tc>
        <w:tc>
          <w:tcPr>
            <w:tcW w:w="39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3578550</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3, 2018</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NS</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7716</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November 3, 2017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NS</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18548354</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September 6, 2015</w:t>
            </w:r>
          </w:p>
        </w:tc>
        <w:tc>
          <w:tcPr>
            <w:tcW w:w="0" w:type="dxa"/>
            <w:vAlign w:val="bottom"/>
          </w:tcPr>
          <w:p>
            <w:pPr>
              <w:spacing w:after="0"/>
              <w:rPr>
                <w:sz w:val="1"/>
                <w:szCs w:val="1"/>
                <w:color w:val="auto"/>
              </w:rPr>
            </w:pPr>
          </w:p>
        </w:tc>
      </w:tr>
      <w:tr>
        <w:trPr>
          <w:trHeight w:val="127"/>
        </w:trPr>
        <w:tc>
          <w:tcPr>
            <w:tcW w:w="3120" w:type="dxa"/>
            <w:vAlign w:val="bottom"/>
            <w:tcBorders>
              <w:left w:val="single" w:sz="8" w:color="00000A"/>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3640" w:type="dxa"/>
            <w:vAlign w:val="bottom"/>
            <w:tcBorders>
              <w:bottom w:val="single" w:sz="8" w:color="00000A"/>
              <w:right w:val="single" w:sz="8" w:color="00000A"/>
            </w:tcBorders>
          </w:tcPr>
          <w:p>
            <w:pPr>
              <w:spacing w:after="0"/>
              <w:rPr>
                <w:sz w:val="11"/>
                <w:szCs w:val="11"/>
                <w:color w:val="auto"/>
              </w:rPr>
            </w:pPr>
          </w:p>
        </w:tc>
        <w:tc>
          <w:tcPr>
            <w:tcW w:w="39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Hazmasters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NS</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24850190</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September 3, 2019</w:t>
            </w:r>
          </w:p>
        </w:tc>
        <w:tc>
          <w:tcPr>
            <w:tcW w:w="0" w:type="dxa"/>
            <w:vAlign w:val="bottom"/>
          </w:tcPr>
          <w:p>
            <w:pPr>
              <w:spacing w:after="0"/>
              <w:rPr>
                <w:sz w:val="1"/>
                <w:szCs w:val="1"/>
                <w:color w:val="auto"/>
              </w:rPr>
            </w:pPr>
          </w:p>
        </w:tc>
      </w:tr>
      <w:tr>
        <w:trPr>
          <w:trHeight w:val="127"/>
        </w:trPr>
        <w:tc>
          <w:tcPr>
            <w:tcW w:w="3120" w:type="dxa"/>
            <w:vAlign w:val="bottom"/>
            <w:tcBorders>
              <w:left w:val="single" w:sz="8" w:color="00000A"/>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3640" w:type="dxa"/>
            <w:vAlign w:val="bottom"/>
            <w:tcBorders>
              <w:bottom w:val="single" w:sz="8" w:color="00000A"/>
              <w:right w:val="single" w:sz="8" w:color="00000A"/>
            </w:tcBorders>
          </w:tcPr>
          <w:p>
            <w:pPr>
              <w:spacing w:after="0"/>
              <w:rPr>
                <w:sz w:val="11"/>
                <w:szCs w:val="11"/>
                <w:color w:val="auto"/>
              </w:rPr>
            </w:pPr>
          </w:p>
        </w:tc>
        <w:tc>
          <w:tcPr>
            <w:tcW w:w="39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Hazmaster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NS</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NATIONAL LEASING GROUP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24839870</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September 1, 2019</w:t>
            </w:r>
          </w:p>
        </w:tc>
        <w:tc>
          <w:tcPr>
            <w:tcW w:w="0" w:type="dxa"/>
            <w:vAlign w:val="bottom"/>
          </w:tcPr>
          <w:p>
            <w:pPr>
              <w:spacing w:after="0"/>
              <w:rPr>
                <w:sz w:val="1"/>
                <w:szCs w:val="1"/>
                <w:color w:val="auto"/>
              </w:rPr>
            </w:pPr>
          </w:p>
        </w:tc>
      </w:tr>
      <w:tr>
        <w:trPr>
          <w:trHeight w:val="127"/>
        </w:trPr>
        <w:tc>
          <w:tcPr>
            <w:tcW w:w="3120" w:type="dxa"/>
            <w:vAlign w:val="bottom"/>
            <w:tcBorders>
              <w:left w:val="single" w:sz="8" w:color="00000A"/>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3640" w:type="dxa"/>
            <w:vAlign w:val="bottom"/>
            <w:tcBorders>
              <w:bottom w:val="single" w:sz="8" w:color="00000A"/>
              <w:right w:val="single" w:sz="8" w:color="00000A"/>
            </w:tcBorders>
          </w:tcPr>
          <w:p>
            <w:pPr>
              <w:spacing w:after="0"/>
              <w:rPr>
                <w:sz w:val="11"/>
                <w:szCs w:val="11"/>
                <w:color w:val="auto"/>
              </w:rPr>
            </w:pPr>
          </w:p>
        </w:tc>
        <w:tc>
          <w:tcPr>
            <w:tcW w:w="39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EECOL Electric Corp.</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MB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w w:val="98"/>
              </w:rPr>
              <w:t>De Lage Landen Financial Services Canada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201302234200</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February 7, 2018</w:t>
            </w:r>
          </w:p>
        </w:tc>
        <w:tc>
          <w:tcPr>
            <w:tcW w:w="0" w:type="dxa"/>
            <w:vAlign w:val="bottom"/>
          </w:tcPr>
          <w:p>
            <w:pPr>
              <w:spacing w:after="0"/>
              <w:rPr>
                <w:sz w:val="1"/>
                <w:szCs w:val="1"/>
                <w:color w:val="auto"/>
              </w:rPr>
            </w:pPr>
          </w:p>
        </w:tc>
      </w:tr>
      <w:tr>
        <w:trPr>
          <w:trHeight w:val="127"/>
        </w:trPr>
        <w:tc>
          <w:tcPr>
            <w:tcW w:w="3120" w:type="dxa"/>
            <w:vAlign w:val="bottom"/>
            <w:tcBorders>
              <w:left w:val="single" w:sz="8" w:color="00000A"/>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3640" w:type="dxa"/>
            <w:vAlign w:val="bottom"/>
            <w:tcBorders>
              <w:bottom w:val="single" w:sz="8" w:color="00000A"/>
              <w:right w:val="single" w:sz="8" w:color="00000A"/>
            </w:tcBorders>
          </w:tcPr>
          <w:p>
            <w:pPr>
              <w:spacing w:after="0"/>
              <w:rPr>
                <w:sz w:val="11"/>
                <w:szCs w:val="11"/>
                <w:color w:val="auto"/>
              </w:rPr>
            </w:pPr>
          </w:p>
        </w:tc>
        <w:tc>
          <w:tcPr>
            <w:tcW w:w="39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Inc</w:t>
            </w:r>
          </w:p>
        </w:tc>
        <w:tc>
          <w:tcPr>
            <w:tcW w:w="80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MB</w:t>
            </w:r>
          </w:p>
        </w:tc>
        <w:tc>
          <w:tcPr>
            <w:tcW w:w="3640" w:type="dxa"/>
            <w:vAlign w:val="bottom"/>
            <w:tcBorders>
              <w:right w:val="single" w:sz="8" w:color="00000A"/>
            </w:tcBorders>
          </w:tcPr>
          <w:p>
            <w:pPr>
              <w:spacing w:after="0"/>
              <w:rPr>
                <w:sz w:val="20"/>
                <w:szCs w:val="20"/>
                <w:color w:val="auto"/>
              </w:rPr>
            </w:pPr>
            <w:r>
              <w:rPr>
                <w:rFonts w:ascii="Arial" w:cs="Arial" w:eastAsia="Arial" w:hAnsi="Arial"/>
                <w:sz w:val="17"/>
                <w:szCs w:val="17"/>
                <w:color w:val="auto"/>
              </w:rPr>
              <w:t>PHH Vehicle Management Services Inc.</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980603107017</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LP</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3, 2016</w:t>
            </w:r>
          </w:p>
        </w:tc>
        <w:tc>
          <w:tcPr>
            <w:tcW w:w="0" w:type="dxa"/>
            <w:vAlign w:val="bottom"/>
          </w:tcPr>
          <w:p>
            <w:pPr>
              <w:spacing w:after="0"/>
              <w:rPr>
                <w:sz w:val="1"/>
                <w:szCs w:val="1"/>
                <w:color w:val="auto"/>
              </w:rPr>
            </w:pPr>
          </w:p>
        </w:tc>
      </w:tr>
      <w:tr>
        <w:trPr>
          <w:trHeight w:val="393"/>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Wesco Distribution Canada GP Inc.</w:t>
            </w:r>
          </w:p>
        </w:tc>
        <w:tc>
          <w:tcPr>
            <w:tcW w:w="800" w:type="dxa"/>
            <w:vAlign w:val="bottom"/>
            <w:tcBorders>
              <w:right w:val="single" w:sz="8" w:color="00000A"/>
            </w:tcBorders>
          </w:tcPr>
          <w:p>
            <w:pPr>
              <w:spacing w:after="0"/>
              <w:rPr>
                <w:sz w:val="24"/>
                <w:szCs w:val="24"/>
                <w:color w:val="auto"/>
              </w:rPr>
            </w:pPr>
          </w:p>
        </w:tc>
        <w:tc>
          <w:tcPr>
            <w:tcW w:w="364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00000A"/>
              <w:bottom w:val="single" w:sz="8" w:color="00000A"/>
              <w:right w:val="single" w:sz="8" w:color="00000A"/>
            </w:tcBorders>
          </w:tcPr>
          <w:p>
            <w:pPr>
              <w:spacing w:after="0"/>
              <w:rPr>
                <w:sz w:val="9"/>
                <w:szCs w:val="9"/>
                <w:color w:val="auto"/>
              </w:rPr>
            </w:pPr>
          </w:p>
        </w:tc>
        <w:tc>
          <w:tcPr>
            <w:tcW w:w="800" w:type="dxa"/>
            <w:vAlign w:val="bottom"/>
            <w:tcBorders>
              <w:bottom w:val="single" w:sz="8" w:color="00000A"/>
              <w:right w:val="single" w:sz="8" w:color="00000A"/>
            </w:tcBorders>
          </w:tcPr>
          <w:p>
            <w:pPr>
              <w:spacing w:after="0"/>
              <w:rPr>
                <w:sz w:val="9"/>
                <w:szCs w:val="9"/>
                <w:color w:val="auto"/>
              </w:rPr>
            </w:pPr>
          </w:p>
        </w:tc>
        <w:tc>
          <w:tcPr>
            <w:tcW w:w="3640" w:type="dxa"/>
            <w:vAlign w:val="bottom"/>
            <w:tcBorders>
              <w:bottom w:val="single" w:sz="8" w:color="00000A"/>
              <w:right w:val="single" w:sz="8" w:color="00000A"/>
            </w:tcBorders>
          </w:tcPr>
          <w:p>
            <w:pPr>
              <w:spacing w:after="0"/>
              <w:rPr>
                <w:sz w:val="9"/>
                <w:szCs w:val="9"/>
                <w:color w:val="auto"/>
              </w:rPr>
            </w:pPr>
          </w:p>
        </w:tc>
        <w:tc>
          <w:tcPr>
            <w:tcW w:w="390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3"/>
          </w:tcPr>
          <w:p>
            <w:pPr>
              <w:jc w:val="center"/>
              <w:ind w:left="165"/>
              <w:spacing w:after="0"/>
              <w:rPr>
                <w:sz w:val="20"/>
                <w:szCs w:val="20"/>
                <w:color w:val="auto"/>
              </w:rPr>
            </w:pPr>
            <w:r>
              <w:rPr>
                <w:rFonts w:ascii="Arial" w:cs="Arial" w:eastAsia="Arial" w:hAnsi="Arial"/>
                <w:sz w:val="19"/>
                <w:szCs w:val="19"/>
                <w:b w:val="1"/>
                <w:bCs w:val="1"/>
                <w:color w:val="auto"/>
              </w:rPr>
              <w:t>QUEBEC RPMRR LIENS</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480" w:type="dxa"/>
            <w:vAlign w:val="bottom"/>
            <w:gridSpan w:val="2"/>
          </w:tcPr>
          <w:p>
            <w:pPr>
              <w:spacing w:after="0"/>
              <w:rPr>
                <w:sz w:val="20"/>
                <w:szCs w:val="20"/>
                <w:color w:val="auto"/>
              </w:rPr>
            </w:pPr>
            <w:r>
              <w:rPr>
                <w:rFonts w:ascii="Arial" w:cs="Arial" w:eastAsia="Arial" w:hAnsi="Arial"/>
                <w:sz w:val="19"/>
                <w:szCs w:val="19"/>
                <w:b w:val="1"/>
                <w:bCs w:val="1"/>
                <w:color w:val="auto"/>
              </w:rPr>
              <w:t>HAZMASTERS QUEBEC INC.</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00" w:type="dxa"/>
            <w:vAlign w:val="bottom"/>
          </w:tcPr>
          <w:p>
            <w:pPr>
              <w:spacing w:after="0"/>
              <w:rPr>
                <w:sz w:val="24"/>
                <w:szCs w:val="24"/>
                <w:color w:val="auto"/>
              </w:rPr>
            </w:pPr>
          </w:p>
        </w:tc>
        <w:tc>
          <w:tcPr>
            <w:tcW w:w="8640" w:type="dxa"/>
            <w:vAlign w:val="bottom"/>
            <w:gridSpan w:val="9"/>
          </w:tcPr>
          <w:p>
            <w:pPr>
              <w:jc w:val="center"/>
              <w:ind w:left="1485"/>
              <w:spacing w:after="0"/>
              <w:rPr>
                <w:sz w:val="20"/>
                <w:szCs w:val="20"/>
                <w:color w:val="auto"/>
              </w:rPr>
            </w:pPr>
            <w:r>
              <w:rPr>
                <w:rFonts w:ascii="Arial" w:cs="Arial" w:eastAsia="Arial" w:hAnsi="Arial"/>
                <w:sz w:val="19"/>
                <w:szCs w:val="19"/>
                <w:b w:val="1"/>
                <w:bCs w:val="1"/>
                <w:color w:val="auto"/>
              </w:rPr>
              <w:t>LIST OF MOVABLE HYPOTHECS &amp; ASSIGNMENT OF CLAIMS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480" w:type="dxa"/>
            <w:vAlign w:val="bottom"/>
            <w:gridSpan w:val="2"/>
          </w:tcPr>
          <w:p>
            <w:pPr>
              <w:spacing w:after="0"/>
              <w:rPr>
                <w:sz w:val="20"/>
                <w:szCs w:val="20"/>
                <w:color w:val="auto"/>
              </w:rPr>
            </w:pPr>
            <w:r>
              <w:rPr>
                <w:rFonts w:ascii="Arial" w:cs="Arial" w:eastAsia="Arial" w:hAnsi="Arial"/>
                <w:sz w:val="19"/>
                <w:szCs w:val="19"/>
                <w:b w:val="1"/>
                <w:bCs w:val="1"/>
                <w:color w:val="auto"/>
              </w:rPr>
              <w:t>Legend: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80" w:type="dxa"/>
            <w:vAlign w:val="bottom"/>
            <w:gridSpan w:val="4"/>
          </w:tcPr>
          <w:p>
            <w:pPr>
              <w:spacing w:after="0"/>
              <w:rPr>
                <w:sz w:val="20"/>
                <w:szCs w:val="20"/>
                <w:color w:val="auto"/>
              </w:rPr>
            </w:pPr>
            <w:r>
              <w:rPr>
                <w:rFonts w:ascii="Arial" w:cs="Arial" w:eastAsia="Arial" w:hAnsi="Arial"/>
                <w:sz w:val="19"/>
                <w:szCs w:val="19"/>
                <w:b w:val="1"/>
                <w:bCs w:val="1"/>
                <w:i w:val="1"/>
                <w:iCs w:val="1"/>
                <w:color w:val="auto"/>
              </w:rPr>
              <w:t>NATURE OF SECURITY  CHARGED ASSETS</w:t>
            </w:r>
          </w:p>
        </w:tc>
        <w:tc>
          <w:tcPr>
            <w:tcW w:w="1940" w:type="dxa"/>
            <w:vAlign w:val="bottom"/>
          </w:tcPr>
          <w:p>
            <w:pPr>
              <w:ind w:left="20"/>
              <w:spacing w:after="0"/>
              <w:rPr>
                <w:sz w:val="20"/>
                <w:szCs w:val="20"/>
                <w:color w:val="auto"/>
              </w:rPr>
            </w:pPr>
            <w:r>
              <w:rPr>
                <w:rFonts w:ascii="Arial" w:cs="Arial" w:eastAsia="Arial" w:hAnsi="Arial"/>
                <w:sz w:val="19"/>
                <w:szCs w:val="19"/>
                <w:b w:val="1"/>
                <w:bCs w:val="1"/>
                <w:i w:val="1"/>
                <w:iCs w:val="1"/>
                <w:color w:val="auto"/>
              </w:rPr>
              <w:t>OTHERS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9"/>
                <w:szCs w:val="19"/>
                <w:color w:val="auto"/>
              </w:rPr>
              <w:t>MH=</w:t>
            </w:r>
          </w:p>
        </w:tc>
        <w:tc>
          <w:tcPr>
            <w:tcW w:w="2880" w:type="dxa"/>
            <w:vAlign w:val="bottom"/>
          </w:tcPr>
          <w:p>
            <w:pPr>
              <w:spacing w:after="0"/>
              <w:rPr>
                <w:sz w:val="20"/>
                <w:szCs w:val="20"/>
                <w:color w:val="auto"/>
              </w:rPr>
            </w:pPr>
            <w:r>
              <w:rPr>
                <w:rFonts w:ascii="Arial" w:cs="Arial" w:eastAsia="Arial" w:hAnsi="Arial"/>
                <w:sz w:val="19"/>
                <w:szCs w:val="19"/>
                <w:color w:val="auto"/>
                <w:w w:val="97"/>
              </w:rPr>
              <w:t>Movable Hypothec without delivery</w:t>
            </w:r>
          </w:p>
        </w:tc>
        <w:tc>
          <w:tcPr>
            <w:tcW w:w="340" w:type="dxa"/>
            <w:vAlign w:val="bottom"/>
          </w:tcPr>
          <w:p>
            <w:pPr>
              <w:jc w:val="center"/>
              <w:spacing w:after="0"/>
              <w:rPr>
                <w:sz w:val="20"/>
                <w:szCs w:val="20"/>
                <w:color w:val="auto"/>
              </w:rPr>
            </w:pPr>
            <w:r>
              <w:rPr>
                <w:rFonts w:ascii="Arial" w:cs="Arial" w:eastAsia="Arial" w:hAnsi="Arial"/>
                <w:sz w:val="19"/>
                <w:szCs w:val="19"/>
                <w:color w:val="auto"/>
                <w:w w:val="94"/>
              </w:rPr>
              <w:t>G</w:t>
            </w:r>
          </w:p>
        </w:tc>
        <w:tc>
          <w:tcPr>
            <w:tcW w:w="260" w:type="dxa"/>
            <w:vAlign w:val="bottom"/>
          </w:tcPr>
          <w:p>
            <w:pPr>
              <w:jc w:val="right"/>
              <w:spacing w:after="0"/>
              <w:rPr>
                <w:sz w:val="20"/>
                <w:szCs w:val="20"/>
                <w:color w:val="auto"/>
              </w:rPr>
            </w:pPr>
            <w:r>
              <w:rPr>
                <w:rFonts w:ascii="Arial" w:cs="Arial" w:eastAsia="Arial" w:hAnsi="Arial"/>
                <w:sz w:val="19"/>
                <w:szCs w:val="19"/>
                <w:color w:val="auto"/>
              </w:rPr>
              <w:t>=</w:t>
            </w:r>
          </w:p>
        </w:tc>
        <w:tc>
          <w:tcPr>
            <w:tcW w:w="5160" w:type="dxa"/>
            <w:vAlign w:val="bottom"/>
            <w:gridSpan w:val="6"/>
          </w:tcPr>
          <w:p>
            <w:pPr>
              <w:ind w:left="100"/>
              <w:spacing w:after="0"/>
              <w:rPr>
                <w:sz w:val="20"/>
                <w:szCs w:val="20"/>
                <w:color w:val="auto"/>
              </w:rPr>
            </w:pPr>
            <w:r>
              <w:rPr>
                <w:rFonts w:ascii="Arial" w:cs="Arial" w:eastAsia="Arial" w:hAnsi="Arial"/>
                <w:sz w:val="19"/>
                <w:szCs w:val="19"/>
                <w:color w:val="auto"/>
              </w:rPr>
              <w:t>General Movable Property  A1, A2……  Assignment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9"/>
                <w:szCs w:val="19"/>
                <w:color w:val="auto"/>
                <w:w w:val="97"/>
              </w:rPr>
              <w:t>MHwt=</w:t>
            </w:r>
          </w:p>
        </w:tc>
        <w:tc>
          <w:tcPr>
            <w:tcW w:w="2880" w:type="dxa"/>
            <w:vAlign w:val="bottom"/>
          </w:tcPr>
          <w:p>
            <w:pPr>
              <w:ind w:left="200"/>
              <w:spacing w:after="0"/>
              <w:rPr>
                <w:sz w:val="20"/>
                <w:szCs w:val="20"/>
                <w:color w:val="auto"/>
              </w:rPr>
            </w:pPr>
            <w:r>
              <w:rPr>
                <w:rFonts w:ascii="Arial" w:cs="Arial" w:eastAsia="Arial" w:hAnsi="Arial"/>
                <w:sz w:val="19"/>
                <w:szCs w:val="19"/>
                <w:color w:val="auto"/>
                <w:w w:val="99"/>
              </w:rPr>
              <w:t>Movable Hypothec with delivery</w:t>
            </w:r>
          </w:p>
        </w:tc>
        <w:tc>
          <w:tcPr>
            <w:tcW w:w="340" w:type="dxa"/>
            <w:vAlign w:val="bottom"/>
          </w:tcPr>
          <w:p>
            <w:pPr>
              <w:jc w:val="center"/>
              <w:spacing w:after="0"/>
              <w:rPr>
                <w:sz w:val="20"/>
                <w:szCs w:val="20"/>
                <w:color w:val="auto"/>
              </w:rPr>
            </w:pPr>
            <w:r>
              <w:rPr>
                <w:rFonts w:ascii="Arial" w:cs="Arial" w:eastAsia="Arial" w:hAnsi="Arial"/>
                <w:sz w:val="19"/>
                <w:szCs w:val="19"/>
                <w:color w:val="auto"/>
                <w:w w:val="98"/>
              </w:rPr>
              <w:t>AR</w:t>
            </w:r>
          </w:p>
        </w:tc>
        <w:tc>
          <w:tcPr>
            <w:tcW w:w="260" w:type="dxa"/>
            <w:vAlign w:val="bottom"/>
          </w:tcPr>
          <w:p>
            <w:pPr>
              <w:jc w:val="right"/>
              <w:spacing w:after="0"/>
              <w:rPr>
                <w:sz w:val="20"/>
                <w:szCs w:val="20"/>
                <w:color w:val="auto"/>
              </w:rPr>
            </w:pPr>
            <w:r>
              <w:rPr>
                <w:rFonts w:ascii="Arial" w:cs="Arial" w:eastAsia="Arial" w:hAnsi="Arial"/>
                <w:sz w:val="19"/>
                <w:szCs w:val="19"/>
                <w:color w:val="auto"/>
              </w:rPr>
              <w:t>=</w:t>
            </w:r>
          </w:p>
        </w:tc>
        <w:tc>
          <w:tcPr>
            <w:tcW w:w="1940" w:type="dxa"/>
            <w:vAlign w:val="bottom"/>
          </w:tcPr>
          <w:p>
            <w:pPr>
              <w:ind w:left="160"/>
              <w:spacing w:after="0"/>
              <w:rPr>
                <w:sz w:val="20"/>
                <w:szCs w:val="20"/>
                <w:color w:val="auto"/>
              </w:rPr>
            </w:pPr>
            <w:r>
              <w:rPr>
                <w:rFonts w:ascii="Arial" w:cs="Arial" w:eastAsia="Arial" w:hAnsi="Arial"/>
                <w:sz w:val="19"/>
                <w:szCs w:val="19"/>
                <w:color w:val="auto"/>
                <w:w w:val="99"/>
              </w:rPr>
              <w:t>Account Receivables</w:t>
            </w:r>
          </w:p>
        </w:tc>
        <w:tc>
          <w:tcPr>
            <w:tcW w:w="1060" w:type="dxa"/>
            <w:vAlign w:val="bottom"/>
            <w:gridSpan w:val="2"/>
          </w:tcPr>
          <w:p>
            <w:pPr>
              <w:jc w:val="center"/>
              <w:spacing w:after="0"/>
              <w:rPr>
                <w:sz w:val="20"/>
                <w:szCs w:val="20"/>
                <w:color w:val="auto"/>
              </w:rPr>
            </w:pPr>
            <w:r>
              <w:rPr>
                <w:rFonts w:ascii="Arial" w:cs="Arial" w:eastAsia="Arial" w:hAnsi="Arial"/>
                <w:sz w:val="19"/>
                <w:szCs w:val="19"/>
                <w:color w:val="auto"/>
                <w:w w:val="94"/>
              </w:rPr>
              <w:t>AS1, AS2…</w:t>
            </w:r>
          </w:p>
        </w:tc>
        <w:tc>
          <w:tcPr>
            <w:tcW w:w="2160" w:type="dxa"/>
            <w:vAlign w:val="bottom"/>
            <w:gridSpan w:val="3"/>
          </w:tcPr>
          <w:p>
            <w:pPr>
              <w:ind w:left="100"/>
              <w:spacing w:after="0"/>
              <w:rPr>
                <w:sz w:val="20"/>
                <w:szCs w:val="20"/>
                <w:color w:val="auto"/>
              </w:rPr>
            </w:pPr>
            <w:r>
              <w:rPr>
                <w:rFonts w:ascii="Arial" w:cs="Arial" w:eastAsia="Arial" w:hAnsi="Arial"/>
                <w:sz w:val="19"/>
                <w:szCs w:val="19"/>
                <w:color w:val="auto"/>
                <w:w w:val="99"/>
              </w:rPr>
              <w:t>Assumption of Hypothec</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80" w:type="dxa"/>
            <w:vAlign w:val="bottom"/>
            <w:gridSpan w:val="2"/>
          </w:tcPr>
          <w:p>
            <w:pPr>
              <w:spacing w:after="0"/>
              <w:rPr>
                <w:sz w:val="20"/>
                <w:szCs w:val="20"/>
                <w:color w:val="auto"/>
              </w:rPr>
            </w:pPr>
            <w:r>
              <w:rPr>
                <w:rFonts w:ascii="Arial" w:cs="Arial" w:eastAsia="Arial" w:hAnsi="Arial"/>
                <w:sz w:val="19"/>
                <w:szCs w:val="19"/>
                <w:color w:val="auto"/>
              </w:rPr>
              <w:t>FH=  Floating Hypothec  I  =  Inventory</w:t>
            </w:r>
          </w:p>
        </w:tc>
        <w:tc>
          <w:tcPr>
            <w:tcW w:w="2540" w:type="dxa"/>
            <w:vAlign w:val="bottom"/>
            <w:gridSpan w:val="3"/>
          </w:tcPr>
          <w:p>
            <w:pPr>
              <w:ind w:left="160"/>
              <w:spacing w:after="0"/>
              <w:rPr>
                <w:sz w:val="20"/>
                <w:szCs w:val="20"/>
                <w:color w:val="auto"/>
              </w:rPr>
            </w:pPr>
            <w:r>
              <w:rPr>
                <w:rFonts w:ascii="Arial" w:cs="Arial" w:eastAsia="Arial" w:hAnsi="Arial"/>
                <w:sz w:val="19"/>
                <w:szCs w:val="19"/>
                <w:color w:val="auto"/>
                <w:w w:val="96"/>
              </w:rPr>
              <w:t>C1, C2….…  Cession of rank</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9"/>
                <w:szCs w:val="19"/>
                <w:color w:val="auto"/>
              </w:rPr>
              <w:t>LHL=</w:t>
            </w:r>
          </w:p>
        </w:tc>
        <w:tc>
          <w:tcPr>
            <w:tcW w:w="5420" w:type="dxa"/>
            <w:vAlign w:val="bottom"/>
            <w:gridSpan w:val="4"/>
          </w:tcPr>
          <w:p>
            <w:pPr>
              <w:ind w:left="80"/>
              <w:spacing w:after="0"/>
              <w:rPr>
                <w:sz w:val="20"/>
                <w:szCs w:val="20"/>
                <w:color w:val="auto"/>
              </w:rPr>
            </w:pPr>
            <w:r>
              <w:rPr>
                <w:rFonts w:ascii="Arial" w:cs="Arial" w:eastAsia="Arial" w:hAnsi="Arial"/>
                <w:sz w:val="19"/>
                <w:szCs w:val="19"/>
                <w:color w:val="auto"/>
                <w:w w:val="98"/>
              </w:rPr>
              <w:t>Legal Hypothec of Landlord (renewal of Landlord Privilege)  E  =</w:t>
            </w:r>
          </w:p>
        </w:tc>
        <w:tc>
          <w:tcPr>
            <w:tcW w:w="1060" w:type="dxa"/>
            <w:vAlign w:val="bottom"/>
            <w:gridSpan w:val="2"/>
          </w:tcPr>
          <w:p>
            <w:pPr>
              <w:jc w:val="center"/>
              <w:spacing w:after="0"/>
              <w:rPr>
                <w:sz w:val="20"/>
                <w:szCs w:val="20"/>
                <w:color w:val="auto"/>
              </w:rPr>
            </w:pPr>
            <w:r>
              <w:rPr>
                <w:rFonts w:ascii="Arial" w:cs="Arial" w:eastAsia="Arial" w:hAnsi="Arial"/>
                <w:sz w:val="19"/>
                <w:szCs w:val="19"/>
                <w:color w:val="auto"/>
                <w:w w:val="90"/>
              </w:rPr>
              <w:t>Equipment</w:t>
            </w:r>
          </w:p>
        </w:tc>
        <w:tc>
          <w:tcPr>
            <w:tcW w:w="1160" w:type="dxa"/>
            <w:vAlign w:val="bottom"/>
            <w:gridSpan w:val="2"/>
          </w:tcPr>
          <w:p>
            <w:pPr>
              <w:ind w:left="60"/>
              <w:spacing w:after="0"/>
              <w:rPr>
                <w:sz w:val="20"/>
                <w:szCs w:val="20"/>
                <w:color w:val="auto"/>
              </w:rPr>
            </w:pPr>
            <w:r>
              <w:rPr>
                <w:rFonts w:ascii="Arial" w:cs="Arial" w:eastAsia="Arial" w:hAnsi="Arial"/>
                <w:sz w:val="19"/>
                <w:szCs w:val="19"/>
                <w:color w:val="auto"/>
              </w:rPr>
              <w:t>ChN1, ChN2</w:t>
            </w:r>
          </w:p>
        </w:tc>
        <w:tc>
          <w:tcPr>
            <w:tcW w:w="1560" w:type="dxa"/>
            <w:vAlign w:val="bottom"/>
            <w:gridSpan w:val="2"/>
          </w:tcPr>
          <w:p>
            <w:pPr>
              <w:jc w:val="center"/>
              <w:ind w:right="25"/>
              <w:spacing w:after="0"/>
              <w:rPr>
                <w:sz w:val="20"/>
                <w:szCs w:val="20"/>
                <w:color w:val="auto"/>
              </w:rPr>
            </w:pPr>
            <w:r>
              <w:rPr>
                <w:rFonts w:ascii="Arial" w:cs="Arial" w:eastAsia="Arial" w:hAnsi="Arial"/>
                <w:sz w:val="19"/>
                <w:szCs w:val="19"/>
                <w:color w:val="auto"/>
                <w:w w:val="88"/>
              </w:rPr>
              <w:t>Change of name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9"/>
                <w:szCs w:val="19"/>
                <w:color w:val="auto"/>
              </w:rPr>
              <w:t>LHJ=</w:t>
            </w:r>
          </w:p>
        </w:tc>
        <w:tc>
          <w:tcPr>
            <w:tcW w:w="3480" w:type="dxa"/>
            <w:vAlign w:val="bottom"/>
            <w:gridSpan w:val="3"/>
          </w:tcPr>
          <w:p>
            <w:pPr>
              <w:ind w:left="20"/>
              <w:spacing w:after="0"/>
              <w:rPr>
                <w:sz w:val="20"/>
                <w:szCs w:val="20"/>
                <w:color w:val="auto"/>
              </w:rPr>
            </w:pPr>
            <w:r>
              <w:rPr>
                <w:rFonts w:ascii="Arial" w:cs="Arial" w:eastAsia="Arial" w:hAnsi="Arial"/>
                <w:sz w:val="19"/>
                <w:szCs w:val="19"/>
                <w:color w:val="auto"/>
                <w:w w:val="96"/>
              </w:rPr>
              <w:t>Legal Hypothec resulting from a Judgment</w:t>
            </w:r>
          </w:p>
        </w:tc>
        <w:tc>
          <w:tcPr>
            <w:tcW w:w="2400" w:type="dxa"/>
            <w:vAlign w:val="bottom"/>
            <w:gridSpan w:val="2"/>
          </w:tcPr>
          <w:p>
            <w:pPr>
              <w:ind w:left="20"/>
              <w:spacing w:after="0"/>
              <w:rPr>
                <w:sz w:val="20"/>
                <w:szCs w:val="20"/>
                <w:color w:val="auto"/>
              </w:rPr>
            </w:pPr>
            <w:r>
              <w:rPr>
                <w:rFonts w:ascii="Arial" w:cs="Arial" w:eastAsia="Arial" w:hAnsi="Arial"/>
                <w:sz w:val="19"/>
                <w:szCs w:val="19"/>
                <w:color w:val="auto"/>
              </w:rPr>
              <w:t>IP  =  Intellectual Property</w:t>
            </w:r>
          </w:p>
        </w:tc>
        <w:tc>
          <w:tcPr>
            <w:tcW w:w="1160" w:type="dxa"/>
            <w:vAlign w:val="bottom"/>
            <w:gridSpan w:val="2"/>
          </w:tcPr>
          <w:p>
            <w:pPr>
              <w:ind w:left="20"/>
              <w:spacing w:after="0"/>
              <w:rPr>
                <w:sz w:val="20"/>
                <w:szCs w:val="20"/>
                <w:color w:val="auto"/>
              </w:rPr>
            </w:pPr>
            <w:r>
              <w:rPr>
                <w:rFonts w:ascii="Arial" w:cs="Arial" w:eastAsia="Arial" w:hAnsi="Arial"/>
                <w:sz w:val="19"/>
                <w:szCs w:val="19"/>
                <w:color w:val="auto"/>
              </w:rPr>
              <w:t>M1, M2……</w:t>
            </w:r>
          </w:p>
        </w:tc>
        <w:tc>
          <w:tcPr>
            <w:tcW w:w="3160" w:type="dxa"/>
            <w:vAlign w:val="bottom"/>
            <w:gridSpan w:val="4"/>
          </w:tcPr>
          <w:p>
            <w:pPr>
              <w:jc w:val="center"/>
              <w:ind w:right="425"/>
              <w:spacing w:after="0"/>
              <w:rPr>
                <w:sz w:val="20"/>
                <w:szCs w:val="20"/>
                <w:color w:val="auto"/>
              </w:rPr>
            </w:pPr>
            <w:r>
              <w:rPr>
                <w:rFonts w:ascii="Arial" w:cs="Arial" w:eastAsia="Arial" w:hAnsi="Arial"/>
                <w:sz w:val="19"/>
                <w:szCs w:val="19"/>
                <w:color w:val="auto"/>
                <w:w w:val="94"/>
              </w:rPr>
              <w:t>Modification of a published right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9"/>
                <w:szCs w:val="19"/>
                <w:color w:val="auto"/>
              </w:rPr>
              <w:t>LHS=</w:t>
            </w:r>
          </w:p>
        </w:tc>
        <w:tc>
          <w:tcPr>
            <w:tcW w:w="5880" w:type="dxa"/>
            <w:vAlign w:val="bottom"/>
            <w:gridSpan w:val="5"/>
          </w:tcPr>
          <w:p>
            <w:pPr>
              <w:ind w:left="60"/>
              <w:spacing w:after="0"/>
              <w:rPr>
                <w:sz w:val="20"/>
                <w:szCs w:val="20"/>
                <w:color w:val="auto"/>
              </w:rPr>
            </w:pPr>
            <w:r>
              <w:rPr>
                <w:rFonts w:ascii="Arial" w:cs="Arial" w:eastAsia="Arial" w:hAnsi="Arial"/>
                <w:sz w:val="19"/>
                <w:szCs w:val="19"/>
                <w:color w:val="auto"/>
                <w:w w:val="94"/>
              </w:rPr>
              <w:t>Legal Hypothec of State or of a legal person established  S  =  Securities</w:t>
            </w:r>
          </w:p>
        </w:tc>
        <w:tc>
          <w:tcPr>
            <w:tcW w:w="1160" w:type="dxa"/>
            <w:vAlign w:val="bottom"/>
            <w:gridSpan w:val="2"/>
          </w:tcPr>
          <w:p>
            <w:pPr>
              <w:ind w:left="180"/>
              <w:spacing w:after="0"/>
              <w:rPr>
                <w:sz w:val="20"/>
                <w:szCs w:val="20"/>
                <w:color w:val="auto"/>
              </w:rPr>
            </w:pPr>
            <w:r>
              <w:rPr>
                <w:rFonts w:ascii="Arial" w:cs="Arial" w:eastAsia="Arial" w:hAnsi="Arial"/>
                <w:sz w:val="19"/>
                <w:szCs w:val="19"/>
                <w:color w:val="auto"/>
                <w:w w:val="95"/>
              </w:rPr>
              <w:t>P1, P2…….</w:t>
            </w:r>
          </w:p>
        </w:tc>
        <w:tc>
          <w:tcPr>
            <w:tcW w:w="3800" w:type="dxa"/>
            <w:vAlign w:val="bottom"/>
            <w:gridSpan w:val="5"/>
          </w:tcPr>
          <w:p>
            <w:pPr>
              <w:ind w:left="140"/>
              <w:spacing w:after="0"/>
              <w:rPr>
                <w:sz w:val="20"/>
                <w:szCs w:val="20"/>
                <w:color w:val="auto"/>
              </w:rPr>
            </w:pPr>
            <w:r>
              <w:rPr>
                <w:rFonts w:ascii="Arial" w:cs="Arial" w:eastAsia="Arial" w:hAnsi="Arial"/>
                <w:sz w:val="19"/>
                <w:szCs w:val="19"/>
                <w:color w:val="auto"/>
              </w:rPr>
              <w:t>Prior Notice of Intention to exercise a Right</w:t>
            </w: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9"/>
                <w:szCs w:val="19"/>
                <w:color w:val="auto"/>
              </w:rPr>
              <w:t>in</w:t>
            </w:r>
          </w:p>
        </w:tc>
        <w:tc>
          <w:tcPr>
            <w:tcW w:w="1760" w:type="dxa"/>
            <w:vAlign w:val="bottom"/>
            <w:gridSpan w:val="3"/>
          </w:tcPr>
          <w:p>
            <w:pPr>
              <w:ind w:left="80"/>
              <w:spacing w:after="0"/>
              <w:rPr>
                <w:sz w:val="20"/>
                <w:szCs w:val="20"/>
                <w:color w:val="auto"/>
              </w:rPr>
            </w:pPr>
            <w:r>
              <w:rPr>
                <w:rFonts w:ascii="Arial" w:cs="Arial" w:eastAsia="Arial" w:hAnsi="Arial"/>
                <w:sz w:val="19"/>
                <w:szCs w:val="19"/>
                <w:color w:val="auto"/>
              </w:rPr>
              <w:t>the  public  interest</w:t>
            </w:r>
          </w:p>
        </w:tc>
        <w:tc>
          <w:tcPr>
            <w:tcW w:w="1000" w:type="dxa"/>
            <w:vAlign w:val="bottom"/>
          </w:tcPr>
          <w:p>
            <w:pPr>
              <w:ind w:left="380"/>
              <w:spacing w:after="0"/>
              <w:rPr>
                <w:sz w:val="20"/>
                <w:szCs w:val="20"/>
                <w:color w:val="auto"/>
              </w:rPr>
            </w:pPr>
            <w:r>
              <w:rPr>
                <w:rFonts w:ascii="Arial" w:cs="Arial" w:eastAsia="Arial" w:hAnsi="Arial"/>
                <w:sz w:val="19"/>
                <w:szCs w:val="19"/>
                <w:color w:val="auto"/>
              </w:rPr>
              <w:t>CL</w:t>
            </w:r>
          </w:p>
        </w:tc>
        <w:tc>
          <w:tcPr>
            <w:tcW w:w="56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000" w:type="dxa"/>
            <w:vAlign w:val="bottom"/>
          </w:tcPr>
          <w:p>
            <w:pPr>
              <w:ind w:left="200"/>
              <w:spacing w:after="0"/>
              <w:rPr>
                <w:sz w:val="20"/>
                <w:szCs w:val="20"/>
                <w:color w:val="auto"/>
              </w:rPr>
            </w:pPr>
            <w:r>
              <w:rPr>
                <w:rFonts w:ascii="Arial" w:cs="Arial" w:eastAsia="Arial" w:hAnsi="Arial"/>
                <w:sz w:val="19"/>
                <w:szCs w:val="19"/>
                <w:color w:val="auto"/>
              </w:rPr>
              <w:t>Claims</w:t>
            </w:r>
          </w:p>
        </w:tc>
        <w:tc>
          <w:tcPr>
            <w:tcW w:w="640" w:type="dxa"/>
            <w:vAlign w:val="bottom"/>
          </w:tcPr>
          <w:p>
            <w:pPr>
              <w:ind w:left="260"/>
              <w:spacing w:after="0"/>
              <w:rPr>
                <w:sz w:val="20"/>
                <w:szCs w:val="20"/>
                <w:color w:val="auto"/>
              </w:rPr>
            </w:pPr>
            <w:r>
              <w:rPr>
                <w:rFonts w:ascii="Arial" w:cs="Arial" w:eastAsia="Arial" w:hAnsi="Arial"/>
                <w:sz w:val="19"/>
                <w:szCs w:val="19"/>
                <w:color w:val="auto"/>
                <w:w w:val="85"/>
              </w:rPr>
              <w:t>PR1,</w:t>
            </w:r>
          </w:p>
        </w:tc>
        <w:tc>
          <w:tcPr>
            <w:tcW w:w="0" w:type="dxa"/>
            <w:vAlign w:val="bottom"/>
          </w:tcPr>
          <w:p>
            <w:pPr>
              <w:spacing w:after="0"/>
              <w:rPr>
                <w:sz w:val="1"/>
                <w:szCs w:val="1"/>
                <w:color w:val="auto"/>
              </w:rPr>
            </w:pPr>
          </w:p>
        </w:tc>
      </w:tr>
      <w:tr>
        <w:trPr>
          <w:trHeight w:val="242"/>
        </w:trPr>
        <w:tc>
          <w:tcPr>
            <w:tcW w:w="600" w:type="dxa"/>
            <w:vAlign w:val="bottom"/>
            <w:vMerge w:val="restart"/>
          </w:tcPr>
          <w:p>
            <w:pPr>
              <w:spacing w:after="0"/>
              <w:rPr>
                <w:sz w:val="20"/>
                <w:szCs w:val="20"/>
                <w:color w:val="auto"/>
              </w:rPr>
            </w:pPr>
            <w:r>
              <w:rPr>
                <w:rFonts w:ascii="Arial" w:cs="Arial" w:eastAsia="Arial" w:hAnsi="Arial"/>
                <w:sz w:val="19"/>
                <w:szCs w:val="19"/>
                <w:color w:val="auto"/>
                <w:w w:val="95"/>
              </w:rPr>
              <w:t>AssCl=</w:t>
            </w:r>
          </w:p>
        </w:tc>
        <w:tc>
          <w:tcPr>
            <w:tcW w:w="3220" w:type="dxa"/>
            <w:vAlign w:val="bottom"/>
            <w:gridSpan w:val="2"/>
            <w:vMerge w:val="restart"/>
          </w:tcPr>
          <w:p>
            <w:pPr>
              <w:ind w:left="200"/>
              <w:spacing w:after="0"/>
              <w:rPr>
                <w:sz w:val="20"/>
                <w:szCs w:val="20"/>
                <w:color w:val="auto"/>
              </w:rPr>
            </w:pPr>
            <w:r>
              <w:rPr>
                <w:rFonts w:ascii="Arial" w:cs="Arial" w:eastAsia="Arial" w:hAnsi="Arial"/>
                <w:sz w:val="19"/>
                <w:szCs w:val="19"/>
                <w:color w:val="auto"/>
                <w:w w:val="94"/>
              </w:rPr>
              <w:t>Assignment of a universality of claims</w:t>
            </w:r>
          </w:p>
        </w:tc>
        <w:tc>
          <w:tcPr>
            <w:tcW w:w="260" w:type="dxa"/>
            <w:vAlign w:val="bottom"/>
          </w:tcPr>
          <w:p>
            <w:pPr>
              <w:spacing w:after="0"/>
              <w:rPr>
                <w:sz w:val="21"/>
                <w:szCs w:val="21"/>
                <w:color w:val="auto"/>
              </w:rPr>
            </w:pPr>
          </w:p>
        </w:tc>
        <w:tc>
          <w:tcPr>
            <w:tcW w:w="5160" w:type="dxa"/>
            <w:vAlign w:val="bottom"/>
            <w:gridSpan w:val="6"/>
          </w:tcPr>
          <w:p>
            <w:pPr>
              <w:ind w:left="1640"/>
              <w:spacing w:after="0"/>
              <w:rPr>
                <w:sz w:val="20"/>
                <w:szCs w:val="20"/>
                <w:color w:val="auto"/>
              </w:rPr>
            </w:pPr>
            <w:r>
              <w:rPr>
                <w:rFonts w:ascii="Arial" w:cs="Arial" w:eastAsia="Arial" w:hAnsi="Arial"/>
                <w:sz w:val="19"/>
                <w:szCs w:val="19"/>
                <w:color w:val="auto"/>
              </w:rPr>
              <w:t>PR2…  Preservation of Hypothec</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00" w:type="dxa"/>
            <w:vAlign w:val="bottom"/>
            <w:vMerge w:val="continue"/>
          </w:tcPr>
          <w:p>
            <w:pPr>
              <w:spacing w:after="0"/>
              <w:rPr>
                <w:sz w:val="19"/>
                <w:szCs w:val="19"/>
                <w:color w:val="auto"/>
              </w:rPr>
            </w:pPr>
          </w:p>
        </w:tc>
        <w:tc>
          <w:tcPr>
            <w:tcW w:w="3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All dates are in the following format: Y-M-D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“REF. No.” below are for reference purposes only and are not intended to indicate ranking of the security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700" w:type="dxa"/>
            <w:vAlign w:val="bottom"/>
            <w:tcBorders>
              <w:top w:val="single" w:sz="8" w:color="auto"/>
              <w:left w:val="single" w:sz="8" w:color="00000A"/>
              <w:right w:val="single" w:sz="8" w:color="00000A"/>
            </w:tcBorders>
            <w:shd w:val="clear" w:color="auto" w:fill="E6E6E6"/>
          </w:tcPr>
          <w:p>
            <w:pPr>
              <w:ind w:left="100"/>
              <w:spacing w:after="0"/>
              <w:rPr>
                <w:sz w:val="20"/>
                <w:szCs w:val="20"/>
                <w:color w:val="auto"/>
              </w:rPr>
            </w:pPr>
            <w:r>
              <w:rPr>
                <w:rFonts w:ascii="Arial" w:cs="Arial" w:eastAsia="Arial" w:hAnsi="Arial"/>
                <w:sz w:val="15"/>
                <w:szCs w:val="15"/>
                <w:b w:val="1"/>
                <w:bCs w:val="1"/>
                <w:color w:val="auto"/>
                <w:w w:val="98"/>
              </w:rPr>
              <w:t>Ref. No.</w:t>
            </w:r>
          </w:p>
        </w:tc>
        <w:tc>
          <w:tcPr>
            <w:tcW w:w="1600" w:type="dxa"/>
            <w:vAlign w:val="bottom"/>
            <w:tcBorders>
              <w:top w:val="single" w:sz="8" w:color="auto"/>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w w:val="91"/>
              </w:rPr>
              <w:t>Registration No./</w:t>
            </w:r>
          </w:p>
        </w:tc>
        <w:tc>
          <w:tcPr>
            <w:tcW w:w="2380" w:type="dxa"/>
            <w:vAlign w:val="bottom"/>
            <w:tcBorders>
              <w:top w:val="single" w:sz="8" w:color="auto"/>
              <w:right w:val="single" w:sz="8" w:color="00000A"/>
            </w:tcBorders>
            <w:shd w:val="clear" w:color="auto" w:fill="E6E6E6"/>
          </w:tcPr>
          <w:p>
            <w:pPr>
              <w:ind w:left="960"/>
              <w:spacing w:after="0"/>
              <w:rPr>
                <w:sz w:val="20"/>
                <w:szCs w:val="20"/>
                <w:color w:val="auto"/>
              </w:rPr>
            </w:pPr>
            <w:r>
              <w:rPr>
                <w:rFonts w:ascii="Arial" w:cs="Arial" w:eastAsia="Arial" w:hAnsi="Arial"/>
                <w:sz w:val="15"/>
                <w:szCs w:val="15"/>
                <w:b w:val="1"/>
                <w:bCs w:val="1"/>
                <w:color w:val="auto"/>
              </w:rPr>
              <w:t>Parties</w:t>
            </w:r>
          </w:p>
        </w:tc>
        <w:tc>
          <w:tcPr>
            <w:tcW w:w="1580" w:type="dxa"/>
            <w:vAlign w:val="bottom"/>
            <w:tcBorders>
              <w:top w:val="single" w:sz="8" w:color="auto"/>
              <w:right w:val="single" w:sz="8" w:color="00000A"/>
            </w:tcBorders>
            <w:vMerge w:val="restart"/>
            <w:shd w:val="clear" w:color="auto" w:fill="E6E6E6"/>
          </w:tcPr>
          <w:p>
            <w:pPr>
              <w:jc w:val="center"/>
              <w:spacing w:after="0"/>
              <w:rPr>
                <w:sz w:val="20"/>
                <w:szCs w:val="20"/>
                <w:color w:val="auto"/>
              </w:rPr>
            </w:pPr>
            <w:r>
              <w:rPr>
                <w:rFonts w:ascii="Arial" w:cs="Arial" w:eastAsia="Arial" w:hAnsi="Arial"/>
                <w:sz w:val="15"/>
                <w:szCs w:val="15"/>
                <w:b w:val="1"/>
                <w:bCs w:val="1"/>
                <w:color w:val="auto"/>
                <w:w w:val="91"/>
              </w:rPr>
              <w:t>Nature of registration/</w:t>
            </w:r>
          </w:p>
        </w:tc>
        <w:tc>
          <w:tcPr>
            <w:tcW w:w="3780" w:type="dxa"/>
            <w:vAlign w:val="bottom"/>
            <w:tcBorders>
              <w:top w:val="single" w:sz="8" w:color="auto"/>
              <w:right w:val="single" w:sz="8" w:color="00000A"/>
            </w:tcBorders>
            <w:vMerge w:val="restart"/>
            <w:shd w:val="clear" w:color="auto" w:fill="E6E6E6"/>
          </w:tcPr>
          <w:p>
            <w:pPr>
              <w:jc w:val="center"/>
              <w:ind w:right="11"/>
              <w:spacing w:after="0"/>
              <w:rPr>
                <w:sz w:val="20"/>
                <w:szCs w:val="20"/>
                <w:color w:val="auto"/>
              </w:rPr>
            </w:pPr>
            <w:r>
              <w:rPr>
                <w:rFonts w:ascii="Arial" w:cs="Arial" w:eastAsia="Arial" w:hAnsi="Arial"/>
                <w:sz w:val="15"/>
                <w:szCs w:val="15"/>
                <w:b w:val="1"/>
                <w:bCs w:val="1"/>
                <w:color w:val="auto"/>
                <w:w w:val="87"/>
              </w:rPr>
              <w:t>Description of affected assets</w:t>
            </w:r>
          </w:p>
        </w:tc>
        <w:tc>
          <w:tcPr>
            <w:tcW w:w="1440" w:type="dxa"/>
            <w:vAlign w:val="bottom"/>
            <w:tcBorders>
              <w:top w:val="single" w:sz="8" w:color="auto"/>
              <w:right w:val="single" w:sz="8" w:color="00000A"/>
            </w:tcBorders>
            <w:shd w:val="clear" w:color="auto" w:fill="E6E6E6"/>
          </w:tcPr>
          <w:p>
            <w:pPr>
              <w:jc w:val="center"/>
              <w:ind w:right="25"/>
              <w:spacing w:after="0"/>
              <w:rPr>
                <w:sz w:val="20"/>
                <w:szCs w:val="20"/>
                <w:color w:val="auto"/>
              </w:rPr>
            </w:pPr>
            <w:r>
              <w:rPr>
                <w:rFonts w:ascii="Arial" w:cs="Arial" w:eastAsia="Arial" w:hAnsi="Arial"/>
                <w:sz w:val="15"/>
                <w:szCs w:val="15"/>
                <w:b w:val="1"/>
                <w:bCs w:val="1"/>
                <w:color w:val="auto"/>
                <w:w w:val="90"/>
              </w:rPr>
              <w:t>Comments</w:t>
            </w:r>
          </w:p>
        </w:tc>
        <w:tc>
          <w:tcPr>
            <w:tcW w:w="0" w:type="dxa"/>
            <w:vAlign w:val="bottom"/>
          </w:tcPr>
          <w:p>
            <w:pPr>
              <w:spacing w:after="0"/>
              <w:rPr>
                <w:sz w:val="1"/>
                <w:szCs w:val="1"/>
                <w:color w:val="auto"/>
              </w:rPr>
            </w:pPr>
          </w:p>
        </w:tc>
      </w:tr>
      <w:tr>
        <w:trPr>
          <w:trHeight w:val="59"/>
        </w:trPr>
        <w:tc>
          <w:tcPr>
            <w:tcW w:w="700" w:type="dxa"/>
            <w:vAlign w:val="bottom"/>
            <w:tcBorders>
              <w:left w:val="single" w:sz="8" w:color="00000A"/>
              <w:right w:val="single" w:sz="8" w:color="00000A"/>
            </w:tcBorders>
            <w:shd w:val="clear" w:color="auto" w:fill="E6E6E6"/>
          </w:tcPr>
          <w:p>
            <w:pPr>
              <w:spacing w:after="0"/>
              <w:rPr>
                <w:sz w:val="5"/>
                <w:szCs w:val="5"/>
                <w:color w:val="auto"/>
              </w:rPr>
            </w:pPr>
          </w:p>
        </w:tc>
        <w:tc>
          <w:tcPr>
            <w:tcW w:w="1600" w:type="dxa"/>
            <w:vAlign w:val="bottom"/>
            <w:tcBorders>
              <w:right w:val="single" w:sz="8" w:color="00000A"/>
            </w:tcBorders>
            <w:vMerge w:val="restart"/>
            <w:shd w:val="clear" w:color="auto" w:fill="E6E6E6"/>
          </w:tcPr>
          <w:p>
            <w:pPr>
              <w:jc w:val="center"/>
              <w:spacing w:after="0"/>
              <w:rPr>
                <w:sz w:val="20"/>
                <w:szCs w:val="20"/>
                <w:color w:val="auto"/>
              </w:rPr>
            </w:pPr>
            <w:r>
              <w:rPr>
                <w:rFonts w:ascii="Arial" w:cs="Arial" w:eastAsia="Arial" w:hAnsi="Arial"/>
                <w:sz w:val="15"/>
                <w:szCs w:val="15"/>
                <w:b w:val="1"/>
                <w:bCs w:val="1"/>
                <w:color w:val="auto"/>
                <w:w w:val="91"/>
              </w:rPr>
              <w:t>Registration Date</w:t>
            </w:r>
          </w:p>
        </w:tc>
        <w:tc>
          <w:tcPr>
            <w:tcW w:w="2380" w:type="dxa"/>
            <w:vAlign w:val="bottom"/>
            <w:tcBorders>
              <w:right w:val="single" w:sz="8" w:color="00000A"/>
            </w:tcBorders>
            <w:shd w:val="clear" w:color="auto" w:fill="E6E6E6"/>
          </w:tcPr>
          <w:p>
            <w:pPr>
              <w:spacing w:after="0"/>
              <w:rPr>
                <w:sz w:val="5"/>
                <w:szCs w:val="5"/>
                <w:color w:val="auto"/>
              </w:rPr>
            </w:pPr>
          </w:p>
        </w:tc>
        <w:tc>
          <w:tcPr>
            <w:tcW w:w="1580" w:type="dxa"/>
            <w:vAlign w:val="bottom"/>
            <w:tcBorders>
              <w:right w:val="single" w:sz="8" w:color="00000A"/>
            </w:tcBorders>
            <w:vMerge w:val="continue"/>
            <w:shd w:val="clear" w:color="auto" w:fill="E6E6E6"/>
          </w:tcPr>
          <w:p>
            <w:pPr>
              <w:spacing w:after="0"/>
              <w:rPr>
                <w:sz w:val="5"/>
                <w:szCs w:val="5"/>
                <w:color w:val="auto"/>
              </w:rPr>
            </w:pPr>
          </w:p>
        </w:tc>
        <w:tc>
          <w:tcPr>
            <w:tcW w:w="3780" w:type="dxa"/>
            <w:vAlign w:val="bottom"/>
            <w:tcBorders>
              <w:right w:val="single" w:sz="8" w:color="00000A"/>
            </w:tcBorders>
            <w:vMerge w:val="continue"/>
            <w:shd w:val="clear" w:color="auto" w:fill="E6E6E6"/>
          </w:tcPr>
          <w:p>
            <w:pPr>
              <w:spacing w:after="0"/>
              <w:rPr>
                <w:sz w:val="5"/>
                <w:szCs w:val="5"/>
                <w:color w:val="auto"/>
              </w:rPr>
            </w:pPr>
          </w:p>
        </w:tc>
        <w:tc>
          <w:tcPr>
            <w:tcW w:w="1440" w:type="dxa"/>
            <w:vAlign w:val="bottom"/>
            <w:tcBorders>
              <w:right w:val="single" w:sz="8" w:color="00000A"/>
            </w:tcBorders>
            <w:vMerge w:val="restart"/>
            <w:shd w:val="clear" w:color="auto" w:fill="E6E6E6"/>
          </w:tcPr>
          <w:p>
            <w:pPr>
              <w:jc w:val="center"/>
              <w:spacing w:after="0"/>
              <w:rPr>
                <w:sz w:val="20"/>
                <w:szCs w:val="20"/>
                <w:color w:val="auto"/>
              </w:rPr>
            </w:pPr>
            <w:r>
              <w:rPr>
                <w:rFonts w:ascii="Arial" w:cs="Arial" w:eastAsia="Arial" w:hAnsi="Arial"/>
                <w:sz w:val="15"/>
                <w:szCs w:val="15"/>
                <w:b w:val="1"/>
                <w:bCs w:val="1"/>
                <w:color w:val="auto"/>
              </w:rPr>
              <w:t>(Y-M-D)</w:t>
            </w:r>
          </w:p>
        </w:tc>
        <w:tc>
          <w:tcPr>
            <w:tcW w:w="0" w:type="dxa"/>
            <w:vAlign w:val="bottom"/>
          </w:tcPr>
          <w:p>
            <w:pPr>
              <w:spacing w:after="0"/>
              <w:rPr>
                <w:sz w:val="1"/>
                <w:szCs w:val="1"/>
                <w:color w:val="auto"/>
              </w:rPr>
            </w:pPr>
          </w:p>
        </w:tc>
      </w:tr>
      <w:tr>
        <w:trPr>
          <w:trHeight w:val="127"/>
        </w:trPr>
        <w:tc>
          <w:tcPr>
            <w:tcW w:w="700" w:type="dxa"/>
            <w:vAlign w:val="bottom"/>
            <w:tcBorders>
              <w:left w:val="single" w:sz="8" w:color="00000A"/>
              <w:right w:val="single" w:sz="8" w:color="00000A"/>
            </w:tcBorders>
            <w:shd w:val="clear" w:color="auto" w:fill="E6E6E6"/>
          </w:tcPr>
          <w:p>
            <w:pPr>
              <w:spacing w:after="0"/>
              <w:rPr>
                <w:sz w:val="11"/>
                <w:szCs w:val="11"/>
                <w:color w:val="auto"/>
              </w:rPr>
            </w:pPr>
          </w:p>
        </w:tc>
        <w:tc>
          <w:tcPr>
            <w:tcW w:w="1600" w:type="dxa"/>
            <w:vAlign w:val="bottom"/>
            <w:tcBorders>
              <w:right w:val="single" w:sz="8" w:color="00000A"/>
            </w:tcBorders>
            <w:vMerge w:val="continue"/>
            <w:shd w:val="clear" w:color="auto" w:fill="E6E6E6"/>
          </w:tcPr>
          <w:p>
            <w:pPr>
              <w:spacing w:after="0"/>
              <w:rPr>
                <w:sz w:val="11"/>
                <w:szCs w:val="11"/>
                <w:color w:val="auto"/>
              </w:rPr>
            </w:pPr>
          </w:p>
        </w:tc>
        <w:tc>
          <w:tcPr>
            <w:tcW w:w="2380" w:type="dxa"/>
            <w:vAlign w:val="bottom"/>
            <w:tcBorders>
              <w:right w:val="single" w:sz="8" w:color="00000A"/>
            </w:tcBorders>
            <w:shd w:val="clear" w:color="auto" w:fill="E6E6E6"/>
          </w:tcPr>
          <w:p>
            <w:pPr>
              <w:spacing w:after="0"/>
              <w:rPr>
                <w:sz w:val="11"/>
                <w:szCs w:val="11"/>
                <w:color w:val="auto"/>
              </w:rPr>
            </w:pPr>
          </w:p>
        </w:tc>
        <w:tc>
          <w:tcPr>
            <w:tcW w:w="1580" w:type="dxa"/>
            <w:vAlign w:val="bottom"/>
            <w:tcBorders>
              <w:right w:val="single" w:sz="8" w:color="00000A"/>
            </w:tcBorders>
            <w:shd w:val="clear" w:color="auto" w:fill="E6E6E6"/>
          </w:tcPr>
          <w:p>
            <w:pPr>
              <w:jc w:val="center"/>
              <w:spacing w:after="0" w:line="128" w:lineRule="exact"/>
              <w:rPr>
                <w:sz w:val="20"/>
                <w:szCs w:val="20"/>
                <w:color w:val="auto"/>
              </w:rPr>
            </w:pPr>
            <w:r>
              <w:rPr>
                <w:rFonts w:ascii="Arial" w:cs="Arial" w:eastAsia="Arial" w:hAnsi="Arial"/>
                <w:sz w:val="13"/>
                <w:szCs w:val="13"/>
                <w:b w:val="1"/>
                <w:bCs w:val="1"/>
                <w:color w:val="auto"/>
                <w:w w:val="91"/>
              </w:rPr>
              <w:t>Amount - Cdn $/</w:t>
            </w:r>
          </w:p>
        </w:tc>
        <w:tc>
          <w:tcPr>
            <w:tcW w:w="3780" w:type="dxa"/>
            <w:vAlign w:val="bottom"/>
            <w:tcBorders>
              <w:right w:val="single" w:sz="8" w:color="00000A"/>
            </w:tcBorders>
            <w:shd w:val="clear" w:color="auto" w:fill="E6E6E6"/>
          </w:tcPr>
          <w:p>
            <w:pPr>
              <w:jc w:val="center"/>
              <w:spacing w:after="0" w:line="128" w:lineRule="exact"/>
              <w:rPr>
                <w:sz w:val="20"/>
                <w:szCs w:val="20"/>
                <w:color w:val="auto"/>
              </w:rPr>
            </w:pPr>
            <w:r>
              <w:rPr>
                <w:rFonts w:ascii="Arial" w:cs="Arial" w:eastAsia="Arial" w:hAnsi="Arial"/>
                <w:sz w:val="13"/>
                <w:szCs w:val="13"/>
                <w:b w:val="1"/>
                <w:bCs w:val="1"/>
                <w:color w:val="auto"/>
                <w:w w:val="88"/>
              </w:rPr>
              <w:t>(For further details, please refer to the text of the registration)</w:t>
            </w:r>
          </w:p>
        </w:tc>
        <w:tc>
          <w:tcPr>
            <w:tcW w:w="1440" w:type="dxa"/>
            <w:vAlign w:val="bottom"/>
            <w:tcBorders>
              <w:right w:val="single" w:sz="8" w:color="00000A"/>
            </w:tcBorders>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700" w:type="dxa"/>
            <w:vAlign w:val="bottom"/>
            <w:tcBorders>
              <w:left w:val="single" w:sz="8" w:color="00000A"/>
              <w:right w:val="single" w:sz="8" w:color="00000A"/>
            </w:tcBorders>
            <w:shd w:val="clear" w:color="auto" w:fill="E6E6E6"/>
          </w:tcPr>
          <w:p>
            <w:pPr>
              <w:spacing w:after="0"/>
              <w:rPr>
                <w:sz w:val="16"/>
                <w:szCs w:val="16"/>
                <w:color w:val="auto"/>
              </w:rPr>
            </w:pPr>
          </w:p>
        </w:tc>
        <w:tc>
          <w:tcPr>
            <w:tcW w:w="160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rPr>
              <w:t>(Y-M-D) &amp; Time</w:t>
            </w:r>
          </w:p>
        </w:tc>
        <w:tc>
          <w:tcPr>
            <w:tcW w:w="2380" w:type="dxa"/>
            <w:vAlign w:val="bottom"/>
            <w:tcBorders>
              <w:right w:val="single" w:sz="8" w:color="00000A"/>
            </w:tcBorders>
            <w:shd w:val="clear" w:color="auto" w:fill="E6E6E6"/>
          </w:tcPr>
          <w:p>
            <w:pPr>
              <w:spacing w:after="0"/>
              <w:rPr>
                <w:sz w:val="16"/>
                <w:szCs w:val="16"/>
                <w:color w:val="auto"/>
              </w:rPr>
            </w:pPr>
          </w:p>
        </w:tc>
        <w:tc>
          <w:tcPr>
            <w:tcW w:w="158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88"/>
              </w:rPr>
              <w:t>Agreement Date</w:t>
            </w:r>
          </w:p>
        </w:tc>
        <w:tc>
          <w:tcPr>
            <w:tcW w:w="3780" w:type="dxa"/>
            <w:vAlign w:val="bottom"/>
            <w:tcBorders>
              <w:right w:val="single" w:sz="8" w:color="00000A"/>
            </w:tcBorders>
            <w:shd w:val="clear" w:color="auto" w:fill="E6E6E6"/>
          </w:tcPr>
          <w:p>
            <w:pPr>
              <w:spacing w:after="0"/>
              <w:rPr>
                <w:sz w:val="16"/>
                <w:szCs w:val="16"/>
                <w:color w:val="auto"/>
              </w:rPr>
            </w:pPr>
          </w:p>
        </w:tc>
        <w:tc>
          <w:tcPr>
            <w:tcW w:w="1440" w:type="dxa"/>
            <w:vAlign w:val="bottom"/>
            <w:tcBorders>
              <w:right w:val="single" w:sz="8" w:color="00000A"/>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700" w:type="dxa"/>
            <w:vAlign w:val="bottom"/>
            <w:tcBorders>
              <w:left w:val="single" w:sz="8" w:color="00000A"/>
              <w:right w:val="single" w:sz="8" w:color="00000A"/>
            </w:tcBorders>
            <w:shd w:val="clear" w:color="auto" w:fill="E6E6E6"/>
          </w:tcPr>
          <w:p>
            <w:pPr>
              <w:spacing w:after="0"/>
              <w:rPr>
                <w:sz w:val="8"/>
                <w:szCs w:val="8"/>
                <w:color w:val="auto"/>
              </w:rPr>
            </w:pPr>
          </w:p>
        </w:tc>
        <w:tc>
          <w:tcPr>
            <w:tcW w:w="1600" w:type="dxa"/>
            <w:vAlign w:val="bottom"/>
            <w:tcBorders>
              <w:right w:val="single" w:sz="8" w:color="00000A"/>
            </w:tcBorders>
            <w:shd w:val="clear" w:color="auto" w:fill="E6E6E6"/>
          </w:tcPr>
          <w:p>
            <w:pPr>
              <w:spacing w:after="0"/>
              <w:rPr>
                <w:sz w:val="8"/>
                <w:szCs w:val="8"/>
                <w:color w:val="auto"/>
              </w:rPr>
            </w:pPr>
          </w:p>
        </w:tc>
        <w:tc>
          <w:tcPr>
            <w:tcW w:w="2380" w:type="dxa"/>
            <w:vAlign w:val="bottom"/>
            <w:tcBorders>
              <w:right w:val="single" w:sz="8" w:color="00000A"/>
            </w:tcBorders>
            <w:shd w:val="clear" w:color="auto" w:fill="E6E6E6"/>
          </w:tcPr>
          <w:p>
            <w:pPr>
              <w:spacing w:after="0"/>
              <w:rPr>
                <w:sz w:val="8"/>
                <w:szCs w:val="8"/>
                <w:color w:val="auto"/>
              </w:rPr>
            </w:pPr>
          </w:p>
        </w:tc>
        <w:tc>
          <w:tcPr>
            <w:tcW w:w="1580" w:type="dxa"/>
            <w:vAlign w:val="bottom"/>
            <w:tcBorders>
              <w:right w:val="single" w:sz="8" w:color="00000A"/>
            </w:tcBorders>
            <w:shd w:val="clear" w:color="auto" w:fill="E6E6E6"/>
          </w:tcPr>
          <w:p>
            <w:pPr>
              <w:spacing w:after="0"/>
              <w:rPr>
                <w:sz w:val="8"/>
                <w:szCs w:val="8"/>
                <w:color w:val="auto"/>
              </w:rPr>
            </w:pPr>
          </w:p>
        </w:tc>
        <w:tc>
          <w:tcPr>
            <w:tcW w:w="3780" w:type="dxa"/>
            <w:vAlign w:val="bottom"/>
            <w:tcBorders>
              <w:right w:val="single" w:sz="8" w:color="00000A"/>
            </w:tcBorders>
            <w:shd w:val="clear" w:color="auto" w:fill="E6E6E6"/>
          </w:tcPr>
          <w:p>
            <w:pPr>
              <w:spacing w:after="0"/>
              <w:rPr>
                <w:sz w:val="8"/>
                <w:szCs w:val="8"/>
                <w:color w:val="auto"/>
              </w:rPr>
            </w:pPr>
          </w:p>
        </w:tc>
        <w:tc>
          <w:tcPr>
            <w:tcW w:w="1440" w:type="dxa"/>
            <w:vAlign w:val="bottom"/>
            <w:tcBorders>
              <w:right w:val="single" w:sz="8" w:color="00000A"/>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40" w:right="199" w:bottom="0" w:gutter="0" w:footer="0" w:header="0"/>
        </w:sectPr>
      </w:pPr>
    </w:p>
    <w:bookmarkStart w:id="103" w:name="page104"/>
    <w:bookmarkEnd w:id="10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Borders>
              <w:right w:val="single" w:sz="8" w:color="00000A"/>
            </w:tcBorders>
            <w:shd w:val="clear" w:color="auto" w:fill="00000A"/>
          </w:tcPr>
          <w:p>
            <w:pPr>
              <w:spacing w:after="0"/>
              <w:rPr>
                <w:sz w:val="13"/>
                <w:szCs w:val="13"/>
                <w:color w:val="auto"/>
              </w:rPr>
            </w:pPr>
          </w:p>
        </w:tc>
        <w:tc>
          <w:tcPr>
            <w:tcW w:w="360" w:type="dxa"/>
            <w:vAlign w:val="bottom"/>
            <w:tcBorders>
              <w:right w:val="single" w:sz="8" w:color="E6E6E6"/>
            </w:tcBorders>
            <w:shd w:val="clear" w:color="auto" w:fill="E6E6E6"/>
          </w:tcPr>
          <w:p>
            <w:pPr>
              <w:spacing w:after="0"/>
              <w:rPr>
                <w:sz w:val="13"/>
                <w:szCs w:val="13"/>
                <w:color w:val="auto"/>
              </w:rPr>
            </w:pPr>
          </w:p>
        </w:tc>
        <w:tc>
          <w:tcPr>
            <w:tcW w:w="300" w:type="dxa"/>
            <w:vAlign w:val="bottom"/>
            <w:tcBorders>
              <w:right w:val="single" w:sz="8" w:color="00000A"/>
            </w:tcBorders>
            <w:shd w:val="clear" w:color="auto" w:fill="E6E6E6"/>
          </w:tcPr>
          <w:p>
            <w:pPr>
              <w:spacing w:after="0"/>
              <w:rPr>
                <w:sz w:val="13"/>
                <w:szCs w:val="13"/>
                <w:color w:val="auto"/>
              </w:rPr>
            </w:pPr>
          </w:p>
        </w:tc>
        <w:tc>
          <w:tcPr>
            <w:tcW w:w="1400" w:type="dxa"/>
            <w:vAlign w:val="bottom"/>
            <w:tcBorders>
              <w:right w:val="single" w:sz="8" w:color="E6E6E6"/>
            </w:tcBorders>
            <w:shd w:val="clear" w:color="auto" w:fill="E6E6E6"/>
          </w:tcPr>
          <w:p>
            <w:pPr>
              <w:spacing w:after="0"/>
              <w:rPr>
                <w:sz w:val="13"/>
                <w:szCs w:val="13"/>
                <w:color w:val="auto"/>
              </w:rPr>
            </w:pPr>
          </w:p>
        </w:tc>
        <w:tc>
          <w:tcPr>
            <w:tcW w:w="200" w:type="dxa"/>
            <w:vAlign w:val="bottom"/>
            <w:tcBorders>
              <w:right w:val="single" w:sz="8" w:color="00000A"/>
            </w:tcBorders>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240" w:type="dxa"/>
            <w:vAlign w:val="bottom"/>
            <w:tcBorders>
              <w:right w:val="single" w:sz="8" w:color="E6E6E6"/>
            </w:tcBorders>
            <w:shd w:val="clear" w:color="auto" w:fill="E6E6E6"/>
          </w:tcPr>
          <w:p>
            <w:pPr>
              <w:spacing w:after="0"/>
              <w:rPr>
                <w:sz w:val="13"/>
                <w:szCs w:val="13"/>
                <w:color w:val="auto"/>
              </w:rPr>
            </w:pPr>
          </w:p>
        </w:tc>
        <w:tc>
          <w:tcPr>
            <w:tcW w:w="140" w:type="dxa"/>
            <w:vAlign w:val="bottom"/>
            <w:tcBorders>
              <w:right w:val="single" w:sz="8" w:color="E6E6E6"/>
            </w:tcBorders>
            <w:shd w:val="clear" w:color="auto" w:fill="E6E6E6"/>
          </w:tcPr>
          <w:p>
            <w:pPr>
              <w:spacing w:after="0"/>
              <w:rPr>
                <w:sz w:val="13"/>
                <w:szCs w:val="13"/>
                <w:color w:val="auto"/>
              </w:rPr>
            </w:pPr>
          </w:p>
        </w:tc>
        <w:tc>
          <w:tcPr>
            <w:tcW w:w="160" w:type="dxa"/>
            <w:vAlign w:val="bottom"/>
            <w:tcBorders>
              <w:right w:val="single" w:sz="8" w:color="00000A"/>
            </w:tcBorders>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40" w:type="dxa"/>
            <w:vAlign w:val="bottom"/>
            <w:tcBorders>
              <w:right w:val="single" w:sz="8" w:color="E6E6E6"/>
            </w:tcBorders>
            <w:shd w:val="clear" w:color="auto" w:fill="E6E6E6"/>
          </w:tcPr>
          <w:p>
            <w:pPr>
              <w:spacing w:after="0"/>
              <w:rPr>
                <w:sz w:val="13"/>
                <w:szCs w:val="13"/>
                <w:color w:val="auto"/>
              </w:rPr>
            </w:pPr>
          </w:p>
        </w:tc>
        <w:tc>
          <w:tcPr>
            <w:tcW w:w="1480" w:type="dxa"/>
            <w:vAlign w:val="bottom"/>
            <w:tcBorders>
              <w:right w:val="single" w:sz="8" w:color="00000A"/>
            </w:tcBorders>
            <w:gridSpan w:val="2"/>
            <w:shd w:val="clear" w:color="auto" w:fill="E6E6E6"/>
          </w:tcPr>
          <w:p>
            <w:pPr>
              <w:jc w:val="center"/>
              <w:ind w:right="140"/>
              <w:spacing w:after="0"/>
              <w:rPr>
                <w:sz w:val="20"/>
                <w:szCs w:val="20"/>
                <w:color w:val="auto"/>
              </w:rPr>
            </w:pPr>
            <w:r>
              <w:rPr>
                <w:rFonts w:ascii="Arial" w:cs="Arial" w:eastAsia="Arial" w:hAnsi="Arial"/>
                <w:sz w:val="13"/>
                <w:szCs w:val="13"/>
                <w:b w:val="1"/>
                <w:bCs w:val="1"/>
                <w:color w:val="auto"/>
              </w:rPr>
              <w:t>(Y-M-D)/</w:t>
            </w:r>
          </w:p>
        </w:tc>
        <w:tc>
          <w:tcPr>
            <w:tcW w:w="2640" w:type="dxa"/>
            <w:vAlign w:val="bottom"/>
            <w:shd w:val="clear" w:color="auto" w:fill="E6E6E6"/>
          </w:tcPr>
          <w:p>
            <w:pPr>
              <w:spacing w:after="0"/>
              <w:rPr>
                <w:sz w:val="13"/>
                <w:szCs w:val="13"/>
                <w:color w:val="auto"/>
              </w:rPr>
            </w:pPr>
          </w:p>
        </w:tc>
        <w:tc>
          <w:tcPr>
            <w:tcW w:w="1200" w:type="dxa"/>
            <w:vAlign w:val="bottom"/>
            <w:tcBorders>
              <w:right w:val="single" w:sz="8" w:color="00000A"/>
            </w:tcBorders>
            <w:shd w:val="clear" w:color="auto" w:fill="E6E6E6"/>
          </w:tcPr>
          <w:p>
            <w:pPr>
              <w:spacing w:after="0"/>
              <w:rPr>
                <w:sz w:val="13"/>
                <w:szCs w:val="13"/>
                <w:color w:val="auto"/>
              </w:rPr>
            </w:pPr>
          </w:p>
        </w:tc>
        <w:tc>
          <w:tcPr>
            <w:tcW w:w="1380" w:type="dxa"/>
            <w:vAlign w:val="bottom"/>
            <w:tcBorders>
              <w:right w:val="single" w:sz="8" w:color="00000A"/>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0" w:type="dxa"/>
            <w:vAlign w:val="bottom"/>
            <w:tcBorders>
              <w:bottom w:val="single" w:sz="8" w:color="00000A"/>
              <w:right w:val="single" w:sz="8" w:color="00000A"/>
            </w:tcBorders>
            <w:shd w:val="clear" w:color="auto" w:fill="00000A"/>
          </w:tcPr>
          <w:p>
            <w:pPr>
              <w:spacing w:after="0"/>
              <w:rPr>
                <w:sz w:val="19"/>
                <w:szCs w:val="19"/>
                <w:color w:val="auto"/>
              </w:rPr>
            </w:pPr>
          </w:p>
        </w:tc>
        <w:tc>
          <w:tcPr>
            <w:tcW w:w="360" w:type="dxa"/>
            <w:vAlign w:val="bottom"/>
            <w:tcBorders>
              <w:bottom w:val="single" w:sz="8" w:color="E6E6E6"/>
              <w:right w:val="single" w:sz="8" w:color="E6E6E6"/>
            </w:tcBorders>
            <w:shd w:val="clear" w:color="auto" w:fill="E6E6E6"/>
          </w:tcPr>
          <w:p>
            <w:pPr>
              <w:spacing w:after="0"/>
              <w:rPr>
                <w:sz w:val="19"/>
                <w:szCs w:val="19"/>
                <w:color w:val="auto"/>
              </w:rPr>
            </w:pPr>
          </w:p>
        </w:tc>
        <w:tc>
          <w:tcPr>
            <w:tcW w:w="300" w:type="dxa"/>
            <w:vAlign w:val="bottom"/>
            <w:tcBorders>
              <w:bottom w:val="single" w:sz="8" w:color="E6E6E6"/>
              <w:right w:val="single" w:sz="8" w:color="00000A"/>
            </w:tcBorders>
            <w:shd w:val="clear" w:color="auto" w:fill="E6E6E6"/>
          </w:tcPr>
          <w:p>
            <w:pPr>
              <w:spacing w:after="0"/>
              <w:rPr>
                <w:sz w:val="19"/>
                <w:szCs w:val="19"/>
                <w:color w:val="auto"/>
              </w:rPr>
            </w:pPr>
          </w:p>
        </w:tc>
        <w:tc>
          <w:tcPr>
            <w:tcW w:w="1400" w:type="dxa"/>
            <w:vAlign w:val="bottom"/>
            <w:tcBorders>
              <w:bottom w:val="single" w:sz="8" w:color="E6E6E6"/>
              <w:right w:val="single" w:sz="8" w:color="E6E6E6"/>
            </w:tcBorders>
            <w:shd w:val="clear" w:color="auto" w:fill="E6E6E6"/>
          </w:tcPr>
          <w:p>
            <w:pPr>
              <w:spacing w:after="0"/>
              <w:rPr>
                <w:sz w:val="19"/>
                <w:szCs w:val="19"/>
                <w:color w:val="auto"/>
              </w:rPr>
            </w:pPr>
          </w:p>
        </w:tc>
        <w:tc>
          <w:tcPr>
            <w:tcW w:w="200" w:type="dxa"/>
            <w:vAlign w:val="bottom"/>
            <w:tcBorders>
              <w:bottom w:val="single" w:sz="8" w:color="E6E6E6"/>
              <w:right w:val="single" w:sz="8" w:color="00000A"/>
            </w:tcBorders>
            <w:shd w:val="clear" w:color="auto" w:fill="E6E6E6"/>
          </w:tcPr>
          <w:p>
            <w:pPr>
              <w:spacing w:after="0"/>
              <w:rPr>
                <w:sz w:val="19"/>
                <w:szCs w:val="19"/>
                <w:color w:val="auto"/>
              </w:rPr>
            </w:pPr>
          </w:p>
        </w:tc>
        <w:tc>
          <w:tcPr>
            <w:tcW w:w="940" w:type="dxa"/>
            <w:vAlign w:val="bottom"/>
            <w:tcBorders>
              <w:bottom w:val="single" w:sz="8" w:color="E6E6E6"/>
            </w:tcBorders>
            <w:shd w:val="clear" w:color="auto" w:fill="E6E6E6"/>
          </w:tcPr>
          <w:p>
            <w:pPr>
              <w:spacing w:after="0"/>
              <w:rPr>
                <w:sz w:val="19"/>
                <w:szCs w:val="19"/>
                <w:color w:val="auto"/>
              </w:rPr>
            </w:pPr>
          </w:p>
        </w:tc>
        <w:tc>
          <w:tcPr>
            <w:tcW w:w="90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E6E6E6"/>
              <w:right w:val="single" w:sz="8" w:color="E6E6E6"/>
            </w:tcBorders>
            <w:shd w:val="clear" w:color="auto" w:fill="E6E6E6"/>
          </w:tcPr>
          <w:p>
            <w:pPr>
              <w:spacing w:after="0"/>
              <w:rPr>
                <w:sz w:val="19"/>
                <w:szCs w:val="19"/>
                <w:color w:val="auto"/>
              </w:rPr>
            </w:pPr>
          </w:p>
        </w:tc>
        <w:tc>
          <w:tcPr>
            <w:tcW w:w="140" w:type="dxa"/>
            <w:vAlign w:val="bottom"/>
            <w:tcBorders>
              <w:bottom w:val="single" w:sz="8" w:color="E6E6E6"/>
              <w:right w:val="single" w:sz="8" w:color="E6E6E6"/>
            </w:tcBorders>
            <w:shd w:val="clear" w:color="auto" w:fill="E6E6E6"/>
          </w:tcPr>
          <w:p>
            <w:pPr>
              <w:spacing w:after="0"/>
              <w:rPr>
                <w:sz w:val="19"/>
                <w:szCs w:val="19"/>
                <w:color w:val="auto"/>
              </w:rPr>
            </w:pPr>
          </w:p>
        </w:tc>
        <w:tc>
          <w:tcPr>
            <w:tcW w:w="160" w:type="dxa"/>
            <w:vAlign w:val="bottom"/>
            <w:tcBorders>
              <w:bottom w:val="single" w:sz="8" w:color="E6E6E6"/>
              <w:right w:val="single" w:sz="8" w:color="00000A"/>
            </w:tcBorders>
            <w:shd w:val="clear" w:color="auto" w:fill="E6E6E6"/>
          </w:tcPr>
          <w:p>
            <w:pPr>
              <w:spacing w:after="0"/>
              <w:rPr>
                <w:sz w:val="19"/>
                <w:szCs w:val="19"/>
                <w:color w:val="auto"/>
              </w:rPr>
            </w:pPr>
          </w:p>
        </w:tc>
        <w:tc>
          <w:tcPr>
            <w:tcW w:w="60" w:type="dxa"/>
            <w:vAlign w:val="bottom"/>
            <w:tcBorders>
              <w:bottom w:val="single" w:sz="8" w:color="E6E6E6"/>
            </w:tcBorders>
            <w:shd w:val="clear" w:color="auto" w:fill="E6E6E6"/>
          </w:tcPr>
          <w:p>
            <w:pPr>
              <w:spacing w:after="0"/>
              <w:rPr>
                <w:sz w:val="19"/>
                <w:szCs w:val="19"/>
                <w:color w:val="auto"/>
              </w:rPr>
            </w:pPr>
          </w:p>
        </w:tc>
        <w:tc>
          <w:tcPr>
            <w:tcW w:w="40" w:type="dxa"/>
            <w:vAlign w:val="bottom"/>
            <w:tcBorders>
              <w:bottom w:val="single" w:sz="8" w:color="E6E6E6"/>
              <w:right w:val="single" w:sz="8" w:color="E6E6E6"/>
            </w:tcBorders>
            <w:shd w:val="clear" w:color="auto" w:fill="E6E6E6"/>
          </w:tcPr>
          <w:p>
            <w:pPr>
              <w:spacing w:after="0"/>
              <w:rPr>
                <w:sz w:val="19"/>
                <w:szCs w:val="19"/>
                <w:color w:val="auto"/>
              </w:rPr>
            </w:pPr>
          </w:p>
        </w:tc>
        <w:tc>
          <w:tcPr>
            <w:tcW w:w="1480" w:type="dxa"/>
            <w:vAlign w:val="bottom"/>
            <w:tcBorders>
              <w:bottom w:val="single" w:sz="8" w:color="E6E6E6"/>
              <w:right w:val="single" w:sz="8" w:color="00000A"/>
            </w:tcBorders>
            <w:gridSpan w:val="2"/>
            <w:shd w:val="clear" w:color="auto" w:fill="E6E6E6"/>
          </w:tcPr>
          <w:p>
            <w:pPr>
              <w:ind w:left="520"/>
              <w:spacing w:after="0"/>
              <w:rPr>
                <w:sz w:val="20"/>
                <w:szCs w:val="20"/>
                <w:color w:val="auto"/>
              </w:rPr>
            </w:pPr>
            <w:r>
              <w:rPr>
                <w:rFonts w:ascii="Arial" w:cs="Arial" w:eastAsia="Arial" w:hAnsi="Arial"/>
                <w:sz w:val="13"/>
                <w:szCs w:val="13"/>
                <w:b w:val="1"/>
                <w:bCs w:val="1"/>
                <w:color w:val="auto"/>
              </w:rPr>
              <w:t>Form</w:t>
            </w:r>
          </w:p>
        </w:tc>
        <w:tc>
          <w:tcPr>
            <w:tcW w:w="2640" w:type="dxa"/>
            <w:vAlign w:val="bottom"/>
            <w:tcBorders>
              <w:bottom w:val="single" w:sz="8" w:color="E6E6E6"/>
            </w:tcBorders>
            <w:shd w:val="clear" w:color="auto" w:fill="E6E6E6"/>
          </w:tcPr>
          <w:p>
            <w:pPr>
              <w:spacing w:after="0"/>
              <w:rPr>
                <w:sz w:val="19"/>
                <w:szCs w:val="19"/>
                <w:color w:val="auto"/>
              </w:rPr>
            </w:pPr>
          </w:p>
        </w:tc>
        <w:tc>
          <w:tcPr>
            <w:tcW w:w="1200" w:type="dxa"/>
            <w:vAlign w:val="bottom"/>
            <w:tcBorders>
              <w:bottom w:val="single" w:sz="8" w:color="E6E6E6"/>
              <w:right w:val="single" w:sz="8" w:color="00000A"/>
            </w:tcBorders>
            <w:shd w:val="clear" w:color="auto" w:fill="E6E6E6"/>
          </w:tcPr>
          <w:p>
            <w:pPr>
              <w:spacing w:after="0"/>
              <w:rPr>
                <w:sz w:val="19"/>
                <w:szCs w:val="19"/>
                <w:color w:val="auto"/>
              </w:rPr>
            </w:pPr>
          </w:p>
        </w:tc>
        <w:tc>
          <w:tcPr>
            <w:tcW w:w="1380" w:type="dxa"/>
            <w:vAlign w:val="bottom"/>
            <w:tcBorders>
              <w:bottom w:val="single" w:sz="8" w:color="E6E6E6"/>
              <w:right w:val="single" w:sz="8" w:color="00000A"/>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Borders>
              <w:top w:val="single" w:sz="8" w:color="00000A"/>
              <w:right w:val="single" w:sz="8" w:color="00000A"/>
            </w:tcBorders>
            <w:shd w:val="clear" w:color="auto" w:fill="00000A"/>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00000A"/>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00000A"/>
            </w:tcBorders>
          </w:tcPr>
          <w:p>
            <w:pPr>
              <w:spacing w:after="0"/>
              <w:rPr>
                <w:sz w:val="18"/>
                <w:szCs w:val="18"/>
                <w:color w:val="auto"/>
              </w:rPr>
            </w:pPr>
          </w:p>
        </w:tc>
        <w:tc>
          <w:tcPr>
            <w:tcW w:w="1840" w:type="dxa"/>
            <w:vAlign w:val="bottom"/>
            <w:tcBorders>
              <w:top w:val="single" w:sz="8" w:color="auto"/>
            </w:tcBorders>
            <w:gridSpan w:val="2"/>
          </w:tcPr>
          <w:p>
            <w:pPr>
              <w:ind w:left="20"/>
              <w:spacing w:after="0" w:line="211" w:lineRule="exact"/>
              <w:rPr>
                <w:sz w:val="20"/>
                <w:szCs w:val="20"/>
                <w:color w:val="auto"/>
              </w:rPr>
            </w:pPr>
            <w:r>
              <w:rPr>
                <w:rFonts w:ascii="Arial" w:cs="Arial" w:eastAsia="Arial" w:hAnsi="Arial"/>
                <w:sz w:val="19"/>
                <w:szCs w:val="19"/>
                <w:b w:val="1"/>
                <w:bCs w:val="1"/>
                <w:color w:val="auto"/>
                <w:w w:val="85"/>
              </w:rPr>
              <w:t>Assignee / Reassignor:</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00000A"/>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right w:val="single" w:sz="8" w:color="00000A"/>
            </w:tcBorders>
          </w:tcPr>
          <w:p>
            <w:pPr>
              <w:spacing w:after="0"/>
              <w:rPr>
                <w:sz w:val="18"/>
                <w:szCs w:val="18"/>
                <w:color w:val="auto"/>
              </w:rPr>
            </w:pPr>
          </w:p>
        </w:tc>
        <w:tc>
          <w:tcPr>
            <w:tcW w:w="2640" w:type="dxa"/>
            <w:vAlign w:val="bottom"/>
            <w:tcBorders>
              <w:top w:val="single" w:sz="8" w:color="auto"/>
            </w:tcBorders>
          </w:tcPr>
          <w:p>
            <w:pPr>
              <w:jc w:val="center"/>
              <w:ind w:left="1040"/>
              <w:spacing w:after="0" w:line="211" w:lineRule="exact"/>
              <w:rPr>
                <w:sz w:val="20"/>
                <w:szCs w:val="20"/>
                <w:color w:val="auto"/>
              </w:rPr>
            </w:pPr>
            <w:r>
              <w:rPr>
                <w:rFonts w:ascii="Arial" w:cs="Arial" w:eastAsia="Arial" w:hAnsi="Arial"/>
                <w:sz w:val="19"/>
                <w:szCs w:val="19"/>
                <w:color w:val="auto"/>
                <w:w w:val="98"/>
              </w:rPr>
              <w:t>CL</w:t>
            </w:r>
          </w:p>
        </w:tc>
        <w:tc>
          <w:tcPr>
            <w:tcW w:w="1200" w:type="dxa"/>
            <w:vAlign w:val="bottom"/>
            <w:tcBorders>
              <w:top w:val="single" w:sz="8" w:color="auto"/>
              <w:right w:val="single" w:sz="8" w:color="00000A"/>
            </w:tcBorders>
          </w:tcPr>
          <w:p>
            <w:pPr>
              <w:spacing w:after="0"/>
              <w:rPr>
                <w:sz w:val="18"/>
                <w:szCs w:val="18"/>
                <w:color w:val="auto"/>
              </w:rPr>
            </w:pPr>
          </w:p>
        </w:tc>
        <w:tc>
          <w:tcPr>
            <w:tcW w:w="1380" w:type="dxa"/>
            <w:vAlign w:val="bottom"/>
            <w:tcBorders>
              <w:top w:val="single" w:sz="8" w:color="auto"/>
              <w:right w:val="single" w:sz="8" w:color="00000A"/>
            </w:tcBorders>
            <w:vMerge w:val="restart"/>
          </w:tcPr>
          <w:p>
            <w:pPr>
              <w:jc w:val="center"/>
              <w:spacing w:after="0"/>
              <w:rPr>
                <w:sz w:val="20"/>
                <w:szCs w:val="20"/>
                <w:color w:val="auto"/>
              </w:rPr>
            </w:pPr>
            <w:r>
              <w:rPr>
                <w:rFonts w:ascii="Arial" w:cs="Arial" w:eastAsia="Arial" w:hAnsi="Arial"/>
                <w:sz w:val="19"/>
                <w:szCs w:val="19"/>
                <w:b w:val="1"/>
                <w:bCs w:val="1"/>
                <w:color w:val="auto"/>
                <w:w w:val="84"/>
              </w:rPr>
              <w:t>Reassignment of</w:t>
            </w:r>
          </w:p>
        </w:tc>
        <w:tc>
          <w:tcPr>
            <w:tcW w:w="0" w:type="dxa"/>
            <w:vAlign w:val="bottom"/>
          </w:tcPr>
          <w:p>
            <w:pPr>
              <w:spacing w:after="0"/>
              <w:rPr>
                <w:sz w:val="1"/>
                <w:szCs w:val="1"/>
                <w:color w:val="auto"/>
              </w:rPr>
            </w:pPr>
          </w:p>
        </w:tc>
      </w:tr>
      <w:tr>
        <w:trPr>
          <w:trHeight w:val="293"/>
        </w:trPr>
        <w:tc>
          <w:tcPr>
            <w:tcW w:w="40" w:type="dxa"/>
            <w:vAlign w:val="bottom"/>
            <w:tcBorders>
              <w:right w:val="single" w:sz="8" w:color="00000A"/>
            </w:tcBorders>
            <w:shd w:val="clear" w:color="auto" w:fill="00000A"/>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gridSpan w:val="2"/>
          </w:tcPr>
          <w:p>
            <w:pPr>
              <w:jc w:val="right"/>
              <w:ind w:right="45"/>
              <w:spacing w:after="0"/>
              <w:rPr>
                <w:sz w:val="20"/>
                <w:szCs w:val="20"/>
                <w:color w:val="auto"/>
              </w:rPr>
            </w:pPr>
            <w:r>
              <w:rPr>
                <w:rFonts w:ascii="Arial" w:cs="Arial" w:eastAsia="Arial" w:hAnsi="Arial"/>
                <w:sz w:val="19"/>
                <w:szCs w:val="19"/>
                <w:color w:val="auto"/>
                <w:w w:val="95"/>
              </w:rPr>
              <w:t>00-0231251-0003</w:t>
            </w:r>
          </w:p>
        </w:tc>
        <w:tc>
          <w:tcPr>
            <w:tcW w:w="1840" w:type="dxa"/>
            <w:vAlign w:val="bottom"/>
            <w:gridSpan w:val="2"/>
          </w:tcPr>
          <w:p>
            <w:pPr>
              <w:ind w:left="20"/>
              <w:spacing w:after="0"/>
              <w:rPr>
                <w:sz w:val="20"/>
                <w:szCs w:val="20"/>
                <w:color w:val="auto"/>
              </w:rPr>
            </w:pPr>
            <w:r>
              <w:rPr>
                <w:rFonts w:ascii="Arial" w:cs="Arial" w:eastAsia="Arial" w:hAnsi="Arial"/>
                <w:sz w:val="19"/>
                <w:szCs w:val="19"/>
                <w:color w:val="auto"/>
              </w:rPr>
              <w:t>HSBC Bank Canada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right w:val="single" w:sz="8" w:color="00000A"/>
            </w:tcBorders>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right w:val="single" w:sz="8" w:color="00000A"/>
            </w:tcBorders>
          </w:tcPr>
          <w:p>
            <w:pPr>
              <w:spacing w:after="0"/>
              <w:rPr>
                <w:sz w:val="24"/>
                <w:szCs w:val="24"/>
                <w:color w:val="auto"/>
              </w:rPr>
            </w:pPr>
          </w:p>
        </w:tc>
        <w:tc>
          <w:tcPr>
            <w:tcW w:w="3840" w:type="dxa"/>
            <w:vAlign w:val="bottom"/>
            <w:tcBorders>
              <w:right w:val="single" w:sz="8" w:color="00000A"/>
            </w:tcBorders>
            <w:gridSpan w:val="2"/>
          </w:tcPr>
          <w:p>
            <w:pPr>
              <w:jc w:val="center"/>
              <w:ind w:right="18"/>
              <w:spacing w:after="0"/>
              <w:rPr>
                <w:sz w:val="20"/>
                <w:szCs w:val="20"/>
                <w:color w:val="auto"/>
              </w:rPr>
            </w:pPr>
            <w:r>
              <w:rPr>
                <w:rFonts w:ascii="Arial" w:cs="Arial" w:eastAsia="Arial" w:hAnsi="Arial"/>
                <w:sz w:val="19"/>
                <w:szCs w:val="19"/>
                <w:color w:val="auto"/>
                <w:w w:val="91"/>
              </w:rPr>
              <w:t>B) All debts and amounts now or hereafter</w:t>
            </w:r>
          </w:p>
        </w:tc>
        <w:tc>
          <w:tcPr>
            <w:tcW w:w="138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0" w:type="dxa"/>
            <w:vAlign w:val="bottom"/>
            <w:tcBorders>
              <w:right w:val="single" w:sz="8" w:color="00000A"/>
            </w:tcBorders>
            <w:shd w:val="clear" w:color="auto" w:fill="00000A"/>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right w:val="single" w:sz="8" w:color="00000A"/>
            </w:tcBorders>
          </w:tcPr>
          <w:p>
            <w:pPr>
              <w:spacing w:after="0"/>
              <w:rPr>
                <w:sz w:val="11"/>
                <w:szCs w:val="11"/>
                <w:color w:val="auto"/>
              </w:rPr>
            </w:pPr>
          </w:p>
        </w:tc>
        <w:tc>
          <w:tcPr>
            <w:tcW w:w="1400" w:type="dxa"/>
            <w:vAlign w:val="bottom"/>
            <w:vMerge w:val="restart"/>
          </w:tcPr>
          <w:p>
            <w:pPr>
              <w:jc w:val="right"/>
              <w:ind w:right="77"/>
              <w:spacing w:after="0"/>
              <w:rPr>
                <w:sz w:val="20"/>
                <w:szCs w:val="20"/>
                <w:color w:val="auto"/>
              </w:rPr>
            </w:pPr>
            <w:r>
              <w:rPr>
                <w:rFonts w:ascii="Arial" w:cs="Arial" w:eastAsia="Arial" w:hAnsi="Arial"/>
                <w:sz w:val="19"/>
                <w:szCs w:val="19"/>
                <w:color w:val="auto"/>
              </w:rPr>
              <w:t>2000-08-14</w:t>
            </w:r>
          </w:p>
        </w:tc>
        <w:tc>
          <w:tcPr>
            <w:tcW w:w="200" w:type="dxa"/>
            <w:vAlign w:val="bottom"/>
            <w:tcBorders>
              <w:right w:val="single" w:sz="8" w:color="00000A"/>
            </w:tcBorders>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right w:val="single" w:sz="8" w:color="00000A"/>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3840" w:type="dxa"/>
            <w:vAlign w:val="bottom"/>
            <w:tcBorders>
              <w:right w:val="single" w:sz="8" w:color="00000A"/>
            </w:tcBorders>
            <w:gridSpan w:val="2"/>
          </w:tcPr>
          <w:p>
            <w:pPr>
              <w:jc w:val="center"/>
              <w:spacing w:after="0" w:line="130" w:lineRule="exact"/>
              <w:rPr>
                <w:sz w:val="20"/>
                <w:szCs w:val="20"/>
                <w:color w:val="auto"/>
              </w:rPr>
            </w:pPr>
            <w:r>
              <w:rPr>
                <w:rFonts w:ascii="Arial" w:cs="Arial" w:eastAsia="Arial" w:hAnsi="Arial"/>
                <w:sz w:val="15"/>
                <w:szCs w:val="15"/>
                <w:color w:val="auto"/>
              </w:rPr>
              <w:t>owing by Hazmasters Environmental</w:t>
            </w:r>
          </w:p>
        </w:tc>
        <w:tc>
          <w:tcPr>
            <w:tcW w:w="1380" w:type="dxa"/>
            <w:vAlign w:val="bottom"/>
            <w:tcBorders>
              <w:right w:val="single" w:sz="8" w:color="00000A"/>
            </w:tcBorders>
          </w:tcPr>
          <w:p>
            <w:pPr>
              <w:jc w:val="center"/>
              <w:ind w:right="7"/>
              <w:spacing w:after="0" w:line="130" w:lineRule="exact"/>
              <w:rPr>
                <w:sz w:val="20"/>
                <w:szCs w:val="20"/>
                <w:color w:val="auto"/>
              </w:rPr>
            </w:pPr>
            <w:r>
              <w:rPr>
                <w:rFonts w:ascii="Arial" w:cs="Arial" w:eastAsia="Arial" w:hAnsi="Arial"/>
                <w:sz w:val="15"/>
                <w:szCs w:val="15"/>
                <w:b w:val="1"/>
                <w:bCs w:val="1"/>
                <w:color w:val="auto"/>
              </w:rPr>
              <w:t>a universality of</w:t>
            </w:r>
          </w:p>
        </w:tc>
        <w:tc>
          <w:tcPr>
            <w:tcW w:w="0" w:type="dxa"/>
            <w:vAlign w:val="bottom"/>
          </w:tcPr>
          <w:p>
            <w:pPr>
              <w:spacing w:after="0"/>
              <w:rPr>
                <w:sz w:val="1"/>
                <w:szCs w:val="1"/>
                <w:color w:val="auto"/>
              </w:rPr>
            </w:pPr>
          </w:p>
        </w:tc>
      </w:tr>
      <w:tr>
        <w:trPr>
          <w:trHeight w:val="113"/>
        </w:trPr>
        <w:tc>
          <w:tcPr>
            <w:tcW w:w="40" w:type="dxa"/>
            <w:vAlign w:val="bottom"/>
            <w:tcBorders>
              <w:right w:val="single" w:sz="8" w:color="00000A"/>
            </w:tcBorders>
            <w:shd w:val="clear" w:color="auto" w:fill="00000A"/>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right w:val="single" w:sz="8" w:color="00000A"/>
            </w:tcBorders>
          </w:tcPr>
          <w:p>
            <w:pPr>
              <w:spacing w:after="0"/>
              <w:rPr>
                <w:sz w:val="9"/>
                <w:szCs w:val="9"/>
                <w:color w:val="auto"/>
              </w:rPr>
            </w:pPr>
          </w:p>
        </w:tc>
        <w:tc>
          <w:tcPr>
            <w:tcW w:w="1400" w:type="dxa"/>
            <w:vAlign w:val="bottom"/>
            <w:vMerge w:val="continue"/>
          </w:tcPr>
          <w:p>
            <w:pPr>
              <w:spacing w:after="0"/>
              <w:rPr>
                <w:sz w:val="9"/>
                <w:szCs w:val="9"/>
                <w:color w:val="auto"/>
              </w:rPr>
            </w:pPr>
          </w:p>
        </w:tc>
        <w:tc>
          <w:tcPr>
            <w:tcW w:w="200" w:type="dxa"/>
            <w:vAlign w:val="bottom"/>
            <w:tcBorders>
              <w:right w:val="single" w:sz="8" w:color="00000A"/>
            </w:tcBorders>
          </w:tcPr>
          <w:p>
            <w:pPr>
              <w:spacing w:after="0"/>
              <w:rPr>
                <w:sz w:val="9"/>
                <w:szCs w:val="9"/>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w w:val="85"/>
              </w:rPr>
              <w:t>Assignor / Reassignee: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00000A"/>
            </w:tcBorders>
          </w:tcPr>
          <w:p>
            <w:pPr>
              <w:spacing w:after="0"/>
              <w:rPr>
                <w:sz w:val="9"/>
                <w:szCs w:val="9"/>
                <w:color w:val="auto"/>
              </w:rPr>
            </w:pPr>
          </w:p>
        </w:tc>
        <w:tc>
          <w:tcPr>
            <w:tcW w:w="1480" w:type="dxa"/>
            <w:vAlign w:val="bottom"/>
            <w:tcBorders>
              <w:right w:val="single" w:sz="8" w:color="00000A"/>
            </w:tcBorders>
            <w:gridSpan w:val="2"/>
            <w:vMerge w:val="restart"/>
          </w:tcPr>
          <w:p>
            <w:pPr>
              <w:jc w:val="center"/>
              <w:spacing w:after="0"/>
              <w:rPr>
                <w:sz w:val="20"/>
                <w:szCs w:val="20"/>
                <w:color w:val="auto"/>
              </w:rPr>
            </w:pPr>
            <w:r>
              <w:rPr>
                <w:rFonts w:ascii="Arial" w:cs="Arial" w:eastAsia="Arial" w:hAnsi="Arial"/>
                <w:sz w:val="19"/>
                <w:szCs w:val="19"/>
                <w:color w:val="auto"/>
                <w:w w:val="94"/>
              </w:rPr>
              <w:t>AssCI</w:t>
            </w:r>
          </w:p>
        </w:tc>
        <w:tc>
          <w:tcPr>
            <w:tcW w:w="3840" w:type="dxa"/>
            <w:vAlign w:val="bottom"/>
            <w:tcBorders>
              <w:right w:val="single" w:sz="8" w:color="00000A"/>
            </w:tcBorders>
            <w:gridSpan w:val="2"/>
            <w:vMerge w:val="restart"/>
          </w:tcPr>
          <w:p>
            <w:pPr>
              <w:jc w:val="center"/>
              <w:spacing w:after="0"/>
              <w:rPr>
                <w:sz w:val="20"/>
                <w:szCs w:val="20"/>
                <w:color w:val="auto"/>
              </w:rPr>
            </w:pPr>
            <w:r>
              <w:rPr>
                <w:rFonts w:ascii="Arial" w:cs="Arial" w:eastAsia="Arial" w:hAnsi="Arial"/>
                <w:sz w:val="19"/>
                <w:szCs w:val="19"/>
                <w:color w:val="auto"/>
                <w:w w:val="90"/>
              </w:rPr>
              <w:t>Equipment Inc. to the assignor; and</w:t>
            </w: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9"/>
                <w:szCs w:val="19"/>
                <w:b w:val="1"/>
                <w:bCs w:val="1"/>
                <w:color w:val="auto"/>
                <w:w w:val="87"/>
              </w:rPr>
              <w:t xml:space="preserve">claims </w:t>
            </w:r>
            <w:r>
              <w:rPr>
                <w:rFonts w:ascii="Arial" w:cs="Arial" w:eastAsia="Arial" w:hAnsi="Arial"/>
                <w:sz w:val="19"/>
                <w:szCs w:val="19"/>
                <w:color w:val="auto"/>
                <w:w w:val="87"/>
              </w:rPr>
              <w:t>registered</w:t>
            </w:r>
          </w:p>
        </w:tc>
        <w:tc>
          <w:tcPr>
            <w:tcW w:w="0" w:type="dxa"/>
            <w:vAlign w:val="bottom"/>
          </w:tcPr>
          <w:p>
            <w:pPr>
              <w:spacing w:after="0"/>
              <w:rPr>
                <w:sz w:val="1"/>
                <w:szCs w:val="1"/>
                <w:color w:val="auto"/>
              </w:rPr>
            </w:pPr>
          </w:p>
        </w:tc>
      </w:tr>
      <w:tr>
        <w:trPr>
          <w:trHeight w:val="107"/>
        </w:trPr>
        <w:tc>
          <w:tcPr>
            <w:tcW w:w="40" w:type="dxa"/>
            <w:vAlign w:val="bottom"/>
            <w:tcBorders>
              <w:right w:val="single" w:sz="8" w:color="00000A"/>
            </w:tcBorders>
            <w:shd w:val="clear" w:color="auto" w:fill="00000A"/>
          </w:tcPr>
          <w:p>
            <w:pPr>
              <w:spacing w:after="0"/>
              <w:rPr>
                <w:sz w:val="9"/>
                <w:szCs w:val="9"/>
                <w:color w:val="auto"/>
              </w:rPr>
            </w:pPr>
          </w:p>
        </w:tc>
        <w:tc>
          <w:tcPr>
            <w:tcW w:w="360" w:type="dxa"/>
            <w:vAlign w:val="bottom"/>
            <w:vMerge w:val="restart"/>
          </w:tcPr>
          <w:p>
            <w:pPr>
              <w:ind w:left="40"/>
              <w:spacing w:after="0"/>
              <w:rPr>
                <w:sz w:val="20"/>
                <w:szCs w:val="20"/>
                <w:color w:val="auto"/>
              </w:rPr>
            </w:pPr>
            <w:r>
              <w:rPr>
                <w:rFonts w:ascii="Arial" w:cs="Arial" w:eastAsia="Arial" w:hAnsi="Arial"/>
                <w:sz w:val="19"/>
                <w:szCs w:val="19"/>
                <w:color w:val="auto"/>
              </w:rPr>
              <w:t>1.</w:t>
            </w:r>
          </w:p>
        </w:tc>
        <w:tc>
          <w:tcPr>
            <w:tcW w:w="300" w:type="dxa"/>
            <w:vAlign w:val="bottom"/>
            <w:tcBorders>
              <w:right w:val="single" w:sz="8" w:color="00000A"/>
            </w:tcBorders>
          </w:tcPr>
          <w:p>
            <w:pPr>
              <w:spacing w:after="0"/>
              <w:rPr>
                <w:sz w:val="9"/>
                <w:szCs w:val="9"/>
                <w:color w:val="auto"/>
              </w:rPr>
            </w:pPr>
          </w:p>
        </w:tc>
        <w:tc>
          <w:tcPr>
            <w:tcW w:w="1400" w:type="dxa"/>
            <w:vAlign w:val="bottom"/>
            <w:vMerge w:val="restart"/>
          </w:tcPr>
          <w:p>
            <w:pPr>
              <w:jc w:val="center"/>
              <w:ind w:left="77"/>
              <w:spacing w:after="0"/>
              <w:rPr>
                <w:sz w:val="20"/>
                <w:szCs w:val="20"/>
                <w:color w:val="auto"/>
              </w:rPr>
            </w:pPr>
            <w:r>
              <w:rPr>
                <w:rFonts w:ascii="Arial" w:cs="Arial" w:eastAsia="Arial" w:hAnsi="Arial"/>
                <w:sz w:val="19"/>
                <w:szCs w:val="19"/>
                <w:color w:val="auto"/>
                <w:w w:val="93"/>
              </w:rPr>
              <w:t>03:00 PM</w:t>
            </w:r>
          </w:p>
        </w:tc>
        <w:tc>
          <w:tcPr>
            <w:tcW w:w="200" w:type="dxa"/>
            <w:vAlign w:val="bottom"/>
            <w:tcBorders>
              <w:right w:val="single" w:sz="8" w:color="00000A"/>
            </w:tcBorders>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00000A"/>
            </w:tcBorders>
          </w:tcPr>
          <w:p>
            <w:pPr>
              <w:spacing w:after="0"/>
              <w:rPr>
                <w:sz w:val="9"/>
                <w:szCs w:val="9"/>
                <w:color w:val="auto"/>
              </w:rPr>
            </w:pPr>
          </w:p>
        </w:tc>
        <w:tc>
          <w:tcPr>
            <w:tcW w:w="1480" w:type="dxa"/>
            <w:vAlign w:val="bottom"/>
            <w:tcBorders>
              <w:right w:val="single" w:sz="8" w:color="00000A"/>
            </w:tcBorders>
            <w:gridSpan w:val="2"/>
            <w:vMerge w:val="continue"/>
          </w:tcPr>
          <w:p>
            <w:pPr>
              <w:spacing w:after="0"/>
              <w:rPr>
                <w:sz w:val="9"/>
                <w:szCs w:val="9"/>
                <w:color w:val="auto"/>
              </w:rPr>
            </w:pPr>
          </w:p>
        </w:tc>
        <w:tc>
          <w:tcPr>
            <w:tcW w:w="3840" w:type="dxa"/>
            <w:vAlign w:val="bottom"/>
            <w:tcBorders>
              <w:right w:val="single" w:sz="8" w:color="00000A"/>
            </w:tcBorders>
            <w:gridSpan w:val="2"/>
            <w:vMerge w:val="continue"/>
          </w:tcPr>
          <w:p>
            <w:pPr>
              <w:spacing w:after="0"/>
              <w:rPr>
                <w:sz w:val="9"/>
                <w:szCs w:val="9"/>
                <w:color w:val="auto"/>
              </w:rPr>
            </w:pPr>
          </w:p>
        </w:tc>
        <w:tc>
          <w:tcPr>
            <w:tcW w:w="138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00000A"/>
            </w:tcBorders>
            <w:shd w:val="clear" w:color="auto" w:fill="00000A"/>
          </w:tcPr>
          <w:p>
            <w:pPr>
              <w:spacing w:after="0"/>
              <w:rPr>
                <w:sz w:val="10"/>
                <w:szCs w:val="10"/>
                <w:color w:val="auto"/>
              </w:rPr>
            </w:pPr>
          </w:p>
        </w:tc>
        <w:tc>
          <w:tcPr>
            <w:tcW w:w="360" w:type="dxa"/>
            <w:vAlign w:val="bottom"/>
            <w:vMerge w:val="continue"/>
          </w:tcPr>
          <w:p>
            <w:pPr>
              <w:spacing w:after="0"/>
              <w:rPr>
                <w:sz w:val="10"/>
                <w:szCs w:val="10"/>
                <w:color w:val="auto"/>
              </w:rPr>
            </w:pPr>
          </w:p>
        </w:tc>
        <w:tc>
          <w:tcPr>
            <w:tcW w:w="300" w:type="dxa"/>
            <w:vAlign w:val="bottom"/>
            <w:tcBorders>
              <w:right w:val="single" w:sz="8" w:color="00000A"/>
            </w:tcBorders>
          </w:tcPr>
          <w:p>
            <w:pPr>
              <w:spacing w:after="0"/>
              <w:rPr>
                <w:sz w:val="10"/>
                <w:szCs w:val="10"/>
                <w:color w:val="auto"/>
              </w:rPr>
            </w:pPr>
          </w:p>
        </w:tc>
        <w:tc>
          <w:tcPr>
            <w:tcW w:w="1400" w:type="dxa"/>
            <w:vAlign w:val="bottom"/>
            <w:vMerge w:val="continue"/>
          </w:tcPr>
          <w:p>
            <w:pPr>
              <w:spacing w:after="0"/>
              <w:rPr>
                <w:sz w:val="10"/>
                <w:szCs w:val="10"/>
                <w:color w:val="auto"/>
              </w:rPr>
            </w:pPr>
          </w:p>
        </w:tc>
        <w:tc>
          <w:tcPr>
            <w:tcW w:w="200" w:type="dxa"/>
            <w:vAlign w:val="bottom"/>
            <w:tcBorders>
              <w:right w:val="single" w:sz="8" w:color="00000A"/>
            </w:tcBorders>
          </w:tcPr>
          <w:p>
            <w:pPr>
              <w:spacing w:after="0"/>
              <w:rPr>
                <w:sz w:val="10"/>
                <w:szCs w:val="10"/>
                <w:color w:val="auto"/>
              </w:rPr>
            </w:pPr>
          </w:p>
        </w:tc>
        <w:tc>
          <w:tcPr>
            <w:tcW w:w="940" w:type="dxa"/>
            <w:vAlign w:val="bottom"/>
            <w:vMerge w:val="restart"/>
          </w:tcPr>
          <w:p>
            <w:pPr>
              <w:ind w:left="20"/>
              <w:spacing w:after="0" w:line="214" w:lineRule="exact"/>
              <w:rPr>
                <w:sz w:val="20"/>
                <w:szCs w:val="20"/>
                <w:color w:val="auto"/>
              </w:rPr>
            </w:pPr>
            <w:r>
              <w:rPr>
                <w:rFonts w:ascii="Arial" w:cs="Arial" w:eastAsia="Arial" w:hAnsi="Arial"/>
                <w:sz w:val="19"/>
                <w:szCs w:val="19"/>
                <w:color w:val="auto"/>
                <w:strike w:val="1"/>
              </w:rPr>
              <w:t>Produits</w:t>
            </w:r>
          </w:p>
        </w:tc>
        <w:tc>
          <w:tcPr>
            <w:tcW w:w="1500" w:type="dxa"/>
            <w:vAlign w:val="bottom"/>
            <w:gridSpan w:val="5"/>
            <w:vMerge w:val="restart"/>
          </w:tcPr>
          <w:p>
            <w:pPr>
              <w:jc w:val="right"/>
              <w:spacing w:after="0" w:line="214" w:lineRule="exact"/>
              <w:rPr>
                <w:sz w:val="20"/>
                <w:szCs w:val="20"/>
                <w:color w:val="auto"/>
              </w:rPr>
            </w:pPr>
            <w:r>
              <w:rPr>
                <w:rFonts w:ascii="Arial" w:cs="Arial" w:eastAsia="Arial" w:hAnsi="Arial"/>
                <w:sz w:val="19"/>
                <w:szCs w:val="19"/>
                <w:color w:val="auto"/>
                <w:strike w:val="1"/>
                <w:w w:val="93"/>
              </w:rPr>
              <w:t>Environnementaux</w:t>
            </w:r>
          </w:p>
        </w:tc>
        <w:tc>
          <w:tcPr>
            <w:tcW w:w="40" w:type="dxa"/>
            <w:vAlign w:val="bottom"/>
            <w:tcBorders>
              <w:right w:val="single" w:sz="8" w:color="00000A"/>
            </w:tcBorders>
          </w:tcPr>
          <w:p>
            <w:pPr>
              <w:spacing w:after="0"/>
              <w:rPr>
                <w:sz w:val="10"/>
                <w:szCs w:val="10"/>
                <w:color w:val="auto"/>
              </w:rPr>
            </w:pPr>
          </w:p>
        </w:tc>
        <w:tc>
          <w:tcPr>
            <w:tcW w:w="1320" w:type="dxa"/>
            <w:vAlign w:val="bottom"/>
            <w:vMerge w:val="restart"/>
          </w:tcPr>
          <w:p>
            <w:pPr>
              <w:jc w:val="center"/>
              <w:ind w:left="56"/>
              <w:spacing w:after="0" w:line="214" w:lineRule="exact"/>
              <w:rPr>
                <w:sz w:val="20"/>
                <w:szCs w:val="20"/>
                <w:color w:val="auto"/>
              </w:rPr>
            </w:pPr>
            <w:r>
              <w:rPr>
                <w:rFonts w:ascii="Arial" w:cs="Arial" w:eastAsia="Arial" w:hAnsi="Arial"/>
                <w:sz w:val="19"/>
                <w:szCs w:val="19"/>
                <w:color w:val="auto"/>
                <w:w w:val="92"/>
              </w:rPr>
              <w:t>2000-08-09</w:t>
            </w:r>
          </w:p>
        </w:tc>
        <w:tc>
          <w:tcPr>
            <w:tcW w:w="160" w:type="dxa"/>
            <w:vAlign w:val="bottom"/>
            <w:tcBorders>
              <w:right w:val="single" w:sz="8" w:color="00000A"/>
            </w:tcBorders>
          </w:tcPr>
          <w:p>
            <w:pPr>
              <w:spacing w:after="0"/>
              <w:rPr>
                <w:sz w:val="10"/>
                <w:szCs w:val="10"/>
                <w:color w:val="auto"/>
              </w:rPr>
            </w:pPr>
          </w:p>
        </w:tc>
        <w:tc>
          <w:tcPr>
            <w:tcW w:w="3840" w:type="dxa"/>
            <w:vAlign w:val="bottom"/>
            <w:tcBorders>
              <w:right w:val="single" w:sz="8" w:color="00000A"/>
            </w:tcBorders>
            <w:gridSpan w:val="2"/>
            <w:vMerge w:val="restart"/>
          </w:tcPr>
          <w:p>
            <w:pPr>
              <w:jc w:val="center"/>
              <w:ind w:right="18"/>
              <w:spacing w:after="0" w:line="214" w:lineRule="exact"/>
              <w:rPr>
                <w:sz w:val="20"/>
                <w:szCs w:val="20"/>
                <w:color w:val="auto"/>
              </w:rPr>
            </w:pPr>
            <w:r>
              <w:rPr>
                <w:rFonts w:ascii="Arial" w:cs="Arial" w:eastAsia="Arial" w:hAnsi="Arial"/>
                <w:sz w:val="19"/>
                <w:szCs w:val="19"/>
                <w:color w:val="auto"/>
                <w:w w:val="92"/>
              </w:rPr>
              <w:t>C) All indemnity or proceeds of insurance</w:t>
            </w:r>
          </w:p>
        </w:tc>
        <w:tc>
          <w:tcPr>
            <w:tcW w:w="1380" w:type="dxa"/>
            <w:vAlign w:val="bottom"/>
            <w:tcBorders>
              <w:right w:val="single" w:sz="8" w:color="00000A"/>
            </w:tcBorders>
            <w:vMerge w:val="restart"/>
          </w:tcPr>
          <w:p>
            <w:pPr>
              <w:jc w:val="center"/>
              <w:ind w:right="7"/>
              <w:spacing w:after="0" w:line="214" w:lineRule="exact"/>
              <w:rPr>
                <w:sz w:val="20"/>
                <w:szCs w:val="20"/>
                <w:color w:val="auto"/>
              </w:rPr>
            </w:pPr>
            <w:r>
              <w:rPr>
                <w:rFonts w:ascii="Arial" w:cs="Arial" w:eastAsia="Arial" w:hAnsi="Arial"/>
                <w:sz w:val="19"/>
                <w:szCs w:val="19"/>
                <w:color w:val="auto"/>
                <w:w w:val="88"/>
              </w:rPr>
              <w:t>on 2014-04-14 at</w:t>
            </w:r>
          </w:p>
        </w:tc>
        <w:tc>
          <w:tcPr>
            <w:tcW w:w="0" w:type="dxa"/>
            <w:vAlign w:val="bottom"/>
          </w:tcPr>
          <w:p>
            <w:pPr>
              <w:spacing w:after="0"/>
              <w:rPr>
                <w:sz w:val="1"/>
                <w:szCs w:val="1"/>
                <w:color w:val="auto"/>
              </w:rPr>
            </w:pPr>
          </w:p>
        </w:tc>
      </w:tr>
      <w:tr>
        <w:trPr>
          <w:trHeight w:val="88"/>
        </w:trPr>
        <w:tc>
          <w:tcPr>
            <w:tcW w:w="40" w:type="dxa"/>
            <w:vAlign w:val="bottom"/>
            <w:tcBorders>
              <w:right w:val="single" w:sz="8" w:color="00000A"/>
            </w:tcBorders>
            <w:shd w:val="clear" w:color="auto" w:fill="00000A"/>
          </w:tcPr>
          <w:p>
            <w:pPr>
              <w:spacing w:after="0"/>
              <w:rPr>
                <w:sz w:val="7"/>
                <w:szCs w:val="7"/>
                <w:color w:val="auto"/>
              </w:rPr>
            </w:pPr>
          </w:p>
        </w:tc>
        <w:tc>
          <w:tcPr>
            <w:tcW w:w="360" w:type="dxa"/>
            <w:vAlign w:val="bottom"/>
            <w:vMerge w:val="continue"/>
          </w:tcPr>
          <w:p>
            <w:pPr>
              <w:spacing w:after="0"/>
              <w:rPr>
                <w:sz w:val="7"/>
                <w:szCs w:val="7"/>
                <w:color w:val="auto"/>
              </w:rPr>
            </w:pPr>
          </w:p>
        </w:tc>
        <w:tc>
          <w:tcPr>
            <w:tcW w:w="300" w:type="dxa"/>
            <w:vAlign w:val="bottom"/>
            <w:tcBorders>
              <w:right w:val="single" w:sz="8" w:color="00000A"/>
            </w:tcBorders>
          </w:tcPr>
          <w:p>
            <w:pPr>
              <w:spacing w:after="0"/>
              <w:rPr>
                <w:sz w:val="7"/>
                <w:szCs w:val="7"/>
                <w:color w:val="auto"/>
              </w:rPr>
            </w:pPr>
          </w:p>
        </w:tc>
        <w:tc>
          <w:tcPr>
            <w:tcW w:w="1400" w:type="dxa"/>
            <w:vAlign w:val="bottom"/>
          </w:tcPr>
          <w:p>
            <w:pPr>
              <w:spacing w:after="0"/>
              <w:rPr>
                <w:sz w:val="7"/>
                <w:szCs w:val="7"/>
                <w:color w:val="auto"/>
              </w:rPr>
            </w:pPr>
          </w:p>
        </w:tc>
        <w:tc>
          <w:tcPr>
            <w:tcW w:w="200" w:type="dxa"/>
            <w:vAlign w:val="bottom"/>
            <w:tcBorders>
              <w:right w:val="single" w:sz="8" w:color="00000A"/>
            </w:tcBorders>
          </w:tcPr>
          <w:p>
            <w:pPr>
              <w:spacing w:after="0"/>
              <w:rPr>
                <w:sz w:val="7"/>
                <w:szCs w:val="7"/>
                <w:color w:val="auto"/>
              </w:rPr>
            </w:pPr>
          </w:p>
        </w:tc>
        <w:tc>
          <w:tcPr>
            <w:tcW w:w="940" w:type="dxa"/>
            <w:vAlign w:val="bottom"/>
            <w:vMerge w:val="continue"/>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0" w:type="dxa"/>
            <w:vAlign w:val="bottom"/>
            <w:tcBorders>
              <w:right w:val="single" w:sz="8" w:color="00000A"/>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160" w:type="dxa"/>
            <w:vAlign w:val="bottom"/>
            <w:tcBorders>
              <w:right w:val="single" w:sz="8" w:color="00000A"/>
            </w:tcBorders>
          </w:tcPr>
          <w:p>
            <w:pPr>
              <w:spacing w:after="0"/>
              <w:rPr>
                <w:sz w:val="7"/>
                <w:szCs w:val="7"/>
                <w:color w:val="auto"/>
              </w:rPr>
            </w:pPr>
          </w:p>
        </w:tc>
        <w:tc>
          <w:tcPr>
            <w:tcW w:w="3840" w:type="dxa"/>
            <w:vAlign w:val="bottom"/>
            <w:tcBorders>
              <w:right w:val="single" w:sz="8" w:color="00000A"/>
            </w:tcBorders>
            <w:gridSpan w:val="2"/>
            <w:vMerge w:val="continue"/>
          </w:tcPr>
          <w:p>
            <w:pPr>
              <w:spacing w:after="0"/>
              <w:rPr>
                <w:sz w:val="7"/>
                <w:szCs w:val="7"/>
                <w:color w:val="auto"/>
              </w:rPr>
            </w:pPr>
          </w:p>
        </w:tc>
        <w:tc>
          <w:tcPr>
            <w:tcW w:w="13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40" w:type="dxa"/>
            <w:vAlign w:val="bottom"/>
            <w:tcBorders>
              <w:right w:val="single" w:sz="8" w:color="00000A"/>
            </w:tcBorders>
            <w:shd w:val="clear" w:color="auto" w:fill="00000A"/>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00000A"/>
            </w:tcBorders>
          </w:tcPr>
          <w:p>
            <w:pPr>
              <w:spacing w:after="0"/>
              <w:rPr>
                <w:sz w:val="24"/>
                <w:szCs w:val="24"/>
                <w:color w:val="auto"/>
              </w:rPr>
            </w:pPr>
          </w:p>
        </w:tc>
        <w:tc>
          <w:tcPr>
            <w:tcW w:w="1600" w:type="dxa"/>
            <w:vAlign w:val="bottom"/>
            <w:tcBorders>
              <w:right w:val="single" w:sz="8" w:color="00000A"/>
            </w:tcBorders>
            <w:gridSpan w:val="2"/>
          </w:tcPr>
          <w:p>
            <w:pPr>
              <w:jc w:val="center"/>
              <w:spacing w:after="0"/>
              <w:rPr>
                <w:sz w:val="20"/>
                <w:szCs w:val="20"/>
                <w:color w:val="auto"/>
              </w:rPr>
            </w:pPr>
            <w:r>
              <w:rPr>
                <w:rFonts w:ascii="Arial" w:cs="Arial" w:eastAsia="Arial" w:hAnsi="Arial"/>
                <w:sz w:val="19"/>
                <w:szCs w:val="19"/>
                <w:b w:val="1"/>
                <w:bCs w:val="1"/>
                <w:color w:val="auto"/>
                <w:w w:val="84"/>
              </w:rPr>
              <w:t xml:space="preserve">Reassigned </w:t>
            </w:r>
            <w:r>
              <w:rPr>
                <w:rFonts w:ascii="Arial" w:cs="Arial" w:eastAsia="Arial" w:hAnsi="Arial"/>
                <w:sz w:val="19"/>
                <w:szCs w:val="19"/>
                <w:b w:val="1"/>
                <w:bCs w:val="1"/>
                <w:i w:val="1"/>
                <w:iCs w:val="1"/>
                <w:color w:val="auto"/>
                <w:w w:val="84"/>
              </w:rPr>
              <w:t>-</w:t>
            </w:r>
            <w:r>
              <w:rPr>
                <w:rFonts w:ascii="Arial" w:cs="Arial" w:eastAsia="Arial" w:hAnsi="Arial"/>
                <w:sz w:val="19"/>
                <w:szCs w:val="19"/>
                <w:b w:val="1"/>
                <w:bCs w:val="1"/>
                <w:color w:val="auto"/>
                <w:w w:val="84"/>
              </w:rPr>
              <w:t xml:space="preserve"> </w:t>
            </w:r>
            <w:r>
              <w:rPr>
                <w:rFonts w:ascii="Arial" w:cs="Arial" w:eastAsia="Arial" w:hAnsi="Arial"/>
                <w:sz w:val="19"/>
                <w:szCs w:val="19"/>
                <w:i w:val="1"/>
                <w:iCs w:val="1"/>
                <w:color w:val="auto"/>
                <w:w w:val="84"/>
              </w:rPr>
              <w:t>see</w:t>
            </w:r>
          </w:p>
        </w:tc>
        <w:tc>
          <w:tcPr>
            <w:tcW w:w="1840" w:type="dxa"/>
            <w:vAlign w:val="bottom"/>
            <w:gridSpan w:val="2"/>
          </w:tcPr>
          <w:p>
            <w:pPr>
              <w:ind w:left="20"/>
              <w:spacing w:after="0"/>
              <w:rPr>
                <w:sz w:val="20"/>
                <w:szCs w:val="20"/>
                <w:color w:val="auto"/>
              </w:rPr>
            </w:pPr>
            <w:r>
              <w:rPr>
                <w:rFonts w:ascii="Arial" w:cs="Arial" w:eastAsia="Arial" w:hAnsi="Arial"/>
                <w:sz w:val="19"/>
                <w:szCs w:val="19"/>
                <w:color w:val="auto"/>
                <w:strike w:val="1"/>
              </w:rPr>
              <w:t>Hazmasters Inc.</w:t>
            </w:r>
          </w:p>
        </w:tc>
        <w:tc>
          <w:tcPr>
            <w:tcW w:w="240" w:type="dxa"/>
            <w:vAlign w:val="bottom"/>
          </w:tcPr>
          <w:p>
            <w:pPr>
              <w:spacing w:after="0"/>
              <w:rPr>
                <w:sz w:val="24"/>
                <w:szCs w:val="24"/>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9"/>
                <w:szCs w:val="19"/>
                <w:color w:val="auto"/>
              </w:rPr>
              <w:t>Inc.</w:t>
            </w:r>
          </w:p>
        </w:tc>
        <w:tc>
          <w:tcPr>
            <w:tcW w:w="40" w:type="dxa"/>
            <w:vAlign w:val="bottom"/>
            <w:tcBorders>
              <w:right w:val="single" w:sz="8" w:color="00000A"/>
            </w:tcBorders>
          </w:tcPr>
          <w:p>
            <w:pPr>
              <w:spacing w:after="0"/>
              <w:rPr>
                <w:sz w:val="24"/>
                <w:szCs w:val="24"/>
                <w:color w:val="auto"/>
              </w:rPr>
            </w:pPr>
          </w:p>
        </w:tc>
        <w:tc>
          <w:tcPr>
            <w:tcW w:w="1480" w:type="dxa"/>
            <w:vAlign w:val="bottom"/>
            <w:tcBorders>
              <w:right w:val="single" w:sz="8" w:color="00000A"/>
            </w:tcBorders>
            <w:gridSpan w:val="2"/>
          </w:tcPr>
          <w:p>
            <w:pPr>
              <w:jc w:val="center"/>
              <w:ind w:right="20"/>
              <w:spacing w:after="0"/>
              <w:rPr>
                <w:sz w:val="20"/>
                <w:szCs w:val="20"/>
                <w:color w:val="auto"/>
              </w:rPr>
            </w:pPr>
            <w:r>
              <w:rPr>
                <w:rFonts w:ascii="Arial" w:cs="Arial" w:eastAsia="Arial" w:hAnsi="Arial"/>
                <w:sz w:val="19"/>
                <w:szCs w:val="19"/>
                <w:color w:val="auto"/>
                <w:w w:val="95"/>
              </w:rPr>
              <w:t>Private Writing</w:t>
            </w:r>
          </w:p>
        </w:tc>
        <w:tc>
          <w:tcPr>
            <w:tcW w:w="3840" w:type="dxa"/>
            <w:vAlign w:val="bottom"/>
            <w:tcBorders>
              <w:right w:val="single" w:sz="8" w:color="00000A"/>
            </w:tcBorders>
            <w:gridSpan w:val="2"/>
          </w:tcPr>
          <w:p>
            <w:pPr>
              <w:jc w:val="center"/>
              <w:ind w:right="18"/>
              <w:spacing w:after="0"/>
              <w:rPr>
                <w:sz w:val="20"/>
                <w:szCs w:val="20"/>
                <w:color w:val="auto"/>
              </w:rPr>
            </w:pPr>
            <w:r>
              <w:rPr>
                <w:rFonts w:ascii="Arial" w:cs="Arial" w:eastAsia="Arial" w:hAnsi="Arial"/>
                <w:sz w:val="19"/>
                <w:szCs w:val="19"/>
                <w:color w:val="auto"/>
                <w:w w:val="90"/>
              </w:rPr>
              <w:t>payable in respect of the assignor’s movable</w:t>
            </w:r>
          </w:p>
        </w:tc>
        <w:tc>
          <w:tcPr>
            <w:tcW w:w="1380" w:type="dxa"/>
            <w:vAlign w:val="bottom"/>
            <w:tcBorders>
              <w:right w:val="single" w:sz="8" w:color="00000A"/>
            </w:tcBorders>
          </w:tcPr>
          <w:p>
            <w:pPr>
              <w:jc w:val="center"/>
              <w:ind w:right="7"/>
              <w:spacing w:after="0"/>
              <w:rPr>
                <w:sz w:val="20"/>
                <w:szCs w:val="20"/>
                <w:color w:val="auto"/>
              </w:rPr>
            </w:pPr>
            <w:r>
              <w:rPr>
                <w:rFonts w:ascii="Arial" w:cs="Arial" w:eastAsia="Arial" w:hAnsi="Arial"/>
                <w:sz w:val="19"/>
                <w:szCs w:val="19"/>
                <w:color w:val="auto"/>
                <w:w w:val="91"/>
              </w:rPr>
              <w:t>12:09 PM under</w:t>
            </w:r>
          </w:p>
        </w:tc>
        <w:tc>
          <w:tcPr>
            <w:tcW w:w="0" w:type="dxa"/>
            <w:vAlign w:val="bottom"/>
          </w:tcPr>
          <w:p>
            <w:pPr>
              <w:spacing w:after="0"/>
              <w:rPr>
                <w:sz w:val="1"/>
                <w:szCs w:val="1"/>
                <w:color w:val="auto"/>
              </w:rPr>
            </w:pPr>
          </w:p>
        </w:tc>
      </w:tr>
      <w:tr>
        <w:trPr>
          <w:trHeight w:val="136"/>
        </w:trPr>
        <w:tc>
          <w:tcPr>
            <w:tcW w:w="40" w:type="dxa"/>
            <w:vAlign w:val="bottom"/>
            <w:tcBorders>
              <w:right w:val="single" w:sz="8" w:color="00000A"/>
            </w:tcBorders>
            <w:shd w:val="clear" w:color="auto" w:fill="00000A"/>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right w:val="single" w:sz="8" w:color="00000A"/>
            </w:tcBorders>
          </w:tcPr>
          <w:p>
            <w:pPr>
              <w:spacing w:after="0"/>
              <w:rPr>
                <w:sz w:val="11"/>
                <w:szCs w:val="11"/>
                <w:color w:val="auto"/>
              </w:rPr>
            </w:pPr>
          </w:p>
        </w:tc>
        <w:tc>
          <w:tcPr>
            <w:tcW w:w="1400" w:type="dxa"/>
            <w:vAlign w:val="bottom"/>
            <w:vMerge w:val="restart"/>
          </w:tcPr>
          <w:p>
            <w:pPr>
              <w:jc w:val="center"/>
              <w:ind w:left="77"/>
              <w:spacing w:after="0"/>
              <w:rPr>
                <w:sz w:val="20"/>
                <w:szCs w:val="20"/>
                <w:color w:val="auto"/>
              </w:rPr>
            </w:pPr>
            <w:r>
              <w:rPr>
                <w:rFonts w:ascii="Arial" w:cs="Arial" w:eastAsia="Arial" w:hAnsi="Arial"/>
                <w:sz w:val="19"/>
                <w:szCs w:val="19"/>
                <w:i w:val="1"/>
                <w:iCs w:val="1"/>
                <w:color w:val="auto"/>
                <w:w w:val="86"/>
              </w:rPr>
              <w:t>comments</w:t>
            </w:r>
          </w:p>
        </w:tc>
        <w:tc>
          <w:tcPr>
            <w:tcW w:w="200" w:type="dxa"/>
            <w:vAlign w:val="bottom"/>
            <w:tcBorders>
              <w:right w:val="single" w:sz="8" w:color="00000A"/>
            </w:tcBorders>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5"/>
                <w:szCs w:val="15"/>
                <w:color w:val="auto"/>
              </w:rPr>
              <w:t>Hazmasters</w:t>
            </w:r>
          </w:p>
        </w:tc>
        <w:tc>
          <w:tcPr>
            <w:tcW w:w="900" w:type="dxa"/>
            <w:vAlign w:val="bottom"/>
          </w:tcPr>
          <w:p>
            <w:pPr>
              <w:ind w:left="300"/>
              <w:spacing w:after="0" w:line="136" w:lineRule="exact"/>
              <w:rPr>
                <w:sz w:val="20"/>
                <w:szCs w:val="20"/>
                <w:color w:val="auto"/>
              </w:rPr>
            </w:pPr>
            <w:r>
              <w:rPr>
                <w:rFonts w:ascii="Arial" w:cs="Arial" w:eastAsia="Arial" w:hAnsi="Arial"/>
                <w:sz w:val="15"/>
                <w:szCs w:val="15"/>
                <w:color w:val="auto"/>
              </w:rPr>
              <w:t>Quebec</w:t>
            </w:r>
          </w:p>
        </w:tc>
        <w:tc>
          <w:tcPr>
            <w:tcW w:w="240" w:type="dxa"/>
            <w:vAlign w:val="bottom"/>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40" w:type="dxa"/>
            <w:vAlign w:val="bottom"/>
            <w:tcBorders>
              <w:right w:val="single" w:sz="8" w:color="00000A"/>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3840" w:type="dxa"/>
            <w:vAlign w:val="bottom"/>
            <w:tcBorders>
              <w:right w:val="single" w:sz="8" w:color="00000A"/>
            </w:tcBorders>
            <w:gridSpan w:val="2"/>
          </w:tcPr>
          <w:p>
            <w:pPr>
              <w:jc w:val="center"/>
              <w:ind w:right="18"/>
              <w:spacing w:after="0" w:line="136" w:lineRule="exact"/>
              <w:rPr>
                <w:sz w:val="20"/>
                <w:szCs w:val="20"/>
                <w:color w:val="auto"/>
              </w:rPr>
            </w:pPr>
            <w:r>
              <w:rPr>
                <w:rFonts w:ascii="Arial" w:cs="Arial" w:eastAsia="Arial" w:hAnsi="Arial"/>
                <w:sz w:val="15"/>
                <w:szCs w:val="15"/>
                <w:color w:val="auto"/>
              </w:rPr>
              <w:t>property and enterprise, including without</w:t>
            </w:r>
          </w:p>
        </w:tc>
        <w:tc>
          <w:tcPr>
            <w:tcW w:w="1380" w:type="dxa"/>
            <w:vAlign w:val="bottom"/>
            <w:tcBorders>
              <w:right w:val="single" w:sz="8" w:color="00000A"/>
            </w:tcBorders>
          </w:tcPr>
          <w:p>
            <w:pPr>
              <w:jc w:val="center"/>
              <w:ind w:right="27"/>
              <w:spacing w:after="0" w:line="136" w:lineRule="exact"/>
              <w:rPr>
                <w:sz w:val="20"/>
                <w:szCs w:val="20"/>
                <w:color w:val="auto"/>
              </w:rPr>
            </w:pPr>
            <w:r>
              <w:rPr>
                <w:rFonts w:ascii="Arial" w:cs="Arial" w:eastAsia="Arial" w:hAnsi="Arial"/>
                <w:sz w:val="15"/>
                <w:szCs w:val="15"/>
                <w:color w:val="auto"/>
              </w:rPr>
              <w:t>number</w:t>
            </w:r>
          </w:p>
        </w:tc>
        <w:tc>
          <w:tcPr>
            <w:tcW w:w="0" w:type="dxa"/>
            <w:vAlign w:val="bottom"/>
          </w:tcPr>
          <w:p>
            <w:pPr>
              <w:spacing w:after="0"/>
              <w:rPr>
                <w:sz w:val="1"/>
                <w:szCs w:val="1"/>
                <w:color w:val="auto"/>
              </w:rPr>
            </w:pPr>
          </w:p>
        </w:tc>
      </w:tr>
      <w:tr>
        <w:trPr>
          <w:trHeight w:val="135"/>
        </w:trPr>
        <w:tc>
          <w:tcPr>
            <w:tcW w:w="40" w:type="dxa"/>
            <w:vAlign w:val="bottom"/>
            <w:tcBorders>
              <w:right w:val="single" w:sz="8" w:color="00000A"/>
            </w:tcBorders>
            <w:shd w:val="clear" w:color="auto" w:fill="00000A"/>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right w:val="single" w:sz="8" w:color="00000A"/>
            </w:tcBorders>
          </w:tcPr>
          <w:p>
            <w:pPr>
              <w:spacing w:after="0"/>
              <w:rPr>
                <w:sz w:val="11"/>
                <w:szCs w:val="11"/>
                <w:color w:val="auto"/>
              </w:rPr>
            </w:pPr>
          </w:p>
        </w:tc>
        <w:tc>
          <w:tcPr>
            <w:tcW w:w="1400" w:type="dxa"/>
            <w:vAlign w:val="bottom"/>
            <w:vMerge w:val="continue"/>
          </w:tcPr>
          <w:p>
            <w:pPr>
              <w:spacing w:after="0"/>
              <w:rPr>
                <w:sz w:val="11"/>
                <w:szCs w:val="11"/>
                <w:color w:val="auto"/>
              </w:rPr>
            </w:pPr>
          </w:p>
        </w:tc>
        <w:tc>
          <w:tcPr>
            <w:tcW w:w="200" w:type="dxa"/>
            <w:vAlign w:val="bottom"/>
            <w:tcBorders>
              <w:right w:val="single" w:sz="8" w:color="00000A"/>
            </w:tcBorders>
          </w:tcPr>
          <w:p>
            <w:pPr>
              <w:spacing w:after="0"/>
              <w:rPr>
                <w:sz w:val="11"/>
                <w:szCs w:val="11"/>
                <w:color w:val="auto"/>
              </w:rPr>
            </w:pPr>
          </w:p>
        </w:tc>
        <w:tc>
          <w:tcPr>
            <w:tcW w:w="940" w:type="dxa"/>
            <w:vAlign w:val="bottom"/>
            <w:vMerge w:val="restart"/>
          </w:tcPr>
          <w:p>
            <w:pPr>
              <w:ind w:left="20"/>
              <w:spacing w:after="0" w:line="214" w:lineRule="exact"/>
              <w:rPr>
                <w:sz w:val="20"/>
                <w:szCs w:val="20"/>
                <w:color w:val="auto"/>
              </w:rPr>
            </w:pPr>
            <w:r>
              <w:rPr>
                <w:rFonts w:ascii="Arial" w:cs="Arial" w:eastAsia="Arial" w:hAnsi="Arial"/>
                <w:sz w:val="19"/>
                <w:szCs w:val="19"/>
                <w:i w:val="1"/>
                <w:iCs w:val="1"/>
                <w:color w:val="auto"/>
              </w:rPr>
              <w:t>(Following</w:t>
            </w:r>
          </w:p>
        </w:tc>
        <w:tc>
          <w:tcPr>
            <w:tcW w:w="900" w:type="dxa"/>
            <w:vAlign w:val="bottom"/>
            <w:vMerge w:val="restart"/>
          </w:tcPr>
          <w:p>
            <w:pPr>
              <w:ind w:left="200"/>
              <w:spacing w:after="0" w:line="214" w:lineRule="exact"/>
              <w:rPr>
                <w:sz w:val="20"/>
                <w:szCs w:val="20"/>
                <w:color w:val="auto"/>
              </w:rPr>
            </w:pPr>
            <w:r>
              <w:rPr>
                <w:rFonts w:ascii="Arial" w:cs="Arial" w:eastAsia="Arial" w:hAnsi="Arial"/>
                <w:sz w:val="19"/>
                <w:szCs w:val="19"/>
                <w:i w:val="1"/>
                <w:iCs w:val="1"/>
                <w:color w:val="auto"/>
              </w:rPr>
              <w:t>Name</w:t>
            </w:r>
          </w:p>
        </w:tc>
        <w:tc>
          <w:tcPr>
            <w:tcW w:w="600" w:type="dxa"/>
            <w:vAlign w:val="bottom"/>
            <w:gridSpan w:val="4"/>
            <w:vMerge w:val="restart"/>
          </w:tcPr>
          <w:p>
            <w:pPr>
              <w:jc w:val="right"/>
              <w:spacing w:after="0" w:line="214" w:lineRule="exact"/>
              <w:rPr>
                <w:sz w:val="20"/>
                <w:szCs w:val="20"/>
                <w:color w:val="auto"/>
              </w:rPr>
            </w:pPr>
            <w:r>
              <w:rPr>
                <w:rFonts w:ascii="Arial" w:cs="Arial" w:eastAsia="Arial" w:hAnsi="Arial"/>
                <w:sz w:val="19"/>
                <w:szCs w:val="19"/>
                <w:i w:val="1"/>
                <w:iCs w:val="1"/>
                <w:color w:val="auto"/>
                <w:w w:val="87"/>
              </w:rPr>
              <w:t>Change</w:t>
            </w:r>
          </w:p>
        </w:tc>
        <w:tc>
          <w:tcPr>
            <w:tcW w:w="40" w:type="dxa"/>
            <w:vAlign w:val="bottom"/>
            <w:tcBorders>
              <w:right w:val="single" w:sz="8" w:color="00000A"/>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3840" w:type="dxa"/>
            <w:vAlign w:val="bottom"/>
            <w:tcBorders>
              <w:right w:val="single" w:sz="8" w:color="00000A"/>
            </w:tcBorders>
            <w:gridSpan w:val="2"/>
            <w:vMerge w:val="restart"/>
          </w:tcPr>
          <w:p>
            <w:pPr>
              <w:jc w:val="center"/>
              <w:spacing w:after="0" w:line="214" w:lineRule="exact"/>
              <w:rPr>
                <w:sz w:val="20"/>
                <w:szCs w:val="20"/>
                <w:color w:val="auto"/>
              </w:rPr>
            </w:pPr>
            <w:r>
              <w:rPr>
                <w:rFonts w:ascii="Arial" w:cs="Arial" w:eastAsia="Arial" w:hAnsi="Arial"/>
                <w:sz w:val="19"/>
                <w:szCs w:val="19"/>
                <w:color w:val="auto"/>
                <w:w w:val="92"/>
              </w:rPr>
              <w:t>limitation, business interruption and public</w:t>
            </w:r>
          </w:p>
        </w:tc>
        <w:tc>
          <w:tcPr>
            <w:tcW w:w="1380" w:type="dxa"/>
            <w:vAlign w:val="bottom"/>
            <w:tcBorders>
              <w:right w:val="single" w:sz="8" w:color="00000A"/>
            </w:tcBorders>
            <w:vMerge w:val="restart"/>
          </w:tcPr>
          <w:p>
            <w:pPr>
              <w:jc w:val="center"/>
              <w:spacing w:after="0" w:line="214" w:lineRule="exact"/>
              <w:rPr>
                <w:sz w:val="20"/>
                <w:szCs w:val="20"/>
                <w:color w:val="auto"/>
              </w:rPr>
            </w:pPr>
            <w:r>
              <w:rPr>
                <w:rFonts w:ascii="Arial" w:cs="Arial" w:eastAsia="Arial" w:hAnsi="Arial"/>
                <w:sz w:val="19"/>
                <w:szCs w:val="19"/>
                <w:color w:val="auto"/>
                <w:w w:val="88"/>
              </w:rPr>
              <w:t>14</w:t>
            </w:r>
            <w:r>
              <w:rPr>
                <w:rFonts w:ascii="MS PGothic" w:cs="MS PGothic" w:eastAsia="MS PGothic" w:hAnsi="MS PGothic"/>
                <w:sz w:val="19"/>
                <w:szCs w:val="19"/>
                <w:color w:val="auto"/>
                <w:w w:val="88"/>
              </w:rPr>
              <w:t>‑</w:t>
            </w:r>
            <w:r>
              <w:rPr>
                <w:rFonts w:ascii="Arial" w:cs="Arial" w:eastAsia="Arial" w:hAnsi="Arial"/>
                <w:sz w:val="19"/>
                <w:szCs w:val="19"/>
                <w:color w:val="auto"/>
                <w:w w:val="88"/>
              </w:rPr>
              <w:t>0306073</w:t>
            </w:r>
            <w:r>
              <w:rPr>
                <w:rFonts w:ascii="MS PGothic" w:cs="MS PGothic" w:eastAsia="MS PGothic" w:hAnsi="MS PGothic"/>
                <w:sz w:val="19"/>
                <w:szCs w:val="19"/>
                <w:color w:val="auto"/>
                <w:w w:val="88"/>
              </w:rPr>
              <w:t>‑</w:t>
            </w:r>
            <w:r>
              <w:rPr>
                <w:rFonts w:ascii="Arial" w:cs="Arial" w:eastAsia="Arial" w:hAnsi="Arial"/>
                <w:sz w:val="19"/>
                <w:szCs w:val="19"/>
                <w:color w:val="auto"/>
                <w:w w:val="88"/>
              </w:rPr>
              <w:t>0001</w:t>
            </w:r>
          </w:p>
        </w:tc>
        <w:tc>
          <w:tcPr>
            <w:tcW w:w="0" w:type="dxa"/>
            <w:vAlign w:val="bottom"/>
          </w:tcPr>
          <w:p>
            <w:pPr>
              <w:spacing w:after="0"/>
              <w:rPr>
                <w:sz w:val="1"/>
                <w:szCs w:val="1"/>
                <w:color w:val="auto"/>
              </w:rPr>
            </w:pPr>
          </w:p>
        </w:tc>
      </w:tr>
      <w:tr>
        <w:trPr>
          <w:trHeight w:val="80"/>
        </w:trPr>
        <w:tc>
          <w:tcPr>
            <w:tcW w:w="40" w:type="dxa"/>
            <w:vAlign w:val="bottom"/>
            <w:tcBorders>
              <w:right w:val="single" w:sz="8" w:color="00000A"/>
            </w:tcBorders>
            <w:shd w:val="clear" w:color="auto" w:fill="00000A"/>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Borders>
              <w:right w:val="single" w:sz="8" w:color="00000A"/>
            </w:tcBorders>
          </w:tcPr>
          <w:p>
            <w:pPr>
              <w:spacing w:after="0"/>
              <w:rPr>
                <w:sz w:val="6"/>
                <w:szCs w:val="6"/>
                <w:color w:val="auto"/>
              </w:rPr>
            </w:pPr>
          </w:p>
        </w:tc>
        <w:tc>
          <w:tcPr>
            <w:tcW w:w="1400" w:type="dxa"/>
            <w:vAlign w:val="bottom"/>
          </w:tcPr>
          <w:p>
            <w:pPr>
              <w:spacing w:after="0"/>
              <w:rPr>
                <w:sz w:val="6"/>
                <w:szCs w:val="6"/>
                <w:color w:val="auto"/>
              </w:rPr>
            </w:pPr>
          </w:p>
        </w:tc>
        <w:tc>
          <w:tcPr>
            <w:tcW w:w="200" w:type="dxa"/>
            <w:vAlign w:val="bottom"/>
            <w:tcBorders>
              <w:right w:val="single" w:sz="8" w:color="00000A"/>
            </w:tcBorders>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0" w:type="dxa"/>
            <w:vAlign w:val="bottom"/>
            <w:gridSpan w:val="4"/>
            <w:vMerge w:val="continue"/>
          </w:tcPr>
          <w:p>
            <w:pPr>
              <w:spacing w:after="0"/>
              <w:rPr>
                <w:sz w:val="6"/>
                <w:szCs w:val="6"/>
                <w:color w:val="auto"/>
              </w:rPr>
            </w:pPr>
          </w:p>
        </w:tc>
        <w:tc>
          <w:tcPr>
            <w:tcW w:w="40" w:type="dxa"/>
            <w:vAlign w:val="bottom"/>
            <w:tcBorders>
              <w:right w:val="single" w:sz="8" w:color="00000A"/>
            </w:tcBorders>
          </w:tcPr>
          <w:p>
            <w:pPr>
              <w:spacing w:after="0"/>
              <w:rPr>
                <w:sz w:val="6"/>
                <w:szCs w:val="6"/>
                <w:color w:val="auto"/>
              </w:rPr>
            </w:pPr>
          </w:p>
        </w:tc>
        <w:tc>
          <w:tcPr>
            <w:tcW w:w="1320" w:type="dxa"/>
            <w:vAlign w:val="bottom"/>
          </w:tcPr>
          <w:p>
            <w:pPr>
              <w:spacing w:after="0"/>
              <w:rPr>
                <w:sz w:val="6"/>
                <w:szCs w:val="6"/>
                <w:color w:val="auto"/>
              </w:rPr>
            </w:pPr>
          </w:p>
        </w:tc>
        <w:tc>
          <w:tcPr>
            <w:tcW w:w="160" w:type="dxa"/>
            <w:vAlign w:val="bottom"/>
            <w:tcBorders>
              <w:right w:val="single" w:sz="8" w:color="00000A"/>
            </w:tcBorders>
          </w:tcPr>
          <w:p>
            <w:pPr>
              <w:spacing w:after="0"/>
              <w:rPr>
                <w:sz w:val="6"/>
                <w:szCs w:val="6"/>
                <w:color w:val="auto"/>
              </w:rPr>
            </w:pPr>
          </w:p>
        </w:tc>
        <w:tc>
          <w:tcPr>
            <w:tcW w:w="3840" w:type="dxa"/>
            <w:vAlign w:val="bottom"/>
            <w:tcBorders>
              <w:right w:val="single" w:sz="8" w:color="00000A"/>
            </w:tcBorders>
            <w:gridSpan w:val="2"/>
            <w:vMerge w:val="continue"/>
          </w:tcPr>
          <w:p>
            <w:pPr>
              <w:spacing w:after="0"/>
              <w:rPr>
                <w:sz w:val="6"/>
                <w:szCs w:val="6"/>
                <w:color w:val="auto"/>
              </w:rPr>
            </w:pPr>
          </w:p>
        </w:tc>
        <w:tc>
          <w:tcPr>
            <w:tcW w:w="1380" w:type="dxa"/>
            <w:vAlign w:val="bottom"/>
            <w:tcBorders>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00000A"/>
              <w:right w:val="single" w:sz="8" w:color="00000A"/>
            </w:tcBorders>
            <w:shd w:val="clear" w:color="auto" w:fill="00000A"/>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00000A"/>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00000A"/>
            </w:tcBorders>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9"/>
                <w:szCs w:val="19"/>
                <w:i w:val="1"/>
                <w:iCs w:val="1"/>
                <w:color w:val="auto"/>
              </w:rPr>
              <w:t>ChN1)</w:t>
            </w: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00000A"/>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00000A"/>
            </w:tcBorders>
          </w:tcPr>
          <w:p>
            <w:pPr>
              <w:spacing w:after="0"/>
              <w:rPr>
                <w:sz w:val="21"/>
                <w:szCs w:val="21"/>
                <w:color w:val="auto"/>
              </w:rPr>
            </w:pPr>
          </w:p>
        </w:tc>
        <w:tc>
          <w:tcPr>
            <w:tcW w:w="2640" w:type="dxa"/>
            <w:vAlign w:val="bottom"/>
            <w:tcBorders>
              <w:bottom w:val="single" w:sz="8" w:color="auto"/>
            </w:tcBorders>
          </w:tcPr>
          <w:p>
            <w:pPr>
              <w:jc w:val="center"/>
              <w:ind w:left="1020"/>
              <w:spacing w:after="0"/>
              <w:rPr>
                <w:sz w:val="20"/>
                <w:szCs w:val="20"/>
                <w:color w:val="auto"/>
              </w:rPr>
            </w:pPr>
            <w:r>
              <w:rPr>
                <w:rFonts w:ascii="Arial" w:cs="Arial" w:eastAsia="Arial" w:hAnsi="Arial"/>
                <w:sz w:val="19"/>
                <w:szCs w:val="19"/>
                <w:color w:val="auto"/>
                <w:w w:val="94"/>
              </w:rPr>
              <w:t>liability insurance.</w:t>
            </w:r>
          </w:p>
        </w:tc>
        <w:tc>
          <w:tcPr>
            <w:tcW w:w="1200" w:type="dxa"/>
            <w:vAlign w:val="bottom"/>
            <w:tcBorders>
              <w:bottom w:val="single" w:sz="8" w:color="auto"/>
              <w:right w:val="single" w:sz="8" w:color="00000A"/>
            </w:tcBorders>
          </w:tcPr>
          <w:p>
            <w:pPr>
              <w:spacing w:after="0"/>
              <w:rPr>
                <w:sz w:val="21"/>
                <w:szCs w:val="21"/>
                <w:color w:val="auto"/>
              </w:rPr>
            </w:pPr>
          </w:p>
        </w:tc>
        <w:tc>
          <w:tcPr>
            <w:tcW w:w="1380" w:type="dxa"/>
            <w:vAlign w:val="bottom"/>
            <w:tcBorders>
              <w:bottom w:val="single" w:sz="8" w:color="auto"/>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gridSpan w:val="5"/>
          </w:tcPr>
          <w:p>
            <w:pPr>
              <w:jc w:val="center"/>
              <w:ind w:right="2000"/>
              <w:spacing w:after="0"/>
              <w:rPr>
                <w:sz w:val="20"/>
                <w:szCs w:val="20"/>
                <w:color w:val="auto"/>
              </w:rPr>
            </w:pPr>
            <w:r>
              <w:rPr>
                <w:rFonts w:ascii="Arial" w:cs="Arial" w:eastAsia="Arial" w:hAnsi="Arial"/>
                <w:sz w:val="18"/>
                <w:szCs w:val="18"/>
                <w:b w:val="1"/>
                <w:bCs w:val="1"/>
                <w:color w:val="auto"/>
              </w:rPr>
              <w:t>LIST OF OTHER RIGHTS</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9"/>
                <w:szCs w:val="19"/>
                <w:b w:val="1"/>
                <w:bCs w:val="1"/>
                <w:color w:val="auto"/>
              </w:rPr>
              <w:t>Legend</w:t>
            </w:r>
            <w:r>
              <w:rPr>
                <w:rFonts w:ascii="Arial" w:cs="Arial" w:eastAsia="Arial" w:hAnsi="Arial"/>
                <w:sz w:val="17"/>
                <w:szCs w:val="17"/>
                <w:b w:val="1"/>
                <w:bCs w:val="1"/>
                <w:color w:val="auto"/>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Inst. Sale</w:t>
            </w:r>
          </w:p>
        </w:tc>
        <w:tc>
          <w:tcPr>
            <w:tcW w:w="3440" w:type="dxa"/>
            <w:vAlign w:val="bottom"/>
            <w:gridSpan w:val="4"/>
          </w:tcPr>
          <w:p>
            <w:pPr>
              <w:ind w:left="80"/>
              <w:spacing w:after="0"/>
              <w:rPr>
                <w:sz w:val="20"/>
                <w:szCs w:val="20"/>
                <w:color w:val="auto"/>
              </w:rPr>
            </w:pPr>
            <w:r>
              <w:rPr>
                <w:rFonts w:ascii="Arial" w:cs="Arial" w:eastAsia="Arial" w:hAnsi="Arial"/>
                <w:sz w:val="14"/>
                <w:szCs w:val="14"/>
                <w:color w:val="auto"/>
              </w:rPr>
              <w:t>=  Reservation of ownership (Instalment Sale)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RL</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w w:val="99"/>
              </w:rPr>
              <w:t>=  Rights under a Lease</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RD</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  Rights of redemption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RO</w:t>
            </w:r>
          </w:p>
        </w:tc>
        <w:tc>
          <w:tcPr>
            <w:tcW w:w="4040" w:type="dxa"/>
            <w:vAlign w:val="bottom"/>
            <w:gridSpan w:val="8"/>
          </w:tcPr>
          <w:p>
            <w:pPr>
              <w:ind w:left="80"/>
              <w:spacing w:after="0"/>
              <w:rPr>
                <w:sz w:val="20"/>
                <w:szCs w:val="20"/>
                <w:color w:val="auto"/>
              </w:rPr>
            </w:pPr>
            <w:r>
              <w:rPr>
                <w:rFonts w:ascii="Arial" w:cs="Arial" w:eastAsia="Arial" w:hAnsi="Arial"/>
                <w:sz w:val="14"/>
                <w:szCs w:val="14"/>
                <w:color w:val="auto"/>
              </w:rPr>
              <w:t>=  Rights of ownership of the Lessor in a Leasing Contract</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19"/>
                <w:szCs w:val="19"/>
                <w:b w:val="1"/>
                <w:bCs w:val="1"/>
                <w:color w:val="auto"/>
              </w:rPr>
              <w:t>All dates are in the following format: Y-M-D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Arial" w:cs="Arial" w:eastAsia="Arial" w:hAnsi="Arial"/>
                <w:sz w:val="19"/>
                <w:szCs w:val="19"/>
                <w:color w:val="auto"/>
                <w:w w:val="99"/>
              </w:rPr>
              <w:t>The “REF. ” below are for reference purposes only and are not intended to indicate ranking of the security</w:t>
            </w: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Borders>
              <w:right w:val="single" w:sz="8" w:color="00000A"/>
            </w:tcBorders>
            <w:shd w:val="clear" w:color="auto" w:fill="00000A"/>
          </w:tcPr>
          <w:p>
            <w:pPr>
              <w:spacing w:after="0"/>
              <w:rPr>
                <w:sz w:val="13"/>
                <w:szCs w:val="13"/>
                <w:color w:val="auto"/>
              </w:rPr>
            </w:pPr>
          </w:p>
        </w:tc>
        <w:tc>
          <w:tcPr>
            <w:tcW w:w="360" w:type="dxa"/>
            <w:vAlign w:val="bottom"/>
            <w:tcBorders>
              <w:right w:val="single" w:sz="8" w:color="00000A"/>
            </w:tcBorders>
            <w:vMerge w:val="restart"/>
            <w:shd w:val="clear" w:color="auto" w:fill="E6E6E6"/>
          </w:tcPr>
          <w:p>
            <w:pPr>
              <w:ind w:left="40"/>
              <w:spacing w:after="0"/>
              <w:rPr>
                <w:sz w:val="20"/>
                <w:szCs w:val="20"/>
                <w:color w:val="auto"/>
              </w:rPr>
            </w:pPr>
            <w:r>
              <w:rPr>
                <w:rFonts w:ascii="Arial" w:cs="Arial" w:eastAsia="Arial" w:hAnsi="Arial"/>
                <w:sz w:val="15"/>
                <w:szCs w:val="15"/>
                <w:b w:val="1"/>
                <w:bCs w:val="1"/>
                <w:color w:val="auto"/>
                <w:w w:val="98"/>
              </w:rPr>
              <w:t>Ref.</w:t>
            </w:r>
          </w:p>
        </w:tc>
        <w:tc>
          <w:tcPr>
            <w:tcW w:w="300" w:type="dxa"/>
            <w:vAlign w:val="bottom"/>
            <w:tcBorders>
              <w:right w:val="single" w:sz="8" w:color="E6E6E6"/>
            </w:tcBorders>
            <w:shd w:val="clear" w:color="auto" w:fill="E6E6E6"/>
          </w:tcPr>
          <w:p>
            <w:pPr>
              <w:spacing w:after="0"/>
              <w:rPr>
                <w:sz w:val="13"/>
                <w:szCs w:val="13"/>
                <w:color w:val="auto"/>
              </w:rPr>
            </w:pPr>
          </w:p>
        </w:tc>
        <w:tc>
          <w:tcPr>
            <w:tcW w:w="1400" w:type="dxa"/>
            <w:vAlign w:val="bottom"/>
            <w:tcBorders>
              <w:right w:val="single" w:sz="8" w:color="00000A"/>
            </w:tcBorders>
            <w:shd w:val="clear" w:color="auto" w:fill="E6E6E6"/>
          </w:tcPr>
          <w:p>
            <w:pPr>
              <w:spacing w:after="0" w:line="159" w:lineRule="exact"/>
              <w:rPr>
                <w:sz w:val="20"/>
                <w:szCs w:val="20"/>
                <w:color w:val="auto"/>
              </w:rPr>
            </w:pPr>
            <w:r>
              <w:rPr>
                <w:rFonts w:ascii="Arial" w:cs="Arial" w:eastAsia="Arial" w:hAnsi="Arial"/>
                <w:sz w:val="15"/>
                <w:szCs w:val="15"/>
                <w:b w:val="1"/>
                <w:bCs w:val="1"/>
                <w:color w:val="auto"/>
              </w:rPr>
              <w:t>Registration No./</w:t>
            </w:r>
          </w:p>
        </w:tc>
        <w:tc>
          <w:tcPr>
            <w:tcW w:w="200" w:type="dxa"/>
            <w:vAlign w:val="bottom"/>
            <w:tcBorders>
              <w:right w:val="single" w:sz="8" w:color="E6E6E6"/>
            </w:tcBorders>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240" w:type="dxa"/>
            <w:vAlign w:val="bottom"/>
            <w:tcBorders>
              <w:right w:val="single" w:sz="8" w:color="E6E6E6"/>
            </w:tcBorders>
            <w:shd w:val="clear" w:color="auto" w:fill="E6E6E6"/>
          </w:tcPr>
          <w:p>
            <w:pPr>
              <w:spacing w:after="0"/>
              <w:rPr>
                <w:sz w:val="13"/>
                <w:szCs w:val="13"/>
                <w:color w:val="auto"/>
              </w:rPr>
            </w:pPr>
          </w:p>
        </w:tc>
        <w:tc>
          <w:tcPr>
            <w:tcW w:w="140" w:type="dxa"/>
            <w:vAlign w:val="bottom"/>
            <w:tcBorders>
              <w:right w:val="single" w:sz="8" w:color="00000A"/>
            </w:tcBorders>
            <w:shd w:val="clear" w:color="auto" w:fill="E6E6E6"/>
          </w:tcPr>
          <w:p>
            <w:pPr>
              <w:spacing w:after="0"/>
              <w:rPr>
                <w:sz w:val="13"/>
                <w:szCs w:val="13"/>
                <w:color w:val="auto"/>
              </w:rPr>
            </w:pPr>
          </w:p>
        </w:tc>
        <w:tc>
          <w:tcPr>
            <w:tcW w:w="160" w:type="dxa"/>
            <w:vAlign w:val="bottom"/>
            <w:tcBorders>
              <w:right w:val="single" w:sz="8" w:color="E6E6E6"/>
            </w:tcBorders>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520" w:type="dxa"/>
            <w:vAlign w:val="bottom"/>
            <w:tcBorders>
              <w:right w:val="single" w:sz="8" w:color="00000A"/>
            </w:tcBorders>
            <w:gridSpan w:val="3"/>
            <w:vMerge w:val="restart"/>
            <w:shd w:val="clear" w:color="auto" w:fill="E6E6E6"/>
          </w:tcPr>
          <w:p>
            <w:pPr>
              <w:jc w:val="center"/>
              <w:ind w:right="320"/>
              <w:spacing w:after="0"/>
              <w:rPr>
                <w:sz w:val="20"/>
                <w:szCs w:val="20"/>
                <w:color w:val="auto"/>
              </w:rPr>
            </w:pPr>
            <w:r>
              <w:rPr>
                <w:rFonts w:ascii="Arial" w:cs="Arial" w:eastAsia="Arial" w:hAnsi="Arial"/>
                <w:sz w:val="15"/>
                <w:szCs w:val="15"/>
                <w:b w:val="1"/>
                <w:bCs w:val="1"/>
                <w:color w:val="auto"/>
                <w:w w:val="91"/>
              </w:rPr>
              <w:t>Nature of security/</w:t>
            </w:r>
          </w:p>
        </w:tc>
        <w:tc>
          <w:tcPr>
            <w:tcW w:w="2640" w:type="dxa"/>
            <w:vAlign w:val="bottom"/>
            <w:shd w:val="clear" w:color="auto" w:fill="E6E6E6"/>
          </w:tcPr>
          <w:p>
            <w:pPr>
              <w:spacing w:after="0"/>
              <w:rPr>
                <w:sz w:val="13"/>
                <w:szCs w:val="13"/>
                <w:color w:val="auto"/>
              </w:rPr>
            </w:pPr>
          </w:p>
        </w:tc>
        <w:tc>
          <w:tcPr>
            <w:tcW w:w="1200" w:type="dxa"/>
            <w:vAlign w:val="bottom"/>
            <w:tcBorders>
              <w:right w:val="single" w:sz="8" w:color="00000A"/>
            </w:tcBorders>
            <w:shd w:val="clear" w:color="auto" w:fill="E6E6E6"/>
          </w:tcPr>
          <w:p>
            <w:pPr>
              <w:spacing w:after="0"/>
              <w:rPr>
                <w:sz w:val="13"/>
                <w:szCs w:val="13"/>
                <w:color w:val="auto"/>
              </w:rPr>
            </w:pPr>
          </w:p>
        </w:tc>
        <w:tc>
          <w:tcPr>
            <w:tcW w:w="1380" w:type="dxa"/>
            <w:vAlign w:val="bottom"/>
            <w:tcBorders>
              <w:right w:val="single" w:sz="8" w:color="00000A"/>
            </w:tcBorders>
            <w:vMerge w:val="restart"/>
            <w:shd w:val="clear" w:color="auto" w:fill="E6E6E6"/>
          </w:tcPr>
          <w:p>
            <w:pPr>
              <w:ind w:left="240"/>
              <w:spacing w:after="0"/>
              <w:rPr>
                <w:sz w:val="20"/>
                <w:szCs w:val="20"/>
                <w:color w:val="auto"/>
              </w:rPr>
            </w:pPr>
            <w:r>
              <w:rPr>
                <w:rFonts w:ascii="Arial" w:cs="Arial" w:eastAsia="Arial" w:hAnsi="Arial"/>
                <w:sz w:val="15"/>
                <w:szCs w:val="15"/>
                <w:b w:val="1"/>
                <w:bCs w:val="1"/>
                <w:color w:val="auto"/>
              </w:rPr>
              <w:t>Comments</w:t>
            </w:r>
          </w:p>
        </w:tc>
        <w:tc>
          <w:tcPr>
            <w:tcW w:w="0" w:type="dxa"/>
            <w:vAlign w:val="bottom"/>
          </w:tcPr>
          <w:p>
            <w:pPr>
              <w:spacing w:after="0"/>
              <w:rPr>
                <w:sz w:val="1"/>
                <w:szCs w:val="1"/>
                <w:color w:val="auto"/>
              </w:rPr>
            </w:pPr>
          </w:p>
        </w:tc>
      </w:tr>
      <w:tr>
        <w:trPr>
          <w:trHeight w:val="83"/>
        </w:trPr>
        <w:tc>
          <w:tcPr>
            <w:tcW w:w="40" w:type="dxa"/>
            <w:vAlign w:val="bottom"/>
            <w:tcBorders>
              <w:right w:val="single" w:sz="8" w:color="00000A"/>
            </w:tcBorders>
            <w:shd w:val="clear" w:color="auto" w:fill="00000A"/>
          </w:tcPr>
          <w:p>
            <w:pPr>
              <w:spacing w:after="0"/>
              <w:rPr>
                <w:sz w:val="7"/>
                <w:szCs w:val="7"/>
                <w:color w:val="auto"/>
              </w:rPr>
            </w:pPr>
          </w:p>
        </w:tc>
        <w:tc>
          <w:tcPr>
            <w:tcW w:w="360" w:type="dxa"/>
            <w:vAlign w:val="bottom"/>
            <w:tcBorders>
              <w:right w:val="single" w:sz="8" w:color="00000A"/>
            </w:tcBorders>
            <w:vMerge w:val="continue"/>
            <w:shd w:val="clear" w:color="auto" w:fill="E6E6E6"/>
          </w:tcPr>
          <w:p>
            <w:pPr>
              <w:spacing w:after="0"/>
              <w:rPr>
                <w:sz w:val="7"/>
                <w:szCs w:val="7"/>
                <w:color w:val="auto"/>
              </w:rPr>
            </w:pPr>
          </w:p>
        </w:tc>
        <w:tc>
          <w:tcPr>
            <w:tcW w:w="300" w:type="dxa"/>
            <w:vAlign w:val="bottom"/>
            <w:tcBorders>
              <w:right w:val="single" w:sz="8" w:color="E6E6E6"/>
            </w:tcBorders>
            <w:shd w:val="clear" w:color="auto" w:fill="E6E6E6"/>
          </w:tcPr>
          <w:p>
            <w:pPr>
              <w:spacing w:after="0"/>
              <w:rPr>
                <w:sz w:val="7"/>
                <w:szCs w:val="7"/>
                <w:color w:val="auto"/>
              </w:rPr>
            </w:pPr>
          </w:p>
        </w:tc>
        <w:tc>
          <w:tcPr>
            <w:tcW w:w="1400" w:type="dxa"/>
            <w:vAlign w:val="bottom"/>
            <w:tcBorders>
              <w:right w:val="single" w:sz="8" w:color="00000A"/>
            </w:tcBorders>
            <w:vMerge w:val="restart"/>
            <w:shd w:val="clear" w:color="auto" w:fill="E6E6E6"/>
          </w:tcPr>
          <w:p>
            <w:pPr>
              <w:spacing w:after="0"/>
              <w:rPr>
                <w:sz w:val="20"/>
                <w:szCs w:val="20"/>
                <w:color w:val="auto"/>
              </w:rPr>
            </w:pPr>
            <w:r>
              <w:rPr>
                <w:rFonts w:ascii="Arial" w:cs="Arial" w:eastAsia="Arial" w:hAnsi="Arial"/>
                <w:sz w:val="15"/>
                <w:szCs w:val="15"/>
                <w:b w:val="1"/>
                <w:bCs w:val="1"/>
                <w:color w:val="auto"/>
              </w:rPr>
              <w:t>Registration Date</w:t>
            </w:r>
          </w:p>
        </w:tc>
        <w:tc>
          <w:tcPr>
            <w:tcW w:w="200" w:type="dxa"/>
            <w:vAlign w:val="bottom"/>
            <w:tcBorders>
              <w:right w:val="single" w:sz="8" w:color="E6E6E6"/>
            </w:tcBorders>
            <w:shd w:val="clear" w:color="auto" w:fill="E6E6E6"/>
          </w:tcPr>
          <w:p>
            <w:pPr>
              <w:spacing w:after="0"/>
              <w:rPr>
                <w:sz w:val="7"/>
                <w:szCs w:val="7"/>
                <w:color w:val="auto"/>
              </w:rPr>
            </w:pPr>
          </w:p>
        </w:tc>
        <w:tc>
          <w:tcPr>
            <w:tcW w:w="1840" w:type="dxa"/>
            <w:vAlign w:val="bottom"/>
            <w:gridSpan w:val="2"/>
            <w:vMerge w:val="restart"/>
            <w:shd w:val="clear" w:color="auto" w:fill="E6E6E6"/>
          </w:tcPr>
          <w:p>
            <w:pPr>
              <w:ind w:left="740"/>
              <w:spacing w:after="0"/>
              <w:rPr>
                <w:sz w:val="20"/>
                <w:szCs w:val="20"/>
                <w:color w:val="auto"/>
              </w:rPr>
            </w:pPr>
            <w:r>
              <w:rPr>
                <w:rFonts w:ascii="Arial" w:cs="Arial" w:eastAsia="Arial" w:hAnsi="Arial"/>
                <w:sz w:val="15"/>
                <w:szCs w:val="15"/>
                <w:b w:val="1"/>
                <w:bCs w:val="1"/>
                <w:color w:val="auto"/>
              </w:rPr>
              <w:t>Parties</w:t>
            </w:r>
          </w:p>
        </w:tc>
        <w:tc>
          <w:tcPr>
            <w:tcW w:w="240" w:type="dxa"/>
            <w:vAlign w:val="bottom"/>
            <w:tcBorders>
              <w:right w:val="single" w:sz="8" w:color="E6E6E6"/>
            </w:tcBorders>
            <w:shd w:val="clear" w:color="auto" w:fill="E6E6E6"/>
          </w:tcPr>
          <w:p>
            <w:pPr>
              <w:spacing w:after="0"/>
              <w:rPr>
                <w:sz w:val="7"/>
                <w:szCs w:val="7"/>
                <w:color w:val="auto"/>
              </w:rPr>
            </w:pPr>
          </w:p>
        </w:tc>
        <w:tc>
          <w:tcPr>
            <w:tcW w:w="140" w:type="dxa"/>
            <w:vAlign w:val="bottom"/>
            <w:tcBorders>
              <w:right w:val="single" w:sz="8" w:color="00000A"/>
            </w:tcBorders>
            <w:shd w:val="clear" w:color="auto" w:fill="E6E6E6"/>
          </w:tcPr>
          <w:p>
            <w:pPr>
              <w:spacing w:after="0"/>
              <w:rPr>
                <w:sz w:val="7"/>
                <w:szCs w:val="7"/>
                <w:color w:val="auto"/>
              </w:rPr>
            </w:pPr>
          </w:p>
        </w:tc>
        <w:tc>
          <w:tcPr>
            <w:tcW w:w="160" w:type="dxa"/>
            <w:vAlign w:val="bottom"/>
            <w:tcBorders>
              <w:right w:val="single" w:sz="8" w:color="E6E6E6"/>
            </w:tcBorders>
            <w:shd w:val="clear" w:color="auto" w:fill="E6E6E6"/>
          </w:tcPr>
          <w:p>
            <w:pPr>
              <w:spacing w:after="0"/>
              <w:rPr>
                <w:sz w:val="7"/>
                <w:szCs w:val="7"/>
                <w:color w:val="auto"/>
              </w:rPr>
            </w:pPr>
          </w:p>
        </w:tc>
        <w:tc>
          <w:tcPr>
            <w:tcW w:w="60" w:type="dxa"/>
            <w:vAlign w:val="bottom"/>
            <w:shd w:val="clear" w:color="auto" w:fill="E6E6E6"/>
          </w:tcPr>
          <w:p>
            <w:pPr>
              <w:spacing w:after="0"/>
              <w:rPr>
                <w:sz w:val="7"/>
                <w:szCs w:val="7"/>
                <w:color w:val="auto"/>
              </w:rPr>
            </w:pPr>
          </w:p>
        </w:tc>
        <w:tc>
          <w:tcPr>
            <w:tcW w:w="1520" w:type="dxa"/>
            <w:vAlign w:val="bottom"/>
            <w:tcBorders>
              <w:right w:val="single" w:sz="8" w:color="00000A"/>
            </w:tcBorders>
            <w:gridSpan w:val="3"/>
            <w:vMerge w:val="continue"/>
            <w:shd w:val="clear" w:color="auto" w:fill="E6E6E6"/>
          </w:tcPr>
          <w:p>
            <w:pPr>
              <w:spacing w:after="0"/>
              <w:rPr>
                <w:sz w:val="7"/>
                <w:szCs w:val="7"/>
                <w:color w:val="auto"/>
              </w:rPr>
            </w:pPr>
          </w:p>
        </w:tc>
        <w:tc>
          <w:tcPr>
            <w:tcW w:w="3840" w:type="dxa"/>
            <w:vAlign w:val="bottom"/>
            <w:tcBorders>
              <w:right w:val="single" w:sz="8" w:color="00000A"/>
            </w:tcBorders>
            <w:gridSpan w:val="2"/>
            <w:vMerge w:val="restart"/>
            <w:shd w:val="clear" w:color="auto" w:fill="E6E6E6"/>
          </w:tcPr>
          <w:p>
            <w:pPr>
              <w:jc w:val="center"/>
              <w:ind w:right="78"/>
              <w:spacing w:after="0"/>
              <w:rPr>
                <w:sz w:val="20"/>
                <w:szCs w:val="20"/>
                <w:color w:val="auto"/>
              </w:rPr>
            </w:pPr>
            <w:r>
              <w:rPr>
                <w:rFonts w:ascii="Arial" w:cs="Arial" w:eastAsia="Arial" w:hAnsi="Arial"/>
                <w:sz w:val="15"/>
                <w:szCs w:val="15"/>
                <w:b w:val="1"/>
                <w:bCs w:val="1"/>
                <w:color w:val="auto"/>
                <w:w w:val="88"/>
              </w:rPr>
              <w:t>Description of affected assets</w:t>
            </w:r>
          </w:p>
        </w:tc>
        <w:tc>
          <w:tcPr>
            <w:tcW w:w="1380" w:type="dxa"/>
            <w:vAlign w:val="bottom"/>
            <w:tcBorders>
              <w:right w:val="single" w:sz="8" w:color="00000A"/>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00000A"/>
            </w:tcBorders>
            <w:shd w:val="clear" w:color="auto" w:fill="00000A"/>
          </w:tcPr>
          <w:p>
            <w:pPr>
              <w:spacing w:after="0"/>
              <w:rPr>
                <w:sz w:val="8"/>
                <w:szCs w:val="8"/>
                <w:color w:val="auto"/>
              </w:rPr>
            </w:pPr>
          </w:p>
        </w:tc>
        <w:tc>
          <w:tcPr>
            <w:tcW w:w="360" w:type="dxa"/>
            <w:vAlign w:val="bottom"/>
            <w:tcBorders>
              <w:right w:val="single" w:sz="8" w:color="00000A"/>
            </w:tcBorders>
            <w:vMerge w:val="restart"/>
            <w:shd w:val="clear" w:color="auto" w:fill="E6E6E6"/>
          </w:tcPr>
          <w:p>
            <w:pPr>
              <w:ind w:left="60"/>
              <w:spacing w:after="0" w:line="131" w:lineRule="exact"/>
              <w:rPr>
                <w:sz w:val="20"/>
                <w:szCs w:val="20"/>
                <w:color w:val="auto"/>
              </w:rPr>
            </w:pPr>
            <w:r>
              <w:rPr>
                <w:rFonts w:ascii="Arial" w:cs="Arial" w:eastAsia="Arial" w:hAnsi="Arial"/>
                <w:sz w:val="15"/>
                <w:szCs w:val="15"/>
                <w:b w:val="1"/>
                <w:bCs w:val="1"/>
                <w:color w:val="auto"/>
              </w:rPr>
              <w:t>No.</w:t>
            </w:r>
          </w:p>
        </w:tc>
        <w:tc>
          <w:tcPr>
            <w:tcW w:w="300" w:type="dxa"/>
            <w:vAlign w:val="bottom"/>
            <w:tcBorders>
              <w:right w:val="single" w:sz="8" w:color="E6E6E6"/>
            </w:tcBorders>
            <w:shd w:val="clear" w:color="auto" w:fill="E6E6E6"/>
          </w:tcPr>
          <w:p>
            <w:pPr>
              <w:spacing w:after="0"/>
              <w:rPr>
                <w:sz w:val="8"/>
                <w:szCs w:val="8"/>
                <w:color w:val="auto"/>
              </w:rPr>
            </w:pPr>
          </w:p>
        </w:tc>
        <w:tc>
          <w:tcPr>
            <w:tcW w:w="1400" w:type="dxa"/>
            <w:vAlign w:val="bottom"/>
            <w:tcBorders>
              <w:right w:val="single" w:sz="8" w:color="00000A"/>
            </w:tcBorders>
            <w:vMerge w:val="continue"/>
            <w:shd w:val="clear" w:color="auto" w:fill="E6E6E6"/>
          </w:tcPr>
          <w:p>
            <w:pPr>
              <w:spacing w:after="0"/>
              <w:rPr>
                <w:sz w:val="8"/>
                <w:szCs w:val="8"/>
                <w:color w:val="auto"/>
              </w:rPr>
            </w:pPr>
          </w:p>
        </w:tc>
        <w:tc>
          <w:tcPr>
            <w:tcW w:w="200" w:type="dxa"/>
            <w:vAlign w:val="bottom"/>
            <w:tcBorders>
              <w:right w:val="single" w:sz="8" w:color="E6E6E6"/>
            </w:tcBorders>
            <w:shd w:val="clear" w:color="auto" w:fill="E6E6E6"/>
          </w:tcPr>
          <w:p>
            <w:pPr>
              <w:spacing w:after="0"/>
              <w:rPr>
                <w:sz w:val="8"/>
                <w:szCs w:val="8"/>
                <w:color w:val="auto"/>
              </w:rPr>
            </w:pPr>
          </w:p>
        </w:tc>
        <w:tc>
          <w:tcPr>
            <w:tcW w:w="1840" w:type="dxa"/>
            <w:vAlign w:val="bottom"/>
            <w:gridSpan w:val="2"/>
            <w:vMerge w:val="continue"/>
            <w:shd w:val="clear" w:color="auto" w:fill="E6E6E6"/>
          </w:tcPr>
          <w:p>
            <w:pPr>
              <w:spacing w:after="0"/>
              <w:rPr>
                <w:sz w:val="8"/>
                <w:szCs w:val="8"/>
                <w:color w:val="auto"/>
              </w:rPr>
            </w:pPr>
          </w:p>
        </w:tc>
        <w:tc>
          <w:tcPr>
            <w:tcW w:w="240" w:type="dxa"/>
            <w:vAlign w:val="bottom"/>
            <w:tcBorders>
              <w:right w:val="single" w:sz="8" w:color="E6E6E6"/>
            </w:tcBorders>
            <w:shd w:val="clear" w:color="auto" w:fill="E6E6E6"/>
          </w:tcPr>
          <w:p>
            <w:pPr>
              <w:spacing w:after="0"/>
              <w:rPr>
                <w:sz w:val="8"/>
                <w:szCs w:val="8"/>
                <w:color w:val="auto"/>
              </w:rPr>
            </w:pPr>
          </w:p>
        </w:tc>
        <w:tc>
          <w:tcPr>
            <w:tcW w:w="140" w:type="dxa"/>
            <w:vAlign w:val="bottom"/>
            <w:tcBorders>
              <w:right w:val="single" w:sz="8" w:color="00000A"/>
            </w:tcBorders>
            <w:shd w:val="clear" w:color="auto" w:fill="E6E6E6"/>
          </w:tcPr>
          <w:p>
            <w:pPr>
              <w:spacing w:after="0"/>
              <w:rPr>
                <w:sz w:val="8"/>
                <w:szCs w:val="8"/>
                <w:color w:val="auto"/>
              </w:rPr>
            </w:pPr>
          </w:p>
        </w:tc>
        <w:tc>
          <w:tcPr>
            <w:tcW w:w="160" w:type="dxa"/>
            <w:vAlign w:val="bottom"/>
            <w:tcBorders>
              <w:right w:val="single" w:sz="8" w:color="E6E6E6"/>
            </w:tcBorders>
            <w:shd w:val="clear" w:color="auto" w:fill="E6E6E6"/>
          </w:tcPr>
          <w:p>
            <w:pPr>
              <w:spacing w:after="0"/>
              <w:rPr>
                <w:sz w:val="8"/>
                <w:szCs w:val="8"/>
                <w:color w:val="auto"/>
              </w:rPr>
            </w:pPr>
          </w:p>
        </w:tc>
        <w:tc>
          <w:tcPr>
            <w:tcW w:w="60" w:type="dxa"/>
            <w:vAlign w:val="bottom"/>
            <w:shd w:val="clear" w:color="auto" w:fill="E6E6E6"/>
          </w:tcPr>
          <w:p>
            <w:pPr>
              <w:spacing w:after="0"/>
              <w:rPr>
                <w:sz w:val="8"/>
                <w:szCs w:val="8"/>
                <w:color w:val="auto"/>
              </w:rPr>
            </w:pPr>
          </w:p>
        </w:tc>
        <w:tc>
          <w:tcPr>
            <w:tcW w:w="40" w:type="dxa"/>
            <w:vAlign w:val="bottom"/>
            <w:tcBorders>
              <w:right w:val="single" w:sz="8" w:color="E6E6E6"/>
            </w:tcBorders>
            <w:shd w:val="clear" w:color="auto" w:fill="E6E6E6"/>
          </w:tcPr>
          <w:p>
            <w:pPr>
              <w:spacing w:after="0"/>
              <w:rPr>
                <w:sz w:val="8"/>
                <w:szCs w:val="8"/>
                <w:color w:val="auto"/>
              </w:rPr>
            </w:pPr>
          </w:p>
        </w:tc>
        <w:tc>
          <w:tcPr>
            <w:tcW w:w="1480" w:type="dxa"/>
            <w:vAlign w:val="bottom"/>
            <w:tcBorders>
              <w:right w:val="single" w:sz="8" w:color="00000A"/>
            </w:tcBorders>
            <w:gridSpan w:val="2"/>
            <w:vMerge w:val="restart"/>
            <w:shd w:val="clear" w:color="auto" w:fill="E6E6E6"/>
          </w:tcPr>
          <w:p>
            <w:pPr>
              <w:jc w:val="center"/>
              <w:ind w:right="340"/>
              <w:spacing w:after="0" w:line="131" w:lineRule="exact"/>
              <w:rPr>
                <w:sz w:val="20"/>
                <w:szCs w:val="20"/>
                <w:color w:val="auto"/>
              </w:rPr>
            </w:pPr>
            <w:r>
              <w:rPr>
                <w:rFonts w:ascii="Arial" w:cs="Arial" w:eastAsia="Arial" w:hAnsi="Arial"/>
                <w:sz w:val="13"/>
                <w:szCs w:val="13"/>
                <w:b w:val="1"/>
                <w:bCs w:val="1"/>
                <w:color w:val="auto"/>
                <w:w w:val="90"/>
              </w:rPr>
              <w:t>Agreement Date</w:t>
            </w:r>
          </w:p>
        </w:tc>
        <w:tc>
          <w:tcPr>
            <w:tcW w:w="3840" w:type="dxa"/>
            <w:vAlign w:val="bottom"/>
            <w:tcBorders>
              <w:right w:val="single" w:sz="8" w:color="00000A"/>
            </w:tcBorders>
            <w:gridSpan w:val="2"/>
            <w:vMerge w:val="continue"/>
            <w:shd w:val="clear" w:color="auto" w:fill="E6E6E6"/>
          </w:tcPr>
          <w:p>
            <w:pPr>
              <w:spacing w:after="0"/>
              <w:rPr>
                <w:sz w:val="8"/>
                <w:szCs w:val="8"/>
                <w:color w:val="auto"/>
              </w:rPr>
            </w:pPr>
          </w:p>
        </w:tc>
        <w:tc>
          <w:tcPr>
            <w:tcW w:w="1380" w:type="dxa"/>
            <w:vAlign w:val="bottom"/>
            <w:tcBorders>
              <w:right w:val="single" w:sz="8" w:color="00000A"/>
            </w:tcBorders>
            <w:vMerge w:val="restart"/>
            <w:shd w:val="clear" w:color="auto" w:fill="E6E6E6"/>
          </w:tcPr>
          <w:p>
            <w:pPr>
              <w:jc w:val="center"/>
              <w:ind w:right="67"/>
              <w:spacing w:after="0" w:line="131" w:lineRule="exact"/>
              <w:rPr>
                <w:sz w:val="20"/>
                <w:szCs w:val="20"/>
                <w:color w:val="auto"/>
              </w:rPr>
            </w:pPr>
            <w:r>
              <w:rPr>
                <w:rFonts w:ascii="Arial" w:cs="Arial" w:eastAsia="Arial" w:hAnsi="Arial"/>
                <w:sz w:val="15"/>
                <w:szCs w:val="15"/>
                <w:b w:val="1"/>
                <w:bCs w:val="1"/>
                <w:color w:val="auto"/>
              </w:rPr>
              <w:t>(Y-M-D)</w:t>
            </w:r>
          </w:p>
        </w:tc>
        <w:tc>
          <w:tcPr>
            <w:tcW w:w="0" w:type="dxa"/>
            <w:vAlign w:val="bottom"/>
          </w:tcPr>
          <w:p>
            <w:pPr>
              <w:spacing w:after="0"/>
              <w:rPr>
                <w:sz w:val="1"/>
                <w:szCs w:val="1"/>
                <w:color w:val="auto"/>
              </w:rPr>
            </w:pPr>
          </w:p>
        </w:tc>
      </w:tr>
      <w:tr>
        <w:trPr>
          <w:trHeight w:val="35"/>
        </w:trPr>
        <w:tc>
          <w:tcPr>
            <w:tcW w:w="40" w:type="dxa"/>
            <w:vAlign w:val="bottom"/>
            <w:tcBorders>
              <w:right w:val="single" w:sz="8" w:color="00000A"/>
            </w:tcBorders>
            <w:shd w:val="clear" w:color="auto" w:fill="00000A"/>
          </w:tcPr>
          <w:p>
            <w:pPr>
              <w:spacing w:after="0"/>
              <w:rPr>
                <w:sz w:val="3"/>
                <w:szCs w:val="3"/>
                <w:color w:val="auto"/>
              </w:rPr>
            </w:pPr>
          </w:p>
        </w:tc>
        <w:tc>
          <w:tcPr>
            <w:tcW w:w="360" w:type="dxa"/>
            <w:vAlign w:val="bottom"/>
            <w:tcBorders>
              <w:right w:val="single" w:sz="8" w:color="00000A"/>
            </w:tcBorders>
            <w:vMerge w:val="continue"/>
            <w:shd w:val="clear" w:color="auto" w:fill="E6E6E6"/>
          </w:tcPr>
          <w:p>
            <w:pPr>
              <w:spacing w:after="0"/>
              <w:rPr>
                <w:sz w:val="3"/>
                <w:szCs w:val="3"/>
                <w:color w:val="auto"/>
              </w:rPr>
            </w:pPr>
          </w:p>
        </w:tc>
        <w:tc>
          <w:tcPr>
            <w:tcW w:w="300" w:type="dxa"/>
            <w:vAlign w:val="bottom"/>
            <w:tcBorders>
              <w:right w:val="single" w:sz="8" w:color="E6E6E6"/>
            </w:tcBorders>
            <w:shd w:val="clear" w:color="auto" w:fill="E6E6E6"/>
          </w:tcPr>
          <w:p>
            <w:pPr>
              <w:spacing w:after="0"/>
              <w:rPr>
                <w:sz w:val="3"/>
                <w:szCs w:val="3"/>
                <w:color w:val="auto"/>
              </w:rPr>
            </w:pPr>
          </w:p>
        </w:tc>
        <w:tc>
          <w:tcPr>
            <w:tcW w:w="1400" w:type="dxa"/>
            <w:vAlign w:val="bottom"/>
            <w:tcBorders>
              <w:right w:val="single" w:sz="8" w:color="00000A"/>
            </w:tcBorders>
            <w:vMerge w:val="restart"/>
            <w:shd w:val="clear" w:color="auto" w:fill="E6E6E6"/>
          </w:tcPr>
          <w:p>
            <w:pPr>
              <w:spacing w:after="0"/>
              <w:rPr>
                <w:sz w:val="20"/>
                <w:szCs w:val="20"/>
                <w:color w:val="auto"/>
              </w:rPr>
            </w:pPr>
            <w:r>
              <w:rPr>
                <w:rFonts w:ascii="Arial" w:cs="Arial" w:eastAsia="Arial" w:hAnsi="Arial"/>
                <w:sz w:val="15"/>
                <w:szCs w:val="15"/>
                <w:b w:val="1"/>
                <w:bCs w:val="1"/>
                <w:color w:val="auto"/>
              </w:rPr>
              <w:t>(Y-M-D) &amp; Time</w:t>
            </w:r>
          </w:p>
        </w:tc>
        <w:tc>
          <w:tcPr>
            <w:tcW w:w="200" w:type="dxa"/>
            <w:vAlign w:val="bottom"/>
            <w:tcBorders>
              <w:right w:val="single" w:sz="8" w:color="E6E6E6"/>
            </w:tcBorders>
            <w:shd w:val="clear" w:color="auto" w:fill="E6E6E6"/>
          </w:tcPr>
          <w:p>
            <w:pPr>
              <w:spacing w:after="0"/>
              <w:rPr>
                <w:sz w:val="3"/>
                <w:szCs w:val="3"/>
                <w:color w:val="auto"/>
              </w:rPr>
            </w:pPr>
          </w:p>
        </w:tc>
        <w:tc>
          <w:tcPr>
            <w:tcW w:w="940" w:type="dxa"/>
            <w:vAlign w:val="bottom"/>
            <w:shd w:val="clear" w:color="auto" w:fill="E6E6E6"/>
          </w:tcPr>
          <w:p>
            <w:pPr>
              <w:spacing w:after="0"/>
              <w:rPr>
                <w:sz w:val="3"/>
                <w:szCs w:val="3"/>
                <w:color w:val="auto"/>
              </w:rPr>
            </w:pPr>
          </w:p>
        </w:tc>
        <w:tc>
          <w:tcPr>
            <w:tcW w:w="900" w:type="dxa"/>
            <w:vAlign w:val="bottom"/>
            <w:shd w:val="clear" w:color="auto" w:fill="E6E6E6"/>
          </w:tcPr>
          <w:p>
            <w:pPr>
              <w:spacing w:after="0"/>
              <w:rPr>
                <w:sz w:val="3"/>
                <w:szCs w:val="3"/>
                <w:color w:val="auto"/>
              </w:rPr>
            </w:pPr>
          </w:p>
        </w:tc>
        <w:tc>
          <w:tcPr>
            <w:tcW w:w="240" w:type="dxa"/>
            <w:vAlign w:val="bottom"/>
            <w:tcBorders>
              <w:right w:val="single" w:sz="8" w:color="E6E6E6"/>
            </w:tcBorders>
            <w:shd w:val="clear" w:color="auto" w:fill="E6E6E6"/>
          </w:tcPr>
          <w:p>
            <w:pPr>
              <w:spacing w:after="0"/>
              <w:rPr>
                <w:sz w:val="3"/>
                <w:szCs w:val="3"/>
                <w:color w:val="auto"/>
              </w:rPr>
            </w:pPr>
          </w:p>
        </w:tc>
        <w:tc>
          <w:tcPr>
            <w:tcW w:w="140" w:type="dxa"/>
            <w:vAlign w:val="bottom"/>
            <w:tcBorders>
              <w:right w:val="single" w:sz="8" w:color="00000A"/>
            </w:tcBorders>
            <w:shd w:val="clear" w:color="auto" w:fill="E6E6E6"/>
          </w:tcPr>
          <w:p>
            <w:pPr>
              <w:spacing w:after="0"/>
              <w:rPr>
                <w:sz w:val="3"/>
                <w:szCs w:val="3"/>
                <w:color w:val="auto"/>
              </w:rPr>
            </w:pPr>
          </w:p>
        </w:tc>
        <w:tc>
          <w:tcPr>
            <w:tcW w:w="160" w:type="dxa"/>
            <w:vAlign w:val="bottom"/>
            <w:tcBorders>
              <w:right w:val="single" w:sz="8" w:color="E6E6E6"/>
            </w:tcBorders>
            <w:shd w:val="clear" w:color="auto" w:fill="E6E6E6"/>
          </w:tcPr>
          <w:p>
            <w:pPr>
              <w:spacing w:after="0"/>
              <w:rPr>
                <w:sz w:val="3"/>
                <w:szCs w:val="3"/>
                <w:color w:val="auto"/>
              </w:rPr>
            </w:pPr>
          </w:p>
        </w:tc>
        <w:tc>
          <w:tcPr>
            <w:tcW w:w="60" w:type="dxa"/>
            <w:vAlign w:val="bottom"/>
            <w:shd w:val="clear" w:color="auto" w:fill="E6E6E6"/>
          </w:tcPr>
          <w:p>
            <w:pPr>
              <w:spacing w:after="0"/>
              <w:rPr>
                <w:sz w:val="3"/>
                <w:szCs w:val="3"/>
                <w:color w:val="auto"/>
              </w:rPr>
            </w:pPr>
          </w:p>
        </w:tc>
        <w:tc>
          <w:tcPr>
            <w:tcW w:w="40" w:type="dxa"/>
            <w:vAlign w:val="bottom"/>
            <w:tcBorders>
              <w:right w:val="single" w:sz="8" w:color="E6E6E6"/>
            </w:tcBorders>
            <w:shd w:val="clear" w:color="auto" w:fill="E6E6E6"/>
          </w:tcPr>
          <w:p>
            <w:pPr>
              <w:spacing w:after="0"/>
              <w:rPr>
                <w:sz w:val="3"/>
                <w:szCs w:val="3"/>
                <w:color w:val="auto"/>
              </w:rPr>
            </w:pPr>
          </w:p>
        </w:tc>
        <w:tc>
          <w:tcPr>
            <w:tcW w:w="1480" w:type="dxa"/>
            <w:vAlign w:val="bottom"/>
            <w:tcBorders>
              <w:right w:val="single" w:sz="8" w:color="00000A"/>
            </w:tcBorders>
            <w:gridSpan w:val="2"/>
            <w:vMerge w:val="continue"/>
            <w:shd w:val="clear" w:color="auto" w:fill="E6E6E6"/>
          </w:tcPr>
          <w:p>
            <w:pPr>
              <w:spacing w:after="0"/>
              <w:rPr>
                <w:sz w:val="3"/>
                <w:szCs w:val="3"/>
                <w:color w:val="auto"/>
              </w:rPr>
            </w:pPr>
          </w:p>
        </w:tc>
        <w:tc>
          <w:tcPr>
            <w:tcW w:w="2640" w:type="dxa"/>
            <w:vAlign w:val="bottom"/>
            <w:shd w:val="clear" w:color="auto" w:fill="E6E6E6"/>
          </w:tcPr>
          <w:p>
            <w:pPr>
              <w:spacing w:after="0"/>
              <w:rPr>
                <w:sz w:val="3"/>
                <w:szCs w:val="3"/>
                <w:color w:val="auto"/>
              </w:rPr>
            </w:pPr>
          </w:p>
        </w:tc>
        <w:tc>
          <w:tcPr>
            <w:tcW w:w="1200" w:type="dxa"/>
            <w:vAlign w:val="bottom"/>
            <w:tcBorders>
              <w:right w:val="single" w:sz="8" w:color="00000A"/>
            </w:tcBorders>
            <w:shd w:val="clear" w:color="auto" w:fill="E6E6E6"/>
          </w:tcPr>
          <w:p>
            <w:pPr>
              <w:spacing w:after="0"/>
              <w:rPr>
                <w:sz w:val="3"/>
                <w:szCs w:val="3"/>
                <w:color w:val="auto"/>
              </w:rPr>
            </w:pPr>
          </w:p>
        </w:tc>
        <w:tc>
          <w:tcPr>
            <w:tcW w:w="1380" w:type="dxa"/>
            <w:vAlign w:val="bottom"/>
            <w:tcBorders>
              <w:right w:val="single" w:sz="8" w:color="00000A"/>
            </w:tcBorders>
            <w:vMerge w:val="continue"/>
            <w:shd w:val="clear" w:color="auto" w:fill="E6E6E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0" w:type="dxa"/>
            <w:vAlign w:val="bottom"/>
            <w:tcBorders>
              <w:right w:val="single" w:sz="8" w:color="00000A"/>
            </w:tcBorders>
            <w:shd w:val="clear" w:color="auto" w:fill="00000A"/>
          </w:tcPr>
          <w:p>
            <w:pPr>
              <w:spacing w:after="0"/>
              <w:rPr>
                <w:sz w:val="14"/>
                <w:szCs w:val="14"/>
                <w:color w:val="auto"/>
              </w:rPr>
            </w:pPr>
          </w:p>
        </w:tc>
        <w:tc>
          <w:tcPr>
            <w:tcW w:w="360" w:type="dxa"/>
            <w:vAlign w:val="bottom"/>
            <w:tcBorders>
              <w:right w:val="single" w:sz="8" w:color="00000A"/>
            </w:tcBorders>
            <w:shd w:val="clear" w:color="auto" w:fill="E6E6E6"/>
          </w:tcPr>
          <w:p>
            <w:pPr>
              <w:spacing w:after="0"/>
              <w:rPr>
                <w:sz w:val="14"/>
                <w:szCs w:val="14"/>
                <w:color w:val="auto"/>
              </w:rPr>
            </w:pPr>
          </w:p>
        </w:tc>
        <w:tc>
          <w:tcPr>
            <w:tcW w:w="300" w:type="dxa"/>
            <w:vAlign w:val="bottom"/>
            <w:tcBorders>
              <w:right w:val="single" w:sz="8" w:color="E6E6E6"/>
            </w:tcBorders>
            <w:shd w:val="clear" w:color="auto" w:fill="E6E6E6"/>
          </w:tcPr>
          <w:p>
            <w:pPr>
              <w:spacing w:after="0"/>
              <w:rPr>
                <w:sz w:val="14"/>
                <w:szCs w:val="14"/>
                <w:color w:val="auto"/>
              </w:rPr>
            </w:pPr>
          </w:p>
        </w:tc>
        <w:tc>
          <w:tcPr>
            <w:tcW w:w="1400" w:type="dxa"/>
            <w:vAlign w:val="bottom"/>
            <w:tcBorders>
              <w:right w:val="single" w:sz="8" w:color="00000A"/>
            </w:tcBorders>
            <w:vMerge w:val="continue"/>
            <w:shd w:val="clear" w:color="auto" w:fill="E6E6E6"/>
          </w:tcPr>
          <w:p>
            <w:pPr>
              <w:spacing w:after="0"/>
              <w:rPr>
                <w:sz w:val="14"/>
                <w:szCs w:val="14"/>
                <w:color w:val="auto"/>
              </w:rPr>
            </w:pPr>
          </w:p>
        </w:tc>
        <w:tc>
          <w:tcPr>
            <w:tcW w:w="200" w:type="dxa"/>
            <w:vAlign w:val="bottom"/>
            <w:tcBorders>
              <w:right w:val="single" w:sz="8" w:color="E6E6E6"/>
            </w:tcBorders>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240" w:type="dxa"/>
            <w:vAlign w:val="bottom"/>
            <w:tcBorders>
              <w:right w:val="single" w:sz="8" w:color="E6E6E6"/>
            </w:tcBorders>
            <w:shd w:val="clear" w:color="auto" w:fill="E6E6E6"/>
          </w:tcPr>
          <w:p>
            <w:pPr>
              <w:spacing w:after="0"/>
              <w:rPr>
                <w:sz w:val="14"/>
                <w:szCs w:val="14"/>
                <w:color w:val="auto"/>
              </w:rPr>
            </w:pPr>
          </w:p>
        </w:tc>
        <w:tc>
          <w:tcPr>
            <w:tcW w:w="140" w:type="dxa"/>
            <w:vAlign w:val="bottom"/>
            <w:tcBorders>
              <w:right w:val="single" w:sz="8" w:color="00000A"/>
            </w:tcBorders>
            <w:shd w:val="clear" w:color="auto" w:fill="E6E6E6"/>
          </w:tcPr>
          <w:p>
            <w:pPr>
              <w:spacing w:after="0"/>
              <w:rPr>
                <w:sz w:val="14"/>
                <w:szCs w:val="14"/>
                <w:color w:val="auto"/>
              </w:rPr>
            </w:pPr>
          </w:p>
        </w:tc>
        <w:tc>
          <w:tcPr>
            <w:tcW w:w="1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40" w:type="dxa"/>
            <w:vAlign w:val="bottom"/>
            <w:tcBorders>
              <w:right w:val="single" w:sz="8" w:color="E6E6E6"/>
            </w:tcBorders>
            <w:shd w:val="clear" w:color="auto" w:fill="E6E6E6"/>
          </w:tcPr>
          <w:p>
            <w:pPr>
              <w:spacing w:after="0"/>
              <w:rPr>
                <w:sz w:val="14"/>
                <w:szCs w:val="14"/>
                <w:color w:val="auto"/>
              </w:rPr>
            </w:pPr>
          </w:p>
        </w:tc>
        <w:tc>
          <w:tcPr>
            <w:tcW w:w="1480" w:type="dxa"/>
            <w:vAlign w:val="bottom"/>
            <w:tcBorders>
              <w:right w:val="single" w:sz="8" w:color="00000A"/>
            </w:tcBorders>
            <w:gridSpan w:val="2"/>
            <w:shd w:val="clear" w:color="auto" w:fill="E6E6E6"/>
          </w:tcPr>
          <w:p>
            <w:pPr>
              <w:jc w:val="center"/>
              <w:ind w:right="300"/>
              <w:spacing w:after="0"/>
              <w:rPr>
                <w:sz w:val="20"/>
                <w:szCs w:val="20"/>
                <w:color w:val="auto"/>
              </w:rPr>
            </w:pPr>
            <w:r>
              <w:rPr>
                <w:rFonts w:ascii="Arial" w:cs="Arial" w:eastAsia="Arial" w:hAnsi="Arial"/>
                <w:sz w:val="13"/>
                <w:szCs w:val="13"/>
                <w:b w:val="1"/>
                <w:bCs w:val="1"/>
                <w:color w:val="auto"/>
                <w:w w:val="99"/>
              </w:rPr>
              <w:t>(Y-M-D)</w:t>
            </w:r>
          </w:p>
        </w:tc>
        <w:tc>
          <w:tcPr>
            <w:tcW w:w="2640" w:type="dxa"/>
            <w:vAlign w:val="bottom"/>
            <w:shd w:val="clear" w:color="auto" w:fill="E6E6E6"/>
          </w:tcPr>
          <w:p>
            <w:pPr>
              <w:spacing w:after="0"/>
              <w:rPr>
                <w:sz w:val="14"/>
                <w:szCs w:val="14"/>
                <w:color w:val="auto"/>
              </w:rPr>
            </w:pPr>
          </w:p>
        </w:tc>
        <w:tc>
          <w:tcPr>
            <w:tcW w:w="1200" w:type="dxa"/>
            <w:vAlign w:val="bottom"/>
            <w:tcBorders>
              <w:right w:val="single" w:sz="8" w:color="00000A"/>
            </w:tcBorders>
            <w:shd w:val="clear" w:color="auto" w:fill="E6E6E6"/>
          </w:tcPr>
          <w:p>
            <w:pPr>
              <w:spacing w:after="0"/>
              <w:rPr>
                <w:sz w:val="14"/>
                <w:szCs w:val="14"/>
                <w:color w:val="auto"/>
              </w:rPr>
            </w:pPr>
          </w:p>
        </w:tc>
        <w:tc>
          <w:tcPr>
            <w:tcW w:w="1380" w:type="dxa"/>
            <w:vAlign w:val="bottom"/>
            <w:tcBorders>
              <w:right w:val="single" w:sz="8" w:color="00000A"/>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0" w:type="dxa"/>
            <w:vAlign w:val="bottom"/>
            <w:tcBorders>
              <w:bottom w:val="single" w:sz="8" w:color="00000A"/>
              <w:right w:val="single" w:sz="8" w:color="00000A"/>
            </w:tcBorders>
            <w:shd w:val="clear" w:color="auto" w:fill="00000A"/>
          </w:tcPr>
          <w:p>
            <w:pPr>
              <w:spacing w:after="0"/>
              <w:rPr>
                <w:sz w:val="8"/>
                <w:szCs w:val="8"/>
                <w:color w:val="auto"/>
              </w:rPr>
            </w:pPr>
          </w:p>
        </w:tc>
        <w:tc>
          <w:tcPr>
            <w:tcW w:w="360" w:type="dxa"/>
            <w:vAlign w:val="bottom"/>
            <w:tcBorders>
              <w:bottom w:val="single" w:sz="8" w:color="auto"/>
              <w:right w:val="single" w:sz="8" w:color="00000A"/>
            </w:tcBorders>
            <w:shd w:val="clear" w:color="auto" w:fill="E6E6E6"/>
          </w:tcPr>
          <w:p>
            <w:pPr>
              <w:spacing w:after="0"/>
              <w:rPr>
                <w:sz w:val="8"/>
                <w:szCs w:val="8"/>
                <w:color w:val="auto"/>
              </w:rPr>
            </w:pPr>
          </w:p>
        </w:tc>
        <w:tc>
          <w:tcPr>
            <w:tcW w:w="300" w:type="dxa"/>
            <w:vAlign w:val="bottom"/>
            <w:tcBorders>
              <w:bottom w:val="single" w:sz="8" w:color="auto"/>
              <w:right w:val="single" w:sz="8" w:color="E6E6E6"/>
            </w:tcBorders>
            <w:shd w:val="clear" w:color="auto" w:fill="E6E6E6"/>
          </w:tcPr>
          <w:p>
            <w:pPr>
              <w:spacing w:after="0"/>
              <w:rPr>
                <w:sz w:val="8"/>
                <w:szCs w:val="8"/>
                <w:color w:val="auto"/>
              </w:rPr>
            </w:pPr>
          </w:p>
        </w:tc>
        <w:tc>
          <w:tcPr>
            <w:tcW w:w="1400" w:type="dxa"/>
            <w:vAlign w:val="bottom"/>
            <w:tcBorders>
              <w:bottom w:val="single" w:sz="8" w:color="auto"/>
              <w:right w:val="single" w:sz="8" w:color="00000A"/>
            </w:tcBorders>
            <w:shd w:val="clear" w:color="auto" w:fill="E6E6E6"/>
          </w:tcPr>
          <w:p>
            <w:pPr>
              <w:spacing w:after="0"/>
              <w:rPr>
                <w:sz w:val="8"/>
                <w:szCs w:val="8"/>
                <w:color w:val="auto"/>
              </w:rPr>
            </w:pPr>
          </w:p>
        </w:tc>
        <w:tc>
          <w:tcPr>
            <w:tcW w:w="200" w:type="dxa"/>
            <w:vAlign w:val="bottom"/>
            <w:tcBorders>
              <w:bottom w:val="single" w:sz="8" w:color="auto"/>
              <w:right w:val="single" w:sz="8" w:color="E6E6E6"/>
            </w:tcBorders>
            <w:shd w:val="clear" w:color="auto" w:fill="E6E6E6"/>
          </w:tcPr>
          <w:p>
            <w:pPr>
              <w:spacing w:after="0"/>
              <w:rPr>
                <w:sz w:val="8"/>
                <w:szCs w:val="8"/>
                <w:color w:val="auto"/>
              </w:rPr>
            </w:pPr>
          </w:p>
        </w:tc>
        <w:tc>
          <w:tcPr>
            <w:tcW w:w="940" w:type="dxa"/>
            <w:vAlign w:val="bottom"/>
            <w:tcBorders>
              <w:bottom w:val="single" w:sz="8" w:color="auto"/>
            </w:tcBorders>
            <w:shd w:val="clear" w:color="auto" w:fill="E6E6E6"/>
          </w:tcPr>
          <w:p>
            <w:pPr>
              <w:spacing w:after="0"/>
              <w:rPr>
                <w:sz w:val="8"/>
                <w:szCs w:val="8"/>
                <w:color w:val="auto"/>
              </w:rPr>
            </w:pPr>
          </w:p>
        </w:tc>
        <w:tc>
          <w:tcPr>
            <w:tcW w:w="900" w:type="dxa"/>
            <w:vAlign w:val="bottom"/>
            <w:tcBorders>
              <w:bottom w:val="single" w:sz="8" w:color="auto"/>
            </w:tcBorders>
            <w:shd w:val="clear" w:color="auto" w:fill="E6E6E6"/>
          </w:tcPr>
          <w:p>
            <w:pPr>
              <w:spacing w:after="0"/>
              <w:rPr>
                <w:sz w:val="8"/>
                <w:szCs w:val="8"/>
                <w:color w:val="auto"/>
              </w:rPr>
            </w:pPr>
          </w:p>
        </w:tc>
        <w:tc>
          <w:tcPr>
            <w:tcW w:w="240" w:type="dxa"/>
            <w:vAlign w:val="bottom"/>
            <w:tcBorders>
              <w:bottom w:val="single" w:sz="8" w:color="auto"/>
              <w:right w:val="single" w:sz="8" w:color="E6E6E6"/>
            </w:tcBorders>
            <w:shd w:val="clear" w:color="auto" w:fill="E6E6E6"/>
          </w:tcPr>
          <w:p>
            <w:pPr>
              <w:spacing w:after="0"/>
              <w:rPr>
                <w:sz w:val="8"/>
                <w:szCs w:val="8"/>
                <w:color w:val="auto"/>
              </w:rPr>
            </w:pPr>
          </w:p>
        </w:tc>
        <w:tc>
          <w:tcPr>
            <w:tcW w:w="140" w:type="dxa"/>
            <w:vAlign w:val="bottom"/>
            <w:tcBorders>
              <w:bottom w:val="single" w:sz="8" w:color="auto"/>
              <w:right w:val="single" w:sz="8" w:color="00000A"/>
            </w:tcBorders>
            <w:shd w:val="clear" w:color="auto" w:fill="E6E6E6"/>
          </w:tcPr>
          <w:p>
            <w:pPr>
              <w:spacing w:after="0"/>
              <w:rPr>
                <w:sz w:val="8"/>
                <w:szCs w:val="8"/>
                <w:color w:val="auto"/>
              </w:rPr>
            </w:pPr>
          </w:p>
        </w:tc>
        <w:tc>
          <w:tcPr>
            <w:tcW w:w="160" w:type="dxa"/>
            <w:vAlign w:val="bottom"/>
            <w:tcBorders>
              <w:bottom w:val="single" w:sz="8" w:color="auto"/>
              <w:right w:val="single" w:sz="8" w:color="E6E6E6"/>
            </w:tcBorders>
            <w:shd w:val="clear" w:color="auto" w:fill="E6E6E6"/>
          </w:tcPr>
          <w:p>
            <w:pPr>
              <w:spacing w:after="0"/>
              <w:rPr>
                <w:sz w:val="8"/>
                <w:szCs w:val="8"/>
                <w:color w:val="auto"/>
              </w:rPr>
            </w:pPr>
          </w:p>
        </w:tc>
        <w:tc>
          <w:tcPr>
            <w:tcW w:w="60" w:type="dxa"/>
            <w:vAlign w:val="bottom"/>
            <w:tcBorders>
              <w:bottom w:val="single" w:sz="8" w:color="auto"/>
            </w:tcBorders>
            <w:shd w:val="clear" w:color="auto" w:fill="E6E6E6"/>
          </w:tcPr>
          <w:p>
            <w:pPr>
              <w:spacing w:after="0"/>
              <w:rPr>
                <w:sz w:val="8"/>
                <w:szCs w:val="8"/>
                <w:color w:val="auto"/>
              </w:rPr>
            </w:pPr>
          </w:p>
        </w:tc>
        <w:tc>
          <w:tcPr>
            <w:tcW w:w="40" w:type="dxa"/>
            <w:vAlign w:val="bottom"/>
            <w:tcBorders>
              <w:bottom w:val="single" w:sz="8" w:color="auto"/>
              <w:right w:val="single" w:sz="8" w:color="E6E6E6"/>
            </w:tcBorders>
            <w:shd w:val="clear" w:color="auto" w:fill="E6E6E6"/>
          </w:tcPr>
          <w:p>
            <w:pPr>
              <w:spacing w:after="0"/>
              <w:rPr>
                <w:sz w:val="8"/>
                <w:szCs w:val="8"/>
                <w:color w:val="auto"/>
              </w:rPr>
            </w:pPr>
          </w:p>
        </w:tc>
        <w:tc>
          <w:tcPr>
            <w:tcW w:w="1320" w:type="dxa"/>
            <w:vAlign w:val="bottom"/>
            <w:tcBorders>
              <w:bottom w:val="single" w:sz="8" w:color="auto"/>
              <w:right w:val="single" w:sz="8" w:color="E6E6E6"/>
            </w:tcBorders>
            <w:shd w:val="clear" w:color="auto" w:fill="E6E6E6"/>
          </w:tcPr>
          <w:p>
            <w:pPr>
              <w:spacing w:after="0"/>
              <w:rPr>
                <w:sz w:val="8"/>
                <w:szCs w:val="8"/>
                <w:color w:val="auto"/>
              </w:rPr>
            </w:pPr>
          </w:p>
        </w:tc>
        <w:tc>
          <w:tcPr>
            <w:tcW w:w="160" w:type="dxa"/>
            <w:vAlign w:val="bottom"/>
            <w:tcBorders>
              <w:bottom w:val="single" w:sz="8" w:color="auto"/>
              <w:right w:val="single" w:sz="8" w:color="00000A"/>
            </w:tcBorders>
            <w:shd w:val="clear" w:color="auto" w:fill="E6E6E6"/>
          </w:tcPr>
          <w:p>
            <w:pPr>
              <w:spacing w:after="0"/>
              <w:rPr>
                <w:sz w:val="8"/>
                <w:szCs w:val="8"/>
                <w:color w:val="auto"/>
              </w:rPr>
            </w:pPr>
          </w:p>
        </w:tc>
        <w:tc>
          <w:tcPr>
            <w:tcW w:w="2640" w:type="dxa"/>
            <w:vAlign w:val="bottom"/>
            <w:tcBorders>
              <w:bottom w:val="single" w:sz="8" w:color="auto"/>
            </w:tcBorders>
            <w:shd w:val="clear" w:color="auto" w:fill="E6E6E6"/>
          </w:tcPr>
          <w:p>
            <w:pPr>
              <w:spacing w:after="0"/>
              <w:rPr>
                <w:sz w:val="8"/>
                <w:szCs w:val="8"/>
                <w:color w:val="auto"/>
              </w:rPr>
            </w:pPr>
          </w:p>
        </w:tc>
        <w:tc>
          <w:tcPr>
            <w:tcW w:w="1200" w:type="dxa"/>
            <w:vAlign w:val="bottom"/>
            <w:tcBorders>
              <w:bottom w:val="single" w:sz="8" w:color="auto"/>
              <w:right w:val="single" w:sz="8" w:color="00000A"/>
            </w:tcBorders>
            <w:shd w:val="clear" w:color="auto" w:fill="E6E6E6"/>
          </w:tcPr>
          <w:p>
            <w:pPr>
              <w:spacing w:after="0"/>
              <w:rPr>
                <w:sz w:val="8"/>
                <w:szCs w:val="8"/>
                <w:color w:val="auto"/>
              </w:rPr>
            </w:pPr>
          </w:p>
        </w:tc>
        <w:tc>
          <w:tcPr>
            <w:tcW w:w="1380" w:type="dxa"/>
            <w:vAlign w:val="bottom"/>
            <w:tcBorders>
              <w:bottom w:val="single" w:sz="8" w:color="auto"/>
              <w:right w:val="single" w:sz="8" w:color="00000A"/>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1" w:lineRule="exact"/>
              <w:rPr>
                <w:sz w:val="20"/>
                <w:szCs w:val="20"/>
                <w:color w:val="auto"/>
              </w:rPr>
            </w:pPr>
            <w:r>
              <w:rPr>
                <w:rFonts w:ascii="Arial" w:cs="Arial" w:eastAsia="Arial" w:hAnsi="Arial"/>
                <w:sz w:val="19"/>
                <w:szCs w:val="19"/>
                <w:color w:val="auto"/>
                <w:w w:val="93"/>
              </w:rPr>
              <w:t>Expiry Date :</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2"/>
              </w:rPr>
              <w:t>2018-04-13</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3"/>
              </w:rPr>
              <w:t>This is a global</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registration</w:t>
            </w:r>
          </w:p>
        </w:tc>
        <w:tc>
          <w:tcPr>
            <w:tcW w:w="0" w:type="dxa"/>
            <w:vAlign w:val="bottom"/>
          </w:tcPr>
          <w:p>
            <w:pPr>
              <w:spacing w:after="0"/>
              <w:rPr>
                <w:sz w:val="1"/>
                <w:szCs w:val="1"/>
                <w:color w:val="auto"/>
              </w:rPr>
            </w:pPr>
          </w:p>
        </w:tc>
      </w:tr>
      <w:tr>
        <w:trPr>
          <w:trHeight w:val="242"/>
        </w:trPr>
        <w:tc>
          <w:tcPr>
            <w:tcW w:w="40" w:type="dxa"/>
            <w:vAlign w:val="bottom"/>
            <w:tcBorders>
              <w:right w:val="single" w:sz="8" w:color="00000A"/>
            </w:tcBorders>
            <w:shd w:val="clear" w:color="auto" w:fill="00000A"/>
          </w:tcPr>
          <w:p>
            <w:pPr>
              <w:spacing w:after="0"/>
              <w:rPr>
                <w:sz w:val="21"/>
                <w:szCs w:val="21"/>
                <w:color w:val="auto"/>
              </w:rPr>
            </w:pPr>
          </w:p>
        </w:tc>
        <w:tc>
          <w:tcPr>
            <w:tcW w:w="360" w:type="dxa"/>
            <w:vAlign w:val="bottom"/>
            <w:tcBorders>
              <w:right w:val="single" w:sz="8" w:color="00000A"/>
            </w:tcBorders>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Borders>
              <w:right w:val="single" w:sz="8" w:color="00000A"/>
            </w:tcBorders>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Borders>
              <w:right w:val="single" w:sz="8" w:color="00000A"/>
            </w:tcBorders>
          </w:tcPr>
          <w:p>
            <w:pPr>
              <w:spacing w:after="0"/>
              <w:rPr>
                <w:sz w:val="21"/>
                <w:szCs w:val="21"/>
                <w:color w:val="auto"/>
              </w:rPr>
            </w:pPr>
          </w:p>
        </w:tc>
        <w:tc>
          <w:tcPr>
            <w:tcW w:w="2640" w:type="dxa"/>
            <w:vAlign w:val="bottom"/>
          </w:tcPr>
          <w:p>
            <w:pPr>
              <w:spacing w:after="0"/>
              <w:rPr>
                <w:sz w:val="21"/>
                <w:szCs w:val="21"/>
                <w:color w:val="auto"/>
              </w:rPr>
            </w:pPr>
          </w:p>
        </w:tc>
        <w:tc>
          <w:tcPr>
            <w:tcW w:w="1200" w:type="dxa"/>
            <w:vAlign w:val="bottom"/>
            <w:tcBorders>
              <w:right w:val="single" w:sz="8" w:color="00000A"/>
            </w:tcBorders>
          </w:tcPr>
          <w:p>
            <w:pPr>
              <w:spacing w:after="0"/>
              <w:rPr>
                <w:sz w:val="21"/>
                <w:szCs w:val="21"/>
                <w:color w:val="auto"/>
              </w:rPr>
            </w:pPr>
          </w:p>
        </w:tc>
        <w:tc>
          <w:tcPr>
            <w:tcW w:w="1380" w:type="dxa"/>
            <w:vAlign w:val="bottom"/>
            <w:tcBorders>
              <w:right w:val="single" w:sz="8" w:color="00000A"/>
            </w:tcBorders>
          </w:tcPr>
          <w:p>
            <w:pPr>
              <w:jc w:val="center"/>
              <w:ind w:right="47"/>
              <w:spacing w:after="0"/>
              <w:rPr>
                <w:sz w:val="20"/>
                <w:szCs w:val="20"/>
                <w:color w:val="auto"/>
              </w:rPr>
            </w:pPr>
            <w:r>
              <w:rPr>
                <w:rFonts w:ascii="Arial" w:cs="Arial" w:eastAsia="Arial" w:hAnsi="Arial"/>
                <w:sz w:val="19"/>
                <w:szCs w:val="19"/>
                <w:color w:val="auto"/>
                <w:w w:val="91"/>
              </w:rPr>
              <w:t>(art.2961.1 CC)</w:t>
            </w:r>
          </w:p>
        </w:tc>
        <w:tc>
          <w:tcPr>
            <w:tcW w:w="0" w:type="dxa"/>
            <w:vAlign w:val="bottom"/>
          </w:tcPr>
          <w:p>
            <w:pPr>
              <w:spacing w:after="0"/>
              <w:rPr>
                <w:sz w:val="1"/>
                <w:szCs w:val="1"/>
                <w:color w:val="auto"/>
              </w:rPr>
            </w:pPr>
          </w:p>
        </w:tc>
      </w:tr>
      <w:tr>
        <w:trPr>
          <w:trHeight w:val="402"/>
        </w:trPr>
        <w:tc>
          <w:tcPr>
            <w:tcW w:w="40" w:type="dxa"/>
            <w:vAlign w:val="bottom"/>
            <w:tcBorders>
              <w:right w:val="single" w:sz="8" w:color="00000A"/>
            </w:tcBorders>
            <w:shd w:val="clear" w:color="auto" w:fill="00000A"/>
          </w:tcPr>
          <w:p>
            <w:pPr>
              <w:spacing w:after="0"/>
              <w:rPr>
                <w:sz w:val="24"/>
                <w:szCs w:val="24"/>
                <w:color w:val="auto"/>
              </w:rPr>
            </w:pPr>
          </w:p>
        </w:tc>
        <w:tc>
          <w:tcPr>
            <w:tcW w:w="360" w:type="dxa"/>
            <w:vAlign w:val="bottom"/>
            <w:tcBorders>
              <w:righ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Borders>
              <w:right w:val="single" w:sz="8" w:color="00000A"/>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right w:val="single" w:sz="8" w:color="00000A"/>
            </w:tcBorders>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jc w:val="center"/>
              <w:ind w:right="47"/>
              <w:spacing w:after="0"/>
              <w:rPr>
                <w:sz w:val="20"/>
                <w:szCs w:val="20"/>
                <w:color w:val="auto"/>
              </w:rPr>
            </w:pPr>
            <w:r>
              <w:rPr>
                <w:rFonts w:ascii="Arial" w:cs="Arial" w:eastAsia="Arial" w:hAnsi="Arial"/>
                <w:sz w:val="19"/>
                <w:szCs w:val="19"/>
                <w:color w:val="auto"/>
                <w:w w:val="90"/>
              </w:rPr>
              <w:t>The rights of the</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92"/>
              </w:rPr>
              <w:t>Lessor Xerox</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jc w:val="center"/>
              <w:ind w:left="960"/>
              <w:spacing w:after="0" w:line="214" w:lineRule="exact"/>
              <w:rPr>
                <w:sz w:val="20"/>
                <w:szCs w:val="20"/>
                <w:color w:val="auto"/>
              </w:rPr>
            </w:pPr>
            <w:r>
              <w:rPr>
                <w:rFonts w:ascii="Arial" w:cs="Arial" w:eastAsia="Arial" w:hAnsi="Arial"/>
                <w:sz w:val="19"/>
                <w:szCs w:val="19"/>
                <w:color w:val="auto"/>
                <w:w w:val="92"/>
              </w:rPr>
              <w:t>Equipment</w:t>
            </w: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spacing w:after="0" w:line="214" w:lineRule="exact"/>
              <w:rPr>
                <w:sz w:val="20"/>
                <w:szCs w:val="20"/>
                <w:color w:val="auto"/>
              </w:rPr>
            </w:pPr>
            <w:r>
              <w:rPr>
                <w:rFonts w:ascii="Arial" w:cs="Arial" w:eastAsia="Arial" w:hAnsi="Arial"/>
                <w:sz w:val="19"/>
                <w:szCs w:val="19"/>
                <w:color w:val="auto"/>
                <w:w w:val="84"/>
              </w:rPr>
              <w:t>Canada LTD have</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Lessor: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jc w:val="center"/>
              <w:ind w:left="960"/>
              <w:spacing w:after="0" w:line="214" w:lineRule="exact"/>
              <w:rPr>
                <w:sz w:val="20"/>
                <w:szCs w:val="20"/>
                <w:color w:val="auto"/>
              </w:rPr>
            </w:pPr>
            <w:r>
              <w:rPr>
                <w:rFonts w:ascii="Arial" w:cs="Arial" w:eastAsia="Arial" w:hAnsi="Arial"/>
                <w:sz w:val="19"/>
                <w:szCs w:val="19"/>
                <w:color w:val="auto"/>
                <w:w w:val="92"/>
              </w:rPr>
              <w:t>Other</w:t>
            </w: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85"/>
              </w:rPr>
              <w:t>been assigned to</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3840" w:type="dxa"/>
            <w:vAlign w:val="bottom"/>
            <w:tcBorders>
              <w:right w:val="single" w:sz="8" w:color="00000A"/>
            </w:tcBorders>
            <w:gridSpan w:val="2"/>
          </w:tcPr>
          <w:p>
            <w:pPr>
              <w:jc w:val="center"/>
              <w:ind w:right="78"/>
              <w:spacing w:after="0" w:line="214" w:lineRule="exact"/>
              <w:rPr>
                <w:sz w:val="20"/>
                <w:szCs w:val="20"/>
                <w:color w:val="auto"/>
              </w:rPr>
            </w:pPr>
            <w:r>
              <w:rPr>
                <w:rFonts w:ascii="Arial" w:cs="Arial" w:eastAsia="Arial" w:hAnsi="Arial"/>
                <w:sz w:val="19"/>
                <w:szCs w:val="19"/>
                <w:color w:val="auto"/>
                <w:w w:val="91"/>
              </w:rPr>
              <w:t>All present and future office equipment and</w:t>
            </w: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0"/>
              </w:rPr>
              <w:t>BNP Paribas</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gridSpan w:val="2"/>
          </w:tcPr>
          <w:p>
            <w:pPr>
              <w:jc w:val="center"/>
              <w:ind w:right="17"/>
              <w:spacing w:after="0" w:line="214" w:lineRule="exact"/>
              <w:rPr>
                <w:sz w:val="20"/>
                <w:szCs w:val="20"/>
                <w:color w:val="auto"/>
              </w:rPr>
            </w:pPr>
            <w:r>
              <w:rPr>
                <w:rFonts w:ascii="Arial" w:cs="Arial" w:eastAsia="Arial" w:hAnsi="Arial"/>
                <w:sz w:val="19"/>
                <w:szCs w:val="19"/>
                <w:color w:val="auto"/>
                <w:w w:val="90"/>
              </w:rPr>
              <w:t>12-0274668-0013</w:t>
            </w:r>
          </w:p>
        </w:tc>
        <w:tc>
          <w:tcPr>
            <w:tcW w:w="2040" w:type="dxa"/>
            <w:vAlign w:val="bottom"/>
            <w:gridSpan w:val="3"/>
          </w:tcPr>
          <w:p>
            <w:pPr>
              <w:spacing w:after="0" w:line="214" w:lineRule="exact"/>
              <w:rPr>
                <w:sz w:val="20"/>
                <w:szCs w:val="20"/>
                <w:color w:val="auto"/>
              </w:rPr>
            </w:pPr>
            <w:r>
              <w:rPr>
                <w:rFonts w:ascii="Arial" w:cs="Arial" w:eastAsia="Arial" w:hAnsi="Arial"/>
                <w:sz w:val="19"/>
                <w:szCs w:val="19"/>
                <w:color w:val="auto"/>
              </w:rPr>
              <w:t>Xerox Canada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Borders>
              <w:right w:val="single" w:sz="8" w:color="00000A"/>
            </w:tcBorders>
            <w:gridSpan w:val="2"/>
          </w:tcPr>
          <w:p>
            <w:pPr>
              <w:jc w:val="center"/>
              <w:ind w:right="200"/>
              <w:spacing w:after="0" w:line="214" w:lineRule="exact"/>
              <w:rPr>
                <w:sz w:val="20"/>
                <w:szCs w:val="20"/>
                <w:color w:val="auto"/>
              </w:rPr>
            </w:pPr>
            <w:r>
              <w:rPr>
                <w:rFonts w:ascii="Arial" w:cs="Arial" w:eastAsia="Arial" w:hAnsi="Arial"/>
                <w:sz w:val="19"/>
                <w:szCs w:val="19"/>
                <w:color w:val="auto"/>
                <w:w w:val="98"/>
              </w:rPr>
              <w:t>RL</w:t>
            </w:r>
          </w:p>
        </w:tc>
        <w:tc>
          <w:tcPr>
            <w:tcW w:w="3840" w:type="dxa"/>
            <w:vAlign w:val="bottom"/>
            <w:tcBorders>
              <w:right w:val="single" w:sz="8" w:color="00000A"/>
            </w:tcBorders>
            <w:gridSpan w:val="2"/>
          </w:tcPr>
          <w:p>
            <w:pPr>
              <w:jc w:val="center"/>
              <w:ind w:right="78"/>
              <w:spacing w:after="0" w:line="214" w:lineRule="exact"/>
              <w:rPr>
                <w:sz w:val="20"/>
                <w:szCs w:val="20"/>
                <w:color w:val="auto"/>
              </w:rPr>
            </w:pPr>
            <w:r>
              <w:rPr>
                <w:rFonts w:ascii="Arial" w:cs="Arial" w:eastAsia="Arial" w:hAnsi="Arial"/>
                <w:sz w:val="19"/>
                <w:szCs w:val="19"/>
                <w:color w:val="auto"/>
                <w:w w:val="92"/>
              </w:rPr>
              <w:t>software supplied or financed from time to time</w:t>
            </w: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89"/>
              </w:rPr>
              <w:t>(Canada) by 8</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ind w:left="20"/>
              <w:spacing w:after="0" w:line="214" w:lineRule="exact"/>
              <w:rPr>
                <w:sz w:val="20"/>
                <w:szCs w:val="20"/>
                <w:color w:val="auto"/>
              </w:rPr>
            </w:pPr>
            <w:r>
              <w:rPr>
                <w:rFonts w:ascii="Arial" w:cs="Arial" w:eastAsia="Arial" w:hAnsi="Arial"/>
                <w:sz w:val="19"/>
                <w:szCs w:val="19"/>
                <w:color w:val="auto"/>
              </w:rPr>
              <w:t>A.</w:t>
            </w:r>
          </w:p>
        </w:tc>
        <w:tc>
          <w:tcPr>
            <w:tcW w:w="300" w:type="dxa"/>
            <w:vAlign w:val="bottom"/>
          </w:tcPr>
          <w:p>
            <w:pPr>
              <w:spacing w:after="0"/>
              <w:rPr>
                <w:sz w:val="18"/>
                <w:szCs w:val="18"/>
                <w:color w:val="auto"/>
              </w:rPr>
            </w:pPr>
          </w:p>
        </w:tc>
        <w:tc>
          <w:tcPr>
            <w:tcW w:w="1400" w:type="dxa"/>
            <w:vAlign w:val="bottom"/>
            <w:tcBorders>
              <w:right w:val="single" w:sz="8" w:color="00000A"/>
            </w:tcBorders>
          </w:tcPr>
          <w:p>
            <w:pPr>
              <w:jc w:val="center"/>
              <w:ind w:right="317"/>
              <w:spacing w:after="0" w:line="214" w:lineRule="exact"/>
              <w:rPr>
                <w:sz w:val="20"/>
                <w:szCs w:val="20"/>
                <w:color w:val="auto"/>
              </w:rPr>
            </w:pPr>
            <w:r>
              <w:rPr>
                <w:rFonts w:ascii="Arial" w:cs="Arial" w:eastAsia="Arial" w:hAnsi="Arial"/>
                <w:sz w:val="19"/>
                <w:szCs w:val="19"/>
                <w:color w:val="auto"/>
                <w:w w:val="90"/>
              </w:rPr>
              <w:t>2012-04-13</w:t>
            </w:r>
          </w:p>
        </w:tc>
        <w:tc>
          <w:tcPr>
            <w:tcW w:w="11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Lessee: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gridSpan w:val="4"/>
          </w:tcPr>
          <w:p>
            <w:pPr>
              <w:jc w:val="center"/>
              <w:ind w:right="100"/>
              <w:spacing w:after="0" w:line="214" w:lineRule="exact"/>
              <w:rPr>
                <w:sz w:val="20"/>
                <w:szCs w:val="20"/>
                <w:color w:val="auto"/>
              </w:rPr>
            </w:pPr>
            <w:r>
              <w:rPr>
                <w:rFonts w:ascii="Arial" w:cs="Arial" w:eastAsia="Arial" w:hAnsi="Arial"/>
                <w:sz w:val="19"/>
                <w:szCs w:val="19"/>
                <w:i w:val="1"/>
                <w:iCs w:val="1"/>
                <w:color w:val="auto"/>
                <w:w w:val="89"/>
              </w:rPr>
              <w:t>No date mentioned</w:t>
            </w:r>
          </w:p>
        </w:tc>
        <w:tc>
          <w:tcPr>
            <w:tcW w:w="3840" w:type="dxa"/>
            <w:vAlign w:val="bottom"/>
            <w:tcBorders>
              <w:right w:val="single" w:sz="8" w:color="00000A"/>
            </w:tcBorders>
            <w:gridSpan w:val="2"/>
          </w:tcPr>
          <w:p>
            <w:pPr>
              <w:jc w:val="center"/>
              <w:ind w:right="98"/>
              <w:spacing w:after="0" w:line="214" w:lineRule="exact"/>
              <w:rPr>
                <w:sz w:val="20"/>
                <w:szCs w:val="20"/>
                <w:color w:val="auto"/>
              </w:rPr>
            </w:pPr>
            <w:r>
              <w:rPr>
                <w:rFonts w:ascii="Arial" w:cs="Arial" w:eastAsia="Arial" w:hAnsi="Arial"/>
                <w:sz w:val="19"/>
                <w:szCs w:val="19"/>
                <w:color w:val="auto"/>
                <w:w w:val="89"/>
              </w:rPr>
              <w:t>by the secured party (whether by lease,</w:t>
            </w: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89"/>
              </w:rPr>
              <w:t>assignments of</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ind w:left="120"/>
              <w:spacing w:after="0" w:line="214" w:lineRule="exact"/>
              <w:rPr>
                <w:sz w:val="20"/>
                <w:szCs w:val="20"/>
                <w:color w:val="auto"/>
              </w:rPr>
            </w:pPr>
            <w:r>
              <w:rPr>
                <w:rFonts w:ascii="Arial" w:cs="Arial" w:eastAsia="Arial" w:hAnsi="Arial"/>
                <w:sz w:val="19"/>
                <w:szCs w:val="19"/>
                <w:color w:val="auto"/>
              </w:rPr>
              <w:t>02:57 PM</w:t>
            </w:r>
          </w:p>
        </w:tc>
        <w:tc>
          <w:tcPr>
            <w:tcW w:w="11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Borders>
              <w:right w:val="single" w:sz="8" w:color="00000A"/>
            </w:tcBorders>
            <w:gridSpan w:val="2"/>
          </w:tcPr>
          <w:p>
            <w:pPr>
              <w:jc w:val="center"/>
              <w:ind w:right="200"/>
              <w:spacing w:after="0" w:line="214" w:lineRule="exact"/>
              <w:rPr>
                <w:sz w:val="20"/>
                <w:szCs w:val="20"/>
                <w:color w:val="auto"/>
              </w:rPr>
            </w:pPr>
            <w:r>
              <w:rPr>
                <w:rFonts w:ascii="Arial" w:cs="Arial" w:eastAsia="Arial" w:hAnsi="Arial"/>
                <w:sz w:val="19"/>
                <w:szCs w:val="19"/>
                <w:color w:val="auto"/>
                <w:w w:val="93"/>
              </w:rPr>
              <w:t>Private Writing</w:t>
            </w:r>
          </w:p>
        </w:tc>
        <w:tc>
          <w:tcPr>
            <w:tcW w:w="3840" w:type="dxa"/>
            <w:vAlign w:val="bottom"/>
            <w:tcBorders>
              <w:right w:val="single" w:sz="8" w:color="00000A"/>
            </w:tcBorders>
            <w:gridSpan w:val="2"/>
          </w:tcPr>
          <w:p>
            <w:pPr>
              <w:jc w:val="center"/>
              <w:ind w:right="78"/>
              <w:spacing w:after="0" w:line="214" w:lineRule="exact"/>
              <w:rPr>
                <w:sz w:val="20"/>
                <w:szCs w:val="20"/>
                <w:color w:val="auto"/>
              </w:rPr>
            </w:pPr>
            <w:r>
              <w:rPr>
                <w:rFonts w:ascii="Arial" w:cs="Arial" w:eastAsia="Arial" w:hAnsi="Arial"/>
                <w:sz w:val="19"/>
                <w:szCs w:val="19"/>
                <w:color w:val="auto"/>
                <w:w w:val="92"/>
              </w:rPr>
              <w:t>conditional sale or otherwise), whether or not</w:t>
            </w: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93"/>
              </w:rPr>
              <w:t>rights (12-</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40" w:type="dxa"/>
            <w:vAlign w:val="bottom"/>
            <w:gridSpan w:val="3"/>
          </w:tcPr>
          <w:p>
            <w:pPr>
              <w:spacing w:after="0" w:line="214" w:lineRule="exact"/>
              <w:rPr>
                <w:sz w:val="20"/>
                <w:szCs w:val="20"/>
                <w:color w:val="auto"/>
              </w:rPr>
            </w:pPr>
            <w:r>
              <w:rPr>
                <w:rFonts w:ascii="Arial" w:cs="Arial" w:eastAsia="Arial" w:hAnsi="Arial"/>
                <w:sz w:val="19"/>
                <w:szCs w:val="19"/>
                <w:color w:val="auto"/>
                <w:w w:val="96"/>
              </w:rPr>
              <w:t>Hazmasters Quebec Inc.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3840" w:type="dxa"/>
            <w:vAlign w:val="bottom"/>
            <w:tcBorders>
              <w:right w:val="single" w:sz="8" w:color="00000A"/>
            </w:tcBorders>
            <w:gridSpan w:val="2"/>
          </w:tcPr>
          <w:p>
            <w:pPr>
              <w:jc w:val="center"/>
              <w:ind w:right="78"/>
              <w:spacing w:after="0" w:line="214" w:lineRule="exact"/>
              <w:rPr>
                <w:sz w:val="20"/>
                <w:szCs w:val="20"/>
                <w:color w:val="auto"/>
              </w:rPr>
            </w:pPr>
            <w:r>
              <w:rPr>
                <w:rFonts w:ascii="Arial" w:cs="Arial" w:eastAsia="Arial" w:hAnsi="Arial"/>
                <w:sz w:val="19"/>
                <w:szCs w:val="19"/>
                <w:color w:val="auto"/>
                <w:w w:val="89"/>
              </w:rPr>
              <w:t>manufactured by the secured party or any</w:t>
            </w: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0563650-0001 ;</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jc w:val="center"/>
              <w:ind w:left="960"/>
              <w:spacing w:after="0" w:line="214" w:lineRule="exact"/>
              <w:rPr>
                <w:sz w:val="20"/>
                <w:szCs w:val="20"/>
                <w:color w:val="auto"/>
              </w:rPr>
            </w:pPr>
            <w:r>
              <w:rPr>
                <w:rFonts w:ascii="Arial" w:cs="Arial" w:eastAsia="Arial" w:hAnsi="Arial"/>
                <w:sz w:val="19"/>
                <w:szCs w:val="19"/>
                <w:color w:val="auto"/>
                <w:w w:val="95"/>
              </w:rPr>
              <w:t>affiliate thereof.</w:t>
            </w: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spacing w:after="0" w:line="214" w:lineRule="exact"/>
              <w:rPr>
                <w:sz w:val="20"/>
                <w:szCs w:val="20"/>
                <w:color w:val="auto"/>
              </w:rPr>
            </w:pPr>
            <w:r>
              <w:rPr>
                <w:rFonts w:ascii="Arial" w:cs="Arial" w:eastAsia="Arial" w:hAnsi="Arial"/>
                <w:sz w:val="19"/>
                <w:szCs w:val="19"/>
                <w:color w:val="auto"/>
                <w:w w:val="86"/>
              </w:rPr>
              <w:t>12-0821835-0001</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3840" w:type="dxa"/>
            <w:vAlign w:val="bottom"/>
            <w:tcBorders>
              <w:right w:val="single" w:sz="8" w:color="00000A"/>
            </w:tcBorders>
            <w:gridSpan w:val="2"/>
          </w:tcPr>
          <w:p>
            <w:pPr>
              <w:jc w:val="center"/>
              <w:ind w:right="78"/>
              <w:spacing w:after="0" w:line="214" w:lineRule="exact"/>
              <w:rPr>
                <w:sz w:val="20"/>
                <w:szCs w:val="20"/>
                <w:color w:val="auto"/>
              </w:rPr>
            </w:pPr>
            <w:r>
              <w:rPr>
                <w:rFonts w:ascii="Arial" w:cs="Arial" w:eastAsia="Arial" w:hAnsi="Arial"/>
                <w:sz w:val="19"/>
                <w:szCs w:val="19"/>
                <w:color w:val="auto"/>
                <w:w w:val="90"/>
              </w:rPr>
              <w:t>Customer Number: 958630550-473676500</w:t>
            </w: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91"/>
              </w:rPr>
              <w:t>; 13-0021758-</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0001 ; 13-</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0280553-0001 ;</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spacing w:after="0" w:line="214" w:lineRule="exact"/>
              <w:rPr>
                <w:sz w:val="20"/>
                <w:szCs w:val="20"/>
                <w:color w:val="auto"/>
              </w:rPr>
            </w:pPr>
            <w:r>
              <w:rPr>
                <w:rFonts w:ascii="Arial" w:cs="Arial" w:eastAsia="Arial" w:hAnsi="Arial"/>
                <w:sz w:val="19"/>
                <w:szCs w:val="19"/>
                <w:color w:val="auto"/>
                <w:w w:val="86"/>
              </w:rPr>
              <w:t>13-0646177-0001</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91"/>
              </w:rPr>
              <w:t>; 13-0949429-</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0001 ; 14-</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47"/>
              <w:spacing w:after="0" w:line="214" w:lineRule="exact"/>
              <w:rPr>
                <w:sz w:val="20"/>
                <w:szCs w:val="20"/>
                <w:color w:val="auto"/>
              </w:rPr>
            </w:pPr>
            <w:r>
              <w:rPr>
                <w:rFonts w:ascii="Arial" w:cs="Arial" w:eastAsia="Arial" w:hAnsi="Arial"/>
                <w:sz w:val="19"/>
                <w:szCs w:val="19"/>
                <w:color w:val="auto"/>
                <w:w w:val="90"/>
              </w:rPr>
              <w:t>0059055-0001,</w:t>
            </w: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2640" w:type="dxa"/>
            <w:vAlign w:val="bottom"/>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380" w:type="dxa"/>
            <w:vAlign w:val="bottom"/>
            <w:tcBorders>
              <w:right w:val="single" w:sz="8" w:color="00000A"/>
            </w:tcBorders>
          </w:tcPr>
          <w:p>
            <w:pPr>
              <w:jc w:val="center"/>
              <w:ind w:right="67"/>
              <w:spacing w:after="0" w:line="214" w:lineRule="exact"/>
              <w:rPr>
                <w:sz w:val="20"/>
                <w:szCs w:val="20"/>
                <w:color w:val="auto"/>
              </w:rPr>
            </w:pPr>
            <w:r>
              <w:rPr>
                <w:rFonts w:ascii="Arial" w:cs="Arial" w:eastAsia="Arial" w:hAnsi="Arial"/>
                <w:sz w:val="19"/>
                <w:szCs w:val="19"/>
                <w:color w:val="auto"/>
                <w:w w:val="91"/>
              </w:rPr>
              <w:t>14</w:t>
            </w:r>
            <w:r>
              <w:rPr>
                <w:rFonts w:ascii="MS PGothic" w:cs="MS PGothic" w:eastAsia="MS PGothic" w:hAnsi="MS PGothic"/>
                <w:sz w:val="19"/>
                <w:szCs w:val="19"/>
                <w:color w:val="auto"/>
                <w:w w:val="91"/>
              </w:rPr>
              <w:t>‑</w:t>
            </w:r>
            <w:r>
              <w:rPr>
                <w:rFonts w:ascii="Arial" w:cs="Arial" w:eastAsia="Arial" w:hAnsi="Arial"/>
                <w:sz w:val="19"/>
                <w:szCs w:val="19"/>
                <w:color w:val="auto"/>
                <w:w w:val="91"/>
              </w:rPr>
              <w:t>0301119-</w:t>
            </w:r>
          </w:p>
        </w:tc>
        <w:tc>
          <w:tcPr>
            <w:tcW w:w="0" w:type="dxa"/>
            <w:vAlign w:val="bottom"/>
          </w:tcPr>
          <w:p>
            <w:pPr>
              <w:spacing w:after="0"/>
              <w:rPr>
                <w:sz w:val="1"/>
                <w:szCs w:val="1"/>
                <w:color w:val="auto"/>
              </w:rPr>
            </w:pPr>
          </w:p>
        </w:tc>
      </w:tr>
      <w:tr>
        <w:trPr>
          <w:trHeight w:val="250"/>
        </w:trPr>
        <w:tc>
          <w:tcPr>
            <w:tcW w:w="40" w:type="dxa"/>
            <w:vAlign w:val="bottom"/>
            <w:tcBorders>
              <w:bottom w:val="single" w:sz="8" w:color="00000A"/>
              <w:right w:val="single" w:sz="8" w:color="00000A"/>
            </w:tcBorders>
            <w:shd w:val="clear" w:color="auto" w:fill="00000A"/>
          </w:tcPr>
          <w:p>
            <w:pPr>
              <w:spacing w:after="0"/>
              <w:rPr>
                <w:sz w:val="21"/>
                <w:szCs w:val="21"/>
                <w:color w:val="auto"/>
              </w:rPr>
            </w:pPr>
          </w:p>
        </w:tc>
        <w:tc>
          <w:tcPr>
            <w:tcW w:w="360" w:type="dxa"/>
            <w:vAlign w:val="bottom"/>
            <w:tcBorders>
              <w:bottom w:val="single" w:sz="8" w:color="auto"/>
              <w:right w:val="single" w:sz="8" w:color="00000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00000A"/>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00000A"/>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00000A"/>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00000A"/>
            </w:tcBorders>
          </w:tcPr>
          <w:p>
            <w:pPr>
              <w:spacing w:after="0"/>
              <w:rPr>
                <w:sz w:val="21"/>
                <w:szCs w:val="21"/>
                <w:color w:val="auto"/>
              </w:rPr>
            </w:pPr>
          </w:p>
        </w:tc>
        <w:tc>
          <w:tcPr>
            <w:tcW w:w="1380" w:type="dxa"/>
            <w:vAlign w:val="bottom"/>
            <w:tcBorders>
              <w:bottom w:val="single" w:sz="8" w:color="auto"/>
              <w:right w:val="single" w:sz="8" w:color="00000A"/>
            </w:tcBorders>
          </w:tcPr>
          <w:p>
            <w:pPr>
              <w:jc w:val="center"/>
              <w:ind w:right="67"/>
              <w:spacing w:after="0"/>
              <w:rPr>
                <w:sz w:val="20"/>
                <w:szCs w:val="20"/>
                <w:color w:val="auto"/>
              </w:rPr>
            </w:pPr>
            <w:r>
              <w:rPr>
                <w:rFonts w:ascii="Arial" w:cs="Arial" w:eastAsia="Arial" w:hAnsi="Arial"/>
                <w:sz w:val="19"/>
                <w:szCs w:val="19"/>
                <w:color w:val="auto"/>
                <w:w w:val="92"/>
              </w:rPr>
              <w:t>0001).</w:t>
            </w:r>
          </w:p>
        </w:tc>
        <w:tc>
          <w:tcPr>
            <w:tcW w:w="0" w:type="dxa"/>
            <w:vAlign w:val="bottom"/>
          </w:tcPr>
          <w:p>
            <w:pPr>
              <w:spacing w:after="0"/>
              <w:rPr>
                <w:sz w:val="1"/>
                <w:szCs w:val="1"/>
                <w:color w:val="auto"/>
              </w:rPr>
            </w:pPr>
          </w:p>
        </w:tc>
      </w:tr>
      <w:tr>
        <w:trPr>
          <w:trHeight w:val="211"/>
        </w:trPr>
        <w:tc>
          <w:tcPr>
            <w:tcW w:w="40" w:type="dxa"/>
            <w:vAlign w:val="bottom"/>
            <w:tcBorders>
              <w:right w:val="single" w:sz="8" w:color="00000A"/>
            </w:tcBorders>
            <w:shd w:val="clear" w:color="auto" w:fill="00000A"/>
          </w:tcPr>
          <w:p>
            <w:pPr>
              <w:spacing w:after="0"/>
              <w:rPr>
                <w:sz w:val="18"/>
                <w:szCs w:val="18"/>
                <w:color w:val="auto"/>
              </w:rPr>
            </w:pPr>
          </w:p>
        </w:tc>
        <w:tc>
          <w:tcPr>
            <w:tcW w:w="360" w:type="dxa"/>
            <w:vAlign w:val="bottom"/>
            <w:tcBorders>
              <w:right w:val="single" w:sz="8" w:color="00000A"/>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00000A"/>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right w:val="single" w:sz="8" w:color="00000A"/>
            </w:tcBorders>
          </w:tcPr>
          <w:p>
            <w:pPr>
              <w:spacing w:after="0"/>
              <w:rPr>
                <w:sz w:val="18"/>
                <w:szCs w:val="18"/>
                <w:color w:val="auto"/>
              </w:rPr>
            </w:pPr>
          </w:p>
        </w:tc>
        <w:tc>
          <w:tcPr>
            <w:tcW w:w="3840" w:type="dxa"/>
            <w:vAlign w:val="bottom"/>
            <w:tcBorders>
              <w:right w:val="single" w:sz="8" w:color="00000A"/>
            </w:tcBorders>
            <w:gridSpan w:val="2"/>
          </w:tcPr>
          <w:p>
            <w:pPr>
              <w:jc w:val="center"/>
              <w:ind w:right="58"/>
              <w:spacing w:after="0"/>
              <w:rPr>
                <w:sz w:val="20"/>
                <w:szCs w:val="20"/>
                <w:color w:val="auto"/>
              </w:rPr>
            </w:pPr>
            <w:r>
              <w:rPr>
                <w:rFonts w:ascii="Arial" w:cs="Arial" w:eastAsia="Arial" w:hAnsi="Arial"/>
                <w:sz w:val="17"/>
                <w:szCs w:val="17"/>
                <w:color w:val="auto"/>
              </w:rPr>
              <w:t>ALL   EQUIPMENT   AND   GOODS   SOLD,</w:t>
            </w:r>
          </w:p>
        </w:tc>
        <w:tc>
          <w:tcPr>
            <w:tcW w:w="13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00000A"/>
            </w:tcBorders>
            <w:shd w:val="clear" w:color="auto" w:fill="00000A"/>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right w:val="single" w:sz="8" w:color="00000A"/>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3840" w:type="dxa"/>
            <w:vAlign w:val="bottom"/>
            <w:tcBorders>
              <w:right w:val="single" w:sz="8" w:color="00000A"/>
            </w:tcBorders>
            <w:gridSpan w:val="2"/>
          </w:tcPr>
          <w:p>
            <w:pPr>
              <w:jc w:val="center"/>
              <w:ind w:right="78"/>
              <w:spacing w:after="0"/>
              <w:rPr>
                <w:sz w:val="20"/>
                <w:szCs w:val="20"/>
                <w:color w:val="auto"/>
              </w:rPr>
            </w:pPr>
            <w:r>
              <w:rPr>
                <w:rFonts w:ascii="Arial" w:cs="Arial" w:eastAsia="Arial" w:hAnsi="Arial"/>
                <w:sz w:val="17"/>
                <w:szCs w:val="17"/>
                <w:color w:val="auto"/>
              </w:rPr>
              <w:t>LEASED,  PROCURED  UNDER  A  LEASING</w:t>
            </w:r>
          </w:p>
        </w:tc>
        <w:tc>
          <w:tcPr>
            <w:tcW w:w="13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00000A"/>
            </w:tcBorders>
            <w:shd w:val="clear" w:color="auto" w:fill="00000A"/>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Lessor:</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right w:val="single" w:sz="8" w:color="00000A"/>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right w:val="single" w:sz="8" w:color="00000A"/>
            </w:tcBorders>
          </w:tcPr>
          <w:p>
            <w:pPr>
              <w:spacing w:after="0"/>
              <w:rPr>
                <w:sz w:val="20"/>
                <w:szCs w:val="20"/>
                <w:color w:val="auto"/>
              </w:rPr>
            </w:pPr>
          </w:p>
        </w:tc>
        <w:tc>
          <w:tcPr>
            <w:tcW w:w="3840" w:type="dxa"/>
            <w:vAlign w:val="bottom"/>
            <w:tcBorders>
              <w:right w:val="single" w:sz="8" w:color="00000A"/>
            </w:tcBorders>
            <w:gridSpan w:val="2"/>
          </w:tcPr>
          <w:p>
            <w:pPr>
              <w:jc w:val="center"/>
              <w:ind w:right="78"/>
              <w:spacing w:after="0"/>
              <w:rPr>
                <w:sz w:val="20"/>
                <w:szCs w:val="20"/>
                <w:color w:val="auto"/>
              </w:rPr>
            </w:pPr>
            <w:r>
              <w:rPr>
                <w:rFonts w:ascii="Arial" w:cs="Arial" w:eastAsia="Arial" w:hAnsi="Arial"/>
                <w:sz w:val="17"/>
                <w:szCs w:val="17"/>
                <w:color w:val="auto"/>
              </w:rPr>
              <w:t>CONTRACT, OR OTHERWISE PROVIDED TO</w:t>
            </w:r>
          </w:p>
        </w:tc>
        <w:tc>
          <w:tcPr>
            <w:tcW w:w="1380" w:type="dxa"/>
            <w:vAlign w:val="bottom"/>
            <w:tcBorders>
              <w:right w:val="single" w:sz="8" w:color="00000A"/>
            </w:tcBorders>
          </w:tcPr>
          <w:p>
            <w:pPr>
              <w:jc w:val="center"/>
              <w:ind w:right="67"/>
              <w:spacing w:after="0"/>
              <w:rPr>
                <w:sz w:val="20"/>
                <w:szCs w:val="20"/>
                <w:color w:val="auto"/>
              </w:rPr>
            </w:pPr>
            <w:r>
              <w:rPr>
                <w:rFonts w:ascii="Arial" w:cs="Arial" w:eastAsia="Arial" w:hAnsi="Arial"/>
                <w:sz w:val="19"/>
                <w:szCs w:val="19"/>
                <w:color w:val="auto"/>
                <w:w w:val="93"/>
              </w:rPr>
              <w:t>Expiry Date :</w:t>
            </w:r>
          </w:p>
        </w:tc>
        <w:tc>
          <w:tcPr>
            <w:tcW w:w="0" w:type="dxa"/>
            <w:vAlign w:val="bottom"/>
          </w:tcPr>
          <w:p>
            <w:pPr>
              <w:spacing w:after="0"/>
              <w:rPr>
                <w:sz w:val="1"/>
                <w:szCs w:val="1"/>
                <w:color w:val="auto"/>
              </w:rPr>
            </w:pPr>
          </w:p>
        </w:tc>
      </w:tr>
      <w:tr>
        <w:trPr>
          <w:trHeight w:val="136"/>
        </w:trPr>
        <w:tc>
          <w:tcPr>
            <w:tcW w:w="40" w:type="dxa"/>
            <w:vAlign w:val="bottom"/>
            <w:tcBorders>
              <w:right w:val="single" w:sz="8" w:color="00000A"/>
            </w:tcBorders>
            <w:shd w:val="clear" w:color="auto" w:fill="00000A"/>
          </w:tcPr>
          <w:p>
            <w:pPr>
              <w:spacing w:after="0"/>
              <w:rPr>
                <w:sz w:val="11"/>
                <w:szCs w:val="11"/>
                <w:color w:val="auto"/>
              </w:rPr>
            </w:pPr>
          </w:p>
        </w:tc>
        <w:tc>
          <w:tcPr>
            <w:tcW w:w="360" w:type="dxa"/>
            <w:vAlign w:val="bottom"/>
            <w:tcBorders>
              <w:right w:val="single" w:sz="8" w:color="00000A"/>
            </w:tcBorders>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Borders>
              <w:right w:val="single" w:sz="8" w:color="00000A"/>
            </w:tcBorders>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2640" w:type="dxa"/>
            <w:vAlign w:val="bottom"/>
          </w:tcPr>
          <w:p>
            <w:pPr>
              <w:spacing w:after="0" w:line="136" w:lineRule="exact"/>
              <w:rPr>
                <w:sz w:val="20"/>
                <w:szCs w:val="20"/>
                <w:color w:val="auto"/>
              </w:rPr>
            </w:pPr>
            <w:r>
              <w:rPr>
                <w:rFonts w:ascii="Arial" w:cs="Arial" w:eastAsia="Arial" w:hAnsi="Arial"/>
                <w:sz w:val="15"/>
                <w:szCs w:val="15"/>
                <w:color w:val="auto"/>
              </w:rPr>
              <w:t>HAZMASTERS  QUEBEC  INC,</w:t>
            </w:r>
          </w:p>
        </w:tc>
        <w:tc>
          <w:tcPr>
            <w:tcW w:w="1200" w:type="dxa"/>
            <w:vAlign w:val="bottom"/>
            <w:tcBorders>
              <w:right w:val="single" w:sz="8" w:color="00000A"/>
            </w:tcBorders>
          </w:tcPr>
          <w:p>
            <w:pPr>
              <w:jc w:val="right"/>
              <w:ind w:right="78"/>
              <w:spacing w:after="0" w:line="136" w:lineRule="exact"/>
              <w:rPr>
                <w:sz w:val="20"/>
                <w:szCs w:val="20"/>
                <w:color w:val="auto"/>
              </w:rPr>
            </w:pPr>
            <w:r>
              <w:rPr>
                <w:rFonts w:ascii="Arial" w:cs="Arial" w:eastAsia="Arial" w:hAnsi="Arial"/>
                <w:sz w:val="15"/>
                <w:szCs w:val="15"/>
                <w:color w:val="auto"/>
              </w:rPr>
              <w:t>BY  XEROX</w:t>
            </w:r>
          </w:p>
        </w:tc>
        <w:tc>
          <w:tcPr>
            <w:tcW w:w="1380" w:type="dxa"/>
            <w:vAlign w:val="bottom"/>
            <w:tcBorders>
              <w:right w:val="single" w:sz="8" w:color="00000A"/>
            </w:tcBorders>
            <w:vMerge w:val="restart"/>
          </w:tcPr>
          <w:p>
            <w:pPr>
              <w:jc w:val="center"/>
              <w:ind w:right="67"/>
              <w:spacing w:after="0"/>
              <w:rPr>
                <w:sz w:val="20"/>
                <w:szCs w:val="20"/>
                <w:color w:val="auto"/>
              </w:rPr>
            </w:pPr>
            <w:r>
              <w:rPr>
                <w:rFonts w:ascii="Arial" w:cs="Arial" w:eastAsia="Arial" w:hAnsi="Arial"/>
                <w:sz w:val="19"/>
                <w:szCs w:val="19"/>
                <w:color w:val="auto"/>
                <w:w w:val="92"/>
              </w:rPr>
              <w:t>2021-07-29</w:t>
            </w:r>
          </w:p>
        </w:tc>
        <w:tc>
          <w:tcPr>
            <w:tcW w:w="0" w:type="dxa"/>
            <w:vAlign w:val="bottom"/>
          </w:tcPr>
          <w:p>
            <w:pPr>
              <w:spacing w:after="0"/>
              <w:rPr>
                <w:sz w:val="1"/>
                <w:szCs w:val="1"/>
                <w:color w:val="auto"/>
              </w:rPr>
            </w:pPr>
          </w:p>
        </w:tc>
      </w:tr>
      <w:tr>
        <w:trPr>
          <w:trHeight w:val="107"/>
        </w:trPr>
        <w:tc>
          <w:tcPr>
            <w:tcW w:w="40" w:type="dxa"/>
            <w:vAlign w:val="bottom"/>
            <w:tcBorders>
              <w:right w:val="single" w:sz="8" w:color="00000A"/>
            </w:tcBorders>
            <w:shd w:val="clear" w:color="auto" w:fill="00000A"/>
          </w:tcPr>
          <w:p>
            <w:pPr>
              <w:spacing w:after="0"/>
              <w:rPr>
                <w:sz w:val="9"/>
                <w:szCs w:val="9"/>
                <w:color w:val="auto"/>
              </w:rPr>
            </w:pPr>
          </w:p>
        </w:tc>
        <w:tc>
          <w:tcPr>
            <w:tcW w:w="360" w:type="dxa"/>
            <w:vAlign w:val="bottom"/>
            <w:tcBorders>
              <w:right w:val="single" w:sz="8" w:color="00000A"/>
            </w:tcBorders>
          </w:tcPr>
          <w:p>
            <w:pPr>
              <w:spacing w:after="0"/>
              <w:rPr>
                <w:sz w:val="9"/>
                <w:szCs w:val="9"/>
                <w:color w:val="auto"/>
              </w:rPr>
            </w:pPr>
          </w:p>
        </w:tc>
        <w:tc>
          <w:tcPr>
            <w:tcW w:w="1700" w:type="dxa"/>
            <w:vAlign w:val="bottom"/>
            <w:tcBorders>
              <w:right w:val="single" w:sz="8" w:color="00000A"/>
            </w:tcBorders>
            <w:gridSpan w:val="2"/>
            <w:vMerge w:val="restart"/>
          </w:tcPr>
          <w:p>
            <w:pPr>
              <w:jc w:val="center"/>
              <w:ind w:right="17"/>
              <w:spacing w:after="0"/>
              <w:rPr>
                <w:sz w:val="20"/>
                <w:szCs w:val="20"/>
                <w:color w:val="auto"/>
              </w:rPr>
            </w:pPr>
            <w:r>
              <w:rPr>
                <w:rFonts w:ascii="Arial" w:cs="Arial" w:eastAsia="Arial" w:hAnsi="Arial"/>
                <w:sz w:val="19"/>
                <w:szCs w:val="19"/>
                <w:color w:val="auto"/>
                <w:w w:val="90"/>
              </w:rPr>
              <w:t>15-0721704-0006</w:t>
            </w:r>
          </w:p>
        </w:tc>
        <w:tc>
          <w:tcPr>
            <w:tcW w:w="2040" w:type="dxa"/>
            <w:vAlign w:val="bottom"/>
            <w:gridSpan w:val="3"/>
            <w:vMerge w:val="restart"/>
          </w:tcPr>
          <w:p>
            <w:pPr>
              <w:spacing w:after="0"/>
              <w:rPr>
                <w:sz w:val="20"/>
                <w:szCs w:val="20"/>
                <w:color w:val="auto"/>
              </w:rPr>
            </w:pPr>
            <w:r>
              <w:rPr>
                <w:rFonts w:ascii="Arial" w:cs="Arial" w:eastAsia="Arial" w:hAnsi="Arial"/>
                <w:sz w:val="19"/>
                <w:szCs w:val="19"/>
                <w:color w:val="auto"/>
              </w:rPr>
              <w:t>Xerox Canada LTD</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right w:val="single" w:sz="8" w:color="00000A"/>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right w:val="single" w:sz="8" w:color="00000A"/>
            </w:tcBorders>
            <w:gridSpan w:val="2"/>
            <w:vMerge w:val="restart"/>
          </w:tcPr>
          <w:p>
            <w:pPr>
              <w:jc w:val="center"/>
              <w:ind w:right="200"/>
              <w:spacing w:after="0"/>
              <w:rPr>
                <w:sz w:val="20"/>
                <w:szCs w:val="20"/>
                <w:color w:val="auto"/>
              </w:rPr>
            </w:pPr>
            <w:r>
              <w:rPr>
                <w:rFonts w:ascii="Arial" w:cs="Arial" w:eastAsia="Arial" w:hAnsi="Arial"/>
                <w:sz w:val="19"/>
                <w:szCs w:val="19"/>
                <w:color w:val="auto"/>
                <w:w w:val="98"/>
              </w:rPr>
              <w:t>RL</w:t>
            </w:r>
          </w:p>
        </w:tc>
        <w:tc>
          <w:tcPr>
            <w:tcW w:w="3840" w:type="dxa"/>
            <w:vAlign w:val="bottom"/>
            <w:tcBorders>
              <w:right w:val="single" w:sz="8" w:color="00000A"/>
            </w:tcBorders>
            <w:gridSpan w:val="2"/>
            <w:vMerge w:val="restart"/>
          </w:tcPr>
          <w:p>
            <w:pPr>
              <w:jc w:val="center"/>
              <w:ind w:right="78"/>
              <w:spacing w:after="0"/>
              <w:rPr>
                <w:sz w:val="20"/>
                <w:szCs w:val="20"/>
                <w:color w:val="auto"/>
              </w:rPr>
            </w:pPr>
            <w:r>
              <w:rPr>
                <w:rFonts w:ascii="Arial" w:cs="Arial" w:eastAsia="Arial" w:hAnsi="Arial"/>
                <w:sz w:val="17"/>
                <w:szCs w:val="17"/>
                <w:color w:val="auto"/>
              </w:rPr>
              <w:t>CANADALTDORPROVIDEDIN</w:t>
            </w:r>
          </w:p>
        </w:tc>
        <w:tc>
          <w:tcPr>
            <w:tcW w:w="138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00000A"/>
            </w:tcBorders>
            <w:shd w:val="clear" w:color="auto" w:fill="00000A"/>
          </w:tcPr>
          <w:p>
            <w:pPr>
              <w:spacing w:after="0"/>
              <w:rPr>
                <w:sz w:val="16"/>
                <w:szCs w:val="16"/>
                <w:color w:val="auto"/>
              </w:rPr>
            </w:pPr>
          </w:p>
        </w:tc>
        <w:tc>
          <w:tcPr>
            <w:tcW w:w="3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9"/>
                <w:szCs w:val="19"/>
                <w:color w:val="auto"/>
              </w:rPr>
              <w:t>B.</w:t>
            </w:r>
          </w:p>
        </w:tc>
        <w:tc>
          <w:tcPr>
            <w:tcW w:w="1700" w:type="dxa"/>
            <w:vAlign w:val="bottom"/>
            <w:tcBorders>
              <w:right w:val="single" w:sz="8" w:color="00000A"/>
            </w:tcBorders>
            <w:gridSpan w:val="2"/>
            <w:vMerge w:val="continue"/>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right w:val="single" w:sz="8" w:color="00000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Borders>
              <w:right w:val="single" w:sz="8" w:color="00000A"/>
            </w:tcBorders>
            <w:gridSpan w:val="2"/>
            <w:vMerge w:val="continue"/>
          </w:tcPr>
          <w:p>
            <w:pPr>
              <w:spacing w:after="0"/>
              <w:rPr>
                <w:sz w:val="16"/>
                <w:szCs w:val="16"/>
                <w:color w:val="auto"/>
              </w:rPr>
            </w:pPr>
          </w:p>
        </w:tc>
        <w:tc>
          <w:tcPr>
            <w:tcW w:w="3840" w:type="dxa"/>
            <w:vAlign w:val="bottom"/>
            <w:tcBorders>
              <w:right w:val="single" w:sz="8" w:color="00000A"/>
            </w:tcBorders>
            <w:gridSpan w:val="2"/>
            <w:vMerge w:val="continue"/>
          </w:tcPr>
          <w:p>
            <w:pPr>
              <w:spacing w:after="0"/>
              <w:rPr>
                <w:sz w:val="16"/>
                <w:szCs w:val="16"/>
                <w:color w:val="auto"/>
              </w:rPr>
            </w:pPr>
          </w:p>
        </w:tc>
        <w:tc>
          <w:tcPr>
            <w:tcW w:w="1380" w:type="dxa"/>
            <w:vAlign w:val="bottom"/>
            <w:tcBorders>
              <w:right w:val="single" w:sz="8" w:color="00000A"/>
            </w:tcBorders>
          </w:tcPr>
          <w:p>
            <w:pPr>
              <w:jc w:val="center"/>
              <w:ind w:right="67"/>
              <w:spacing w:after="0" w:line="186" w:lineRule="exact"/>
              <w:rPr>
                <w:sz w:val="20"/>
                <w:szCs w:val="20"/>
                <w:color w:val="auto"/>
              </w:rPr>
            </w:pPr>
            <w:r>
              <w:rPr>
                <w:rFonts w:ascii="Arial" w:cs="Arial" w:eastAsia="Arial" w:hAnsi="Arial"/>
                <w:sz w:val="19"/>
                <w:szCs w:val="19"/>
                <w:color w:val="auto"/>
                <w:w w:val="94"/>
              </w:rPr>
              <w:t>CUSTOMER #</w:t>
            </w:r>
          </w:p>
        </w:tc>
        <w:tc>
          <w:tcPr>
            <w:tcW w:w="0" w:type="dxa"/>
            <w:vAlign w:val="bottom"/>
          </w:tcPr>
          <w:p>
            <w:pPr>
              <w:spacing w:after="0"/>
              <w:rPr>
                <w:sz w:val="1"/>
                <w:szCs w:val="1"/>
                <w:color w:val="auto"/>
              </w:rPr>
            </w:pPr>
          </w:p>
        </w:tc>
      </w:tr>
      <w:tr>
        <w:trPr>
          <w:trHeight w:val="136"/>
        </w:trPr>
        <w:tc>
          <w:tcPr>
            <w:tcW w:w="40" w:type="dxa"/>
            <w:vAlign w:val="bottom"/>
            <w:tcBorders>
              <w:right w:val="single" w:sz="8" w:color="00000A"/>
            </w:tcBorders>
            <w:shd w:val="clear" w:color="auto" w:fill="00000A"/>
          </w:tcPr>
          <w:p>
            <w:pPr>
              <w:spacing w:after="0"/>
              <w:rPr>
                <w:sz w:val="11"/>
                <w:szCs w:val="11"/>
                <w:color w:val="auto"/>
              </w:rPr>
            </w:pPr>
          </w:p>
        </w:tc>
        <w:tc>
          <w:tcPr>
            <w:tcW w:w="360" w:type="dxa"/>
            <w:vAlign w:val="bottom"/>
            <w:tcBorders>
              <w:right w:val="single" w:sz="8" w:color="00000A"/>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Borders>
              <w:right w:val="single" w:sz="8" w:color="00000A"/>
            </w:tcBorders>
          </w:tcPr>
          <w:p>
            <w:pPr>
              <w:jc w:val="center"/>
              <w:ind w:right="317"/>
              <w:spacing w:after="0" w:line="136" w:lineRule="exact"/>
              <w:rPr>
                <w:sz w:val="20"/>
                <w:szCs w:val="20"/>
                <w:color w:val="auto"/>
              </w:rPr>
            </w:pPr>
            <w:r>
              <w:rPr>
                <w:rFonts w:ascii="Arial" w:cs="Arial" w:eastAsia="Arial" w:hAnsi="Arial"/>
                <w:sz w:val="15"/>
                <w:szCs w:val="15"/>
                <w:color w:val="auto"/>
              </w:rPr>
              <w:t>2015-07-30</w:t>
            </w:r>
          </w:p>
        </w:tc>
        <w:tc>
          <w:tcPr>
            <w:tcW w:w="11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Lessee:</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right w:val="single" w:sz="8" w:color="00000A"/>
            </w:tcBorders>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jc w:val="center"/>
              <w:spacing w:after="0" w:line="136" w:lineRule="exact"/>
              <w:rPr>
                <w:sz w:val="20"/>
                <w:szCs w:val="20"/>
                <w:color w:val="auto"/>
              </w:rPr>
            </w:pPr>
            <w:r>
              <w:rPr>
                <w:rFonts w:ascii="Arial" w:cs="Arial" w:eastAsia="Arial" w:hAnsi="Arial"/>
                <w:sz w:val="15"/>
                <w:szCs w:val="15"/>
                <w:color w:val="auto"/>
              </w:rPr>
              <w:t>2015-07-16</w:t>
            </w:r>
          </w:p>
        </w:tc>
        <w:tc>
          <w:tcPr>
            <w:tcW w:w="160" w:type="dxa"/>
            <w:vAlign w:val="bottom"/>
            <w:tcBorders>
              <w:right w:val="single" w:sz="8" w:color="00000A"/>
            </w:tcBorders>
          </w:tcPr>
          <w:p>
            <w:pPr>
              <w:spacing w:after="0"/>
              <w:rPr>
                <w:sz w:val="11"/>
                <w:szCs w:val="11"/>
                <w:color w:val="auto"/>
              </w:rPr>
            </w:pPr>
          </w:p>
        </w:tc>
        <w:tc>
          <w:tcPr>
            <w:tcW w:w="3840" w:type="dxa"/>
            <w:vAlign w:val="bottom"/>
            <w:tcBorders>
              <w:right w:val="single" w:sz="8" w:color="00000A"/>
            </w:tcBorders>
            <w:gridSpan w:val="2"/>
          </w:tcPr>
          <w:p>
            <w:pPr>
              <w:jc w:val="center"/>
              <w:ind w:right="78"/>
              <w:spacing w:after="0" w:line="136" w:lineRule="exact"/>
              <w:rPr>
                <w:sz w:val="20"/>
                <w:szCs w:val="20"/>
                <w:color w:val="auto"/>
              </w:rPr>
            </w:pPr>
            <w:r>
              <w:rPr>
                <w:rFonts w:ascii="Arial" w:cs="Arial" w:eastAsia="Arial" w:hAnsi="Arial"/>
                <w:sz w:val="15"/>
                <w:szCs w:val="15"/>
                <w:color w:val="auto"/>
              </w:rPr>
              <w:t>REPLACEMENT THEREOF, FURTHER TO THE</w:t>
            </w:r>
          </w:p>
        </w:tc>
        <w:tc>
          <w:tcPr>
            <w:tcW w:w="1380" w:type="dxa"/>
            <w:vAlign w:val="bottom"/>
            <w:tcBorders>
              <w:right w:val="single" w:sz="8" w:color="00000A"/>
            </w:tcBorders>
            <w:vMerge w:val="restart"/>
          </w:tcPr>
          <w:p>
            <w:pPr>
              <w:jc w:val="center"/>
              <w:ind w:right="47"/>
              <w:spacing w:after="0"/>
              <w:rPr>
                <w:sz w:val="20"/>
                <w:szCs w:val="20"/>
                <w:color w:val="auto"/>
              </w:rPr>
            </w:pPr>
            <w:r>
              <w:rPr>
                <w:rFonts w:ascii="Arial" w:cs="Arial" w:eastAsia="Arial" w:hAnsi="Arial"/>
                <w:sz w:val="19"/>
                <w:szCs w:val="19"/>
                <w:color w:val="auto"/>
                <w:w w:val="90"/>
              </w:rPr>
              <w:t>958630550-</w:t>
            </w:r>
          </w:p>
        </w:tc>
        <w:tc>
          <w:tcPr>
            <w:tcW w:w="0" w:type="dxa"/>
            <w:vAlign w:val="bottom"/>
          </w:tcPr>
          <w:p>
            <w:pPr>
              <w:spacing w:after="0"/>
              <w:rPr>
                <w:sz w:val="1"/>
                <w:szCs w:val="1"/>
                <w:color w:val="auto"/>
              </w:rPr>
            </w:pPr>
          </w:p>
        </w:tc>
      </w:tr>
      <w:tr>
        <w:trPr>
          <w:trHeight w:val="107"/>
        </w:trPr>
        <w:tc>
          <w:tcPr>
            <w:tcW w:w="40" w:type="dxa"/>
            <w:vAlign w:val="bottom"/>
            <w:tcBorders>
              <w:right w:val="single" w:sz="8" w:color="00000A"/>
            </w:tcBorders>
            <w:shd w:val="clear" w:color="auto" w:fill="00000A"/>
          </w:tcPr>
          <w:p>
            <w:pPr>
              <w:spacing w:after="0"/>
              <w:rPr>
                <w:sz w:val="9"/>
                <w:szCs w:val="9"/>
                <w:color w:val="auto"/>
              </w:rPr>
            </w:pPr>
          </w:p>
        </w:tc>
        <w:tc>
          <w:tcPr>
            <w:tcW w:w="36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Borders>
              <w:right w:val="single" w:sz="8" w:color="00000A"/>
            </w:tcBorders>
            <w:vMerge w:val="restart"/>
          </w:tcPr>
          <w:p>
            <w:pPr>
              <w:ind w:left="160"/>
              <w:spacing w:after="0" w:line="207" w:lineRule="exact"/>
              <w:rPr>
                <w:sz w:val="20"/>
                <w:szCs w:val="20"/>
                <w:color w:val="auto"/>
              </w:rPr>
            </w:pPr>
            <w:r>
              <w:rPr>
                <w:rFonts w:ascii="Arial" w:cs="Arial" w:eastAsia="Arial" w:hAnsi="Arial"/>
                <w:sz w:val="19"/>
                <w:szCs w:val="19"/>
                <w:color w:val="auto"/>
              </w:rPr>
              <w:t xml:space="preserve">09:00 </w:t>
            </w:r>
            <w:r>
              <w:rPr>
                <w:rFonts w:ascii="Arial" w:cs="Arial" w:eastAsia="Arial" w:hAnsi="Arial"/>
                <w:sz w:val="15"/>
                <w:szCs w:val="15"/>
                <w:color w:val="auto"/>
              </w:rPr>
              <w:t>AM</w:t>
            </w:r>
          </w:p>
        </w:tc>
        <w:tc>
          <w:tcPr>
            <w:tcW w:w="11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right w:val="single" w:sz="8" w:color="00000A"/>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right w:val="single" w:sz="8" w:color="00000A"/>
            </w:tcBorders>
            <w:gridSpan w:val="2"/>
            <w:vMerge w:val="restart"/>
          </w:tcPr>
          <w:p>
            <w:pPr>
              <w:jc w:val="center"/>
              <w:ind w:right="200"/>
              <w:spacing w:after="0" w:line="207" w:lineRule="exact"/>
              <w:rPr>
                <w:sz w:val="20"/>
                <w:szCs w:val="20"/>
                <w:color w:val="auto"/>
              </w:rPr>
            </w:pPr>
            <w:r>
              <w:rPr>
                <w:rFonts w:ascii="Arial" w:cs="Arial" w:eastAsia="Arial" w:hAnsi="Arial"/>
                <w:sz w:val="19"/>
                <w:szCs w:val="19"/>
                <w:color w:val="auto"/>
                <w:w w:val="93"/>
              </w:rPr>
              <w:t>Private Writing</w:t>
            </w:r>
          </w:p>
        </w:tc>
        <w:tc>
          <w:tcPr>
            <w:tcW w:w="3840" w:type="dxa"/>
            <w:vAlign w:val="bottom"/>
            <w:tcBorders>
              <w:right w:val="single" w:sz="8" w:color="00000A"/>
            </w:tcBorders>
            <w:gridSpan w:val="2"/>
            <w:vMerge w:val="restart"/>
          </w:tcPr>
          <w:p>
            <w:pPr>
              <w:jc w:val="center"/>
              <w:ind w:right="78"/>
              <w:spacing w:after="0"/>
              <w:rPr>
                <w:sz w:val="20"/>
                <w:szCs w:val="20"/>
                <w:color w:val="auto"/>
              </w:rPr>
            </w:pPr>
            <w:r>
              <w:rPr>
                <w:rFonts w:ascii="Arial" w:cs="Arial" w:eastAsia="Arial" w:hAnsi="Arial"/>
                <w:sz w:val="17"/>
                <w:szCs w:val="17"/>
                <w:color w:val="auto"/>
                <w:w w:val="97"/>
              </w:rPr>
              <w:t>AGREEMENT  NUMBER  958630550-507080000</w:t>
            </w:r>
          </w:p>
        </w:tc>
        <w:tc>
          <w:tcPr>
            <w:tcW w:w="138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00000A"/>
            </w:tcBorders>
            <w:shd w:val="clear" w:color="auto" w:fill="00000A"/>
          </w:tcPr>
          <w:p>
            <w:pPr>
              <w:spacing w:after="0"/>
              <w:rPr>
                <w:sz w:val="8"/>
                <w:szCs w:val="8"/>
                <w:color w:val="auto"/>
              </w:rPr>
            </w:pPr>
          </w:p>
        </w:tc>
        <w:tc>
          <w:tcPr>
            <w:tcW w:w="360" w:type="dxa"/>
            <w:vAlign w:val="bottom"/>
            <w:tcBorders>
              <w:right w:val="single" w:sz="8" w:color="00000A"/>
            </w:tcBorders>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Borders>
              <w:right w:val="single" w:sz="8" w:color="00000A"/>
            </w:tcBorders>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right w:val="single" w:sz="8" w:color="00000A"/>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00000A"/>
            </w:tcBorders>
            <w:gridSpan w:val="2"/>
            <w:vMerge w:val="continue"/>
          </w:tcPr>
          <w:p>
            <w:pPr>
              <w:spacing w:after="0"/>
              <w:rPr>
                <w:sz w:val="8"/>
                <w:szCs w:val="8"/>
                <w:color w:val="auto"/>
              </w:rPr>
            </w:pPr>
          </w:p>
        </w:tc>
        <w:tc>
          <w:tcPr>
            <w:tcW w:w="3840" w:type="dxa"/>
            <w:vAlign w:val="bottom"/>
            <w:tcBorders>
              <w:right w:val="single" w:sz="8" w:color="00000A"/>
            </w:tcBorders>
            <w:gridSpan w:val="2"/>
            <w:vMerge w:val="continue"/>
          </w:tcPr>
          <w:p>
            <w:pPr>
              <w:spacing w:after="0"/>
              <w:rPr>
                <w:sz w:val="8"/>
                <w:szCs w:val="8"/>
                <w:color w:val="auto"/>
              </w:rPr>
            </w:pPr>
          </w:p>
        </w:tc>
        <w:tc>
          <w:tcPr>
            <w:tcW w:w="1380" w:type="dxa"/>
            <w:vAlign w:val="bottom"/>
            <w:tcBorders>
              <w:right w:val="single" w:sz="8" w:color="00000A"/>
            </w:tcBorders>
            <w:vMerge w:val="restart"/>
          </w:tcPr>
          <w:p>
            <w:pPr>
              <w:jc w:val="center"/>
              <w:ind w:right="67"/>
              <w:spacing w:after="0"/>
              <w:rPr>
                <w:sz w:val="20"/>
                <w:szCs w:val="20"/>
                <w:color w:val="auto"/>
              </w:rPr>
            </w:pPr>
            <w:r>
              <w:rPr>
                <w:rFonts w:ascii="Arial" w:cs="Arial" w:eastAsia="Arial" w:hAnsi="Arial"/>
                <w:sz w:val="19"/>
                <w:szCs w:val="19"/>
                <w:color w:val="auto"/>
                <w:w w:val="90"/>
              </w:rPr>
              <w:t>507080000</w:t>
            </w:r>
          </w:p>
        </w:tc>
        <w:tc>
          <w:tcPr>
            <w:tcW w:w="0" w:type="dxa"/>
            <w:vAlign w:val="bottom"/>
          </w:tcPr>
          <w:p>
            <w:pPr>
              <w:spacing w:after="0"/>
              <w:rPr>
                <w:sz w:val="1"/>
                <w:szCs w:val="1"/>
                <w:color w:val="auto"/>
              </w:rPr>
            </w:pPr>
          </w:p>
        </w:tc>
      </w:tr>
      <w:tr>
        <w:trPr>
          <w:trHeight w:val="142"/>
        </w:trPr>
        <w:tc>
          <w:tcPr>
            <w:tcW w:w="40" w:type="dxa"/>
            <w:vAlign w:val="bottom"/>
            <w:tcBorders>
              <w:right w:val="single" w:sz="8" w:color="00000A"/>
            </w:tcBorders>
            <w:shd w:val="clear" w:color="auto" w:fill="00000A"/>
          </w:tcPr>
          <w:p>
            <w:pPr>
              <w:spacing w:after="0"/>
              <w:rPr>
                <w:sz w:val="12"/>
                <w:szCs w:val="12"/>
                <w:color w:val="auto"/>
              </w:rPr>
            </w:pPr>
          </w:p>
        </w:tc>
        <w:tc>
          <w:tcPr>
            <w:tcW w:w="360" w:type="dxa"/>
            <w:vAlign w:val="bottom"/>
            <w:tcBorders>
              <w:right w:val="single" w:sz="8" w:color="00000A"/>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Borders>
              <w:right w:val="single" w:sz="8" w:color="00000A"/>
            </w:tcBorders>
          </w:tcPr>
          <w:p>
            <w:pPr>
              <w:spacing w:after="0"/>
              <w:rPr>
                <w:sz w:val="12"/>
                <w:szCs w:val="12"/>
                <w:color w:val="auto"/>
              </w:rPr>
            </w:pPr>
          </w:p>
        </w:tc>
        <w:tc>
          <w:tcPr>
            <w:tcW w:w="2040" w:type="dxa"/>
            <w:vAlign w:val="bottom"/>
            <w:gridSpan w:val="3"/>
            <w:vMerge w:val="restart"/>
          </w:tcPr>
          <w:p>
            <w:pPr>
              <w:spacing w:after="0" w:line="203" w:lineRule="exact"/>
              <w:rPr>
                <w:sz w:val="20"/>
                <w:szCs w:val="20"/>
                <w:color w:val="auto"/>
              </w:rPr>
            </w:pPr>
            <w:r>
              <w:rPr>
                <w:rFonts w:ascii="Arial" w:cs="Arial" w:eastAsia="Arial" w:hAnsi="Arial"/>
                <w:sz w:val="19"/>
                <w:szCs w:val="19"/>
                <w:color w:val="auto"/>
                <w:w w:val="96"/>
              </w:rPr>
              <w:t>Hazmasters Quebec Inc.</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right w:val="single" w:sz="8" w:color="00000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right w:val="single" w:sz="8" w:color="00000A"/>
            </w:tcBorders>
          </w:tcPr>
          <w:p>
            <w:pPr>
              <w:spacing w:after="0"/>
              <w:rPr>
                <w:sz w:val="12"/>
                <w:szCs w:val="12"/>
                <w:color w:val="auto"/>
              </w:rPr>
            </w:pPr>
          </w:p>
        </w:tc>
        <w:tc>
          <w:tcPr>
            <w:tcW w:w="3840" w:type="dxa"/>
            <w:vAlign w:val="bottom"/>
            <w:tcBorders>
              <w:right w:val="single" w:sz="8" w:color="00000A"/>
            </w:tcBorders>
            <w:gridSpan w:val="2"/>
            <w:vMerge w:val="restart"/>
          </w:tcPr>
          <w:p>
            <w:pPr>
              <w:jc w:val="center"/>
              <w:ind w:right="78"/>
              <w:spacing w:after="0"/>
              <w:rPr>
                <w:sz w:val="20"/>
                <w:szCs w:val="20"/>
                <w:color w:val="auto"/>
              </w:rPr>
            </w:pPr>
            <w:r>
              <w:rPr>
                <w:rFonts w:ascii="Arial" w:cs="Arial" w:eastAsia="Arial" w:hAnsi="Arial"/>
                <w:sz w:val="17"/>
                <w:szCs w:val="17"/>
                <w:color w:val="auto"/>
              </w:rPr>
              <w:t>DATED JULY 16, 2015, THE WHOLE AS MAY</w:t>
            </w:r>
          </w:p>
        </w:tc>
        <w:tc>
          <w:tcPr>
            <w:tcW w:w="138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40" w:type="dxa"/>
            <w:vAlign w:val="bottom"/>
            <w:tcBorders>
              <w:right w:val="single" w:sz="8" w:color="00000A"/>
            </w:tcBorders>
            <w:shd w:val="clear" w:color="auto" w:fill="00000A"/>
          </w:tcPr>
          <w:p>
            <w:pPr>
              <w:spacing w:after="0"/>
              <w:rPr>
                <w:sz w:val="5"/>
                <w:szCs w:val="5"/>
                <w:color w:val="auto"/>
              </w:rPr>
            </w:pPr>
          </w:p>
        </w:tc>
        <w:tc>
          <w:tcPr>
            <w:tcW w:w="360" w:type="dxa"/>
            <w:vAlign w:val="bottom"/>
            <w:tcBorders>
              <w:right w:val="single" w:sz="8" w:color="00000A"/>
            </w:tcBorders>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Borders>
              <w:right w:val="single" w:sz="8" w:color="00000A"/>
            </w:tcBorders>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00000A"/>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Borders>
              <w:right w:val="single" w:sz="8" w:color="00000A"/>
            </w:tcBorders>
          </w:tcPr>
          <w:p>
            <w:pPr>
              <w:spacing w:after="0"/>
              <w:rPr>
                <w:sz w:val="5"/>
                <w:szCs w:val="5"/>
                <w:color w:val="auto"/>
              </w:rPr>
            </w:pPr>
          </w:p>
        </w:tc>
        <w:tc>
          <w:tcPr>
            <w:tcW w:w="3840" w:type="dxa"/>
            <w:vAlign w:val="bottom"/>
            <w:tcBorders>
              <w:right w:val="single" w:sz="8" w:color="00000A"/>
            </w:tcBorders>
            <w:gridSpan w:val="2"/>
            <w:vMerge w:val="continue"/>
          </w:tcPr>
          <w:p>
            <w:pPr>
              <w:spacing w:after="0"/>
              <w:rPr>
                <w:sz w:val="5"/>
                <w:szCs w:val="5"/>
                <w:color w:val="auto"/>
              </w:rPr>
            </w:pPr>
          </w:p>
        </w:tc>
        <w:tc>
          <w:tcPr>
            <w:tcW w:w="1380" w:type="dxa"/>
            <w:vAlign w:val="bottom"/>
            <w:tcBorders>
              <w:right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00000A"/>
            </w:tcBorders>
            <w:shd w:val="clear" w:color="auto" w:fill="00000A"/>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right w:val="single" w:sz="8" w:color="00000A"/>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HAVE   BEEN   COMPLETED,</w:t>
            </w:r>
          </w:p>
        </w:tc>
        <w:tc>
          <w:tcPr>
            <w:tcW w:w="1200" w:type="dxa"/>
            <w:vAlign w:val="bottom"/>
            <w:tcBorders>
              <w:right w:val="single" w:sz="8" w:color="00000A"/>
            </w:tcBorders>
          </w:tcPr>
          <w:p>
            <w:pPr>
              <w:jc w:val="right"/>
              <w:ind w:right="78"/>
              <w:spacing w:after="0"/>
              <w:rPr>
                <w:sz w:val="20"/>
                <w:szCs w:val="20"/>
                <w:color w:val="auto"/>
              </w:rPr>
            </w:pPr>
            <w:r>
              <w:rPr>
                <w:rFonts w:ascii="Arial" w:cs="Arial" w:eastAsia="Arial" w:hAnsi="Arial"/>
                <w:sz w:val="17"/>
                <w:szCs w:val="17"/>
                <w:color w:val="auto"/>
              </w:rPr>
              <w:t>AMENDED,</w:t>
            </w:r>
          </w:p>
        </w:tc>
        <w:tc>
          <w:tcPr>
            <w:tcW w:w="13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00000A"/>
            </w:tcBorders>
            <w:shd w:val="clear" w:color="auto" w:fill="00000A"/>
          </w:tcPr>
          <w:p>
            <w:pPr>
              <w:spacing w:after="0"/>
              <w:rPr>
                <w:sz w:val="17"/>
                <w:szCs w:val="17"/>
                <w:color w:val="auto"/>
              </w:rPr>
            </w:pPr>
          </w:p>
        </w:tc>
        <w:tc>
          <w:tcPr>
            <w:tcW w:w="360" w:type="dxa"/>
            <w:vAlign w:val="bottom"/>
            <w:tcBorders>
              <w:right w:val="single" w:sz="8" w:color="00000A"/>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right w:val="single" w:sz="8" w:color="00000A"/>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right w:val="single" w:sz="8" w:color="00000A"/>
            </w:tcBorders>
          </w:tcPr>
          <w:p>
            <w:pPr>
              <w:spacing w:after="0"/>
              <w:rPr>
                <w:sz w:val="17"/>
                <w:szCs w:val="17"/>
                <w:color w:val="auto"/>
              </w:rPr>
            </w:pPr>
          </w:p>
        </w:tc>
        <w:tc>
          <w:tcPr>
            <w:tcW w:w="3840" w:type="dxa"/>
            <w:vAlign w:val="bottom"/>
            <w:tcBorders>
              <w:right w:val="single" w:sz="8" w:color="00000A"/>
            </w:tcBorders>
            <w:gridSpan w:val="2"/>
          </w:tcPr>
          <w:p>
            <w:pPr>
              <w:jc w:val="center"/>
              <w:ind w:right="78"/>
              <w:spacing w:after="0"/>
              <w:rPr>
                <w:sz w:val="20"/>
                <w:szCs w:val="20"/>
                <w:color w:val="auto"/>
              </w:rPr>
            </w:pPr>
            <w:r>
              <w:rPr>
                <w:rFonts w:ascii="Arial" w:cs="Arial" w:eastAsia="Arial" w:hAnsi="Arial"/>
                <w:sz w:val="17"/>
                <w:szCs w:val="17"/>
                <w:color w:val="auto"/>
                <w:w w:val="99"/>
              </w:rPr>
              <w:t>ADJUSTED OR OTHERWISE MODIFIED FROM</w:t>
            </w:r>
          </w:p>
        </w:tc>
        <w:tc>
          <w:tcPr>
            <w:tcW w:w="138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00000A"/>
              <w:right w:val="single" w:sz="8" w:color="00000A"/>
            </w:tcBorders>
            <w:shd w:val="clear" w:color="auto" w:fill="00000A"/>
          </w:tcPr>
          <w:p>
            <w:pPr>
              <w:spacing w:after="0"/>
              <w:rPr>
                <w:sz w:val="23"/>
                <w:szCs w:val="23"/>
                <w:color w:val="auto"/>
              </w:rPr>
            </w:pPr>
          </w:p>
        </w:tc>
        <w:tc>
          <w:tcPr>
            <w:tcW w:w="360" w:type="dxa"/>
            <w:vAlign w:val="bottom"/>
            <w:tcBorders>
              <w:bottom w:val="single" w:sz="8" w:color="auto"/>
              <w:right w:val="single" w:sz="8" w:color="00000A"/>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right w:val="single" w:sz="8" w:color="00000A"/>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00000A"/>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00000A"/>
            </w:tcBorders>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TIME TO TIME.</w:t>
            </w:r>
          </w:p>
        </w:tc>
        <w:tc>
          <w:tcPr>
            <w:tcW w:w="1200" w:type="dxa"/>
            <w:vAlign w:val="bottom"/>
            <w:tcBorders>
              <w:bottom w:val="single" w:sz="8" w:color="auto"/>
              <w:right w:val="single" w:sz="8" w:color="00000A"/>
            </w:tcBorders>
          </w:tcPr>
          <w:p>
            <w:pPr>
              <w:spacing w:after="0"/>
              <w:rPr>
                <w:sz w:val="23"/>
                <w:szCs w:val="23"/>
                <w:color w:val="auto"/>
              </w:rPr>
            </w:pPr>
          </w:p>
        </w:tc>
        <w:tc>
          <w:tcPr>
            <w:tcW w:w="1380" w:type="dxa"/>
            <w:vAlign w:val="bottom"/>
            <w:tcBorders>
              <w:bottom w:val="single" w:sz="8" w:color="auto"/>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584"/>
        </w:trPr>
        <w:tc>
          <w:tcPr>
            <w:tcW w:w="4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7"/>
                <w:szCs w:val="17"/>
                <w:b w:val="1"/>
                <w:bCs w:val="1"/>
                <w:color w:val="auto"/>
              </w:rPr>
              <w:t>HAZMASTERS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40" w:type="dxa"/>
            <w:vAlign w:val="bottom"/>
          </w:tcPr>
          <w:p>
            <w:pPr>
              <w:spacing w:after="0"/>
              <w:rPr>
                <w:sz w:val="24"/>
                <w:szCs w:val="24"/>
                <w:color w:val="auto"/>
              </w:rPr>
            </w:pPr>
          </w:p>
        </w:tc>
        <w:tc>
          <w:tcPr>
            <w:tcW w:w="6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9"/>
              </w:rPr>
              <w:t>Legend:</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gridSpan w:val="5"/>
          </w:tcPr>
          <w:p>
            <w:pPr>
              <w:jc w:val="center"/>
              <w:ind w:right="2020"/>
              <w:spacing w:after="0"/>
              <w:rPr>
                <w:sz w:val="20"/>
                <w:szCs w:val="20"/>
                <w:color w:val="auto"/>
              </w:rPr>
            </w:pPr>
            <w:r>
              <w:rPr>
                <w:rFonts w:ascii="Arial" w:cs="Arial" w:eastAsia="Arial" w:hAnsi="Arial"/>
                <w:sz w:val="17"/>
                <w:szCs w:val="17"/>
                <w:b w:val="1"/>
                <w:bCs w:val="1"/>
                <w:color w:val="auto"/>
              </w:rPr>
              <w:t>LIST OF OTHER RIGHTS</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w w:val="92"/>
              </w:rPr>
              <w:t>Inst. Sale</w:t>
            </w:r>
          </w:p>
        </w:tc>
        <w:tc>
          <w:tcPr>
            <w:tcW w:w="3440" w:type="dxa"/>
            <w:vAlign w:val="bottom"/>
            <w:gridSpan w:val="4"/>
          </w:tcPr>
          <w:p>
            <w:pPr>
              <w:ind w:left="80"/>
              <w:spacing w:after="0"/>
              <w:rPr>
                <w:sz w:val="20"/>
                <w:szCs w:val="20"/>
                <w:color w:val="auto"/>
              </w:rPr>
            </w:pPr>
            <w:r>
              <w:rPr>
                <w:rFonts w:ascii="Arial" w:cs="Arial" w:eastAsia="Arial" w:hAnsi="Arial"/>
                <w:sz w:val="16"/>
                <w:szCs w:val="16"/>
                <w:color w:val="auto"/>
              </w:rPr>
              <w:t>=  Reservation of ownership (Instalment Sale)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rPr>
              <w:t>RL</w:t>
            </w:r>
          </w:p>
        </w:tc>
        <w:tc>
          <w:tcPr>
            <w:tcW w:w="2540" w:type="dxa"/>
            <w:vAlign w:val="bottom"/>
            <w:gridSpan w:val="3"/>
          </w:tcPr>
          <w:p>
            <w:pPr>
              <w:ind w:left="80"/>
              <w:spacing w:after="0"/>
              <w:rPr>
                <w:sz w:val="20"/>
                <w:szCs w:val="20"/>
                <w:color w:val="auto"/>
              </w:rPr>
            </w:pPr>
            <w:r>
              <w:rPr>
                <w:rFonts w:ascii="Arial" w:cs="Arial" w:eastAsia="Arial" w:hAnsi="Arial"/>
                <w:sz w:val="16"/>
                <w:szCs w:val="16"/>
                <w:color w:val="auto"/>
              </w:rPr>
              <w:t>=  Rights under a Lease</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rPr>
              <w:t>RD</w:t>
            </w:r>
          </w:p>
        </w:tc>
        <w:tc>
          <w:tcPr>
            <w:tcW w:w="2540" w:type="dxa"/>
            <w:vAlign w:val="bottom"/>
            <w:gridSpan w:val="3"/>
          </w:tcPr>
          <w:p>
            <w:pPr>
              <w:ind w:left="80"/>
              <w:spacing w:after="0"/>
              <w:rPr>
                <w:sz w:val="20"/>
                <w:szCs w:val="20"/>
                <w:color w:val="auto"/>
              </w:rPr>
            </w:pPr>
            <w:r>
              <w:rPr>
                <w:rFonts w:ascii="Arial" w:cs="Arial" w:eastAsia="Arial" w:hAnsi="Arial"/>
                <w:sz w:val="16"/>
                <w:szCs w:val="16"/>
                <w:color w:val="auto"/>
              </w:rPr>
              <w:t>=  Rights of redemption</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auto"/>
              </w:rPr>
              <w:t>RO</w:t>
            </w:r>
          </w:p>
        </w:tc>
        <w:tc>
          <w:tcPr>
            <w:tcW w:w="4040" w:type="dxa"/>
            <w:vAlign w:val="bottom"/>
            <w:gridSpan w:val="8"/>
          </w:tcPr>
          <w:p>
            <w:pPr>
              <w:ind w:left="80"/>
              <w:spacing w:after="0"/>
              <w:rPr>
                <w:sz w:val="20"/>
                <w:szCs w:val="20"/>
                <w:color w:val="auto"/>
              </w:rPr>
            </w:pPr>
            <w:r>
              <w:rPr>
                <w:rFonts w:ascii="Arial" w:cs="Arial" w:eastAsia="Arial" w:hAnsi="Arial"/>
                <w:sz w:val="16"/>
                <w:szCs w:val="16"/>
                <w:color w:val="auto"/>
                <w:w w:val="95"/>
              </w:rPr>
              <w:t>=  Rights of ownership of the Lessor in a Leasing Contract</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3200" w:type="dxa"/>
            <w:vAlign w:val="bottom"/>
            <w:gridSpan w:val="5"/>
          </w:tcPr>
          <w:p>
            <w:pPr>
              <w:spacing w:after="0"/>
              <w:rPr>
                <w:sz w:val="20"/>
                <w:szCs w:val="20"/>
                <w:color w:val="auto"/>
              </w:rPr>
            </w:pPr>
            <w:r>
              <w:rPr>
                <w:rFonts w:ascii="Arial" w:cs="Arial" w:eastAsia="Arial" w:hAnsi="Arial"/>
                <w:sz w:val="16"/>
                <w:szCs w:val="16"/>
                <w:b w:val="1"/>
                <w:bCs w:val="1"/>
                <w:color w:val="auto"/>
                <w:w w:val="97"/>
              </w:rPr>
              <w:t>All dates are in the following format: Y-M-D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860" w:type="dxa"/>
            <w:vAlign w:val="bottom"/>
            <w:gridSpan w:val="14"/>
          </w:tcPr>
          <w:p>
            <w:pPr>
              <w:spacing w:after="0"/>
              <w:rPr>
                <w:sz w:val="20"/>
                <w:szCs w:val="20"/>
                <w:color w:val="auto"/>
              </w:rPr>
            </w:pPr>
            <w:r>
              <w:rPr>
                <w:rFonts w:ascii="Arial" w:cs="Arial" w:eastAsia="Arial" w:hAnsi="Arial"/>
                <w:sz w:val="16"/>
                <w:szCs w:val="16"/>
                <w:color w:val="auto"/>
              </w:rPr>
              <w:t>The “REF. ” below are for reference purposes only and are not intended to indicate ranking of the security</w:t>
            </w: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2"/>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00000A"/>
            </w:tcBorders>
            <w:shd w:val="clear" w:color="auto" w:fill="00000A"/>
          </w:tcPr>
          <w:p>
            <w:pPr>
              <w:spacing w:after="0"/>
              <w:rPr>
                <w:sz w:val="18"/>
                <w:szCs w:val="18"/>
                <w:color w:val="auto"/>
              </w:rPr>
            </w:pPr>
          </w:p>
        </w:tc>
        <w:tc>
          <w:tcPr>
            <w:tcW w:w="660" w:type="dxa"/>
            <w:vAlign w:val="bottom"/>
            <w:tcBorders>
              <w:right w:val="single" w:sz="8" w:color="00000A"/>
            </w:tcBorders>
            <w:gridSpan w:val="2"/>
            <w:shd w:val="clear" w:color="auto" w:fill="E6E6E6"/>
          </w:tcPr>
          <w:p>
            <w:pPr>
              <w:ind w:left="120"/>
              <w:spacing w:after="0"/>
              <w:rPr>
                <w:sz w:val="20"/>
                <w:szCs w:val="20"/>
                <w:color w:val="auto"/>
              </w:rPr>
            </w:pPr>
            <w:r>
              <w:rPr>
                <w:rFonts w:ascii="Arial" w:cs="Arial" w:eastAsia="Arial" w:hAnsi="Arial"/>
                <w:sz w:val="17"/>
                <w:szCs w:val="17"/>
                <w:b w:val="1"/>
                <w:bCs w:val="1"/>
                <w:color w:val="auto"/>
              </w:rPr>
              <w:t>Ref.</w:t>
            </w:r>
          </w:p>
        </w:tc>
        <w:tc>
          <w:tcPr>
            <w:tcW w:w="1400" w:type="dxa"/>
            <w:vAlign w:val="bottom"/>
            <w:tcBorders>
              <w:right w:val="single" w:sz="8" w:color="00000A"/>
            </w:tcBorders>
            <w:shd w:val="clear" w:color="auto" w:fill="E6E6E6"/>
          </w:tcPr>
          <w:p>
            <w:pPr>
              <w:ind w:left="80"/>
              <w:spacing w:after="0"/>
              <w:rPr>
                <w:sz w:val="20"/>
                <w:szCs w:val="20"/>
                <w:color w:val="auto"/>
              </w:rPr>
            </w:pPr>
            <w:r>
              <w:rPr>
                <w:rFonts w:ascii="Arial" w:cs="Arial" w:eastAsia="Arial" w:hAnsi="Arial"/>
                <w:sz w:val="15"/>
                <w:szCs w:val="15"/>
                <w:b w:val="1"/>
                <w:bCs w:val="1"/>
                <w:color w:val="auto"/>
              </w:rPr>
              <w:t>Registration No./</w:t>
            </w:r>
          </w:p>
        </w:tc>
        <w:tc>
          <w:tcPr>
            <w:tcW w:w="200" w:type="dxa"/>
            <w:vAlign w:val="bottom"/>
            <w:tcBorders>
              <w:right w:val="single" w:sz="8" w:color="E6E6E6"/>
            </w:tcBorders>
            <w:shd w:val="clear" w:color="auto" w:fill="E6E6E6"/>
          </w:tcPr>
          <w:p>
            <w:pPr>
              <w:spacing w:after="0"/>
              <w:rPr>
                <w:sz w:val="18"/>
                <w:szCs w:val="18"/>
                <w:color w:val="auto"/>
              </w:rPr>
            </w:pPr>
          </w:p>
        </w:tc>
        <w:tc>
          <w:tcPr>
            <w:tcW w:w="1840" w:type="dxa"/>
            <w:vAlign w:val="bottom"/>
            <w:gridSpan w:val="2"/>
            <w:shd w:val="clear" w:color="auto" w:fill="E6E6E6"/>
          </w:tcPr>
          <w:p>
            <w:pPr>
              <w:ind w:left="700"/>
              <w:spacing w:after="0"/>
              <w:rPr>
                <w:sz w:val="20"/>
                <w:szCs w:val="20"/>
                <w:color w:val="auto"/>
              </w:rPr>
            </w:pPr>
            <w:r>
              <w:rPr>
                <w:rFonts w:ascii="Arial" w:cs="Arial" w:eastAsia="Arial" w:hAnsi="Arial"/>
                <w:sz w:val="15"/>
                <w:szCs w:val="15"/>
                <w:b w:val="1"/>
                <w:bCs w:val="1"/>
                <w:color w:val="auto"/>
              </w:rPr>
              <w:t>Parties</w:t>
            </w:r>
          </w:p>
        </w:tc>
        <w:tc>
          <w:tcPr>
            <w:tcW w:w="240" w:type="dxa"/>
            <w:vAlign w:val="bottom"/>
            <w:tcBorders>
              <w:right w:val="single" w:sz="8" w:color="00000A"/>
            </w:tcBorders>
            <w:shd w:val="clear" w:color="auto" w:fill="E6E6E6"/>
          </w:tcPr>
          <w:p>
            <w:pPr>
              <w:spacing w:after="0"/>
              <w:rPr>
                <w:sz w:val="18"/>
                <w:szCs w:val="18"/>
                <w:color w:val="auto"/>
              </w:rPr>
            </w:pPr>
          </w:p>
        </w:tc>
        <w:tc>
          <w:tcPr>
            <w:tcW w:w="140" w:type="dxa"/>
            <w:vAlign w:val="bottom"/>
            <w:tcBorders>
              <w:right w:val="single" w:sz="8" w:color="E6E6E6"/>
            </w:tcBorders>
            <w:shd w:val="clear" w:color="auto" w:fill="E6E6E6"/>
          </w:tcPr>
          <w:p>
            <w:pPr>
              <w:spacing w:after="0"/>
              <w:rPr>
                <w:sz w:val="18"/>
                <w:szCs w:val="18"/>
                <w:color w:val="auto"/>
              </w:rPr>
            </w:pPr>
          </w:p>
        </w:tc>
        <w:tc>
          <w:tcPr>
            <w:tcW w:w="1580" w:type="dxa"/>
            <w:vAlign w:val="bottom"/>
            <w:tcBorders>
              <w:right w:val="single" w:sz="8" w:color="00000A"/>
            </w:tcBorders>
            <w:gridSpan w:val="4"/>
            <w:shd w:val="clear" w:color="auto" w:fill="E6E6E6"/>
          </w:tcPr>
          <w:p>
            <w:pPr>
              <w:ind w:left="80"/>
              <w:spacing w:after="0"/>
              <w:rPr>
                <w:sz w:val="20"/>
                <w:szCs w:val="20"/>
                <w:color w:val="auto"/>
              </w:rPr>
            </w:pPr>
            <w:r>
              <w:rPr>
                <w:rFonts w:ascii="Arial" w:cs="Arial" w:eastAsia="Arial" w:hAnsi="Arial"/>
                <w:sz w:val="15"/>
                <w:szCs w:val="15"/>
                <w:b w:val="1"/>
                <w:bCs w:val="1"/>
                <w:color w:val="auto"/>
              </w:rPr>
              <w:t>Nature of security/</w:t>
            </w:r>
          </w:p>
        </w:tc>
        <w:tc>
          <w:tcPr>
            <w:tcW w:w="160" w:type="dxa"/>
            <w:vAlign w:val="bottom"/>
            <w:tcBorders>
              <w:right w:val="single" w:sz="8" w:color="E6E6E6"/>
            </w:tcBorders>
            <w:shd w:val="clear" w:color="auto" w:fill="E6E6E6"/>
          </w:tcPr>
          <w:p>
            <w:pPr>
              <w:spacing w:after="0"/>
              <w:rPr>
                <w:sz w:val="18"/>
                <w:szCs w:val="18"/>
                <w:color w:val="auto"/>
              </w:rPr>
            </w:pPr>
          </w:p>
        </w:tc>
        <w:tc>
          <w:tcPr>
            <w:tcW w:w="3840" w:type="dxa"/>
            <w:vAlign w:val="bottom"/>
            <w:tcBorders>
              <w:right w:val="single" w:sz="8" w:color="00000A"/>
            </w:tcBorders>
            <w:gridSpan w:val="2"/>
            <w:shd w:val="clear" w:color="auto" w:fill="E6E6E6"/>
          </w:tcPr>
          <w:p>
            <w:pPr>
              <w:jc w:val="center"/>
              <w:ind w:right="98"/>
              <w:spacing w:after="0"/>
              <w:rPr>
                <w:sz w:val="20"/>
                <w:szCs w:val="20"/>
                <w:color w:val="auto"/>
              </w:rPr>
            </w:pPr>
            <w:r>
              <w:rPr>
                <w:rFonts w:ascii="Arial" w:cs="Arial" w:eastAsia="Arial" w:hAnsi="Arial"/>
                <w:sz w:val="15"/>
                <w:szCs w:val="15"/>
                <w:b w:val="1"/>
                <w:bCs w:val="1"/>
                <w:color w:val="auto"/>
                <w:w w:val="87"/>
              </w:rPr>
              <w:t>Description of affected assets</w:t>
            </w:r>
          </w:p>
        </w:tc>
        <w:tc>
          <w:tcPr>
            <w:tcW w:w="138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w w:val="90"/>
              </w:rPr>
              <w:t>Comments</w:t>
            </w:r>
          </w:p>
        </w:tc>
        <w:tc>
          <w:tcPr>
            <w:tcW w:w="0" w:type="dxa"/>
            <w:vAlign w:val="bottom"/>
          </w:tcPr>
          <w:p>
            <w:pPr>
              <w:spacing w:after="0"/>
              <w:rPr>
                <w:sz w:val="1"/>
                <w:szCs w:val="1"/>
                <w:color w:val="auto"/>
              </w:rPr>
            </w:pPr>
          </w:p>
        </w:tc>
      </w:tr>
    </w:tbl>
    <w:p>
      <w:pPr>
        <w:sectPr>
          <w:pgSz w:w="11900" w:h="16900" w:orient="portrait"/>
          <w:cols w:equalWidth="0" w:num="1">
            <w:col w:w="11480"/>
          </w:cols>
          <w:pgMar w:left="220" w:top="101" w:right="199" w:bottom="0" w:gutter="0" w:footer="0" w:header="0"/>
        </w:sectPr>
      </w:pPr>
    </w:p>
    <w:bookmarkStart w:id="104" w:name="page105"/>
    <w:bookmarkEnd w:id="10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20" w:type="dxa"/>
            <w:vAlign w:val="bottom"/>
            <w:tcBorders>
              <w:left w:val="single" w:sz="8" w:color="00000A"/>
              <w:right w:val="single" w:sz="8" w:color="00000A"/>
            </w:tcBorders>
            <w:shd w:val="clear" w:color="auto" w:fill="E6E6E6"/>
          </w:tcPr>
          <w:p>
            <w:pPr>
              <w:ind w:left="200"/>
              <w:spacing w:after="0"/>
              <w:rPr>
                <w:sz w:val="20"/>
                <w:szCs w:val="20"/>
                <w:color w:val="auto"/>
              </w:rPr>
            </w:pPr>
            <w:r>
              <w:rPr>
                <w:rFonts w:ascii="Arial" w:cs="Arial" w:eastAsia="Arial" w:hAnsi="Arial"/>
                <w:sz w:val="17"/>
                <w:szCs w:val="17"/>
                <w:b w:val="1"/>
                <w:bCs w:val="1"/>
                <w:color w:val="auto"/>
              </w:rPr>
              <w:t>No.</w:t>
            </w:r>
          </w:p>
        </w:tc>
        <w:tc>
          <w:tcPr>
            <w:tcW w:w="148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w w:val="91"/>
              </w:rPr>
              <w:t>Registration Date</w:t>
            </w:r>
          </w:p>
        </w:tc>
        <w:tc>
          <w:tcPr>
            <w:tcW w:w="58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320" w:type="dxa"/>
            <w:vAlign w:val="bottom"/>
            <w:tcBorders>
              <w:right w:val="single" w:sz="8" w:color="00000A"/>
            </w:tcBorders>
            <w:shd w:val="clear" w:color="auto" w:fill="E6E6E6"/>
          </w:tcPr>
          <w:p>
            <w:pPr>
              <w:spacing w:after="0"/>
              <w:rPr>
                <w:sz w:val="16"/>
                <w:szCs w:val="16"/>
                <w:color w:val="auto"/>
              </w:rPr>
            </w:pPr>
          </w:p>
        </w:tc>
        <w:tc>
          <w:tcPr>
            <w:tcW w:w="172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w w:val="92"/>
              </w:rPr>
              <w:t>Agreement Date</w:t>
            </w:r>
          </w:p>
        </w:tc>
        <w:tc>
          <w:tcPr>
            <w:tcW w:w="4000" w:type="dxa"/>
            <w:vAlign w:val="bottom"/>
            <w:tcBorders>
              <w:right w:val="single" w:sz="8" w:color="00000A"/>
            </w:tcBorders>
            <w:shd w:val="clear" w:color="auto" w:fill="E6E6E6"/>
          </w:tcPr>
          <w:p>
            <w:pPr>
              <w:spacing w:after="0"/>
              <w:rPr>
                <w:sz w:val="16"/>
                <w:szCs w:val="16"/>
                <w:color w:val="auto"/>
              </w:rPr>
            </w:pPr>
          </w:p>
        </w:tc>
        <w:tc>
          <w:tcPr>
            <w:tcW w:w="1380" w:type="dxa"/>
            <w:vAlign w:val="bottom"/>
            <w:tcBorders>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rPr>
              <w:t>(Y-M-D)</w:t>
            </w:r>
          </w:p>
        </w:tc>
        <w:tc>
          <w:tcPr>
            <w:tcW w:w="0" w:type="dxa"/>
            <w:vAlign w:val="bottom"/>
          </w:tcPr>
          <w:p>
            <w:pPr>
              <w:spacing w:after="0"/>
              <w:rPr>
                <w:sz w:val="1"/>
                <w:szCs w:val="1"/>
                <w:color w:val="auto"/>
              </w:rPr>
            </w:pPr>
          </w:p>
        </w:tc>
      </w:tr>
      <w:tr>
        <w:trPr>
          <w:trHeight w:val="227"/>
        </w:trPr>
        <w:tc>
          <w:tcPr>
            <w:tcW w:w="620" w:type="dxa"/>
            <w:vAlign w:val="bottom"/>
            <w:tcBorders>
              <w:left w:val="single" w:sz="8" w:color="00000A"/>
              <w:bottom w:val="single" w:sz="8" w:color="E6E6E6"/>
              <w:right w:val="single" w:sz="8" w:color="00000A"/>
            </w:tcBorders>
            <w:shd w:val="clear" w:color="auto" w:fill="E6E6E6"/>
          </w:tcPr>
          <w:p>
            <w:pPr>
              <w:spacing w:after="0"/>
              <w:rPr>
                <w:sz w:val="19"/>
                <w:szCs w:val="19"/>
                <w:color w:val="auto"/>
              </w:rPr>
            </w:pPr>
          </w:p>
        </w:tc>
        <w:tc>
          <w:tcPr>
            <w:tcW w:w="1480" w:type="dxa"/>
            <w:vAlign w:val="bottom"/>
            <w:tcBorders>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15"/>
                <w:szCs w:val="15"/>
                <w:b w:val="1"/>
                <w:bCs w:val="1"/>
                <w:color w:val="auto"/>
              </w:rPr>
              <w:t>(Y-M-D) &amp; Time</w:t>
            </w:r>
          </w:p>
        </w:tc>
        <w:tc>
          <w:tcPr>
            <w:tcW w:w="580" w:type="dxa"/>
            <w:vAlign w:val="bottom"/>
            <w:tcBorders>
              <w:bottom w:val="single" w:sz="8" w:color="E6E6E6"/>
            </w:tcBorders>
            <w:shd w:val="clear" w:color="auto" w:fill="E6E6E6"/>
          </w:tcPr>
          <w:p>
            <w:pPr>
              <w:spacing w:after="0"/>
              <w:rPr>
                <w:sz w:val="19"/>
                <w:szCs w:val="19"/>
                <w:color w:val="auto"/>
              </w:rPr>
            </w:pPr>
          </w:p>
        </w:tc>
        <w:tc>
          <w:tcPr>
            <w:tcW w:w="8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300" w:type="dxa"/>
            <w:vAlign w:val="bottom"/>
            <w:tcBorders>
              <w:bottom w:val="single" w:sz="8" w:color="E6E6E6"/>
            </w:tcBorders>
            <w:shd w:val="clear" w:color="auto" w:fill="E6E6E6"/>
          </w:tcPr>
          <w:p>
            <w:pPr>
              <w:spacing w:after="0"/>
              <w:rPr>
                <w:sz w:val="19"/>
                <w:szCs w:val="19"/>
                <w:color w:val="auto"/>
              </w:rPr>
            </w:pPr>
          </w:p>
        </w:tc>
        <w:tc>
          <w:tcPr>
            <w:tcW w:w="900" w:type="dxa"/>
            <w:vAlign w:val="bottom"/>
            <w:tcBorders>
              <w:bottom w:val="single" w:sz="8" w:color="E6E6E6"/>
            </w:tcBorders>
            <w:shd w:val="clear" w:color="auto" w:fill="E6E6E6"/>
          </w:tcPr>
          <w:p>
            <w:pPr>
              <w:spacing w:after="0"/>
              <w:rPr>
                <w:sz w:val="19"/>
                <w:szCs w:val="19"/>
                <w:color w:val="auto"/>
              </w:rPr>
            </w:pPr>
          </w:p>
        </w:tc>
        <w:tc>
          <w:tcPr>
            <w:tcW w:w="320" w:type="dxa"/>
            <w:vAlign w:val="bottom"/>
            <w:tcBorders>
              <w:bottom w:val="single" w:sz="8" w:color="E6E6E6"/>
              <w:right w:val="single" w:sz="8" w:color="00000A"/>
            </w:tcBorders>
            <w:shd w:val="clear" w:color="auto" w:fill="E6E6E6"/>
          </w:tcPr>
          <w:p>
            <w:pPr>
              <w:spacing w:after="0"/>
              <w:rPr>
                <w:sz w:val="19"/>
                <w:szCs w:val="19"/>
                <w:color w:val="auto"/>
              </w:rPr>
            </w:pPr>
          </w:p>
        </w:tc>
        <w:tc>
          <w:tcPr>
            <w:tcW w:w="1720" w:type="dxa"/>
            <w:vAlign w:val="bottom"/>
            <w:tcBorders>
              <w:bottom w:val="single" w:sz="8" w:color="E6E6E6"/>
              <w:right w:val="single" w:sz="8" w:color="00000A"/>
            </w:tcBorders>
            <w:shd w:val="clear" w:color="auto" w:fill="E6E6E6"/>
          </w:tcPr>
          <w:p>
            <w:pPr>
              <w:ind w:left="580"/>
              <w:spacing w:after="0"/>
              <w:rPr>
                <w:sz w:val="20"/>
                <w:szCs w:val="20"/>
                <w:color w:val="auto"/>
              </w:rPr>
            </w:pPr>
            <w:r>
              <w:rPr>
                <w:rFonts w:ascii="Arial" w:cs="Arial" w:eastAsia="Arial" w:hAnsi="Arial"/>
                <w:sz w:val="15"/>
                <w:szCs w:val="15"/>
                <w:b w:val="1"/>
                <w:bCs w:val="1"/>
                <w:color w:val="auto"/>
              </w:rPr>
              <w:t>(Y-M-D)</w:t>
            </w:r>
          </w:p>
        </w:tc>
        <w:tc>
          <w:tcPr>
            <w:tcW w:w="4000" w:type="dxa"/>
            <w:vAlign w:val="bottom"/>
            <w:tcBorders>
              <w:bottom w:val="single" w:sz="8" w:color="E6E6E6"/>
              <w:right w:val="single" w:sz="8" w:color="00000A"/>
            </w:tcBorders>
            <w:shd w:val="clear" w:color="auto" w:fill="E6E6E6"/>
          </w:tcPr>
          <w:p>
            <w:pPr>
              <w:spacing w:after="0"/>
              <w:rPr>
                <w:sz w:val="19"/>
                <w:szCs w:val="19"/>
                <w:color w:val="auto"/>
              </w:rPr>
            </w:pPr>
          </w:p>
        </w:tc>
        <w:tc>
          <w:tcPr>
            <w:tcW w:w="1380" w:type="dxa"/>
            <w:vAlign w:val="bottom"/>
            <w:tcBorders>
              <w:bottom w:val="single" w:sz="8" w:color="E6E6E6"/>
              <w:right w:val="single" w:sz="8" w:color="00000A"/>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20" w:type="dxa"/>
            <w:vAlign w:val="bottom"/>
            <w:tcBorders>
              <w:top w:val="single" w:sz="8" w:color="auto"/>
              <w:left w:val="single" w:sz="8" w:color="00000A"/>
              <w:right w:val="single" w:sz="8" w:color="00000A"/>
            </w:tcBorders>
          </w:tcPr>
          <w:p>
            <w:pPr>
              <w:spacing w:after="0"/>
              <w:rPr>
                <w:sz w:val="15"/>
                <w:szCs w:val="15"/>
                <w:color w:val="auto"/>
              </w:rPr>
            </w:pPr>
          </w:p>
        </w:tc>
        <w:tc>
          <w:tcPr>
            <w:tcW w:w="1480" w:type="dxa"/>
            <w:vAlign w:val="bottom"/>
            <w:tcBorders>
              <w:top w:val="single" w:sz="8" w:color="auto"/>
              <w:right w:val="single" w:sz="8" w:color="00000A"/>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Borders>
              <w:top w:val="single" w:sz="8" w:color="auto"/>
              <w:right w:val="single" w:sz="8" w:color="00000A"/>
            </w:tcBorders>
          </w:tcPr>
          <w:p>
            <w:pPr>
              <w:spacing w:after="0"/>
              <w:rPr>
                <w:sz w:val="15"/>
                <w:szCs w:val="15"/>
                <w:color w:val="auto"/>
              </w:rPr>
            </w:pPr>
          </w:p>
        </w:tc>
        <w:tc>
          <w:tcPr>
            <w:tcW w:w="1720" w:type="dxa"/>
            <w:vAlign w:val="bottom"/>
            <w:tcBorders>
              <w:top w:val="single" w:sz="8" w:color="auto"/>
              <w:right w:val="single" w:sz="8" w:color="00000A"/>
            </w:tcBorders>
          </w:tcPr>
          <w:p>
            <w:pPr>
              <w:spacing w:after="0"/>
              <w:rPr>
                <w:sz w:val="15"/>
                <w:szCs w:val="15"/>
                <w:color w:val="auto"/>
              </w:rPr>
            </w:pPr>
          </w:p>
        </w:tc>
        <w:tc>
          <w:tcPr>
            <w:tcW w:w="4000" w:type="dxa"/>
            <w:vAlign w:val="bottom"/>
            <w:tcBorders>
              <w:top w:val="single" w:sz="8" w:color="auto"/>
              <w:right w:val="single" w:sz="8" w:color="00000A"/>
            </w:tcBorders>
          </w:tcPr>
          <w:p>
            <w:pPr>
              <w:spacing w:after="0"/>
              <w:rPr>
                <w:sz w:val="15"/>
                <w:szCs w:val="15"/>
                <w:color w:val="auto"/>
              </w:rPr>
            </w:pPr>
          </w:p>
        </w:tc>
        <w:tc>
          <w:tcPr>
            <w:tcW w:w="1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15"/>
                <w:szCs w:val="15"/>
                <w:color w:val="auto"/>
                <w:w w:val="93"/>
              </w:rPr>
              <w:t>Expiry Date : 2017-</w:t>
            </w:r>
          </w:p>
        </w:tc>
        <w:tc>
          <w:tcPr>
            <w:tcW w:w="0" w:type="dxa"/>
            <w:vAlign w:val="bottom"/>
          </w:tcPr>
          <w:p>
            <w:pPr>
              <w:spacing w:after="0"/>
              <w:rPr>
                <w:sz w:val="1"/>
                <w:szCs w:val="1"/>
                <w:color w:val="auto"/>
              </w:rPr>
            </w:pPr>
          </w:p>
        </w:tc>
      </w:tr>
      <w:tr>
        <w:trPr>
          <w:trHeight w:val="190"/>
        </w:trPr>
        <w:tc>
          <w:tcPr>
            <w:tcW w:w="620" w:type="dxa"/>
            <w:vAlign w:val="bottom"/>
            <w:tcBorders>
              <w:left w:val="single" w:sz="8" w:color="00000A"/>
              <w:right w:val="single" w:sz="8" w:color="00000A"/>
            </w:tcBorders>
          </w:tcPr>
          <w:p>
            <w:pPr>
              <w:spacing w:after="0"/>
              <w:rPr>
                <w:sz w:val="16"/>
                <w:szCs w:val="16"/>
                <w:color w:val="auto"/>
              </w:rPr>
            </w:pPr>
          </w:p>
        </w:tc>
        <w:tc>
          <w:tcPr>
            <w:tcW w:w="1480" w:type="dxa"/>
            <w:vAlign w:val="bottom"/>
            <w:tcBorders>
              <w:right w:val="single" w:sz="8" w:color="00000A"/>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000A"/>
            </w:tcBorders>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400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8"/>
              </w:rPr>
              <w:t>02-27</w:t>
            </w:r>
          </w:p>
        </w:tc>
        <w:tc>
          <w:tcPr>
            <w:tcW w:w="0" w:type="dxa"/>
            <w:vAlign w:val="bottom"/>
          </w:tcPr>
          <w:p>
            <w:pPr>
              <w:spacing w:after="0"/>
              <w:rPr>
                <w:sz w:val="1"/>
                <w:szCs w:val="1"/>
                <w:color w:val="auto"/>
              </w:rPr>
            </w:pPr>
          </w:p>
        </w:tc>
      </w:tr>
      <w:tr>
        <w:trPr>
          <w:trHeight w:val="346"/>
        </w:trPr>
        <w:tc>
          <w:tcPr>
            <w:tcW w:w="620" w:type="dxa"/>
            <w:vAlign w:val="bottom"/>
            <w:tcBorders>
              <w:left w:val="single" w:sz="8" w:color="00000A"/>
              <w:right w:val="single" w:sz="8" w:color="00000A"/>
            </w:tcBorders>
          </w:tcPr>
          <w:p>
            <w:pPr>
              <w:spacing w:after="0"/>
              <w:rPr>
                <w:sz w:val="24"/>
                <w:szCs w:val="24"/>
                <w:color w:val="auto"/>
              </w:rPr>
            </w:pPr>
          </w:p>
        </w:tc>
        <w:tc>
          <w:tcPr>
            <w:tcW w:w="1480" w:type="dxa"/>
            <w:vAlign w:val="bottom"/>
            <w:tcBorders>
              <w:right w:val="single" w:sz="8" w:color="00000A"/>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400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The rights of the</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Transportaction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8"/>
              </w:rPr>
              <w:t>Lease Systems Inc.</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6"/>
              </w:rPr>
              <w:t>have been assigned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5"/>
              </w:rPr>
              <w:t>to:</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1) Element Fleet</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Services LP by an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88"/>
              </w:rPr>
              <w:t>Assignment of</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under number 13-</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0492746-0001.</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2) Element Fleet</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Management Inc. by</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7"/>
              </w:rPr>
              <w:t xml:space="preserve">an </w:t>
            </w:r>
            <w:r>
              <w:rPr>
                <w:rFonts w:ascii="Arial" w:cs="Arial" w:eastAsia="Arial" w:hAnsi="Arial"/>
                <w:sz w:val="15"/>
                <w:szCs w:val="15"/>
                <w:b w:val="1"/>
                <w:bCs w:val="1"/>
                <w:color w:val="auto"/>
                <w:w w:val="87"/>
              </w:rPr>
              <w:t>Assignment of</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under number 15-</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0504612-0002.</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3) Element Fleet</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Services GP Limited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9"/>
              </w:rPr>
              <w:t xml:space="preserve">by an </w:t>
            </w:r>
            <w:r>
              <w:rPr>
                <w:rFonts w:ascii="Arial" w:cs="Arial" w:eastAsia="Arial" w:hAnsi="Arial"/>
                <w:sz w:val="15"/>
                <w:szCs w:val="15"/>
                <w:b w:val="1"/>
                <w:bCs w:val="1"/>
                <w:color w:val="auto"/>
                <w:w w:val="89"/>
              </w:rPr>
              <w:t>Assignment of</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under number 15-</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0504612-0004.</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4) Element Fleet</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Management Inc. by</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7"/>
              </w:rPr>
              <w:t xml:space="preserve">an </w:t>
            </w:r>
            <w:r>
              <w:rPr>
                <w:rFonts w:ascii="Arial" w:cs="Arial" w:eastAsia="Arial" w:hAnsi="Arial"/>
                <w:sz w:val="15"/>
                <w:szCs w:val="15"/>
                <w:b w:val="1"/>
                <w:bCs w:val="1"/>
                <w:color w:val="auto"/>
                <w:w w:val="87"/>
              </w:rPr>
              <w:t>Assignment of</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under number 15-</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0504620-0002.</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4"/>
              </w:rPr>
              <w:t>5) FLR LP Inc. by an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88"/>
              </w:rPr>
              <w:t>Assignment of</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9"/>
              </w:rPr>
              <w:t>Lessor: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under number 15-</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2280" w:type="dxa"/>
            <w:vAlign w:val="bottom"/>
            <w:tcBorders>
              <w:right w:val="single" w:sz="8" w:color="00000A"/>
            </w:tcBorders>
            <w:gridSpan w:val="6"/>
          </w:tcPr>
          <w:p>
            <w:pPr>
              <w:ind w:left="20"/>
              <w:spacing w:after="0"/>
              <w:rPr>
                <w:sz w:val="20"/>
                <w:szCs w:val="20"/>
                <w:color w:val="auto"/>
              </w:rPr>
            </w:pPr>
            <w:r>
              <w:rPr>
                <w:rFonts w:ascii="Arial" w:cs="Arial" w:eastAsia="Arial" w:hAnsi="Arial"/>
                <w:sz w:val="15"/>
                <w:szCs w:val="15"/>
                <w:color w:val="auto"/>
                <w:strike w:val="1"/>
                <w:w w:val="92"/>
              </w:rPr>
              <w:t>Transportaction Lease Systems Inc.</w:t>
            </w: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All motor vehicles and other property that is leased by the lessor</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0504622-0002.</w:t>
            </w: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color w:val="auto"/>
                <w:strike w:val="1"/>
                <w:w w:val="98"/>
              </w:rPr>
              <w:t>Element</w:t>
            </w:r>
          </w:p>
        </w:tc>
        <w:tc>
          <w:tcPr>
            <w:tcW w:w="480" w:type="dxa"/>
            <w:vAlign w:val="bottom"/>
            <w:gridSpan w:val="3"/>
            <w:vMerge w:val="restart"/>
          </w:tcPr>
          <w:p>
            <w:pPr>
              <w:ind w:left="60"/>
              <w:spacing w:after="0"/>
              <w:rPr>
                <w:sz w:val="20"/>
                <w:szCs w:val="20"/>
                <w:color w:val="auto"/>
              </w:rPr>
            </w:pPr>
            <w:r>
              <w:rPr>
                <w:rFonts w:ascii="Arial" w:cs="Arial" w:eastAsia="Arial" w:hAnsi="Arial"/>
                <w:sz w:val="15"/>
                <w:szCs w:val="15"/>
                <w:color w:val="auto"/>
                <w:strike w:val="1"/>
              </w:rPr>
              <w:t>Fleet</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auto"/>
                <w:strike w:val="1"/>
                <w:w w:val="89"/>
              </w:rPr>
              <w:t>Management</w:t>
            </w:r>
          </w:p>
        </w:tc>
        <w:tc>
          <w:tcPr>
            <w:tcW w:w="32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15"/>
                <w:szCs w:val="15"/>
                <w:color w:val="auto"/>
                <w:strike w:val="1"/>
              </w:rPr>
              <w:t>Inc.</w:t>
            </w:r>
          </w:p>
        </w:tc>
        <w:tc>
          <w:tcPr>
            <w:tcW w:w="1720" w:type="dxa"/>
            <w:vAlign w:val="bottom"/>
            <w:tcBorders>
              <w:right w:val="single" w:sz="8" w:color="00000A"/>
            </w:tcBorders>
          </w:tcPr>
          <w:p>
            <w:pPr>
              <w:spacing w:after="0"/>
              <w:rPr>
                <w:sz w:val="7"/>
                <w:szCs w:val="7"/>
                <w:color w:val="auto"/>
              </w:rPr>
            </w:pP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2"/>
              </w:rPr>
              <w:t>6) Element Fleet</w:t>
            </w: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58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Borders>
              <w:right w:val="single" w:sz="8" w:color="00000A"/>
            </w:tcBorders>
            <w:vMerge w:val="continue"/>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to the lessee from time to time pursuant to one or more lease</w:t>
            </w:r>
          </w:p>
        </w:tc>
        <w:tc>
          <w:tcPr>
            <w:tcW w:w="138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strike w:val="1"/>
              </w:rPr>
              <w:t>(following</w:t>
            </w:r>
          </w:p>
        </w:tc>
        <w:tc>
          <w:tcPr>
            <w:tcW w:w="1200" w:type="dxa"/>
            <w:vAlign w:val="bottom"/>
            <w:gridSpan w:val="2"/>
            <w:vMerge w:val="restart"/>
          </w:tcPr>
          <w:p>
            <w:pPr>
              <w:jc w:val="right"/>
              <w:spacing w:after="0"/>
              <w:rPr>
                <w:sz w:val="20"/>
                <w:szCs w:val="20"/>
                <w:color w:val="auto"/>
              </w:rPr>
            </w:pPr>
            <w:r>
              <w:rPr>
                <w:rFonts w:ascii="Arial" w:cs="Arial" w:eastAsia="Arial" w:hAnsi="Arial"/>
                <w:sz w:val="15"/>
                <w:szCs w:val="15"/>
                <w:i w:val="1"/>
                <w:iCs w:val="1"/>
                <w:color w:val="auto"/>
                <w:strike w:val="1"/>
                <w:w w:val="98"/>
              </w:rPr>
              <w:t xml:space="preserve">modification  </w:t>
            </w:r>
            <w:r>
              <w:rPr>
                <w:rFonts w:ascii="Arial" w:cs="Arial" w:eastAsia="Arial" w:hAnsi="Arial"/>
                <w:sz w:val="15"/>
                <w:szCs w:val="15"/>
                <w:b w:val="1"/>
                <w:bCs w:val="1"/>
                <w:i w:val="1"/>
                <w:iCs w:val="1"/>
                <w:color w:val="auto"/>
                <w:strike w:val="1"/>
                <w:w w:val="98"/>
              </w:rPr>
              <w:t>M1.</w:t>
            </w:r>
          </w:p>
        </w:tc>
        <w:tc>
          <w:tcPr>
            <w:tcW w:w="32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15"/>
                <w:szCs w:val="15"/>
                <w:i w:val="1"/>
                <w:iCs w:val="1"/>
                <w:color w:val="auto"/>
                <w:strike w:val="1"/>
                <w:w w:val="97"/>
              </w:rPr>
              <w:t>See</w:t>
            </w:r>
          </w:p>
        </w:tc>
        <w:tc>
          <w:tcPr>
            <w:tcW w:w="1720" w:type="dxa"/>
            <w:vAlign w:val="bottom"/>
            <w:tcBorders>
              <w:right w:val="single" w:sz="8" w:color="00000A"/>
            </w:tcBorders>
          </w:tcPr>
          <w:p>
            <w:pPr>
              <w:spacing w:after="0"/>
              <w:rPr>
                <w:sz w:val="7"/>
                <w:szCs w:val="7"/>
                <w:color w:val="auto"/>
              </w:rPr>
            </w:pP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8"/>
              </w:rPr>
              <w:t>Lease Receivables</w:t>
            </w: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20" w:type="dxa"/>
            <w:vAlign w:val="bottom"/>
            <w:tcBorders>
              <w:right w:val="single" w:sz="8" w:color="00000A"/>
            </w:tcBorders>
            <w:vMerge w:val="continue"/>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2"/>
              </w:rPr>
              <w:t>agreements and including, without limitation, all attachments,</w:t>
            </w:r>
          </w:p>
        </w:tc>
        <w:tc>
          <w:tcPr>
            <w:tcW w:w="138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12-0138882-0001</w:t>
            </w:r>
          </w:p>
        </w:tc>
        <w:tc>
          <w:tcPr>
            <w:tcW w:w="660" w:type="dxa"/>
            <w:vAlign w:val="bottom"/>
            <w:gridSpan w:val="2"/>
            <w:vMerge w:val="restart"/>
          </w:tcPr>
          <w:p>
            <w:pPr>
              <w:ind w:left="20"/>
              <w:spacing w:after="0"/>
              <w:rPr>
                <w:sz w:val="20"/>
                <w:szCs w:val="20"/>
                <w:color w:val="auto"/>
              </w:rPr>
            </w:pPr>
            <w:r>
              <w:rPr>
                <w:rFonts w:ascii="Arial" w:cs="Arial" w:eastAsia="Arial" w:hAnsi="Arial"/>
                <w:sz w:val="15"/>
                <w:szCs w:val="15"/>
                <w:i w:val="1"/>
                <w:iCs w:val="1"/>
                <w:color w:val="auto"/>
                <w:strike w:val="1"/>
                <w:w w:val="83"/>
              </w:rPr>
              <w:t>comments)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3"/>
              </w:rPr>
              <w:t>RL</w:t>
            </w: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8"/>
              </w:rPr>
              <w:t>L.P. by an</w:t>
            </w:r>
          </w:p>
        </w:tc>
        <w:tc>
          <w:tcPr>
            <w:tcW w:w="0" w:type="dxa"/>
            <w:vAlign w:val="bottom"/>
          </w:tcPr>
          <w:p>
            <w:pPr>
              <w:spacing w:after="0"/>
              <w:rPr>
                <w:sz w:val="1"/>
                <w:szCs w:val="1"/>
                <w:color w:val="auto"/>
              </w:rPr>
            </w:pPr>
          </w:p>
        </w:tc>
      </w:tr>
      <w:tr>
        <w:trPr>
          <w:trHeight w:val="91"/>
        </w:trPr>
        <w:tc>
          <w:tcPr>
            <w:tcW w:w="620" w:type="dxa"/>
            <w:vAlign w:val="bottom"/>
            <w:tcBorders>
              <w:left w:val="single" w:sz="8" w:color="00000A"/>
              <w:right w:val="single" w:sz="8" w:color="00000A"/>
            </w:tcBorders>
            <w:vMerge w:val="restart"/>
          </w:tcPr>
          <w:p>
            <w:pPr>
              <w:ind w:left="160"/>
              <w:spacing w:after="0"/>
              <w:rPr>
                <w:sz w:val="20"/>
                <w:szCs w:val="20"/>
                <w:color w:val="auto"/>
              </w:rPr>
            </w:pPr>
            <w:r>
              <w:rPr>
                <w:rFonts w:ascii="Arial" w:cs="Arial" w:eastAsia="Arial" w:hAnsi="Arial"/>
                <w:sz w:val="19"/>
                <w:szCs w:val="19"/>
                <w:color w:val="auto"/>
              </w:rPr>
              <w:t>C.</w:t>
            </w:r>
          </w:p>
        </w:tc>
        <w:tc>
          <w:tcPr>
            <w:tcW w:w="1480" w:type="dxa"/>
            <w:vAlign w:val="bottom"/>
            <w:tcBorders>
              <w:right w:val="single" w:sz="8" w:color="00000A"/>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equipment and accessories for the vehicle or other property, and</w:t>
            </w:r>
          </w:p>
        </w:tc>
        <w:tc>
          <w:tcPr>
            <w:tcW w:w="13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left w:val="single" w:sz="8" w:color="00000A"/>
              <w:right w:val="single" w:sz="8" w:color="00000A"/>
            </w:tcBorders>
            <w:vMerge w:val="continue"/>
          </w:tcPr>
          <w:p>
            <w:pPr>
              <w:spacing w:after="0"/>
              <w:rPr>
                <w:sz w:val="7"/>
                <w:szCs w:val="7"/>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2012-02-29</w:t>
            </w:r>
          </w:p>
        </w:tc>
        <w:tc>
          <w:tcPr>
            <w:tcW w:w="1960" w:type="dxa"/>
            <w:vAlign w:val="bottom"/>
            <w:gridSpan w:val="5"/>
            <w:vMerge w:val="restart"/>
          </w:tcPr>
          <w:p>
            <w:pPr>
              <w:ind w:left="20"/>
              <w:spacing w:after="0"/>
              <w:rPr>
                <w:sz w:val="20"/>
                <w:szCs w:val="20"/>
                <w:color w:val="auto"/>
              </w:rPr>
            </w:pPr>
            <w:r>
              <w:rPr>
                <w:rFonts w:ascii="Arial" w:cs="Arial" w:eastAsia="Arial" w:hAnsi="Arial"/>
                <w:sz w:val="15"/>
                <w:szCs w:val="15"/>
                <w:color w:val="auto"/>
              </w:rPr>
              <w:t>Element Fleet Services LP</w:t>
            </w: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i w:val="1"/>
                <w:iCs w:val="1"/>
                <w:color w:val="auto"/>
                <w:w w:val="89"/>
              </w:rPr>
              <w:t>No date mentioned</w:t>
            </w: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b w:val="1"/>
                <w:bCs w:val="1"/>
                <w:color w:val="auto"/>
                <w:w w:val="88"/>
              </w:rPr>
              <w:t>Assignment of</w:t>
            </w:r>
          </w:p>
        </w:tc>
        <w:tc>
          <w:tcPr>
            <w:tcW w:w="0" w:type="dxa"/>
            <w:vAlign w:val="bottom"/>
          </w:tcPr>
          <w:p>
            <w:pPr>
              <w:spacing w:after="0"/>
              <w:rPr>
                <w:sz w:val="1"/>
                <w:szCs w:val="1"/>
                <w:color w:val="auto"/>
              </w:rPr>
            </w:pPr>
          </w:p>
        </w:tc>
      </w:tr>
      <w:tr>
        <w:trPr>
          <w:trHeight w:val="91"/>
        </w:trPr>
        <w:tc>
          <w:tcPr>
            <w:tcW w:w="620" w:type="dxa"/>
            <w:vAlign w:val="bottom"/>
            <w:tcBorders>
              <w:left w:val="single" w:sz="8" w:color="00000A"/>
              <w:right w:val="single" w:sz="8" w:color="00000A"/>
            </w:tcBorders>
            <w:vMerge w:val="continue"/>
          </w:tcPr>
          <w:p>
            <w:pPr>
              <w:spacing w:after="0"/>
              <w:rPr>
                <w:sz w:val="7"/>
                <w:szCs w:val="7"/>
                <w:color w:val="auto"/>
              </w:rPr>
            </w:pPr>
          </w:p>
        </w:tc>
        <w:tc>
          <w:tcPr>
            <w:tcW w:w="1480" w:type="dxa"/>
            <w:vAlign w:val="bottom"/>
            <w:tcBorders>
              <w:right w:val="single" w:sz="8" w:color="00000A"/>
            </w:tcBorders>
            <w:vMerge w:val="continue"/>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9"/>
              </w:rPr>
              <w:t>any insurance proceeds or proceeds of any sale or rental or other</w:t>
            </w:r>
          </w:p>
        </w:tc>
        <w:tc>
          <w:tcPr>
            <w:tcW w:w="13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6"/>
              </w:rPr>
              <w:t>09:00 AM</w:t>
            </w:r>
          </w:p>
        </w:tc>
        <w:tc>
          <w:tcPr>
            <w:tcW w:w="58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(further</w:t>
            </w:r>
          </w:p>
        </w:tc>
        <w:tc>
          <w:tcPr>
            <w:tcW w:w="180" w:type="dxa"/>
            <w:vAlign w:val="bottom"/>
            <w:gridSpan w:val="2"/>
            <w:vMerge w:val="restart"/>
          </w:tcPr>
          <w:p>
            <w:pPr>
              <w:ind w:left="40"/>
              <w:spacing w:after="0"/>
              <w:rPr>
                <w:sz w:val="20"/>
                <w:szCs w:val="20"/>
                <w:color w:val="auto"/>
              </w:rPr>
            </w:pPr>
            <w:r>
              <w:rPr>
                <w:rFonts w:ascii="Arial" w:cs="Arial" w:eastAsia="Arial" w:hAnsi="Arial"/>
                <w:sz w:val="15"/>
                <w:szCs w:val="15"/>
                <w:i w:val="1"/>
                <w:iCs w:val="1"/>
                <w:color w:val="auto"/>
                <w:w w:val="95"/>
              </w:rPr>
              <w:t>to</w:t>
            </w:r>
          </w:p>
        </w:tc>
        <w:tc>
          <w:tcPr>
            <w:tcW w:w="300" w:type="dxa"/>
            <w:vAlign w:val="bottom"/>
            <w:vMerge w:val="restart"/>
          </w:tcPr>
          <w:p>
            <w:pPr>
              <w:ind w:left="120"/>
              <w:spacing w:after="0"/>
              <w:rPr>
                <w:sz w:val="20"/>
                <w:szCs w:val="20"/>
                <w:color w:val="auto"/>
              </w:rPr>
            </w:pPr>
            <w:r>
              <w:rPr>
                <w:rFonts w:ascii="Arial" w:cs="Arial" w:eastAsia="Arial" w:hAnsi="Arial"/>
                <w:sz w:val="15"/>
                <w:szCs w:val="15"/>
                <w:i w:val="1"/>
                <w:iCs w:val="1"/>
                <w:color w:val="auto"/>
                <w:w w:val="95"/>
              </w:rPr>
              <w:t>an</w:t>
            </w:r>
          </w:p>
        </w:tc>
        <w:tc>
          <w:tcPr>
            <w:tcW w:w="90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assignment,</w:t>
            </w:r>
          </w:p>
        </w:tc>
        <w:tc>
          <w:tcPr>
            <w:tcW w:w="32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15"/>
                <w:szCs w:val="15"/>
                <w:i w:val="1"/>
                <w:iCs w:val="1"/>
                <w:color w:val="auto"/>
              </w:rPr>
              <w:t>see</w:t>
            </w: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6"/>
              </w:rPr>
              <w:t>Private Writing</w:t>
            </w: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b w:val="1"/>
                <w:bCs w:val="1"/>
                <w:color w:val="auto"/>
                <w:w w:val="90"/>
              </w:rPr>
              <w:t xml:space="preserve">Rights </w:t>
            </w:r>
            <w:r>
              <w:rPr>
                <w:rFonts w:ascii="Arial" w:cs="Arial" w:eastAsia="Arial" w:hAnsi="Arial"/>
                <w:sz w:val="15"/>
                <w:szCs w:val="15"/>
                <w:color w:val="auto"/>
                <w:w w:val="90"/>
              </w:rPr>
              <w:t>registered</w:t>
            </w: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Borders>
              <w:right w:val="single" w:sz="8" w:color="00000A"/>
            </w:tcBorders>
            <w:vMerge w:val="continue"/>
          </w:tcPr>
          <w:p>
            <w:pPr>
              <w:spacing w:after="0"/>
              <w:rPr>
                <w:sz w:val="8"/>
                <w:szCs w:val="8"/>
                <w:color w:val="auto"/>
              </w:rPr>
            </w:pPr>
          </w:p>
        </w:tc>
        <w:tc>
          <w:tcPr>
            <w:tcW w:w="1720" w:type="dxa"/>
            <w:vAlign w:val="bottom"/>
            <w:tcBorders>
              <w:right w:val="single" w:sz="8" w:color="00000A"/>
            </w:tcBorders>
            <w:vMerge w:val="continue"/>
          </w:tcPr>
          <w:p>
            <w:pPr>
              <w:spacing w:after="0"/>
              <w:rPr>
                <w:sz w:val="8"/>
                <w:szCs w:val="8"/>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disposition of such vehicle or other property, as the case may be.</w:t>
            </w:r>
          </w:p>
        </w:tc>
        <w:tc>
          <w:tcPr>
            <w:tcW w:w="138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w w:val="97"/>
              </w:rPr>
              <w:t>comments)</w:t>
            </w: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tcPr>
          <w:p>
            <w:pPr>
              <w:spacing w:after="0"/>
              <w:rPr>
                <w:sz w:val="7"/>
                <w:szCs w:val="7"/>
                <w:color w:val="auto"/>
              </w:rPr>
            </w:pPr>
          </w:p>
        </w:tc>
        <w:tc>
          <w:tcPr>
            <w:tcW w:w="4000" w:type="dxa"/>
            <w:vAlign w:val="bottom"/>
            <w:tcBorders>
              <w:right w:val="single" w:sz="8" w:color="00000A"/>
            </w:tcBorders>
            <w:vMerge w:val="continue"/>
          </w:tcPr>
          <w:p>
            <w:pPr>
              <w:spacing w:after="0"/>
              <w:rPr>
                <w:sz w:val="7"/>
                <w:szCs w:val="7"/>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under number 15-</w:t>
            </w: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2"/>
              </w:rPr>
              <w:t>REF: (82620 / ONTA1F9491-1 / 7570348)</w:t>
            </w:r>
          </w:p>
        </w:tc>
        <w:tc>
          <w:tcPr>
            <w:tcW w:w="138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0504624-0002.</w:t>
            </w: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6"/>
              </w:rPr>
              <w:t>Lessee: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tcPr>
          <w:p>
            <w:pPr>
              <w:spacing w:after="0"/>
              <w:rPr>
                <w:sz w:val="8"/>
                <w:szCs w:val="8"/>
                <w:color w:val="auto"/>
              </w:rPr>
            </w:pPr>
          </w:p>
        </w:tc>
        <w:tc>
          <w:tcPr>
            <w:tcW w:w="138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00000A"/>
              <w:right w:val="single" w:sz="8" w:color="00000A"/>
            </w:tcBorders>
          </w:tcPr>
          <w:p>
            <w:pPr>
              <w:spacing w:after="0"/>
              <w:rPr>
                <w:sz w:val="14"/>
                <w:szCs w:val="14"/>
                <w:color w:val="auto"/>
              </w:rPr>
            </w:pPr>
          </w:p>
        </w:tc>
        <w:tc>
          <w:tcPr>
            <w:tcW w:w="1480" w:type="dxa"/>
            <w:vAlign w:val="bottom"/>
            <w:tcBorders>
              <w:right w:val="single" w:sz="8" w:color="00000A"/>
            </w:tcBorders>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Borders>
              <w:right w:val="single" w:sz="8" w:color="00000A"/>
            </w:tcBorders>
          </w:tcPr>
          <w:p>
            <w:pPr>
              <w:spacing w:after="0"/>
              <w:rPr>
                <w:sz w:val="14"/>
                <w:szCs w:val="14"/>
                <w:color w:val="auto"/>
              </w:rPr>
            </w:pPr>
          </w:p>
        </w:tc>
        <w:tc>
          <w:tcPr>
            <w:tcW w:w="1720" w:type="dxa"/>
            <w:vAlign w:val="bottom"/>
            <w:tcBorders>
              <w:right w:val="single" w:sz="8" w:color="00000A"/>
            </w:tcBorders>
          </w:tcPr>
          <w:p>
            <w:pPr>
              <w:spacing w:after="0"/>
              <w:rPr>
                <w:sz w:val="14"/>
                <w:szCs w:val="14"/>
                <w:color w:val="auto"/>
              </w:rPr>
            </w:pPr>
          </w:p>
        </w:tc>
        <w:tc>
          <w:tcPr>
            <w:tcW w:w="4000" w:type="dxa"/>
            <w:vAlign w:val="bottom"/>
            <w:tcBorders>
              <w:right w:val="single" w:sz="8" w:color="00000A"/>
            </w:tcBorders>
          </w:tcPr>
          <w:p>
            <w:pPr>
              <w:spacing w:after="0"/>
              <w:rPr>
                <w:sz w:val="14"/>
                <w:szCs w:val="14"/>
                <w:color w:val="auto"/>
              </w:rPr>
            </w:pPr>
          </w:p>
        </w:tc>
        <w:tc>
          <w:tcPr>
            <w:tcW w:w="138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Arial" w:cs="Arial" w:eastAsia="Arial" w:hAnsi="Arial"/>
                <w:sz w:val="15"/>
                <w:szCs w:val="15"/>
                <w:color w:val="auto"/>
                <w:w w:val="94"/>
              </w:rPr>
              <w:t>Hazmasters Inc.</w:t>
            </w: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6"/>
              </w:rPr>
              <w:t>The Lessor has been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9"/>
              </w:rPr>
              <w:t>changed to Element</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Fleet Management</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Inc. by a</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7"/>
              </w:rPr>
              <w:t>Modification of a</w:t>
            </w:r>
          </w:p>
        </w:tc>
        <w:tc>
          <w:tcPr>
            <w:tcW w:w="0" w:type="dxa"/>
            <w:vAlign w:val="bottom"/>
          </w:tcPr>
          <w:p>
            <w:pPr>
              <w:spacing w:after="0"/>
              <w:rPr>
                <w:sz w:val="1"/>
                <w:szCs w:val="1"/>
                <w:color w:val="auto"/>
              </w:rPr>
            </w:pPr>
          </w:p>
        </w:tc>
      </w:tr>
      <w:tr>
        <w:trPr>
          <w:trHeight w:val="175"/>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registered right:</w:t>
            </w: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b w:val="1"/>
                <w:bCs w:val="1"/>
                <w:color w:val="auto"/>
                <w:w w:val="95"/>
              </w:rPr>
              <w:t xml:space="preserve">M1 - </w:t>
            </w:r>
            <w:r>
              <w:rPr>
                <w:rFonts w:ascii="Arial" w:cs="Arial" w:eastAsia="Arial" w:hAnsi="Arial"/>
                <w:sz w:val="15"/>
                <w:szCs w:val="15"/>
                <w:color w:val="auto"/>
                <w:w w:val="95"/>
              </w:rPr>
              <w:t>registered on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2014-01-23 at 12:18</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PM under number</w:t>
            </w:r>
          </w:p>
        </w:tc>
        <w:tc>
          <w:tcPr>
            <w:tcW w:w="0" w:type="dxa"/>
            <w:vAlign w:val="bottom"/>
          </w:tcPr>
          <w:p>
            <w:pPr>
              <w:spacing w:after="0"/>
              <w:rPr>
                <w:sz w:val="1"/>
                <w:szCs w:val="1"/>
                <w:color w:val="auto"/>
              </w:rPr>
            </w:pPr>
          </w:p>
        </w:tc>
      </w:tr>
      <w:tr>
        <w:trPr>
          <w:trHeight w:val="190"/>
        </w:trPr>
        <w:tc>
          <w:tcPr>
            <w:tcW w:w="620" w:type="dxa"/>
            <w:vAlign w:val="bottom"/>
            <w:tcBorders>
              <w:left w:val="single" w:sz="8" w:color="00000A"/>
              <w:right w:val="single" w:sz="8" w:color="00000A"/>
            </w:tcBorders>
          </w:tcPr>
          <w:p>
            <w:pPr>
              <w:spacing w:after="0"/>
              <w:rPr>
                <w:sz w:val="16"/>
                <w:szCs w:val="16"/>
                <w:color w:val="auto"/>
              </w:rPr>
            </w:pPr>
          </w:p>
        </w:tc>
        <w:tc>
          <w:tcPr>
            <w:tcW w:w="1480" w:type="dxa"/>
            <w:vAlign w:val="bottom"/>
            <w:tcBorders>
              <w:right w:val="single" w:sz="8" w:color="00000A"/>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000A"/>
            </w:tcBorders>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400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14-0053201-0001.</w:t>
            </w:r>
          </w:p>
        </w:tc>
        <w:tc>
          <w:tcPr>
            <w:tcW w:w="0" w:type="dxa"/>
            <w:vAlign w:val="bottom"/>
          </w:tcPr>
          <w:p>
            <w:pPr>
              <w:spacing w:after="0"/>
              <w:rPr>
                <w:sz w:val="1"/>
                <w:szCs w:val="1"/>
                <w:color w:val="auto"/>
              </w:rPr>
            </w:pPr>
          </w:p>
        </w:tc>
      </w:tr>
      <w:tr>
        <w:trPr>
          <w:trHeight w:val="346"/>
        </w:trPr>
        <w:tc>
          <w:tcPr>
            <w:tcW w:w="620" w:type="dxa"/>
            <w:vAlign w:val="bottom"/>
            <w:tcBorders>
              <w:left w:val="single" w:sz="8" w:color="00000A"/>
              <w:right w:val="single" w:sz="8" w:color="00000A"/>
            </w:tcBorders>
          </w:tcPr>
          <w:p>
            <w:pPr>
              <w:spacing w:after="0"/>
              <w:rPr>
                <w:sz w:val="24"/>
                <w:szCs w:val="24"/>
                <w:color w:val="auto"/>
              </w:rPr>
            </w:pPr>
          </w:p>
        </w:tc>
        <w:tc>
          <w:tcPr>
            <w:tcW w:w="1480" w:type="dxa"/>
            <w:vAlign w:val="bottom"/>
            <w:tcBorders>
              <w:right w:val="single" w:sz="8" w:color="00000A"/>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400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1"/>
              </w:rPr>
              <w:t>Our comments:</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0"/>
              </w:rPr>
              <w:t>Element Fleet</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0"/>
              </w:rPr>
              <w:t>Management Inc, is</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the new name of</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3"/>
              </w:rPr>
              <w:t>Transportaction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7"/>
              </w:rPr>
              <w:t>Lease Systems Inc.,</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9"/>
              </w:rPr>
              <w:t>(the “Original</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3"/>
              </w:rPr>
              <w:t>Lessor”). This</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change of name has</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9"/>
              </w:rPr>
              <w:t>been registered as a</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3"/>
              </w:rPr>
              <w:t>modification instead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of a name change.</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4"/>
              </w:rPr>
              <w:t>This modification</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has been registered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5"/>
              </w:rPr>
              <w:t>after the Original</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Lessor had assigned</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2"/>
              </w:rPr>
              <w:t>its rights to Element</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Fleet Services LP,</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3"/>
              </w:rPr>
              <w:t>who as the Original</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9"/>
              </w:rPr>
              <w:t>Lessor as Special</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0"/>
              </w:rPr>
              <w:t>Partner, as per the</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2"/>
              </w:rPr>
              <w:t>Registraire de</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8"/>
              </w:rPr>
              <w:t>Entreprises Quebec</w:t>
            </w: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spacing w:after="0"/>
              <w:rPr>
                <w:sz w:val="15"/>
                <w:szCs w:val="15"/>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92"/>
              </w:rPr>
              <w:t>(under its previous</w:t>
            </w:r>
          </w:p>
        </w:tc>
        <w:tc>
          <w:tcPr>
            <w:tcW w:w="0" w:type="dxa"/>
            <w:vAlign w:val="bottom"/>
          </w:tcPr>
          <w:p>
            <w:pPr>
              <w:spacing w:after="0"/>
              <w:rPr>
                <w:sz w:val="1"/>
                <w:szCs w:val="1"/>
                <w:color w:val="auto"/>
              </w:rPr>
            </w:pPr>
          </w:p>
        </w:tc>
      </w:tr>
      <w:tr>
        <w:trPr>
          <w:trHeight w:val="190"/>
        </w:trPr>
        <w:tc>
          <w:tcPr>
            <w:tcW w:w="620" w:type="dxa"/>
            <w:vAlign w:val="bottom"/>
            <w:tcBorders>
              <w:left w:val="single" w:sz="8" w:color="00000A"/>
              <w:right w:val="single" w:sz="8" w:color="00000A"/>
            </w:tcBorders>
          </w:tcPr>
          <w:p>
            <w:pPr>
              <w:spacing w:after="0"/>
              <w:rPr>
                <w:sz w:val="16"/>
                <w:szCs w:val="16"/>
                <w:color w:val="auto"/>
              </w:rPr>
            </w:pPr>
          </w:p>
        </w:tc>
        <w:tc>
          <w:tcPr>
            <w:tcW w:w="1480" w:type="dxa"/>
            <w:vAlign w:val="bottom"/>
            <w:tcBorders>
              <w:right w:val="single" w:sz="8" w:color="00000A"/>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000A"/>
            </w:tcBorders>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400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i w:val="1"/>
                <w:iCs w:val="1"/>
                <w:color w:val="auto"/>
                <w:w w:val="89"/>
              </w:rPr>
              <w:t>name).</w:t>
            </w:r>
          </w:p>
        </w:tc>
        <w:tc>
          <w:tcPr>
            <w:tcW w:w="0" w:type="dxa"/>
            <w:vAlign w:val="bottom"/>
          </w:tcPr>
          <w:p>
            <w:pPr>
              <w:spacing w:after="0"/>
              <w:rPr>
                <w:sz w:val="1"/>
                <w:szCs w:val="1"/>
                <w:color w:val="auto"/>
              </w:rPr>
            </w:pPr>
          </w:p>
        </w:tc>
      </w:tr>
      <w:tr>
        <w:trPr>
          <w:trHeight w:val="27"/>
        </w:trPr>
        <w:tc>
          <w:tcPr>
            <w:tcW w:w="620" w:type="dxa"/>
            <w:vAlign w:val="bottom"/>
            <w:tcBorders>
              <w:left w:val="single" w:sz="8" w:color="00000A"/>
              <w:bottom w:val="single" w:sz="8" w:color="auto"/>
              <w:right w:val="single" w:sz="8" w:color="00000A"/>
            </w:tcBorders>
          </w:tcPr>
          <w:p>
            <w:pPr>
              <w:spacing w:after="0"/>
              <w:rPr>
                <w:sz w:val="2"/>
                <w:szCs w:val="2"/>
                <w:color w:val="auto"/>
              </w:rPr>
            </w:pPr>
          </w:p>
        </w:tc>
        <w:tc>
          <w:tcPr>
            <w:tcW w:w="1480" w:type="dxa"/>
            <w:vAlign w:val="bottom"/>
            <w:tcBorders>
              <w:bottom w:val="single" w:sz="8" w:color="auto"/>
              <w:right w:val="single" w:sz="8" w:color="00000A"/>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00000A"/>
            </w:tcBorders>
          </w:tcPr>
          <w:p>
            <w:pPr>
              <w:spacing w:after="0"/>
              <w:rPr>
                <w:sz w:val="2"/>
                <w:szCs w:val="2"/>
                <w:color w:val="auto"/>
              </w:rPr>
            </w:pPr>
          </w:p>
        </w:tc>
        <w:tc>
          <w:tcPr>
            <w:tcW w:w="1720" w:type="dxa"/>
            <w:vAlign w:val="bottom"/>
            <w:tcBorders>
              <w:bottom w:val="single" w:sz="8" w:color="auto"/>
              <w:right w:val="single" w:sz="8" w:color="00000A"/>
            </w:tcBorders>
          </w:tcPr>
          <w:p>
            <w:pPr>
              <w:spacing w:after="0"/>
              <w:rPr>
                <w:sz w:val="2"/>
                <w:szCs w:val="2"/>
                <w:color w:val="auto"/>
              </w:rPr>
            </w:pPr>
          </w:p>
        </w:tc>
        <w:tc>
          <w:tcPr>
            <w:tcW w:w="4000" w:type="dxa"/>
            <w:vAlign w:val="bottom"/>
            <w:tcBorders>
              <w:bottom w:val="single" w:sz="8" w:color="auto"/>
              <w:right w:val="single" w:sz="8" w:color="00000A"/>
            </w:tcBorders>
          </w:tcPr>
          <w:p>
            <w:pPr>
              <w:spacing w:after="0"/>
              <w:rPr>
                <w:sz w:val="2"/>
                <w:szCs w:val="2"/>
                <w:color w:val="auto"/>
              </w:rPr>
            </w:pPr>
          </w:p>
        </w:tc>
        <w:tc>
          <w:tcPr>
            <w:tcW w:w="1380" w:type="dxa"/>
            <w:vAlign w:val="bottom"/>
            <w:tcBorders>
              <w:bottom w:val="single" w:sz="8" w:color="auto"/>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9"/>
              </w:rPr>
              <w:t>Lessor: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2"/>
              </w:rPr>
              <w:t>All generator of every nature of kind described in a leasing</w:t>
            </w:r>
          </w:p>
        </w:tc>
        <w:tc>
          <w:tcPr>
            <w:tcW w:w="13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8"/>
              </w:rPr>
              <w:t>contract dated July 20, 2012 between the lessor, and the lessee,</w:t>
            </w:r>
          </w:p>
        </w:tc>
        <w:tc>
          <w:tcPr>
            <w:tcW w:w="138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12-0595453-0004</w:t>
            </w:r>
          </w:p>
        </w:tc>
        <w:tc>
          <w:tcPr>
            <w:tcW w:w="1960" w:type="dxa"/>
            <w:vAlign w:val="bottom"/>
            <w:gridSpan w:val="5"/>
            <w:vMerge w:val="restart"/>
          </w:tcPr>
          <w:p>
            <w:pPr>
              <w:ind w:left="20"/>
              <w:spacing w:after="0"/>
              <w:rPr>
                <w:sz w:val="20"/>
                <w:szCs w:val="20"/>
                <w:color w:val="auto"/>
              </w:rPr>
            </w:pPr>
            <w:r>
              <w:rPr>
                <w:rFonts w:ascii="Arial" w:cs="Arial" w:eastAsia="Arial" w:hAnsi="Arial"/>
                <w:sz w:val="15"/>
                <w:szCs w:val="15"/>
                <w:color w:val="auto"/>
              </w:rPr>
              <w:t>National Leasing Group Inc.</w:t>
            </w: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7"/>
              </w:rPr>
              <w:t>RO</w:t>
            </w: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3"/>
              </w:rPr>
              <w:t>Expiry Date : 2016-</w:t>
            </w: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vMerge w:val="restart"/>
          </w:tcPr>
          <w:p>
            <w:pPr>
              <w:ind w:left="140"/>
              <w:spacing w:after="0"/>
              <w:rPr>
                <w:sz w:val="20"/>
                <w:szCs w:val="20"/>
                <w:color w:val="auto"/>
              </w:rPr>
            </w:pPr>
            <w:r>
              <w:rPr>
                <w:rFonts w:ascii="Arial" w:cs="Arial" w:eastAsia="Arial" w:hAnsi="Arial"/>
                <w:sz w:val="19"/>
                <w:szCs w:val="19"/>
                <w:color w:val="auto"/>
              </w:rPr>
              <w:t>D.</w:t>
            </w:r>
          </w:p>
        </w:tc>
        <w:tc>
          <w:tcPr>
            <w:tcW w:w="1480" w:type="dxa"/>
            <w:vAlign w:val="bottom"/>
            <w:tcBorders>
              <w:right w:val="single" w:sz="8" w:color="00000A"/>
            </w:tcBorders>
            <w:vMerge w:val="continue"/>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as amended from time to time, together with all attachments,</w:t>
            </w:r>
          </w:p>
        </w:tc>
        <w:tc>
          <w:tcPr>
            <w:tcW w:w="13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vMerge w:val="continue"/>
          </w:tcPr>
          <w:p>
            <w:pPr>
              <w:spacing w:after="0"/>
              <w:rPr>
                <w:sz w:val="8"/>
                <w:szCs w:val="8"/>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2012-07-23</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1"/>
              </w:rPr>
              <w:t>2012-07-20</w:t>
            </w: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8"/>
              </w:rPr>
              <w:t>07-01</w:t>
            </w: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vMerge w:val="continue"/>
          </w:tcPr>
          <w:p>
            <w:pPr>
              <w:spacing w:after="0"/>
              <w:rPr>
                <w:sz w:val="7"/>
                <w:szCs w:val="7"/>
                <w:color w:val="auto"/>
              </w:rPr>
            </w:pPr>
          </w:p>
        </w:tc>
        <w:tc>
          <w:tcPr>
            <w:tcW w:w="1480" w:type="dxa"/>
            <w:vAlign w:val="bottom"/>
            <w:tcBorders>
              <w:right w:val="single" w:sz="8" w:color="00000A"/>
            </w:tcBorders>
            <w:vMerge w:val="continue"/>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6"/>
              </w:rPr>
              <w:t>Lessee:</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accessories and substitutions places on or forming part of such</w:t>
            </w:r>
          </w:p>
        </w:tc>
        <w:tc>
          <w:tcPr>
            <w:tcW w:w="13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3"/>
              </w:rPr>
              <w:t>12:41 PM</w:t>
            </w: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6"/>
              </w:rPr>
              <w:t>Private Writing</w:t>
            </w: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00000A"/>
              <w:right w:val="single" w:sz="8" w:color="00000A"/>
            </w:tcBorders>
          </w:tcPr>
          <w:p>
            <w:pPr>
              <w:spacing w:after="0"/>
              <w:rPr>
                <w:sz w:val="7"/>
                <w:szCs w:val="7"/>
                <w:color w:val="auto"/>
              </w:rPr>
            </w:pPr>
          </w:p>
        </w:tc>
        <w:tc>
          <w:tcPr>
            <w:tcW w:w="1480" w:type="dxa"/>
            <w:vAlign w:val="bottom"/>
            <w:tcBorders>
              <w:right w:val="single" w:sz="8" w:color="00000A"/>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90"/>
              </w:rPr>
              <w:t>goods and any proceeds derived from the sale or disposition of</w:t>
            </w:r>
          </w:p>
        </w:tc>
        <w:tc>
          <w:tcPr>
            <w:tcW w:w="138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5"/>
                <w:szCs w:val="15"/>
                <w:color w:val="auto"/>
                <w:w w:val="94"/>
              </w:rPr>
              <w:t>Hazmasters Inc.</w:t>
            </w: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5"/>
                <w:szCs w:val="15"/>
                <w:color w:val="auto"/>
                <w:w w:val="86"/>
              </w:rPr>
              <w:t>such goods.</w:t>
            </w:r>
          </w:p>
        </w:tc>
        <w:tc>
          <w:tcPr>
            <w:tcW w:w="13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00000A"/>
              <w:right w:val="single" w:sz="8" w:color="00000A"/>
            </w:tcBorders>
          </w:tcPr>
          <w:p>
            <w:pPr>
              <w:spacing w:after="0"/>
              <w:rPr>
                <w:sz w:val="8"/>
                <w:szCs w:val="8"/>
                <w:color w:val="auto"/>
              </w:rPr>
            </w:pPr>
          </w:p>
        </w:tc>
        <w:tc>
          <w:tcPr>
            <w:tcW w:w="1480" w:type="dxa"/>
            <w:vAlign w:val="bottom"/>
            <w:tcBorders>
              <w:right w:val="single" w:sz="8" w:color="00000A"/>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Borders>
              <w:right w:val="single" w:sz="8" w:color="00000A"/>
            </w:tcBorders>
          </w:tcPr>
          <w:p>
            <w:pPr>
              <w:spacing w:after="0"/>
              <w:rPr>
                <w:sz w:val="8"/>
                <w:szCs w:val="8"/>
                <w:color w:val="auto"/>
              </w:rPr>
            </w:pPr>
          </w:p>
        </w:tc>
        <w:tc>
          <w:tcPr>
            <w:tcW w:w="1720" w:type="dxa"/>
            <w:vAlign w:val="bottom"/>
            <w:tcBorders>
              <w:right w:val="single" w:sz="8" w:color="00000A"/>
            </w:tcBorders>
          </w:tcPr>
          <w:p>
            <w:pPr>
              <w:spacing w:after="0"/>
              <w:rPr>
                <w:sz w:val="8"/>
                <w:szCs w:val="8"/>
                <w:color w:val="auto"/>
              </w:rPr>
            </w:pPr>
          </w:p>
        </w:tc>
        <w:tc>
          <w:tcPr>
            <w:tcW w:w="4000" w:type="dxa"/>
            <w:vAlign w:val="bottom"/>
            <w:tcBorders>
              <w:right w:val="single" w:sz="8" w:color="00000A"/>
            </w:tcBorders>
            <w:vMerge w:val="continue"/>
          </w:tcPr>
          <w:p>
            <w:pPr>
              <w:spacing w:after="0"/>
              <w:rPr>
                <w:sz w:val="8"/>
                <w:szCs w:val="8"/>
                <w:color w:val="auto"/>
              </w:rPr>
            </w:pPr>
          </w:p>
        </w:tc>
        <w:tc>
          <w:tcPr>
            <w:tcW w:w="13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00000A"/>
              <w:bottom w:val="single" w:sz="8" w:color="auto"/>
              <w:right w:val="single" w:sz="8" w:color="00000A"/>
            </w:tcBorders>
          </w:tcPr>
          <w:p>
            <w:pPr>
              <w:spacing w:after="0"/>
              <w:rPr>
                <w:sz w:val="2"/>
                <w:szCs w:val="2"/>
                <w:color w:val="auto"/>
              </w:rPr>
            </w:pPr>
          </w:p>
        </w:tc>
        <w:tc>
          <w:tcPr>
            <w:tcW w:w="1480" w:type="dxa"/>
            <w:vAlign w:val="bottom"/>
            <w:tcBorders>
              <w:bottom w:val="single" w:sz="8" w:color="auto"/>
              <w:right w:val="single" w:sz="8" w:color="00000A"/>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00000A"/>
            </w:tcBorders>
          </w:tcPr>
          <w:p>
            <w:pPr>
              <w:spacing w:after="0"/>
              <w:rPr>
                <w:sz w:val="2"/>
                <w:szCs w:val="2"/>
                <w:color w:val="auto"/>
              </w:rPr>
            </w:pPr>
          </w:p>
        </w:tc>
        <w:tc>
          <w:tcPr>
            <w:tcW w:w="1720" w:type="dxa"/>
            <w:vAlign w:val="bottom"/>
            <w:tcBorders>
              <w:bottom w:val="single" w:sz="8" w:color="auto"/>
              <w:right w:val="single" w:sz="8" w:color="00000A"/>
            </w:tcBorders>
          </w:tcPr>
          <w:p>
            <w:pPr>
              <w:spacing w:after="0"/>
              <w:rPr>
                <w:sz w:val="2"/>
                <w:szCs w:val="2"/>
                <w:color w:val="auto"/>
              </w:rPr>
            </w:pPr>
          </w:p>
        </w:tc>
        <w:tc>
          <w:tcPr>
            <w:tcW w:w="4000" w:type="dxa"/>
            <w:vAlign w:val="bottom"/>
            <w:tcBorders>
              <w:bottom w:val="single" w:sz="8" w:color="auto"/>
              <w:right w:val="single" w:sz="8" w:color="00000A"/>
            </w:tcBorders>
          </w:tcPr>
          <w:p>
            <w:pPr>
              <w:spacing w:after="0"/>
              <w:rPr>
                <w:sz w:val="2"/>
                <w:szCs w:val="2"/>
                <w:color w:val="auto"/>
              </w:rPr>
            </w:pPr>
          </w:p>
        </w:tc>
        <w:tc>
          <w:tcPr>
            <w:tcW w:w="1380" w:type="dxa"/>
            <w:vAlign w:val="bottom"/>
            <w:tcBorders>
              <w:bottom w:val="single" w:sz="8" w:color="auto"/>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tcBorders>
              <w:left w:val="single" w:sz="8" w:color="00000A"/>
              <w:right w:val="single" w:sz="8" w:color="00000A"/>
            </w:tcBorders>
          </w:tcPr>
          <w:p>
            <w:pPr>
              <w:ind w:left="160"/>
              <w:spacing w:after="0" w:line="183" w:lineRule="exact"/>
              <w:rPr>
                <w:sz w:val="20"/>
                <w:szCs w:val="20"/>
                <w:color w:val="auto"/>
              </w:rPr>
            </w:pPr>
            <w:r>
              <w:rPr>
                <w:rFonts w:ascii="Arial" w:cs="Arial" w:eastAsia="Arial" w:hAnsi="Arial"/>
                <w:sz w:val="19"/>
                <w:szCs w:val="19"/>
                <w:color w:val="auto"/>
              </w:rPr>
              <w:t>E.</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12-0704852-0001</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w w:val="99"/>
              </w:rPr>
              <w:t>Lessor: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right w:val="single" w:sz="8" w:color="00000A"/>
            </w:tcBorders>
          </w:tcPr>
          <w:p>
            <w:pPr>
              <w:spacing w:after="0"/>
              <w:rPr>
                <w:sz w:val="15"/>
                <w:szCs w:val="15"/>
                <w:color w:val="auto"/>
              </w:rPr>
            </w:pP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7"/>
              </w:rPr>
              <w:t>RO</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3"/>
              </w:rPr>
              <w:t>All forklift of every nature or kind described in a leasing contract</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3"/>
              </w:rPr>
              <w:t>Expiry Date : 2016-</w:t>
            </w:r>
          </w:p>
        </w:tc>
        <w:tc>
          <w:tcPr>
            <w:tcW w:w="0" w:type="dxa"/>
            <w:vAlign w:val="bottom"/>
          </w:tcPr>
          <w:p>
            <w:pPr>
              <w:spacing w:after="0"/>
              <w:rPr>
                <w:sz w:val="1"/>
                <w:szCs w:val="1"/>
                <w:color w:val="auto"/>
              </w:rPr>
            </w:pPr>
          </w:p>
        </w:tc>
      </w:tr>
      <w:tr>
        <w:trPr>
          <w:trHeight w:val="190"/>
        </w:trPr>
        <w:tc>
          <w:tcPr>
            <w:tcW w:w="620" w:type="dxa"/>
            <w:vAlign w:val="bottom"/>
            <w:tcBorders>
              <w:left w:val="single" w:sz="8" w:color="00000A"/>
              <w:right w:val="single" w:sz="8" w:color="00000A"/>
            </w:tcBorders>
          </w:tcPr>
          <w:p>
            <w:pPr>
              <w:spacing w:after="0"/>
              <w:rPr>
                <w:sz w:val="16"/>
                <w:szCs w:val="16"/>
                <w:color w:val="auto"/>
              </w:rPr>
            </w:pP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2012-08-28</w:t>
            </w:r>
          </w:p>
        </w:tc>
        <w:tc>
          <w:tcPr>
            <w:tcW w:w="1960" w:type="dxa"/>
            <w:vAlign w:val="bottom"/>
            <w:gridSpan w:val="5"/>
          </w:tcPr>
          <w:p>
            <w:pPr>
              <w:ind w:left="20"/>
              <w:spacing w:after="0"/>
              <w:rPr>
                <w:sz w:val="20"/>
                <w:szCs w:val="20"/>
                <w:color w:val="auto"/>
              </w:rPr>
            </w:pPr>
            <w:r>
              <w:rPr>
                <w:rFonts w:ascii="Arial" w:cs="Arial" w:eastAsia="Arial" w:hAnsi="Arial"/>
                <w:sz w:val="15"/>
                <w:szCs w:val="15"/>
                <w:color w:val="auto"/>
              </w:rPr>
              <w:t>National Leasing Group Inc.</w:t>
            </w:r>
          </w:p>
        </w:tc>
        <w:tc>
          <w:tcPr>
            <w:tcW w:w="320" w:type="dxa"/>
            <w:vAlign w:val="bottom"/>
            <w:tcBorders>
              <w:right w:val="single" w:sz="8" w:color="00000A"/>
            </w:tcBorders>
          </w:tcPr>
          <w:p>
            <w:pPr>
              <w:spacing w:after="0"/>
              <w:rPr>
                <w:sz w:val="16"/>
                <w:szCs w:val="16"/>
                <w:color w:val="auto"/>
              </w:rPr>
            </w:pPr>
          </w:p>
        </w:tc>
        <w:tc>
          <w:tcPr>
            <w:tcW w:w="17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2012-08-27</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8"/>
              </w:rPr>
              <w:t>dated Aug. 27, 2012 between the lessor, and the lessee, as</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8"/>
              </w:rPr>
              <w:t>09-01</w:t>
            </w:r>
          </w:p>
        </w:tc>
        <w:tc>
          <w:tcPr>
            <w:tcW w:w="0" w:type="dxa"/>
            <w:vAlign w:val="bottom"/>
          </w:tcPr>
          <w:p>
            <w:pPr>
              <w:spacing w:after="0"/>
              <w:rPr>
                <w:sz w:val="1"/>
                <w:szCs w:val="1"/>
                <w:color w:val="auto"/>
              </w:rPr>
            </w:pPr>
          </w:p>
        </w:tc>
      </w:tr>
      <w:tr>
        <w:trPr>
          <w:trHeight w:val="119"/>
        </w:trPr>
        <w:tc>
          <w:tcPr>
            <w:tcW w:w="620" w:type="dxa"/>
            <w:vAlign w:val="bottom"/>
            <w:tcBorders>
              <w:left w:val="single" w:sz="8" w:color="00000A"/>
              <w:right w:val="single" w:sz="8" w:color="00000A"/>
            </w:tcBorders>
          </w:tcPr>
          <w:p>
            <w:pPr>
              <w:spacing w:after="0"/>
              <w:rPr>
                <w:sz w:val="10"/>
                <w:szCs w:val="10"/>
                <w:color w:val="auto"/>
              </w:rPr>
            </w:pPr>
          </w:p>
        </w:tc>
        <w:tc>
          <w:tcPr>
            <w:tcW w:w="1480" w:type="dxa"/>
            <w:vAlign w:val="bottom"/>
            <w:tcBorders>
              <w:right w:val="single" w:sz="8" w:color="00000A"/>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Borders>
              <w:right w:val="single" w:sz="8" w:color="00000A"/>
            </w:tcBorders>
          </w:tcPr>
          <w:p>
            <w:pPr>
              <w:spacing w:after="0"/>
              <w:rPr>
                <w:sz w:val="10"/>
                <w:szCs w:val="10"/>
                <w:color w:val="auto"/>
              </w:rPr>
            </w:pPr>
          </w:p>
        </w:tc>
        <w:tc>
          <w:tcPr>
            <w:tcW w:w="1720" w:type="dxa"/>
            <w:vAlign w:val="bottom"/>
            <w:tcBorders>
              <w:right w:val="single" w:sz="8" w:color="00000A"/>
            </w:tcBorders>
          </w:tcPr>
          <w:p>
            <w:pPr>
              <w:spacing w:after="0"/>
              <w:rPr>
                <w:sz w:val="10"/>
                <w:szCs w:val="10"/>
                <w:color w:val="auto"/>
              </w:rPr>
            </w:pPr>
          </w:p>
        </w:tc>
        <w:tc>
          <w:tcPr>
            <w:tcW w:w="4000" w:type="dxa"/>
            <w:vAlign w:val="bottom"/>
            <w:tcBorders>
              <w:right w:val="single" w:sz="8" w:color="00000A"/>
            </w:tcBorders>
          </w:tcPr>
          <w:p>
            <w:pPr>
              <w:spacing w:after="0"/>
              <w:rPr>
                <w:sz w:val="10"/>
                <w:szCs w:val="10"/>
                <w:color w:val="auto"/>
              </w:rPr>
            </w:pPr>
          </w:p>
        </w:tc>
        <w:tc>
          <w:tcPr>
            <w:tcW w:w="13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03" w:right="199" w:bottom="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620" w:type="dxa"/>
            <w:vAlign w:val="bottom"/>
            <w:tcBorders>
              <w:left w:val="single" w:sz="8" w:color="00000A"/>
              <w:right w:val="single" w:sz="8" w:color="00000A"/>
            </w:tcBorders>
          </w:tcPr>
          <w:p>
            <w:pPr>
              <w:spacing w:after="0"/>
              <w:rPr>
                <w:sz w:val="14"/>
                <w:szCs w:val="14"/>
                <w:color w:val="auto"/>
              </w:rPr>
            </w:pPr>
          </w:p>
        </w:tc>
        <w:tc>
          <w:tcPr>
            <w:tcW w:w="1480" w:type="dxa"/>
            <w:vAlign w:val="bottom"/>
            <w:tcBorders>
              <w:right w:val="single" w:sz="8" w:color="00000A"/>
            </w:tcBorders>
          </w:tcPr>
          <w:p>
            <w:pPr>
              <w:ind w:left="420"/>
              <w:spacing w:after="0"/>
              <w:rPr>
                <w:sz w:val="20"/>
                <w:szCs w:val="20"/>
                <w:color w:val="auto"/>
              </w:rPr>
            </w:pPr>
            <w:r>
              <w:rPr>
                <w:rFonts w:ascii="Arial" w:cs="Arial" w:eastAsia="Arial" w:hAnsi="Arial"/>
                <w:sz w:val="15"/>
                <w:szCs w:val="15"/>
                <w:color w:val="auto"/>
              </w:rPr>
              <w:t>02:38 PM</w:t>
            </w:r>
          </w:p>
        </w:tc>
        <w:tc>
          <w:tcPr>
            <w:tcW w:w="22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5"/>
                <w:szCs w:val="15"/>
                <w:b w:val="1"/>
                <w:bCs w:val="1"/>
                <w:color w:val="auto"/>
              </w:rPr>
              <w:t>Lessee:</w:t>
            </w:r>
          </w:p>
        </w:tc>
        <w:tc>
          <w:tcPr>
            <w:tcW w:w="1720" w:type="dxa"/>
            <w:vAlign w:val="bottom"/>
            <w:tcBorders>
              <w:right w:val="single" w:sz="8" w:color="00000A"/>
            </w:tcBorders>
          </w:tcPr>
          <w:p>
            <w:pPr>
              <w:ind w:left="380"/>
              <w:spacing w:after="0"/>
              <w:rPr>
                <w:sz w:val="20"/>
                <w:szCs w:val="20"/>
                <w:color w:val="auto"/>
              </w:rPr>
            </w:pPr>
            <w:r>
              <w:rPr>
                <w:rFonts w:ascii="Arial" w:cs="Arial" w:eastAsia="Arial" w:hAnsi="Arial"/>
                <w:sz w:val="15"/>
                <w:szCs w:val="15"/>
                <w:color w:val="auto"/>
              </w:rPr>
              <w:t>Private Writing</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1"/>
              </w:rPr>
              <w:t>amended from time to time, together with all attachments,</w:t>
            </w:r>
          </w:p>
        </w:tc>
        <w:tc>
          <w:tcPr>
            <w:tcW w:w="138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2280" w:type="dxa"/>
            <w:vAlign w:val="bottom"/>
            <w:tcBorders>
              <w:right w:val="single" w:sz="8" w:color="00000A"/>
            </w:tcBorders>
            <w:vMerge w:val="continue"/>
          </w:tcPr>
          <w:p>
            <w:pPr>
              <w:spacing w:after="0"/>
              <w:rPr>
                <w:sz w:val="15"/>
                <w:szCs w:val="15"/>
                <w:color w:val="auto"/>
              </w:rPr>
            </w:pP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accessories and substitutions placed on or forming part of such</w:t>
            </w:r>
          </w:p>
        </w:tc>
        <w:tc>
          <w:tcPr>
            <w:tcW w:w="13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00000A"/>
              <w:right w:val="single" w:sz="8" w:color="00000A"/>
            </w:tcBorders>
          </w:tcPr>
          <w:p>
            <w:pPr>
              <w:spacing w:after="0"/>
              <w:rPr>
                <w:sz w:val="15"/>
                <w:szCs w:val="15"/>
                <w:color w:val="auto"/>
              </w:rPr>
            </w:pPr>
          </w:p>
        </w:tc>
        <w:tc>
          <w:tcPr>
            <w:tcW w:w="1480" w:type="dxa"/>
            <w:vAlign w:val="bottom"/>
            <w:tcBorders>
              <w:right w:val="single" w:sz="8" w:color="00000A"/>
            </w:tcBorders>
          </w:tcPr>
          <w:p>
            <w:pPr>
              <w:spacing w:after="0"/>
              <w:rPr>
                <w:sz w:val="15"/>
                <w:szCs w:val="15"/>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5"/>
                <w:szCs w:val="15"/>
                <w:color w:val="auto"/>
              </w:rPr>
              <w:t>Hazmasters Inc.</w:t>
            </w:r>
          </w:p>
        </w:tc>
        <w:tc>
          <w:tcPr>
            <w:tcW w:w="1720" w:type="dxa"/>
            <w:vAlign w:val="bottom"/>
            <w:tcBorders>
              <w:right w:val="single" w:sz="8" w:color="00000A"/>
            </w:tcBorders>
          </w:tcPr>
          <w:p>
            <w:pPr>
              <w:spacing w:after="0"/>
              <w:rPr>
                <w:sz w:val="15"/>
                <w:szCs w:val="15"/>
                <w:color w:val="auto"/>
              </w:rPr>
            </w:pP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goods and any proceeds derived from the sale or disposition of</w:t>
            </w:r>
          </w:p>
        </w:tc>
        <w:tc>
          <w:tcPr>
            <w:tcW w:w="13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00000A"/>
              <w:right w:val="single" w:sz="8" w:color="00000A"/>
            </w:tcBorders>
          </w:tcPr>
          <w:p>
            <w:pPr>
              <w:spacing w:after="0"/>
              <w:rPr>
                <w:sz w:val="20"/>
                <w:szCs w:val="20"/>
                <w:color w:val="auto"/>
              </w:rPr>
            </w:pPr>
          </w:p>
        </w:tc>
        <w:tc>
          <w:tcPr>
            <w:tcW w:w="1480" w:type="dxa"/>
            <w:vAlign w:val="bottom"/>
            <w:tcBorders>
              <w:right w:val="single" w:sz="8" w:color="00000A"/>
            </w:tcBorders>
          </w:tcPr>
          <w:p>
            <w:pPr>
              <w:spacing w:after="0"/>
              <w:rPr>
                <w:sz w:val="20"/>
                <w:szCs w:val="20"/>
                <w:color w:val="auto"/>
              </w:rPr>
            </w:pPr>
          </w:p>
        </w:tc>
        <w:tc>
          <w:tcPr>
            <w:tcW w:w="2280" w:type="dxa"/>
            <w:vAlign w:val="bottom"/>
            <w:tcBorders>
              <w:right w:val="single" w:sz="8" w:color="00000A"/>
            </w:tcBorders>
          </w:tcPr>
          <w:p>
            <w:pPr>
              <w:spacing w:after="0"/>
              <w:rPr>
                <w:sz w:val="20"/>
                <w:szCs w:val="20"/>
                <w:color w:val="auto"/>
              </w:rPr>
            </w:pPr>
          </w:p>
        </w:tc>
        <w:tc>
          <w:tcPr>
            <w:tcW w:w="1720" w:type="dxa"/>
            <w:vAlign w:val="bottom"/>
            <w:tcBorders>
              <w:right w:val="single" w:sz="8" w:color="00000A"/>
            </w:tcBorders>
          </w:tcPr>
          <w:p>
            <w:pPr>
              <w:spacing w:after="0"/>
              <w:rPr>
                <w:sz w:val="20"/>
                <w:szCs w:val="20"/>
                <w:color w:val="auto"/>
              </w:rPr>
            </w:pP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6"/>
              </w:rPr>
              <w:t>such goods.</w:t>
            </w:r>
          </w:p>
        </w:tc>
        <w:tc>
          <w:tcPr>
            <w:tcW w:w="13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6.10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EXISTING RESTRICTIONS</w:t>
      </w:r>
    </w:p>
    <w:p>
      <w:pPr>
        <w:spacing w:after="0" w:line="219" w:lineRule="exact"/>
        <w:rPr>
          <w:sz w:val="20"/>
          <w:szCs w:val="20"/>
          <w:color w:val="auto"/>
        </w:rPr>
      </w:pPr>
    </w:p>
    <w:p>
      <w:pPr>
        <w:ind w:left="580" w:hanging="279"/>
        <w:spacing w:after="0"/>
        <w:tabs>
          <w:tab w:leader="none" w:pos="580"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The Receivables Securitization Agreements.</w:t>
      </w:r>
    </w:p>
    <w:p>
      <w:pPr>
        <w:spacing w:after="0" w:line="245" w:lineRule="exact"/>
        <w:rPr>
          <w:rFonts w:ascii="Arial" w:cs="Arial" w:eastAsia="Arial" w:hAnsi="Arial"/>
          <w:sz w:val="17"/>
          <w:szCs w:val="17"/>
          <w:b w:val="1"/>
          <w:bCs w:val="1"/>
          <w:color w:val="auto"/>
        </w:rPr>
      </w:pPr>
    </w:p>
    <w:p>
      <w:pPr>
        <w:ind w:left="580" w:hanging="279"/>
        <w:spacing w:after="0"/>
        <w:tabs>
          <w:tab w:leader="none" w:pos="58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Indenture, dated August 27, 2009, by and among WESCO International, Inc., WESCO Distribution, Inc. and The Bank of New York Mellon, as Trustee.</w:t>
      </w:r>
    </w:p>
    <w:p>
      <w:pPr>
        <w:spacing w:after="0" w:line="292" w:lineRule="exact"/>
        <w:rPr>
          <w:rFonts w:ascii="Arial" w:cs="Arial" w:eastAsia="Arial" w:hAnsi="Arial"/>
          <w:sz w:val="16"/>
          <w:szCs w:val="16"/>
          <w:b w:val="1"/>
          <w:bCs w:val="1"/>
          <w:color w:val="auto"/>
        </w:rPr>
      </w:pPr>
    </w:p>
    <w:p>
      <w:pPr>
        <w:ind w:left="580" w:right="500" w:hanging="279"/>
        <w:spacing w:after="0" w:line="324" w:lineRule="auto"/>
        <w:tabs>
          <w:tab w:leader="none" w:pos="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Affiliate Subordination Agreement, dated as of December 12, 2012, made by and among the Subordinated Creditors and Subordinated Debtors party thereto (as defined therein) in favor of Credit Suisse AG, Cayman Islands Branch.</w:t>
      </w:r>
    </w:p>
    <w:p>
      <w:pPr>
        <w:spacing w:after="0" w:line="187" w:lineRule="exact"/>
        <w:rPr>
          <w:rFonts w:ascii="Arial" w:cs="Arial" w:eastAsia="Arial" w:hAnsi="Arial"/>
          <w:sz w:val="17"/>
          <w:szCs w:val="17"/>
          <w:color w:val="auto"/>
        </w:rPr>
      </w:pPr>
    </w:p>
    <w:p>
      <w:pPr>
        <w:ind w:left="580" w:right="840" w:hanging="279"/>
        <w:spacing w:after="0" w:line="324" w:lineRule="auto"/>
        <w:tabs>
          <w:tab w:leader="none" w:pos="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Indenture, dated November 26, 2013, among WESCO Distribution, Inc., as Issuer, the Parent Guarantor named therein and 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ASSIGNMENT AND ASSUMPTION</w:t>
      </w:r>
    </w:p>
    <w:p>
      <w:pPr>
        <w:spacing w:after="0" w:line="398" w:lineRule="exact"/>
        <w:rPr>
          <w:sz w:val="20"/>
          <w:szCs w:val="20"/>
          <w:color w:val="auto"/>
        </w:rPr>
      </w:pPr>
    </w:p>
    <w:p>
      <w:pPr>
        <w:jc w:val="both"/>
        <w:ind w:left="20" w:right="20" w:firstLine="572"/>
        <w:spacing w:after="0" w:line="276"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Second Amended and Restated Credit Agreement identified below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57" w:lineRule="exact"/>
        <w:rPr>
          <w:sz w:val="20"/>
          <w:szCs w:val="20"/>
          <w:color w:val="auto"/>
        </w:rPr>
      </w:pPr>
    </w:p>
    <w:p>
      <w:pPr>
        <w:jc w:val="both"/>
        <w:ind w:left="20" w:right="20" w:firstLine="572"/>
        <w:spacing w:after="0" w:line="251"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20"/>
        <w:spacing w:after="0"/>
        <w:tabs>
          <w:tab w:leader="none" w:pos="300" w:val="left"/>
          <w:tab w:leader="none" w:pos="1320" w:val="left"/>
        </w:tabs>
        <w:rPr>
          <w:sz w:val="20"/>
          <w:szCs w:val="20"/>
          <w:color w:val="auto"/>
        </w:rPr>
      </w:pPr>
      <w:r>
        <w:rPr>
          <w:rFonts w:ascii="Arial" w:cs="Arial" w:eastAsia="Arial" w:hAnsi="Arial"/>
          <w:sz w:val="17"/>
          <w:szCs w:val="17"/>
          <w:color w:val="auto"/>
        </w:rPr>
        <w:t>1.</w:t>
        <w:tab/>
        <w:t>Assignor:</w:t>
      </w:r>
      <w:r>
        <w:rPr>
          <w:sz w:val="20"/>
          <w:szCs w:val="20"/>
          <w:color w:val="auto"/>
        </w:rPr>
        <w:tab/>
      </w:r>
      <w:r>
        <w:rPr>
          <w:rFonts w:ascii="Arial" w:cs="Arial" w:eastAsia="Arial" w:hAnsi="Arial"/>
          <w:sz w:val="15"/>
          <w:szCs w:val="15"/>
          <w:color w:val="auto"/>
        </w:rPr>
        <w:t>______________________________</w:t>
      </w:r>
    </w:p>
    <w:p>
      <w:pPr>
        <w:spacing w:after="0" w:line="210"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7"/>
          <w:szCs w:val="17"/>
          <w:color w:val="auto"/>
        </w:rPr>
        <w:t>2.Assignee:</w:t>
      </w:r>
      <w:r>
        <w:rPr>
          <w:sz w:val="20"/>
          <w:szCs w:val="20"/>
          <w:color w:val="auto"/>
        </w:rPr>
        <w:tab/>
      </w:r>
      <w:r>
        <w:rPr>
          <w:rFonts w:ascii="Arial" w:cs="Arial" w:eastAsia="Arial" w:hAnsi="Arial"/>
          <w:sz w:val="15"/>
          <w:szCs w:val="15"/>
          <w:color w:val="auto"/>
        </w:rPr>
        <w:t>______________________________</w:t>
      </w:r>
    </w:p>
    <w:p>
      <w:pPr>
        <w:spacing w:after="0" w:line="18"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[and is an Affiliate/Approved Fund of [</w:t>
      </w:r>
      <w:r>
        <w:rPr>
          <w:rFonts w:ascii="Arial" w:cs="Arial" w:eastAsia="Arial" w:hAnsi="Arial"/>
          <w:sz w:val="17"/>
          <w:szCs w:val="17"/>
          <w:i w:val="1"/>
          <w:iCs w:val="1"/>
          <w:color w:val="auto"/>
        </w:rPr>
        <w:t>identify Lender</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14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color w:val="auto"/>
        </w:rPr>
        <w:t>3.Borrowers:</w:t>
      </w:r>
      <w:r>
        <w:rPr>
          <w:sz w:val="20"/>
          <w:szCs w:val="20"/>
          <w:color w:val="auto"/>
        </w:rPr>
        <w:tab/>
      </w:r>
      <w:r>
        <w:rPr>
          <w:rFonts w:ascii="Arial" w:cs="Arial" w:eastAsia="Arial" w:hAnsi="Arial"/>
          <w:sz w:val="16"/>
          <w:szCs w:val="16"/>
          <w:color w:val="auto"/>
        </w:rPr>
        <w:t>WESCO Distribution, Inc., as a U.S. Borrower,</w:t>
      </w:r>
    </w:p>
    <w:p>
      <w:pPr>
        <w:spacing w:after="0" w:line="21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the other U.S. Borrowers party thereto,</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WESCO Distribution Canada LP, as a Canadian Borrower</w:t>
      </w:r>
    </w:p>
    <w:p>
      <w:pPr>
        <w:spacing w:after="0" w:line="19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the other Canadian Borrowers party thereto</w:t>
      </w:r>
    </w:p>
    <w:p>
      <w:pPr>
        <w:spacing w:after="0" w:line="210"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7"/>
          <w:szCs w:val="17"/>
          <w:color w:val="auto"/>
        </w:rPr>
        <w:t>4.Administrative Agent:</w:t>
      </w:r>
      <w:r>
        <w:rPr>
          <w:sz w:val="20"/>
          <w:szCs w:val="20"/>
          <w:color w:val="auto"/>
        </w:rPr>
        <w:tab/>
      </w:r>
      <w:r>
        <w:rPr>
          <w:rFonts w:ascii="Arial" w:cs="Arial" w:eastAsia="Arial" w:hAnsi="Arial"/>
          <w:sz w:val="15"/>
          <w:szCs w:val="15"/>
          <w:color w:val="auto"/>
        </w:rPr>
        <w:t>JPMorgan Chase Bank, N.A., as the administrative agent</w:t>
      </w:r>
    </w:p>
    <w:p>
      <w:pPr>
        <w:spacing w:after="0" w:line="210"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7"/>
          <w:szCs w:val="17"/>
          <w:color w:val="auto"/>
        </w:rPr>
        <w:t>5.Credit Agreement:</w:t>
      </w:r>
      <w:r>
        <w:rPr>
          <w:sz w:val="20"/>
          <w:szCs w:val="20"/>
          <w:color w:val="auto"/>
        </w:rPr>
        <w:tab/>
      </w:r>
      <w:r>
        <w:rPr>
          <w:rFonts w:ascii="Arial" w:cs="Arial" w:eastAsia="Arial" w:hAnsi="Arial"/>
          <w:sz w:val="16"/>
          <w:szCs w:val="16"/>
          <w:color w:val="auto"/>
        </w:rPr>
        <w:t>The Second Amended and Restated Credit Agreement dated as of September ____, 2015, among the Borrowers, the other Loan Parties</w:t>
      </w:r>
    </w:p>
    <w:p>
      <w:pPr>
        <w:spacing w:after="0" w:line="21" w:lineRule="exact"/>
        <w:rPr>
          <w:sz w:val="20"/>
          <w:szCs w:val="20"/>
          <w:color w:val="auto"/>
        </w:rPr>
      </w:pPr>
    </w:p>
    <w:p>
      <w:pPr>
        <w:ind w:left="2440" w:right="20"/>
        <w:spacing w:after="0" w:line="263" w:lineRule="auto"/>
        <w:rPr>
          <w:sz w:val="20"/>
          <w:szCs w:val="20"/>
          <w:color w:val="auto"/>
        </w:rPr>
      </w:pPr>
      <w:r>
        <w:rPr>
          <w:rFonts w:ascii="Arial" w:cs="Arial" w:eastAsia="Arial" w:hAnsi="Arial"/>
          <w:sz w:val="17"/>
          <w:szCs w:val="17"/>
          <w:color w:val="auto"/>
        </w:rPr>
        <w:t>party thereto, the other Lenders party thereto, the Administrative Agent, and JPMorgan Chase Bank, N.A., Toronto Branch, as Canadian Administrative Agent.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6.Assigned Interest:</w:t>
      </w:r>
    </w:p>
    <w:p>
      <w:pPr>
        <w:spacing w:after="0" w:line="323" w:lineRule="exact"/>
        <w:rPr>
          <w:sz w:val="20"/>
          <w:szCs w:val="20"/>
          <w:color w:val="auto"/>
        </w:rPr>
      </w:pPr>
    </w:p>
    <w:tbl>
      <w:tblPr>
        <w:tblLayout w:type="fixed"/>
        <w:tblInd w:w="30" w:type="dxa"/>
        <w:tblCellMar>
          <w:top w:w="0" w:type="dxa"/>
          <w:left w:w="0" w:type="dxa"/>
          <w:bottom w:w="0" w:type="dxa"/>
          <w:right w:w="0" w:type="dxa"/>
        </w:tblCellMar>
      </w:tblPr>
      <w:tr>
        <w:trPr>
          <w:trHeight w:val="224"/>
        </w:trPr>
        <w:tc>
          <w:tcPr>
            <w:tcW w:w="436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17"/>
                <w:szCs w:val="17"/>
                <w:color w:val="auto"/>
                <w:w w:val="94"/>
              </w:rPr>
              <w:t>Aggregate Revolving Commitments</w:t>
            </w:r>
          </w:p>
        </w:tc>
        <w:tc>
          <w:tcPr>
            <w:tcW w:w="35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6"/>
              </w:rPr>
              <w:t>Amount of Commitment/Revolving Loans</w:t>
            </w:r>
          </w:p>
        </w:tc>
        <w:tc>
          <w:tcPr>
            <w:tcW w:w="35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17"/>
                <w:szCs w:val="17"/>
                <w:color w:val="auto"/>
                <w:w w:val="93"/>
              </w:rPr>
              <w:t>Percentage Assigned of Revolving Commitments</w:t>
            </w:r>
          </w:p>
        </w:tc>
        <w:tc>
          <w:tcPr>
            <w:tcW w:w="0" w:type="dxa"/>
            <w:vAlign w:val="bottom"/>
          </w:tcPr>
          <w:p>
            <w:pPr>
              <w:spacing w:after="0"/>
              <w:rPr>
                <w:sz w:val="1"/>
                <w:szCs w:val="1"/>
                <w:color w:val="auto"/>
              </w:rPr>
            </w:pPr>
          </w:p>
        </w:tc>
      </w:tr>
      <w:tr>
        <w:trPr>
          <w:trHeight w:val="114"/>
        </w:trPr>
        <w:tc>
          <w:tcPr>
            <w:tcW w:w="4360" w:type="dxa"/>
            <w:vAlign w:val="bottom"/>
            <w:tcBorders>
              <w:left w:val="single" w:sz="8" w:color="00000A"/>
              <w:right w:val="single" w:sz="8" w:color="00000A"/>
            </w:tcBorders>
            <w:vMerge w:val="continue"/>
          </w:tcPr>
          <w:p>
            <w:pPr>
              <w:spacing w:after="0"/>
              <w:rPr>
                <w:sz w:val="9"/>
                <w:szCs w:val="9"/>
                <w:color w:val="auto"/>
              </w:rPr>
            </w:pPr>
          </w:p>
        </w:tc>
        <w:tc>
          <w:tcPr>
            <w:tcW w:w="35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7"/>
                <w:szCs w:val="17"/>
                <w:color w:val="auto"/>
                <w:w w:val="94"/>
              </w:rPr>
              <w:t>Assigned</w:t>
            </w:r>
          </w:p>
        </w:tc>
        <w:tc>
          <w:tcPr>
            <w:tcW w:w="35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360" w:type="dxa"/>
            <w:vAlign w:val="bottom"/>
            <w:tcBorders>
              <w:left w:val="single" w:sz="8" w:color="00000A"/>
              <w:bottom w:val="single" w:sz="8" w:color="00000A"/>
              <w:right w:val="single" w:sz="8" w:color="00000A"/>
            </w:tcBorders>
          </w:tcPr>
          <w:p>
            <w:pPr>
              <w:spacing w:after="0"/>
              <w:rPr>
                <w:sz w:val="10"/>
                <w:szCs w:val="10"/>
                <w:color w:val="auto"/>
              </w:rPr>
            </w:pPr>
          </w:p>
        </w:tc>
        <w:tc>
          <w:tcPr>
            <w:tcW w:w="3560" w:type="dxa"/>
            <w:vAlign w:val="bottom"/>
            <w:tcBorders>
              <w:bottom w:val="single" w:sz="8" w:color="00000A"/>
              <w:right w:val="single" w:sz="8" w:color="00000A"/>
            </w:tcBorders>
            <w:vMerge w:val="continue"/>
          </w:tcPr>
          <w:p>
            <w:pPr>
              <w:spacing w:after="0"/>
              <w:rPr>
                <w:sz w:val="10"/>
                <w:szCs w:val="10"/>
                <w:color w:val="auto"/>
              </w:rPr>
            </w:pPr>
          </w:p>
        </w:tc>
        <w:tc>
          <w:tcPr>
            <w:tcW w:w="35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3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42"/>
        </w:trPr>
        <w:tc>
          <w:tcPr>
            <w:tcW w:w="43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42"/>
        </w:trPr>
        <w:tc>
          <w:tcPr>
            <w:tcW w:w="43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4"/>
              </w:rPr>
              <w:t>$</w:t>
            </w:r>
          </w:p>
        </w:tc>
        <w:tc>
          <w:tcPr>
            <w:tcW w:w="35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bl>
    <w:p>
      <w:pPr>
        <w:sectPr>
          <w:pgSz w:w="11900" w:h="16838" w:orient="portrait"/>
          <w:cols w:equalWidth="0" w:num="1">
            <w:col w:w="11480"/>
          </w:cols>
          <w:pgMar w:left="220" w:top="130" w:right="199" w:bottom="0" w:gutter="0" w:footer="0" w:header="0"/>
        </w:sectPr>
      </w:pPr>
    </w:p>
    <w:bookmarkStart w:id="106" w:name="page107"/>
    <w:bookmarkEnd w:id="106"/>
    <w:p>
      <w:pPr>
        <w:spacing w:after="0" w:line="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Effective Date: _____________ ___, 20___ [TO BE INSERTED BY ADMINISTRATIVE AGENT AND WHICH SHALL BE THE EFFECTIVE DATE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 RECORDATION OF TRANSFER IN THE REGISTER THEREFOR.]</w:t>
      </w:r>
    </w:p>
    <w:p>
      <w:pPr>
        <w:spacing w:after="0" w:line="203" w:lineRule="exact"/>
        <w:rPr>
          <w:sz w:val="20"/>
          <w:szCs w:val="20"/>
          <w:color w:val="auto"/>
        </w:rPr>
      </w:pPr>
    </w:p>
    <w:p>
      <w:pPr>
        <w:jc w:val="both"/>
        <w:ind w:left="560" w:firstLine="572"/>
        <w:spacing w:after="0" w:line="296" w:lineRule="auto"/>
        <w:rPr>
          <w:sz w:val="20"/>
          <w:szCs w:val="20"/>
          <w:color w:val="auto"/>
        </w:rPr>
      </w:pPr>
      <w:r>
        <w:rPr>
          <w:rFonts w:ascii="Arial" w:cs="Arial" w:eastAsia="Arial" w:hAnsi="Arial"/>
          <w:sz w:val="17"/>
          <w:szCs w:val="17"/>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terms set forth in this Assignment and Assumption are hereby agreed to:</w:t>
      </w:r>
    </w:p>
    <w:p>
      <w:pPr>
        <w:spacing w:after="0" w:line="393" w:lineRule="exact"/>
        <w:rPr>
          <w:sz w:val="20"/>
          <w:szCs w:val="20"/>
          <w:color w:val="auto"/>
        </w:rPr>
      </w:pPr>
    </w:p>
    <w:p>
      <w:pPr>
        <w:ind w:left="3420"/>
        <w:spacing w:after="0"/>
        <w:rPr>
          <w:sz w:val="20"/>
          <w:szCs w:val="20"/>
          <w:color w:val="auto"/>
        </w:rPr>
      </w:pPr>
      <w:r>
        <w:rPr>
          <w:rFonts w:ascii="Arial" w:cs="Arial" w:eastAsia="Arial" w:hAnsi="Arial"/>
          <w:sz w:val="17"/>
          <w:szCs w:val="17"/>
          <w:u w:val="single" w:color="auto"/>
          <w:color w:val="auto"/>
        </w:rPr>
        <w:t>ASSIGNOR</w:t>
      </w: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[NAME OF ASSIGNOR]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w:t>
      </w:r>
    </w:p>
    <w:p>
      <w:pPr>
        <w:spacing w:after="0" w:line="2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u w:val="single" w:color="auto"/>
          <w:color w:val="auto"/>
        </w:rPr>
        <w:t>ASSIGNEE</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 OF ASSIGNEE]</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Consented to and Accepted:</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as Administrative Agent and as Issuing Bank</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Consented to:</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[NAME(S) OF ADDITIONAL ISSUING BANK(S)]</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[Consented to:]</w:t>
      </w:r>
      <w:r>
        <w:rPr>
          <w:rFonts w:ascii="Arial" w:cs="Arial" w:eastAsia="Arial" w:hAnsi="Arial"/>
          <w:sz w:val="22"/>
          <w:szCs w:val="22"/>
          <w:color w:val="auto"/>
          <w:vertAlign w:val="superscript"/>
        </w:rPr>
        <w:t>5</w:t>
      </w:r>
    </w:p>
    <w:p>
      <w:pPr>
        <w:spacing w:after="0" w:line="15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DISTRIBUTION, INC., as Borrower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Representative]</w:t>
      </w:r>
    </w:p>
    <w:p>
      <w:pPr>
        <w:spacing w:after="0" w:line="3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ANNEX 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w:t>
      </w:r>
    </w:p>
    <w:p>
      <w:pPr>
        <w:spacing w:after="0" w:line="196" w:lineRule="exact"/>
        <w:rPr>
          <w:sz w:val="20"/>
          <w:szCs w:val="20"/>
          <w:color w:val="auto"/>
        </w:rPr>
      </w:pPr>
    </w:p>
    <w:p>
      <w:pPr>
        <w:ind w:left="1320" w:hanging="181"/>
        <w:spacing w:after="0"/>
        <w:tabs>
          <w:tab w:leader="none" w:pos="132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10" w:lineRule="exact"/>
        <w:rPr>
          <w:sz w:val="20"/>
          <w:szCs w:val="20"/>
          <w:color w:val="auto"/>
        </w:rPr>
      </w:pPr>
    </w:p>
    <w:p>
      <w:pPr>
        <w:jc w:val="both"/>
        <w:ind w:firstLine="1144"/>
        <w:spacing w:after="0" w:line="27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Subsidiary or Affiliate of any Borrower, or any other Person obligated in respect of any Loan Document or (iv) the performance or observance by any Borrower, any Subsidiaries or Affiliates of any Borrower, or any other Person of any of their respective obligations under any Loan Document.</w:t>
      </w:r>
    </w:p>
    <w:p>
      <w:pPr>
        <w:spacing w:after="0" w:line="161" w:lineRule="exact"/>
        <w:rPr>
          <w:sz w:val="20"/>
          <w:szCs w:val="20"/>
          <w:color w:val="auto"/>
        </w:rPr>
      </w:pPr>
    </w:p>
    <w:p>
      <w:pPr>
        <w:jc w:val="both"/>
        <w:ind w:right="20" w:firstLine="1144"/>
        <w:spacing w:after="0" w:line="28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w:t>
      </w:r>
    </w:p>
    <w:p>
      <w:pPr>
        <w:sectPr>
          <w:pgSz w:w="11900" w:h="16874" w:orient="portrait"/>
          <w:cols w:equalWidth="0" w:num="1">
            <w:col w:w="11440"/>
          </w:cols>
          <w:pgMar w:left="240" w:top="530" w:right="219" w:bottom="0" w:gutter="0" w:footer="0" w:header="0"/>
        </w:sectPr>
      </w:pPr>
    </w:p>
    <w:bookmarkStart w:id="107" w:name="page108"/>
    <w:bookmarkEnd w:id="107"/>
    <w:p>
      <w:pPr>
        <w:spacing w:after="0" w:line="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Non-U.S. Lender, attached to this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9" w:lineRule="exact"/>
        <w:rPr>
          <w:sz w:val="20"/>
          <w:szCs w:val="20"/>
          <w:color w:val="auto"/>
        </w:rPr>
      </w:pPr>
    </w:p>
    <w:p>
      <w:pPr>
        <w:jc w:val="both"/>
        <w:ind w:right="20" w:firstLine="1139"/>
        <w:spacing w:after="0" w:line="264" w:lineRule="auto"/>
        <w:tabs>
          <w:tab w:leader="none" w:pos="131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65" w:lineRule="exact"/>
        <w:rPr>
          <w:rFonts w:ascii="Arial" w:cs="Arial" w:eastAsia="Arial" w:hAnsi="Arial"/>
          <w:sz w:val="17"/>
          <w:szCs w:val="17"/>
          <w:color w:val="auto"/>
        </w:rPr>
      </w:pPr>
    </w:p>
    <w:p>
      <w:pPr>
        <w:jc w:val="both"/>
        <w:ind w:right="20" w:firstLine="1139"/>
        <w:spacing w:after="0" w:line="304" w:lineRule="auto"/>
        <w:tabs>
          <w:tab w:leader="none" w:pos="1318"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138430</wp:posOffset>
            </wp:positionV>
            <wp:extent cx="4486275" cy="6249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86275" cy="624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COMPLIANCE CERTIFICATE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To:The Lenders party to the</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Credit Agreement Described Below</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Compliance Certificate is furnished pursuant to that certain Second Amended and Restated Credit Agreement dated as of September ____, 2015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amended, restated, supplemented, modified, renewed or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WESCO Distribution, Inc., a Delaware</w:t>
      </w:r>
    </w:p>
    <w:p>
      <w:pPr>
        <w:sectPr>
          <w:pgSz w:w="11900" w:h="16857" w:orient="portrait"/>
          <w:cols w:equalWidth="0" w:num="1">
            <w:col w:w="11440"/>
          </w:cols>
          <w:pgMar w:left="240" w:top="124" w:right="219" w:bottom="0" w:gutter="0" w:footer="0" w:header="0"/>
        </w:sectPr>
      </w:pPr>
    </w:p>
    <w:bookmarkStart w:id="108" w:name="page109"/>
    <w:bookmarkEnd w:id="108"/>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Distribution</w:t>
      </w:r>
      <w:r>
        <w:rPr>
          <w:rFonts w:ascii="Arial" w:cs="Arial" w:eastAsia="Arial" w:hAnsi="Arial"/>
          <w:sz w:val="16"/>
          <w:szCs w:val="16"/>
          <w:color w:val="auto"/>
        </w:rPr>
        <w:t>”), the other U.S. Borrowers party thereto (together with Distribution, the “</w:t>
      </w:r>
      <w:r>
        <w:rPr>
          <w:rFonts w:ascii="Arial" w:cs="Arial" w:eastAsia="Arial" w:hAnsi="Arial"/>
          <w:sz w:val="16"/>
          <w:szCs w:val="16"/>
          <w:u w:val="single" w:color="auto"/>
          <w:color w:val="auto"/>
        </w:rPr>
        <w:t>U.S. Borrowers</w:t>
      </w:r>
      <w:r>
        <w:rPr>
          <w:rFonts w:ascii="Arial" w:cs="Arial" w:eastAsia="Arial" w:hAnsi="Arial"/>
          <w:sz w:val="16"/>
          <w:szCs w:val="16"/>
          <w:color w:val="auto"/>
        </w:rPr>
        <w:t>”), WESCO Distribution Canada LP, an Ontario limited partnership (“</w:t>
      </w:r>
      <w:r>
        <w:rPr>
          <w:rFonts w:ascii="Arial" w:cs="Arial" w:eastAsia="Arial" w:hAnsi="Arial"/>
          <w:sz w:val="16"/>
          <w:szCs w:val="16"/>
          <w:u w:val="single" w:color="auto"/>
          <w:color w:val="auto"/>
        </w:rPr>
        <w:t>Distribution Canada</w:t>
      </w:r>
      <w:r>
        <w:rPr>
          <w:rFonts w:ascii="Arial" w:cs="Arial" w:eastAsia="Arial" w:hAnsi="Arial"/>
          <w:sz w:val="16"/>
          <w:szCs w:val="16"/>
          <w:color w:val="auto"/>
        </w:rPr>
        <w:t>”), the other Canadian Borrowers party thereto (together with Distribution Canada,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each of the U.S. Borrowers and the Canadian Borrowers are referred to herein collectively as the “</w:t>
      </w:r>
      <w:r>
        <w:rPr>
          <w:rFonts w:ascii="Arial" w:cs="Arial" w:eastAsia="Arial" w:hAnsi="Arial"/>
          <w:sz w:val="16"/>
          <w:szCs w:val="16"/>
          <w:u w:val="single" w:color="auto"/>
          <w:color w:val="auto"/>
        </w:rPr>
        <w:t>Borrowers</w:t>
      </w:r>
      <w:r>
        <w:rPr>
          <w:rFonts w:ascii="Arial" w:cs="Arial" w:eastAsia="Arial" w:hAnsi="Arial"/>
          <w:sz w:val="16"/>
          <w:szCs w:val="16"/>
          <w:color w:val="auto"/>
        </w:rPr>
        <w:t>”), WESCO International, Inc., a Delaware corporation, the Lenders party thereto, JPMorgan Chase Bank, N.A., as Administrative Agent for the Lenders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JPMorgan Chase Bank, N.A., Toronto Branch, as Canadian Administrative Agent. This Compliance Certificate is being delivered by Distribution in its capacity as Borrower Representative. Unless otherwise defined herein, capitalized terms used in this Compliance Certificate have the meanings ascribed thereto in the Credit Agreement.</w:t>
      </w:r>
    </w:p>
    <w:p>
      <w:pPr>
        <w:spacing w:after="0" w:line="159"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THE UNDERSIGNED, AS BORROWER REPRESENTATIVE, HEREBY CERTIFIES, SOLELY IN MY CAPACITY AS A FINANCIAL OFFICER AND NOT IN MY INDIVIDUAL CAPACITY, ON BEHALF OF THE BORROWER REPRESENTATIVE AND ON BEHALF OF THE OTHER BORROWERS, THAT:</w:t>
      </w:r>
    </w:p>
    <w:p>
      <w:pPr>
        <w:spacing w:after="0" w:line="165" w:lineRule="exact"/>
        <w:rPr>
          <w:sz w:val="20"/>
          <w:szCs w:val="20"/>
          <w:color w:val="auto"/>
        </w:rPr>
      </w:pPr>
    </w:p>
    <w:p>
      <w:pPr>
        <w:ind w:left="880" w:hanging="313"/>
        <w:spacing w:after="0"/>
        <w:tabs>
          <w:tab w:leader="none" w:pos="8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 am the duly elected ___________________ of the Borrower Representative;</w:t>
      </w:r>
    </w:p>
    <w:p>
      <w:pPr>
        <w:spacing w:after="0" w:line="209" w:lineRule="exact"/>
        <w:rPr>
          <w:rFonts w:ascii="Arial" w:cs="Arial" w:eastAsia="Arial" w:hAnsi="Arial"/>
          <w:sz w:val="17"/>
          <w:szCs w:val="17"/>
          <w:color w:val="auto"/>
        </w:rPr>
      </w:pPr>
    </w:p>
    <w:p>
      <w:pPr>
        <w:jc w:val="both"/>
        <w:ind w:firstLine="567"/>
        <w:spacing w:after="0" w:line="256" w:lineRule="auto"/>
        <w:tabs>
          <w:tab w:leader="none" w:pos="77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 have reviewed the terms of the Credit Agreement and I have made, or have caused to be made under my supervision, a detailed review of the transactions and conditions of Holdings and its Subsidiaries during the accounting period covered by the financial statements delivered concurrently herewith (the “</w:t>
      </w:r>
      <w:r>
        <w:rPr>
          <w:rFonts w:ascii="Arial" w:cs="Arial" w:eastAsia="Arial" w:hAnsi="Arial"/>
          <w:sz w:val="17"/>
          <w:szCs w:val="17"/>
          <w:u w:val="single" w:color="auto"/>
          <w:color w:val="auto"/>
        </w:rPr>
        <w:t>Accounting Period</w:t>
      </w:r>
      <w:r>
        <w:rPr>
          <w:rFonts w:ascii="Arial" w:cs="Arial" w:eastAsia="Arial" w:hAnsi="Arial"/>
          <w:sz w:val="17"/>
          <w:szCs w:val="17"/>
          <w:color w:val="auto"/>
        </w:rPr>
        <w:t>”) [</w:t>
      </w:r>
      <w:r>
        <w:rPr>
          <w:rFonts w:ascii="Arial" w:cs="Arial" w:eastAsia="Arial" w:hAnsi="Arial"/>
          <w:sz w:val="17"/>
          <w:szCs w:val="17"/>
          <w:b w:val="1"/>
          <w:bCs w:val="1"/>
          <w:color w:val="auto"/>
        </w:rPr>
        <w:t>for quarterly financial statements add:</w:t>
      </w:r>
      <w:r>
        <w:rPr>
          <w:rFonts w:ascii="Arial" w:cs="Arial" w:eastAsia="Arial" w:hAnsi="Arial"/>
          <w:sz w:val="17"/>
          <w:szCs w:val="17"/>
          <w:color w:val="auto"/>
        </w:rPr>
        <w:t xml:space="preserve"> and such financial statements present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72" w:lineRule="exact"/>
        <w:rPr>
          <w:rFonts w:ascii="Arial" w:cs="Arial" w:eastAsia="Arial" w:hAnsi="Arial"/>
          <w:sz w:val="17"/>
          <w:szCs w:val="17"/>
          <w:color w:val="auto"/>
        </w:rPr>
      </w:pPr>
    </w:p>
    <w:p>
      <w:pPr>
        <w:jc w:val="both"/>
        <w:ind w:right="20" w:firstLine="567"/>
        <w:spacing w:after="0" w:line="259" w:lineRule="auto"/>
        <w:tabs>
          <w:tab w:leader="none" w:pos="94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examinations described in paragraph 2 did not disclose, except as set forth below, and I have no knowledge of (i) the existence of any condition or event which constitutes a Default during or at the end of the accounting period covered by the financial statements delivered concurrently herewith or as of the date of this Compliance Certificate or (ii) any material change in GAAP or in the application thereof that has occurred since the date of the audited financial statements referred to in Section 3.04 of the Credit Agreement;</w:t>
      </w:r>
    </w:p>
    <w:p>
      <w:pPr>
        <w:spacing w:after="0" w:line="176" w:lineRule="exact"/>
        <w:rPr>
          <w:rFonts w:ascii="Arial" w:cs="Arial" w:eastAsia="Arial" w:hAnsi="Arial"/>
          <w:sz w:val="17"/>
          <w:szCs w:val="17"/>
          <w:color w:val="auto"/>
        </w:rPr>
      </w:pPr>
    </w:p>
    <w:p>
      <w:pPr>
        <w:jc w:val="both"/>
        <w:ind w:left="560" w:right="20" w:firstLine="579"/>
        <w:spacing w:after="0" w:line="261" w:lineRule="auto"/>
        <w:tabs>
          <w:tab w:leader="none" w:pos="147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352" w:lineRule="exact"/>
        <w:rPr>
          <w:sz w:val="20"/>
          <w:szCs w:val="20"/>
          <w:color w:val="auto"/>
        </w:rPr>
      </w:pPr>
    </w:p>
    <w:p>
      <w:pPr>
        <w:ind w:right="20" w:firstLine="567"/>
        <w:spacing w:after="0" w:line="280" w:lineRule="auto"/>
        <w:tabs>
          <w:tab w:leader="none" w:pos="75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Check one of the following options based upon whether a Fixed Charge Coverage Trigger Period is in effect as described in Section 6.12 of the Credit Agreement.</w:t>
      </w:r>
    </w:p>
    <w:p>
      <w:pPr>
        <w:spacing w:after="0" w:line="151" w:lineRule="exact"/>
        <w:rPr>
          <w:rFonts w:ascii="Arial" w:cs="Arial" w:eastAsia="Arial" w:hAnsi="Arial"/>
          <w:sz w:val="17"/>
          <w:szCs w:val="17"/>
          <w:color w:val="auto"/>
        </w:rPr>
      </w:pPr>
    </w:p>
    <w:p>
      <w:pPr>
        <w:jc w:val="both"/>
        <w:ind w:left="1420" w:hanging="281"/>
        <w:spacing w:after="0" w:line="280" w:lineRule="auto"/>
        <w:tabs>
          <w:tab w:leader="none" w:pos="14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As of the last day of the Accounting Period, a Fixed Charge Coverage Trigger Period is in effect, and therefore, the Loan Parties are required to comply with the Fixed Charge Coverage Ratio covenant set forth in Section 6.12 of the Credit Agreement. Accordingly, the attached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sets forth financial data and computations evidencing the Loan Parties’ compliance with the Fixed Charge Coverage Ratio covenant set forth in Section 6.12 of the Agreement, all of which data and computations are true, complete and correct.</w:t>
      </w:r>
    </w:p>
    <w:p>
      <w:pPr>
        <w:spacing w:after="0" w:line="142" w:lineRule="exact"/>
        <w:rPr>
          <w:rFonts w:ascii="Arial" w:cs="Arial" w:eastAsia="Arial" w:hAnsi="Arial"/>
          <w:sz w:val="16"/>
          <w:szCs w:val="16"/>
          <w:color w:val="auto"/>
        </w:rPr>
      </w:pPr>
    </w:p>
    <w:p>
      <w:pPr>
        <w:jc w:val="both"/>
        <w:ind w:left="1420" w:right="20" w:hanging="281"/>
        <w:spacing w:after="0" w:line="259" w:lineRule="auto"/>
        <w:tabs>
          <w:tab w:leader="none" w:pos="14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As of the last day of the Accounting Period, a Fixed Charge Coverage Covenant Period is not in effect, and therefore, the Loan Parties are not required to comply with the Fixed Charge Coverage Ratio covenant set forth in Section 6.12 of the Credit Agreement. Notwithstanding such fact, the attached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sets forth (for informational purposes only) financial data and computations evidencing the Loan Parties’ compliance with the Fixed Charge Coverage Ratio covenant set forth in Section 6.12 of the Agreement.</w:t>
      </w:r>
    </w:p>
    <w:p>
      <w:pPr>
        <w:spacing w:after="0" w:line="157" w:lineRule="exact"/>
        <w:rPr>
          <w:sz w:val="20"/>
          <w:szCs w:val="20"/>
          <w:color w:val="auto"/>
        </w:rPr>
      </w:pPr>
    </w:p>
    <w:p>
      <w:pPr>
        <w:jc w:val="both"/>
        <w:ind w:right="20" w:firstLine="572"/>
        <w:spacing w:after="0" w:line="282" w:lineRule="auto"/>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sets forth a computation of the Secured Leverage Ratio as of the end of the Accounting Period, for purposes of determining the Applicable Rate commencing on the fifth Business Day after this certificate is delivered.]</w:t>
      </w:r>
      <w:r>
        <w:rPr>
          <w:rFonts w:ascii="Arial" w:cs="Arial" w:eastAsia="Arial" w:hAnsi="Arial"/>
          <w:sz w:val="22"/>
          <w:szCs w:val="22"/>
          <w:color w:val="auto"/>
          <w:vertAlign w:val="superscript"/>
        </w:rPr>
        <w:t>1</w:t>
      </w:r>
    </w:p>
    <w:p>
      <w:pPr>
        <w:spacing w:after="0" w:line="81"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[7.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sets forth a list of names of all Excluded Subsidiaries and Unrestricted Subsidiaries as of the date hereof. Each Subsidiary set forth on </w:t>
      </w:r>
      <w:r>
        <w:rPr>
          <w:rFonts w:ascii="Arial" w:cs="Arial" w:eastAsia="Arial" w:hAnsi="Arial"/>
          <w:sz w:val="17"/>
          <w:szCs w:val="17"/>
          <w:u w:val="single" w:color="auto"/>
          <w:color w:val="auto"/>
        </w:rPr>
        <w:t>Schedule III hereto</w:t>
      </w:r>
      <w:r>
        <w:rPr>
          <w:rFonts w:ascii="Arial" w:cs="Arial" w:eastAsia="Arial" w:hAnsi="Arial"/>
          <w:sz w:val="17"/>
          <w:szCs w:val="17"/>
          <w:color w:val="auto"/>
        </w:rPr>
        <w:t xml:space="preserve"> qualifies as an Excluded Subsidiary or Unrestricted Subsidiary, as the case may be.]</w:t>
      </w:r>
    </w:p>
    <w:p>
      <w:pPr>
        <w:spacing w:after="0" w:line="152"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Described below are the exceptions, if any, to paragraph 3 by listing, in detail, (i) the nature of the condition or event, the period during which it has existed and the action which the Borrowers have taken, are taking, or propose to take with respect to each such condition or event or (ii)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91440</wp:posOffset>
            </wp:positionV>
            <wp:extent cx="13303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0325" cy="762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220345</wp:posOffset>
            </wp:positionV>
            <wp:extent cx="13303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0325" cy="762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348615</wp:posOffset>
            </wp:positionV>
            <wp:extent cx="13303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03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The foregoing certifications, together with the computations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the financial statements delivered with this Certificate in support hereof, are made and delivered this day of , .</w:t>
      </w:r>
    </w:p>
    <w:p>
      <w:pPr>
        <w:spacing w:after="0" w:line="200" w:lineRule="exact"/>
        <w:rPr>
          <w:sz w:val="20"/>
          <w:szCs w:val="20"/>
          <w:color w:val="auto"/>
        </w:rPr>
      </w:pPr>
    </w:p>
    <w:p>
      <w:pPr>
        <w:spacing w:after="0" w:line="35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as Borrower Representative</w:t>
      </w:r>
    </w:p>
    <w:p>
      <w:pPr>
        <w:spacing w:after="0" w:line="196"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-8255</wp:posOffset>
            </wp:positionV>
            <wp:extent cx="5543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355" cy="762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7" w:lineRule="exact"/>
        <w:rPr>
          <w:sz w:val="20"/>
          <w:szCs w:val="20"/>
          <w:color w:val="auto"/>
        </w:rPr>
      </w:pPr>
    </w:p>
    <w:p>
      <w:pPr>
        <w:ind w:left="5200"/>
        <w:spacing w:after="0"/>
        <w:rPr>
          <w:sz w:val="20"/>
          <w:szCs w:val="20"/>
          <w:color w:val="auto"/>
        </w:rPr>
      </w:pPr>
      <w:r>
        <w:rPr>
          <w:rFonts w:ascii="Arial" w:cs="Arial" w:eastAsia="Arial" w:hAnsi="Arial"/>
          <w:sz w:val="17"/>
          <w:szCs w:val="17"/>
          <w:u w:val="single" w:color="auto"/>
          <w:color w:val="auto"/>
        </w:rPr>
        <w:t>SCHEDULE 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Compliance as of _________, ____ with Section 6.12 of the Credit Agreement.</w:t>
      </w:r>
    </w:p>
    <w:p>
      <w:pPr>
        <w:spacing w:after="0" w:line="299"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Fixed Charge Coverage Ratio</w:t>
      </w:r>
      <w:r>
        <w:rPr>
          <w:rFonts w:ascii="Arial" w:cs="Arial" w:eastAsia="Arial" w:hAnsi="Arial"/>
          <w:sz w:val="17"/>
          <w:szCs w:val="17"/>
          <w:color w:val="auto"/>
        </w:rPr>
        <w:t>. Ratio of EBITDA for the period of four consecutive fiscal quarters most recently ended to Fixed Charges for such period, all</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calculated for Holdings and its Restricted Subsidiaries on a consolidated basis in accordance with GAAP.</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960" w:type="dxa"/>
            <w:vAlign w:val="bottom"/>
          </w:tcPr>
          <w:p>
            <w:pPr>
              <w:ind w:left="860"/>
              <w:spacing w:after="0"/>
              <w:rPr>
                <w:sz w:val="20"/>
                <w:szCs w:val="20"/>
                <w:color w:val="auto"/>
              </w:rPr>
            </w:pPr>
            <w:r>
              <w:rPr>
                <w:rFonts w:ascii="Arial" w:cs="Arial" w:eastAsia="Arial" w:hAnsi="Arial"/>
                <w:sz w:val="17"/>
                <w:szCs w:val="17"/>
                <w:color w:val="auto"/>
              </w:rPr>
              <w:t>A</w:t>
            </w:r>
            <w:r>
              <w:rPr>
                <w:rFonts w:ascii="Arial" w:cs="Arial" w:eastAsia="Arial" w:hAnsi="Arial"/>
                <w:sz w:val="17"/>
                <w:szCs w:val="17"/>
                <w:b w:val="1"/>
                <w:bCs w:val="1"/>
                <w:color w:val="auto"/>
              </w:rPr>
              <w:t>. EBITDA</w:t>
            </w:r>
          </w:p>
        </w:tc>
        <w:tc>
          <w:tcPr>
            <w:tcW w:w="2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$__________________</w:t>
            </w: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00000A"/>
            </w:tcBorders>
          </w:tcPr>
          <w:p>
            <w:pPr>
              <w:spacing w:after="0"/>
              <w:rPr>
                <w:sz w:val="18"/>
                <w:szCs w:val="18"/>
                <w:color w:val="auto"/>
              </w:rPr>
            </w:pPr>
          </w:p>
        </w:tc>
        <w:tc>
          <w:tcPr>
            <w:tcW w:w="1840" w:type="dxa"/>
            <w:vAlign w:val="bottom"/>
            <w:tcBorders>
              <w:bottom w:val="single" w:sz="8" w:color="00000A"/>
            </w:tcBorders>
          </w:tcPr>
          <w:p>
            <w:pPr>
              <w:spacing w:after="0"/>
              <w:rPr>
                <w:sz w:val="18"/>
                <w:szCs w:val="18"/>
                <w:color w:val="auto"/>
              </w:rPr>
            </w:pPr>
          </w:p>
        </w:tc>
        <w:tc>
          <w:tcPr>
            <w:tcW w:w="220" w:type="dxa"/>
            <w:vAlign w:val="bottom"/>
            <w:tcBorders>
              <w:bottom w:val="single" w:sz="8" w:color="00000A"/>
            </w:tcBorders>
          </w:tcPr>
          <w:p>
            <w:pPr>
              <w:spacing w:after="0"/>
              <w:rPr>
                <w:sz w:val="18"/>
                <w:szCs w:val="18"/>
                <w:color w:val="auto"/>
              </w:rPr>
            </w:pPr>
          </w:p>
        </w:tc>
        <w:tc>
          <w:tcPr>
            <w:tcW w:w="1260" w:type="dxa"/>
            <w:vAlign w:val="bottom"/>
            <w:tcBorders>
              <w:bottom w:val="single" w:sz="8" w:color="00000A"/>
            </w:tcBorders>
          </w:tcPr>
          <w:p>
            <w:pPr>
              <w:spacing w:after="0"/>
              <w:rPr>
                <w:sz w:val="18"/>
                <w:szCs w:val="18"/>
                <w:color w:val="auto"/>
              </w:rPr>
            </w:pPr>
          </w:p>
        </w:tc>
        <w:tc>
          <w:tcPr>
            <w:tcW w:w="1500" w:type="dxa"/>
            <w:vAlign w:val="bottom"/>
            <w:tcBorders>
              <w:bottom w:val="single" w:sz="8" w:color="00000A"/>
            </w:tcBorders>
          </w:tcPr>
          <w:p>
            <w:pPr>
              <w:spacing w:after="0"/>
              <w:rPr>
                <w:sz w:val="18"/>
                <w:szCs w:val="18"/>
                <w:color w:val="auto"/>
              </w:rPr>
            </w:pPr>
          </w:p>
        </w:tc>
        <w:tc>
          <w:tcPr>
            <w:tcW w:w="1480" w:type="dxa"/>
            <w:vAlign w:val="bottom"/>
            <w:tcBorders>
              <w:bottom w:val="single" w:sz="8" w:color="00000A"/>
            </w:tcBorders>
          </w:tcPr>
          <w:p>
            <w:pPr>
              <w:spacing w:after="0"/>
              <w:rPr>
                <w:sz w:val="18"/>
                <w:szCs w:val="18"/>
                <w:color w:val="auto"/>
              </w:rPr>
            </w:pPr>
          </w:p>
        </w:tc>
        <w:tc>
          <w:tcPr>
            <w:tcW w:w="1360" w:type="dxa"/>
            <w:vAlign w:val="bottom"/>
            <w:tcBorders>
              <w:bottom w:val="single" w:sz="8" w:color="00000A"/>
            </w:tcBorders>
          </w:tcPr>
          <w:p>
            <w:pPr>
              <w:spacing w:after="0"/>
              <w:rPr>
                <w:sz w:val="18"/>
                <w:szCs w:val="18"/>
                <w:color w:val="auto"/>
              </w:rPr>
            </w:pPr>
          </w:p>
        </w:tc>
        <w:tc>
          <w:tcPr>
            <w:tcW w:w="1840" w:type="dxa"/>
            <w:vAlign w:val="bottom"/>
            <w:tcBorders>
              <w:bottom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Borders>
              <w:left w:val="single" w:sz="8" w:color="00000A"/>
              <w:right w:val="single" w:sz="8" w:color="00000A"/>
            </w:tcBorders>
            <w:gridSpan w:val="2"/>
            <w:vMerge w:val="restart"/>
          </w:tcPr>
          <w:p>
            <w:pPr>
              <w:ind w:left="40"/>
              <w:spacing w:after="0"/>
              <w:rPr>
                <w:sz w:val="20"/>
                <w:szCs w:val="20"/>
                <w:color w:val="auto"/>
              </w:rPr>
            </w:pPr>
            <w:r>
              <w:rPr>
                <w:rFonts w:ascii="Arial" w:cs="Arial" w:eastAsia="Arial" w:hAnsi="Arial"/>
                <w:sz w:val="16"/>
                <w:szCs w:val="16"/>
                <w:b w:val="1"/>
                <w:bCs w:val="1"/>
                <w:color w:val="auto"/>
                <w:w w:val="95"/>
              </w:rPr>
              <w:t>EBITDA of Holdings and its Restricted Subsidiaries</w:t>
            </w:r>
          </w:p>
        </w:tc>
        <w:tc>
          <w:tcPr>
            <w:tcW w:w="220" w:type="dxa"/>
            <w:vAlign w:val="bottom"/>
          </w:tcPr>
          <w:p>
            <w:pPr>
              <w:spacing w:after="0"/>
              <w:rPr>
                <w:sz w:val="16"/>
                <w:szCs w:val="16"/>
                <w:color w:val="auto"/>
              </w:rPr>
            </w:pPr>
          </w:p>
        </w:tc>
        <w:tc>
          <w:tcPr>
            <w:tcW w:w="1260" w:type="dxa"/>
            <w:vAlign w:val="bottom"/>
            <w:tcBorders>
              <w:right w:val="single" w:sz="8" w:color="00000A"/>
            </w:tcBorders>
          </w:tcPr>
          <w:p>
            <w:pPr>
              <w:jc w:val="center"/>
              <w:ind w:right="221"/>
              <w:spacing w:after="0"/>
              <w:rPr>
                <w:sz w:val="20"/>
                <w:szCs w:val="20"/>
                <w:color w:val="auto"/>
              </w:rPr>
            </w:pPr>
            <w:r>
              <w:rPr>
                <w:rFonts w:ascii="Arial" w:cs="Arial" w:eastAsia="Arial" w:hAnsi="Arial"/>
                <w:sz w:val="16"/>
                <w:szCs w:val="16"/>
                <w:color w:val="auto"/>
                <w:w w:val="88"/>
              </w:rPr>
              <w:t>Quarter</w:t>
            </w:r>
          </w:p>
        </w:tc>
        <w:tc>
          <w:tcPr>
            <w:tcW w:w="1500" w:type="dxa"/>
            <w:vAlign w:val="bottom"/>
            <w:tcBorders>
              <w:right w:val="single" w:sz="8" w:color="00000A"/>
            </w:tcBorders>
          </w:tcPr>
          <w:p>
            <w:pPr>
              <w:jc w:val="center"/>
              <w:ind w:right="1"/>
              <w:spacing w:after="0"/>
              <w:rPr>
                <w:sz w:val="20"/>
                <w:szCs w:val="20"/>
                <w:color w:val="auto"/>
              </w:rPr>
            </w:pPr>
            <w:r>
              <w:rPr>
                <w:rFonts w:ascii="Arial" w:cs="Arial" w:eastAsia="Arial" w:hAnsi="Arial"/>
                <w:sz w:val="16"/>
                <w:szCs w:val="16"/>
                <w:color w:val="auto"/>
                <w:w w:val="92"/>
              </w:rPr>
              <w:t>Quarter</w:t>
            </w:r>
          </w:p>
        </w:tc>
        <w:tc>
          <w:tcPr>
            <w:tcW w:w="1480" w:type="dxa"/>
            <w:vAlign w:val="bottom"/>
            <w:tcBorders>
              <w:right w:val="single" w:sz="8" w:color="00000A"/>
            </w:tcBorders>
          </w:tcPr>
          <w:p>
            <w:pPr>
              <w:jc w:val="center"/>
              <w:ind w:right="1"/>
              <w:spacing w:after="0"/>
              <w:rPr>
                <w:sz w:val="20"/>
                <w:szCs w:val="20"/>
                <w:color w:val="auto"/>
              </w:rPr>
            </w:pPr>
            <w:r>
              <w:rPr>
                <w:rFonts w:ascii="Arial" w:cs="Arial" w:eastAsia="Arial" w:hAnsi="Arial"/>
                <w:sz w:val="16"/>
                <w:szCs w:val="16"/>
                <w:color w:val="auto"/>
                <w:w w:val="88"/>
              </w:rPr>
              <w:t>Quarter</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2"/>
              </w:rPr>
              <w:t>Quarter</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Twelve</w:t>
            </w:r>
          </w:p>
        </w:tc>
        <w:tc>
          <w:tcPr>
            <w:tcW w:w="0" w:type="dxa"/>
            <w:vAlign w:val="bottom"/>
          </w:tcPr>
          <w:p>
            <w:pPr>
              <w:spacing w:after="0"/>
              <w:rPr>
                <w:sz w:val="1"/>
                <w:szCs w:val="1"/>
                <w:color w:val="auto"/>
              </w:rPr>
            </w:pPr>
          </w:p>
        </w:tc>
      </w:tr>
      <w:tr>
        <w:trPr>
          <w:trHeight w:val="163"/>
        </w:trPr>
        <w:tc>
          <w:tcPr>
            <w:tcW w:w="3800" w:type="dxa"/>
            <w:vAlign w:val="bottom"/>
            <w:tcBorders>
              <w:left w:val="single" w:sz="8" w:color="00000A"/>
              <w:right w:val="single" w:sz="8" w:color="00000A"/>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00000A"/>
            </w:tcBorders>
          </w:tcPr>
          <w:p>
            <w:pPr>
              <w:jc w:val="center"/>
              <w:ind w:right="221"/>
              <w:spacing w:after="0" w:line="163" w:lineRule="exact"/>
              <w:rPr>
                <w:sz w:val="20"/>
                <w:szCs w:val="20"/>
                <w:color w:val="auto"/>
              </w:rPr>
            </w:pPr>
            <w:r>
              <w:rPr>
                <w:rFonts w:ascii="Arial" w:cs="Arial" w:eastAsia="Arial" w:hAnsi="Arial"/>
                <w:sz w:val="16"/>
                <w:szCs w:val="16"/>
                <w:color w:val="auto"/>
                <w:w w:val="86"/>
              </w:rPr>
              <w:t>Ended</w:t>
            </w:r>
          </w:p>
        </w:tc>
        <w:tc>
          <w:tcPr>
            <w:tcW w:w="1500" w:type="dxa"/>
            <w:vAlign w:val="bottom"/>
            <w:tcBorders>
              <w:right w:val="single" w:sz="8" w:color="00000A"/>
            </w:tcBorders>
          </w:tcPr>
          <w:p>
            <w:pPr>
              <w:jc w:val="center"/>
              <w:ind w:right="1"/>
              <w:spacing w:after="0" w:line="163" w:lineRule="exact"/>
              <w:rPr>
                <w:sz w:val="20"/>
                <w:szCs w:val="20"/>
                <w:color w:val="auto"/>
              </w:rPr>
            </w:pPr>
            <w:r>
              <w:rPr>
                <w:rFonts w:ascii="Arial" w:cs="Arial" w:eastAsia="Arial" w:hAnsi="Arial"/>
                <w:sz w:val="16"/>
                <w:szCs w:val="16"/>
                <w:color w:val="auto"/>
                <w:w w:val="90"/>
              </w:rPr>
              <w:t>Ended</w:t>
            </w:r>
          </w:p>
        </w:tc>
        <w:tc>
          <w:tcPr>
            <w:tcW w:w="1480" w:type="dxa"/>
            <w:vAlign w:val="bottom"/>
            <w:tcBorders>
              <w:right w:val="single" w:sz="8" w:color="00000A"/>
            </w:tcBorders>
          </w:tcPr>
          <w:p>
            <w:pPr>
              <w:jc w:val="center"/>
              <w:ind w:right="1"/>
              <w:spacing w:after="0" w:line="163" w:lineRule="exact"/>
              <w:rPr>
                <w:sz w:val="20"/>
                <w:szCs w:val="20"/>
                <w:color w:val="auto"/>
              </w:rPr>
            </w:pPr>
            <w:r>
              <w:rPr>
                <w:rFonts w:ascii="Arial" w:cs="Arial" w:eastAsia="Arial" w:hAnsi="Arial"/>
                <w:sz w:val="16"/>
                <w:szCs w:val="16"/>
                <w:color w:val="auto"/>
                <w:w w:val="86"/>
              </w:rPr>
              <w:t>Ended</w:t>
            </w:r>
          </w:p>
        </w:tc>
        <w:tc>
          <w:tcPr>
            <w:tcW w:w="1360" w:type="dxa"/>
            <w:vAlign w:val="bottom"/>
            <w:tcBorders>
              <w:right w:val="single" w:sz="8" w:color="00000A"/>
            </w:tcBorders>
          </w:tcPr>
          <w:p>
            <w:pPr>
              <w:jc w:val="center"/>
              <w:spacing w:after="0" w:line="163" w:lineRule="exact"/>
              <w:rPr>
                <w:sz w:val="20"/>
                <w:szCs w:val="20"/>
                <w:color w:val="auto"/>
              </w:rPr>
            </w:pPr>
            <w:r>
              <w:rPr>
                <w:rFonts w:ascii="Arial" w:cs="Arial" w:eastAsia="Arial" w:hAnsi="Arial"/>
                <w:sz w:val="16"/>
                <w:szCs w:val="16"/>
                <w:color w:val="auto"/>
                <w:w w:val="90"/>
              </w:rPr>
              <w:t>Ended</w:t>
            </w:r>
          </w:p>
        </w:tc>
        <w:tc>
          <w:tcPr>
            <w:tcW w:w="1840" w:type="dxa"/>
            <w:vAlign w:val="bottom"/>
            <w:tcBorders>
              <w:right w:val="single" w:sz="8" w:color="00000A"/>
            </w:tcBorders>
          </w:tcPr>
          <w:p>
            <w:pPr>
              <w:jc w:val="center"/>
              <w:spacing w:after="0" w:line="163" w:lineRule="exact"/>
              <w:rPr>
                <w:sz w:val="20"/>
                <w:szCs w:val="20"/>
                <w:color w:val="auto"/>
              </w:rPr>
            </w:pPr>
            <w:r>
              <w:rPr>
                <w:rFonts w:ascii="Arial" w:cs="Arial" w:eastAsia="Arial" w:hAnsi="Arial"/>
                <w:sz w:val="16"/>
                <w:szCs w:val="16"/>
                <w:color w:val="auto"/>
                <w:w w:val="95"/>
              </w:rPr>
              <w:t>Months</w:t>
            </w:r>
          </w:p>
        </w:tc>
        <w:tc>
          <w:tcPr>
            <w:tcW w:w="0" w:type="dxa"/>
            <w:vAlign w:val="bottom"/>
          </w:tcPr>
          <w:p>
            <w:pPr>
              <w:spacing w:after="0"/>
              <w:rPr>
                <w:sz w:val="1"/>
                <w:szCs w:val="1"/>
                <w:color w:val="auto"/>
              </w:rPr>
            </w:pPr>
          </w:p>
        </w:tc>
      </w:tr>
      <w:tr>
        <w:trPr>
          <w:trHeight w:val="218"/>
        </w:trPr>
        <w:tc>
          <w:tcPr>
            <w:tcW w:w="1960" w:type="dxa"/>
            <w:vAlign w:val="bottom"/>
            <w:tcBorders>
              <w:left w:val="single" w:sz="8" w:color="00000A"/>
            </w:tcBorders>
          </w:tcPr>
          <w:p>
            <w:pPr>
              <w:ind w:left="40"/>
              <w:spacing w:after="0"/>
              <w:rPr>
                <w:sz w:val="20"/>
                <w:szCs w:val="20"/>
                <w:color w:val="auto"/>
              </w:rPr>
            </w:pPr>
            <w:r>
              <w:rPr>
                <w:rFonts w:ascii="Arial" w:cs="Arial" w:eastAsia="Arial" w:hAnsi="Arial"/>
                <w:sz w:val="16"/>
                <w:szCs w:val="16"/>
                <w:b w:val="1"/>
                <w:bCs w:val="1"/>
                <w:color w:val="auto"/>
              </w:rPr>
              <w:t>on a consolidated basis</w:t>
            </w:r>
          </w:p>
        </w:tc>
        <w:tc>
          <w:tcPr>
            <w:tcW w:w="1840" w:type="dxa"/>
            <w:vAlign w:val="bottom"/>
            <w:tcBorders>
              <w:right w:val="single" w:sz="8" w:color="00000A"/>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right w:val="single" w:sz="8" w:color="00000A"/>
            </w:tcBorders>
          </w:tcPr>
          <w:p>
            <w:pPr>
              <w:jc w:val="center"/>
              <w:ind w:right="181"/>
              <w:spacing w:after="0"/>
              <w:rPr>
                <w:sz w:val="20"/>
                <w:szCs w:val="20"/>
                <w:color w:val="auto"/>
              </w:rPr>
            </w:pPr>
            <w:r>
              <w:rPr>
                <w:rFonts w:ascii="Arial" w:cs="Arial" w:eastAsia="Arial" w:hAnsi="Arial"/>
                <w:sz w:val="16"/>
                <w:szCs w:val="16"/>
                <w:color w:val="auto"/>
                <w:w w:val="89"/>
              </w:rPr>
              <w:t>________</w:t>
            </w:r>
          </w:p>
        </w:tc>
        <w:tc>
          <w:tcPr>
            <w:tcW w:w="15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________</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Ended</w:t>
            </w:r>
          </w:p>
        </w:tc>
        <w:tc>
          <w:tcPr>
            <w:tcW w:w="0" w:type="dxa"/>
            <w:vAlign w:val="bottom"/>
          </w:tcPr>
          <w:p>
            <w:pPr>
              <w:spacing w:after="0"/>
              <w:rPr>
                <w:sz w:val="1"/>
                <w:szCs w:val="1"/>
                <w:color w:val="auto"/>
              </w:rPr>
            </w:pPr>
          </w:p>
        </w:tc>
      </w:tr>
      <w:tr>
        <w:trPr>
          <w:trHeight w:val="202"/>
        </w:trPr>
        <w:tc>
          <w:tcPr>
            <w:tcW w:w="1960" w:type="dxa"/>
            <w:vAlign w:val="bottom"/>
            <w:tcBorders>
              <w:lef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right w:val="single" w:sz="8" w:color="00000A"/>
            </w:tcBorders>
          </w:tcPr>
          <w:p>
            <w:pPr>
              <w:spacing w:after="0"/>
              <w:rPr>
                <w:sz w:val="17"/>
                <w:szCs w:val="17"/>
                <w:color w:val="auto"/>
              </w:rPr>
            </w:pPr>
          </w:p>
        </w:tc>
        <w:tc>
          <w:tcPr>
            <w:tcW w:w="1500" w:type="dxa"/>
            <w:vAlign w:val="bottom"/>
            <w:tcBorders>
              <w:right w:val="single" w:sz="8" w:color="00000A"/>
            </w:tcBorders>
          </w:tcPr>
          <w:p>
            <w:pPr>
              <w:spacing w:after="0"/>
              <w:rPr>
                <w:sz w:val="17"/>
                <w:szCs w:val="17"/>
                <w:color w:val="auto"/>
              </w:rPr>
            </w:pPr>
          </w:p>
        </w:tc>
        <w:tc>
          <w:tcPr>
            <w:tcW w:w="14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__________</w:t>
            </w:r>
          </w:p>
        </w:tc>
        <w:tc>
          <w:tcPr>
            <w:tcW w:w="0" w:type="dxa"/>
            <w:vAlign w:val="bottom"/>
          </w:tcPr>
          <w:p>
            <w:pPr>
              <w:spacing w:after="0"/>
              <w:rPr>
                <w:sz w:val="1"/>
                <w:szCs w:val="1"/>
                <w:color w:val="auto"/>
              </w:rPr>
            </w:pPr>
          </w:p>
        </w:tc>
      </w:tr>
      <w:tr>
        <w:trPr>
          <w:trHeight w:val="383"/>
        </w:trPr>
        <w:tc>
          <w:tcPr>
            <w:tcW w:w="1960" w:type="dxa"/>
            <w:vAlign w:val="bottom"/>
            <w:tcBorders>
              <w:left w:val="single" w:sz="8" w:color="00000A"/>
              <w:bottom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1260" w:type="dxa"/>
            <w:vAlign w:val="bottom"/>
            <w:tcBorders>
              <w:bottom w:val="single" w:sz="8" w:color="00000A"/>
              <w:right w:val="single" w:sz="8" w:color="00000A"/>
            </w:tcBorders>
          </w:tcPr>
          <w:p>
            <w:pPr>
              <w:spacing w:after="0"/>
              <w:rPr>
                <w:sz w:val="24"/>
                <w:szCs w:val="24"/>
                <w:color w:val="auto"/>
              </w:rPr>
            </w:pPr>
          </w:p>
        </w:tc>
        <w:tc>
          <w:tcPr>
            <w:tcW w:w="1500" w:type="dxa"/>
            <w:vAlign w:val="bottom"/>
            <w:tcBorders>
              <w:bottom w:val="single" w:sz="8" w:color="00000A"/>
              <w:right w:val="single" w:sz="8" w:color="00000A"/>
            </w:tcBorders>
          </w:tcPr>
          <w:p>
            <w:pPr>
              <w:spacing w:after="0"/>
              <w:rPr>
                <w:sz w:val="24"/>
                <w:szCs w:val="24"/>
                <w:color w:val="auto"/>
              </w:rPr>
            </w:pPr>
          </w:p>
        </w:tc>
        <w:tc>
          <w:tcPr>
            <w:tcW w:w="148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00000A"/>
            </w:tcBorders>
          </w:tcPr>
          <w:p>
            <w:pPr>
              <w:spacing w:after="0"/>
              <w:rPr>
                <w:sz w:val="11"/>
                <w:szCs w:val="11"/>
                <w:color w:val="auto"/>
              </w:rPr>
            </w:pPr>
          </w:p>
        </w:tc>
        <w:tc>
          <w:tcPr>
            <w:tcW w:w="1840" w:type="dxa"/>
            <w:vAlign w:val="bottom"/>
            <w:tcBorders>
              <w:right w:val="single" w:sz="8" w:color="00000A"/>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right w:val="single" w:sz="8" w:color="00000A"/>
            </w:tcBorders>
          </w:tcPr>
          <w:p>
            <w:pPr>
              <w:spacing w:after="0"/>
              <w:rPr>
                <w:sz w:val="11"/>
                <w:szCs w:val="11"/>
                <w:color w:val="auto"/>
              </w:rPr>
            </w:pPr>
          </w:p>
        </w:tc>
        <w:tc>
          <w:tcPr>
            <w:tcW w:w="1500" w:type="dxa"/>
            <w:vAlign w:val="bottom"/>
            <w:tcBorders>
              <w:right w:val="single" w:sz="8" w:color="00000A"/>
            </w:tcBorders>
          </w:tcPr>
          <w:p>
            <w:pPr>
              <w:spacing w:after="0"/>
              <w:rPr>
                <w:sz w:val="11"/>
                <w:szCs w:val="11"/>
                <w:color w:val="auto"/>
              </w:rPr>
            </w:pPr>
          </w:p>
        </w:tc>
        <w:tc>
          <w:tcPr>
            <w:tcW w:w="1480" w:type="dxa"/>
            <w:vAlign w:val="bottom"/>
            <w:tcBorders>
              <w:right w:val="single" w:sz="8" w:color="00000A"/>
            </w:tcBorders>
          </w:tcPr>
          <w:p>
            <w:pPr>
              <w:spacing w:after="0"/>
              <w:rPr>
                <w:sz w:val="11"/>
                <w:szCs w:val="11"/>
                <w:color w:val="auto"/>
              </w:rPr>
            </w:pPr>
          </w:p>
        </w:tc>
        <w:tc>
          <w:tcPr>
            <w:tcW w:w="1360" w:type="dxa"/>
            <w:vAlign w:val="bottom"/>
            <w:tcBorders>
              <w:right w:val="single" w:sz="8" w:color="00000A"/>
            </w:tcBorders>
          </w:tcPr>
          <w:p>
            <w:pPr>
              <w:spacing w:after="0"/>
              <w:rPr>
                <w:sz w:val="11"/>
                <w:szCs w:val="11"/>
                <w:color w:val="auto"/>
              </w:rPr>
            </w:pPr>
          </w:p>
        </w:tc>
        <w:tc>
          <w:tcPr>
            <w:tcW w:w="1840" w:type="dxa"/>
            <w:vAlign w:val="bottom"/>
            <w:tcBorders>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4" w:right="219" w:bottom="0" w:gutter="0" w:footer="0" w:header="0"/>
        </w:sectPr>
      </w:pPr>
    </w:p>
    <w:bookmarkStart w:id="109" w:name="page110"/>
    <w:bookmarkEnd w:id="109"/>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0115" cy="4712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47129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Net Income</w:t>
      </w:r>
    </w:p>
    <w:p>
      <w:pPr>
        <w:spacing w:after="0" w:line="257" w:lineRule="exact"/>
        <w:rPr>
          <w:sz w:val="20"/>
          <w:szCs w:val="20"/>
          <w:color w:val="auto"/>
        </w:rPr>
      </w:pPr>
    </w:p>
    <w:p>
      <w:pPr>
        <w:ind w:left="260" w:hanging="229"/>
        <w:spacing w:after="0"/>
        <w:tabs>
          <w:tab w:leader="none" w:pos="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(a)(i) Interest Expense</w:t>
      </w:r>
    </w:p>
    <w:p>
      <w:pPr>
        <w:spacing w:after="0" w:line="66" w:lineRule="exact"/>
        <w:rPr>
          <w:rFonts w:ascii="Arial" w:cs="Arial" w:eastAsia="Arial" w:hAnsi="Arial"/>
          <w:sz w:val="16"/>
          <w:szCs w:val="16"/>
          <w:color w:val="auto"/>
        </w:rPr>
      </w:pPr>
    </w:p>
    <w:p>
      <w:pPr>
        <w:ind w:left="260" w:hanging="229"/>
        <w:spacing w:after="0"/>
        <w:tabs>
          <w:tab w:leader="none" w:pos="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(a)(ii) income tax expense</w:t>
      </w:r>
    </w:p>
    <w:p>
      <w:pPr>
        <w:spacing w:after="0" w:line="256" w:lineRule="exact"/>
        <w:rPr>
          <w:rFonts w:ascii="Arial" w:cs="Arial" w:eastAsia="Arial" w:hAnsi="Arial"/>
          <w:sz w:val="16"/>
          <w:szCs w:val="16"/>
          <w:color w:val="auto"/>
        </w:rPr>
      </w:pPr>
    </w:p>
    <w:p>
      <w:pPr>
        <w:ind w:left="40" w:right="7700" w:hanging="9"/>
        <w:spacing w:after="0" w:line="271" w:lineRule="auto"/>
        <w:tabs>
          <w:tab w:leader="none" w:pos="31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(a)(iii) all amounts attributable to depreciation and amortization expense</w:t>
      </w:r>
    </w:p>
    <w:p>
      <w:pPr>
        <w:spacing w:after="0" w:line="25" w:lineRule="exact"/>
        <w:rPr>
          <w:rFonts w:ascii="Arial" w:cs="Arial" w:eastAsia="Arial" w:hAnsi="Arial"/>
          <w:sz w:val="16"/>
          <w:szCs w:val="16"/>
          <w:color w:val="auto"/>
        </w:rPr>
      </w:pPr>
    </w:p>
    <w:p>
      <w:pPr>
        <w:ind w:left="260" w:hanging="229"/>
        <w:spacing w:after="0"/>
        <w:tabs>
          <w:tab w:leader="none" w:pos="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(a)(iv) amortized debt discount</w:t>
      </w:r>
    </w:p>
    <w:p>
      <w:pPr>
        <w:spacing w:after="0" w:line="256" w:lineRule="exact"/>
        <w:rPr>
          <w:rFonts w:ascii="Arial" w:cs="Arial" w:eastAsia="Arial" w:hAnsi="Arial"/>
          <w:sz w:val="16"/>
          <w:szCs w:val="16"/>
          <w:color w:val="auto"/>
        </w:rPr>
      </w:pPr>
    </w:p>
    <w:p>
      <w:pPr>
        <w:jc w:val="both"/>
        <w:ind w:left="40" w:right="7700" w:hanging="9"/>
        <w:spacing w:after="0" w:line="254" w:lineRule="auto"/>
        <w:tabs>
          <w:tab w:leader="none" w:pos="31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(a)(v) any non-cash losses or non-cash charges for such period that relate to the write-down or write-off of inventory to the extent such non-cash charges or non-cash losses do not exceed $10,000,000 in the aggregate during such period</w:t>
      </w:r>
    </w:p>
    <w:p>
      <w:pPr>
        <w:spacing w:after="0" w:line="229" w:lineRule="exact"/>
        <w:rPr>
          <w:rFonts w:ascii="Arial" w:cs="Arial" w:eastAsia="Arial" w:hAnsi="Arial"/>
          <w:sz w:val="16"/>
          <w:szCs w:val="16"/>
          <w:color w:val="auto"/>
        </w:rPr>
      </w:pPr>
    </w:p>
    <w:p>
      <w:pPr>
        <w:jc w:val="both"/>
        <w:ind w:left="40" w:right="7700" w:hanging="9"/>
        <w:spacing w:after="0" w:line="256" w:lineRule="auto"/>
        <w:tabs>
          <w:tab w:leader="none" w:pos="28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(a)(vi) any other non-cash losses or non-cash charges for such period (but excluding any non-cash charge in respect of an item that was included in Net Income in a prior period)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(b)(i) income tax credits and refunds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(b)(ii) interest income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(b)(iii) any cash payments made during such period in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respect of non-cash charges described in clause (a)(v)</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above taken in a prior period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(b)(iv) any non-cash gains and non-cash items of</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for such period that relate to any write-up of</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inventory to the extent such non-cash gains and non-cash</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does not exceed $10,000,000 in the aggregate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during such period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(-)(b)(v) any other non-cash gains and non-cash items of</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for such period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280" w:type="dxa"/>
            <w:vAlign w:val="bottom"/>
          </w:tcPr>
          <w:p>
            <w:pPr>
              <w:spacing w:after="0"/>
              <w:rPr>
                <w:sz w:val="20"/>
                <w:szCs w:val="20"/>
                <w:color w:val="auto"/>
              </w:rPr>
            </w:pPr>
            <w:r>
              <w:rPr>
                <w:rFonts w:ascii="Arial" w:cs="Arial" w:eastAsia="Arial" w:hAnsi="Arial"/>
                <w:sz w:val="16"/>
                <w:szCs w:val="16"/>
                <w:color w:val="auto"/>
              </w:rPr>
              <w:t>= EBITDA</w:t>
            </w:r>
          </w:p>
        </w:tc>
        <w:tc>
          <w:tcPr>
            <w:tcW w:w="2560" w:type="dxa"/>
            <w:vAlign w:val="bottom"/>
          </w:tcPr>
          <w:p>
            <w:pPr>
              <w:jc w:val="right"/>
              <w:ind w:right="361"/>
              <w:spacing w:after="0"/>
              <w:rPr>
                <w:sz w:val="20"/>
                <w:szCs w:val="20"/>
                <w:color w:val="auto"/>
              </w:rPr>
            </w:pPr>
            <w:r>
              <w:rPr>
                <w:rFonts w:ascii="Arial" w:cs="Arial" w:eastAsia="Arial" w:hAnsi="Arial"/>
                <w:sz w:val="16"/>
                <w:szCs w:val="16"/>
                <w:color w:val="auto"/>
              </w:rPr>
              <w:t>$______</w:t>
            </w:r>
          </w:p>
        </w:tc>
        <w:tc>
          <w:tcPr>
            <w:tcW w:w="1480" w:type="dxa"/>
            <w:vAlign w:val="bottom"/>
          </w:tcPr>
          <w:p>
            <w:pPr>
              <w:jc w:val="right"/>
              <w:ind w:right="381"/>
              <w:spacing w:after="0"/>
              <w:rPr>
                <w:sz w:val="20"/>
                <w:szCs w:val="20"/>
                <w:color w:val="auto"/>
              </w:rPr>
            </w:pPr>
            <w:r>
              <w:rPr>
                <w:rFonts w:ascii="Arial" w:cs="Arial" w:eastAsia="Arial" w:hAnsi="Arial"/>
                <w:sz w:val="16"/>
                <w:szCs w:val="16"/>
                <w:color w:val="auto"/>
              </w:rPr>
              <w:t>$______</w:t>
            </w:r>
          </w:p>
        </w:tc>
        <w:tc>
          <w:tcPr>
            <w:tcW w:w="1480" w:type="dxa"/>
            <w:vAlign w:val="bottom"/>
          </w:tcPr>
          <w:p>
            <w:pPr>
              <w:jc w:val="right"/>
              <w:ind w:right="381"/>
              <w:spacing w:after="0"/>
              <w:rPr>
                <w:sz w:val="20"/>
                <w:szCs w:val="20"/>
                <w:color w:val="auto"/>
              </w:rPr>
            </w:pPr>
            <w:r>
              <w:rPr>
                <w:rFonts w:ascii="Arial" w:cs="Arial" w:eastAsia="Arial" w:hAnsi="Arial"/>
                <w:sz w:val="16"/>
                <w:szCs w:val="16"/>
                <w:color w:val="auto"/>
              </w:rPr>
              <w:t>$______</w:t>
            </w:r>
          </w:p>
        </w:tc>
        <w:tc>
          <w:tcPr>
            <w:tcW w:w="1440" w:type="dxa"/>
            <w:vAlign w:val="bottom"/>
          </w:tcPr>
          <w:p>
            <w:pPr>
              <w:jc w:val="right"/>
              <w:ind w:right="321"/>
              <w:spacing w:after="0"/>
              <w:rPr>
                <w:sz w:val="20"/>
                <w:szCs w:val="20"/>
                <w:color w:val="auto"/>
              </w:rPr>
            </w:pPr>
            <w:r>
              <w:rPr>
                <w:rFonts w:ascii="Arial" w:cs="Arial" w:eastAsia="Arial" w:hAnsi="Arial"/>
                <w:sz w:val="16"/>
                <w:szCs w:val="16"/>
                <w:color w:val="auto"/>
              </w:rPr>
              <w:t>$______</w:t>
            </w:r>
          </w:p>
        </w:tc>
        <w:tc>
          <w:tcPr>
            <w:tcW w:w="1120" w:type="dxa"/>
            <w:vAlign w:val="bottom"/>
          </w:tcPr>
          <w:p>
            <w:pPr>
              <w:jc w:val="right"/>
              <w:spacing w:after="0"/>
              <w:rPr>
                <w:sz w:val="20"/>
                <w:szCs w:val="20"/>
                <w:color w:val="auto"/>
              </w:rPr>
            </w:pPr>
            <w:r>
              <w:rPr>
                <w:rFonts w:ascii="Arial" w:cs="Arial" w:eastAsia="Arial" w:hAnsi="Arial"/>
                <w:sz w:val="16"/>
                <w:szCs w:val="16"/>
                <w:color w:val="auto"/>
              </w:rPr>
              <w:t>$________</w:t>
            </w:r>
          </w:p>
        </w:tc>
      </w:tr>
    </w:tbl>
    <w:p>
      <w:pPr>
        <w:spacing w:after="0" w:line="200" w:lineRule="exact"/>
        <w:rPr>
          <w:sz w:val="20"/>
          <w:szCs w:val="20"/>
          <w:color w:val="auto"/>
        </w:rPr>
      </w:pPr>
    </w:p>
    <w:p>
      <w:pPr>
        <w:spacing w:after="0" w:line="222" w:lineRule="exact"/>
        <w:rPr>
          <w:sz w:val="20"/>
          <w:szCs w:val="20"/>
          <w:color w:val="auto"/>
        </w:rPr>
      </w:pPr>
    </w:p>
    <w:p>
      <w:pPr>
        <w:spacing w:after="0"/>
        <w:tabs>
          <w:tab w:leader="none" w:pos="1840" w:val="left"/>
        </w:tabs>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color w:val="auto"/>
        </w:rPr>
        <w:t>FIXED CHARGES</w:t>
      </w:r>
      <w:r>
        <w:rPr>
          <w:sz w:val="20"/>
          <w:szCs w:val="20"/>
          <w:color w:val="auto"/>
        </w:rPr>
        <w:tab/>
      </w:r>
      <w:r>
        <w:rPr>
          <w:rFonts w:ascii="Arial" w:cs="Arial" w:eastAsia="Arial" w:hAnsi="Arial"/>
          <w:sz w:val="15"/>
          <w:szCs w:val="15"/>
          <w:b w:val="1"/>
          <w:bCs w:val="1"/>
          <w:color w:val="auto"/>
        </w:rPr>
        <w:t>$___________________</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260" w:type="dxa"/>
            <w:vAlign w:val="bottom"/>
            <w:tcBorders>
              <w:top w:val="single" w:sz="8" w:color="00000A"/>
              <w:left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6"/>
                <w:szCs w:val="16"/>
                <w:b w:val="1"/>
                <w:bCs w:val="1"/>
                <w:color w:val="auto"/>
                <w:w w:val="89"/>
              </w:rPr>
              <w:t>Fixed Charges of Holdings and its Restricted Subsidiaries on</w:t>
            </w:r>
          </w:p>
        </w:tc>
        <w:tc>
          <w:tcPr>
            <w:tcW w:w="1060" w:type="dxa"/>
            <w:vAlign w:val="bottom"/>
            <w:tcBorders>
              <w:top w:val="single" w:sz="8" w:color="00000A"/>
            </w:tcBorders>
          </w:tcPr>
          <w:p>
            <w:pPr>
              <w:jc w:val="center"/>
              <w:ind w:left="61"/>
              <w:spacing w:after="0"/>
              <w:rPr>
                <w:sz w:val="20"/>
                <w:szCs w:val="20"/>
                <w:color w:val="auto"/>
              </w:rPr>
            </w:pPr>
            <w:r>
              <w:rPr>
                <w:rFonts w:ascii="Arial" w:cs="Arial" w:eastAsia="Arial" w:hAnsi="Arial"/>
                <w:sz w:val="16"/>
                <w:szCs w:val="16"/>
                <w:color w:val="auto"/>
                <w:w w:val="88"/>
              </w:rPr>
              <w:t>Quarter</w:t>
            </w:r>
          </w:p>
        </w:tc>
        <w:tc>
          <w:tcPr>
            <w:tcW w:w="200" w:type="dxa"/>
            <w:vAlign w:val="bottom"/>
            <w:tcBorders>
              <w:top w:val="single" w:sz="8" w:color="00000A"/>
              <w:right w:val="single" w:sz="8" w:color="00000A"/>
            </w:tcBorders>
          </w:tcPr>
          <w:p>
            <w:pPr>
              <w:spacing w:after="0"/>
              <w:rPr>
                <w:sz w:val="18"/>
                <w:szCs w:val="18"/>
                <w:color w:val="auto"/>
              </w:rPr>
            </w:pPr>
          </w:p>
        </w:tc>
        <w:tc>
          <w:tcPr>
            <w:tcW w:w="1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2"/>
              </w:rPr>
              <w:t>Quarter</w:t>
            </w:r>
          </w:p>
        </w:tc>
        <w:tc>
          <w:tcPr>
            <w:tcW w:w="1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88"/>
              </w:rPr>
              <w:t>Quarter</w:t>
            </w:r>
          </w:p>
        </w:tc>
        <w:tc>
          <w:tcPr>
            <w:tcW w:w="1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2"/>
              </w:rPr>
              <w:t>Quarter</w:t>
            </w:r>
          </w:p>
        </w:tc>
        <w:tc>
          <w:tcPr>
            <w:tcW w:w="1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0"/>
              </w:rPr>
              <w:t>Twelve</w:t>
            </w:r>
          </w:p>
        </w:tc>
        <w:tc>
          <w:tcPr>
            <w:tcW w:w="0" w:type="dxa"/>
            <w:vAlign w:val="bottom"/>
          </w:tcPr>
          <w:p>
            <w:pPr>
              <w:spacing w:after="0"/>
              <w:rPr>
                <w:sz w:val="1"/>
                <w:szCs w:val="1"/>
                <w:color w:val="auto"/>
              </w:rPr>
            </w:pPr>
          </w:p>
        </w:tc>
      </w:tr>
      <w:tr>
        <w:trPr>
          <w:trHeight w:val="187"/>
        </w:trPr>
        <w:tc>
          <w:tcPr>
            <w:tcW w:w="4260" w:type="dxa"/>
            <w:vAlign w:val="bottom"/>
            <w:tcBorders>
              <w:left w:val="single" w:sz="8" w:color="00000A"/>
              <w:right w:val="single" w:sz="8" w:color="00000A"/>
            </w:tcBorders>
            <w:gridSpan w:val="3"/>
            <w:vMerge w:val="continue"/>
          </w:tcPr>
          <w:p>
            <w:pPr>
              <w:spacing w:after="0"/>
              <w:rPr>
                <w:sz w:val="16"/>
                <w:szCs w:val="16"/>
                <w:color w:val="auto"/>
              </w:rPr>
            </w:pPr>
          </w:p>
        </w:tc>
        <w:tc>
          <w:tcPr>
            <w:tcW w:w="1060" w:type="dxa"/>
            <w:vAlign w:val="bottom"/>
          </w:tcPr>
          <w:p>
            <w:pPr>
              <w:jc w:val="center"/>
              <w:ind w:left="61"/>
              <w:spacing w:after="0"/>
              <w:rPr>
                <w:sz w:val="20"/>
                <w:szCs w:val="20"/>
                <w:color w:val="auto"/>
              </w:rPr>
            </w:pPr>
            <w:r>
              <w:rPr>
                <w:rFonts w:ascii="Arial" w:cs="Arial" w:eastAsia="Arial" w:hAnsi="Arial"/>
                <w:sz w:val="16"/>
                <w:szCs w:val="16"/>
                <w:color w:val="auto"/>
                <w:w w:val="86"/>
              </w:rPr>
              <w:t>Ended</w:t>
            </w: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Ended</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6"/>
              </w:rPr>
              <w:t>Ended</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Ended</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5"/>
              </w:rPr>
              <w:t>Months</w:t>
            </w:r>
          </w:p>
        </w:tc>
        <w:tc>
          <w:tcPr>
            <w:tcW w:w="0" w:type="dxa"/>
            <w:vAlign w:val="bottom"/>
          </w:tcPr>
          <w:p>
            <w:pPr>
              <w:spacing w:after="0"/>
              <w:rPr>
                <w:sz w:val="1"/>
                <w:szCs w:val="1"/>
                <w:color w:val="auto"/>
              </w:rPr>
            </w:pPr>
          </w:p>
        </w:tc>
      </w:tr>
      <w:tr>
        <w:trPr>
          <w:trHeight w:val="195"/>
        </w:trPr>
        <w:tc>
          <w:tcPr>
            <w:tcW w:w="2960" w:type="dxa"/>
            <w:vAlign w:val="bottom"/>
            <w:tcBorders>
              <w:left w:val="single" w:sz="8" w:color="00000A"/>
            </w:tcBorders>
          </w:tcPr>
          <w:p>
            <w:pPr>
              <w:ind w:left="40"/>
              <w:spacing w:after="0"/>
              <w:rPr>
                <w:sz w:val="20"/>
                <w:szCs w:val="20"/>
                <w:color w:val="auto"/>
              </w:rPr>
            </w:pPr>
            <w:r>
              <w:rPr>
                <w:rFonts w:ascii="Arial" w:cs="Arial" w:eastAsia="Arial" w:hAnsi="Arial"/>
                <w:sz w:val="16"/>
                <w:szCs w:val="16"/>
                <w:b w:val="1"/>
                <w:bCs w:val="1"/>
                <w:color w:val="auto"/>
              </w:rPr>
              <w:t>a consolidated basis</w:t>
            </w:r>
          </w:p>
        </w:tc>
        <w:tc>
          <w:tcPr>
            <w:tcW w:w="980" w:type="dxa"/>
            <w:vAlign w:val="bottom"/>
          </w:tcPr>
          <w:p>
            <w:pPr>
              <w:spacing w:after="0"/>
              <w:rPr>
                <w:sz w:val="16"/>
                <w:szCs w:val="16"/>
                <w:color w:val="auto"/>
              </w:rPr>
            </w:pPr>
          </w:p>
        </w:tc>
        <w:tc>
          <w:tcPr>
            <w:tcW w:w="320" w:type="dxa"/>
            <w:vAlign w:val="bottom"/>
            <w:tcBorders>
              <w:right w:val="single" w:sz="8" w:color="00000A"/>
            </w:tcBorders>
          </w:tcPr>
          <w:p>
            <w:pPr>
              <w:spacing w:after="0"/>
              <w:rPr>
                <w:sz w:val="16"/>
                <w:szCs w:val="16"/>
                <w:color w:val="auto"/>
              </w:rPr>
            </w:pPr>
          </w:p>
        </w:tc>
        <w:tc>
          <w:tcPr>
            <w:tcW w:w="1060" w:type="dxa"/>
            <w:vAlign w:val="bottom"/>
          </w:tcPr>
          <w:p>
            <w:pPr>
              <w:jc w:val="center"/>
              <w:ind w:left="101"/>
              <w:spacing w:after="0"/>
              <w:rPr>
                <w:sz w:val="20"/>
                <w:szCs w:val="20"/>
                <w:color w:val="auto"/>
              </w:rPr>
            </w:pPr>
            <w:r>
              <w:rPr>
                <w:rFonts w:ascii="Arial" w:cs="Arial" w:eastAsia="Arial" w:hAnsi="Arial"/>
                <w:sz w:val="16"/>
                <w:szCs w:val="16"/>
                <w:color w:val="auto"/>
                <w:w w:val="89"/>
              </w:rPr>
              <w:t>_______</w:t>
            </w: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_________</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________</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w:t>
            </w: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0"/>
              </w:rPr>
              <w:t>Ended</w:t>
            </w:r>
          </w:p>
        </w:tc>
        <w:tc>
          <w:tcPr>
            <w:tcW w:w="0" w:type="dxa"/>
            <w:vAlign w:val="bottom"/>
          </w:tcPr>
          <w:p>
            <w:pPr>
              <w:spacing w:after="0"/>
              <w:rPr>
                <w:sz w:val="1"/>
                <w:szCs w:val="1"/>
                <w:color w:val="auto"/>
              </w:rPr>
            </w:pPr>
          </w:p>
        </w:tc>
      </w:tr>
      <w:tr>
        <w:trPr>
          <w:trHeight w:val="202"/>
        </w:trPr>
        <w:tc>
          <w:tcPr>
            <w:tcW w:w="2960" w:type="dxa"/>
            <w:vAlign w:val="bottom"/>
            <w:tcBorders>
              <w:left w:val="single" w:sz="8" w:color="00000A"/>
            </w:tcBorders>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right w:val="single" w:sz="8" w:color="00000A"/>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7"/>
              </w:rPr>
              <w:t>__________</w:t>
            </w:r>
          </w:p>
        </w:tc>
        <w:tc>
          <w:tcPr>
            <w:tcW w:w="0" w:type="dxa"/>
            <w:vAlign w:val="bottom"/>
          </w:tcPr>
          <w:p>
            <w:pPr>
              <w:spacing w:after="0"/>
              <w:rPr>
                <w:sz w:val="1"/>
                <w:szCs w:val="1"/>
                <w:color w:val="auto"/>
              </w:rPr>
            </w:pPr>
          </w:p>
        </w:tc>
      </w:tr>
      <w:tr>
        <w:trPr>
          <w:trHeight w:val="383"/>
        </w:trPr>
        <w:tc>
          <w:tcPr>
            <w:tcW w:w="2960" w:type="dxa"/>
            <w:vAlign w:val="bottom"/>
            <w:tcBorders>
              <w:left w:val="single" w:sz="8" w:color="00000A"/>
              <w:bottom w:val="single" w:sz="8" w:color="00000A"/>
            </w:tcBorders>
          </w:tcPr>
          <w:p>
            <w:pPr>
              <w:spacing w:after="0"/>
              <w:rPr>
                <w:sz w:val="24"/>
                <w:szCs w:val="24"/>
                <w:color w:val="auto"/>
              </w:rPr>
            </w:pPr>
          </w:p>
        </w:tc>
        <w:tc>
          <w:tcPr>
            <w:tcW w:w="98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960" w:type="dxa"/>
            <w:vAlign w:val="bottom"/>
            <w:tcBorders>
              <w:left w:val="single" w:sz="8" w:color="00000A"/>
            </w:tcBorders>
          </w:tcPr>
          <w:p>
            <w:pPr>
              <w:ind w:left="40"/>
              <w:spacing w:after="0"/>
              <w:rPr>
                <w:sz w:val="20"/>
                <w:szCs w:val="20"/>
                <w:color w:val="auto"/>
              </w:rPr>
            </w:pPr>
            <w:r>
              <w:rPr>
                <w:rFonts w:ascii="Arial" w:cs="Arial" w:eastAsia="Arial" w:hAnsi="Arial"/>
                <w:sz w:val="16"/>
                <w:szCs w:val="16"/>
                <w:color w:val="auto"/>
              </w:rPr>
              <w:t>cash Interest Expense</w:t>
            </w:r>
          </w:p>
        </w:tc>
        <w:tc>
          <w:tcPr>
            <w:tcW w:w="980" w:type="dxa"/>
            <w:vAlign w:val="bottom"/>
          </w:tcPr>
          <w:p>
            <w:pPr>
              <w:spacing w:after="0"/>
              <w:rPr>
                <w:sz w:val="24"/>
                <w:szCs w:val="24"/>
                <w:color w:val="auto"/>
              </w:rPr>
            </w:pPr>
          </w:p>
        </w:tc>
        <w:tc>
          <w:tcPr>
            <w:tcW w:w="320" w:type="dxa"/>
            <w:vAlign w:val="bottom"/>
            <w:tcBorders>
              <w:right w:val="single" w:sz="8" w:color="00000A"/>
            </w:tcBorders>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Borders>
              <w:left w:val="single" w:sz="8" w:color="00000A"/>
              <w:bottom w:val="single" w:sz="8" w:color="00000A"/>
              <w:right w:val="single" w:sz="8" w:color="00000A"/>
            </w:tcBorders>
            <w:gridSpan w:val="3"/>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2"/>
              </w:rPr>
              <w:t>(+) scheduled principal payments on Indebtedness made during</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rPr>
              <w:t>such  period  (excluding  (A)  any  scheduled  payment  on</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3"/>
              </w:rPr>
              <w:t>Indebtedness to the extent funded with additional Indebtedness</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rPr>
              <w:t>permitted under Section 6.01 and (B) principal payments in</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8"/>
              </w:rPr>
              <w:t>respect of (i) the Revolving Loans or (ii) Indebtedness owing</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tcBorders>
            <w:gridSpan w:val="2"/>
          </w:tcPr>
          <w:p>
            <w:pPr>
              <w:ind w:left="40"/>
              <w:spacing w:after="0"/>
              <w:rPr>
                <w:sz w:val="20"/>
                <w:szCs w:val="20"/>
                <w:color w:val="auto"/>
              </w:rPr>
            </w:pPr>
            <w:r>
              <w:rPr>
                <w:rFonts w:ascii="Arial" w:cs="Arial" w:eastAsia="Arial" w:hAnsi="Arial"/>
                <w:sz w:val="16"/>
                <w:szCs w:val="16"/>
                <w:color w:val="auto"/>
              </w:rPr>
              <w:t>under the Receivables Securitization Agreements)</w:t>
            </w:r>
          </w:p>
        </w:tc>
        <w:tc>
          <w:tcPr>
            <w:tcW w:w="320" w:type="dxa"/>
            <w:vAlign w:val="bottom"/>
            <w:tcBorders>
              <w:right w:val="single" w:sz="8" w:color="00000A"/>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Borders>
              <w:left w:val="single" w:sz="8" w:color="00000A"/>
              <w:bottom w:val="single" w:sz="8" w:color="00000A"/>
            </w:tcBorders>
          </w:tcPr>
          <w:p>
            <w:pPr>
              <w:spacing w:after="0"/>
              <w:rPr>
                <w:sz w:val="18"/>
                <w:szCs w:val="18"/>
                <w:color w:val="auto"/>
              </w:rPr>
            </w:pPr>
          </w:p>
        </w:tc>
        <w:tc>
          <w:tcPr>
            <w:tcW w:w="980" w:type="dxa"/>
            <w:vAlign w:val="bottom"/>
            <w:tcBorders>
              <w:bottom w:val="single" w:sz="8" w:color="00000A"/>
            </w:tcBorders>
          </w:tcPr>
          <w:p>
            <w:pPr>
              <w:spacing w:after="0"/>
              <w:rPr>
                <w:sz w:val="18"/>
                <w:szCs w:val="18"/>
                <w:color w:val="auto"/>
              </w:rPr>
            </w:pPr>
          </w:p>
        </w:tc>
        <w:tc>
          <w:tcPr>
            <w:tcW w:w="320" w:type="dxa"/>
            <w:vAlign w:val="bottom"/>
            <w:tcBorders>
              <w:bottom w:val="single" w:sz="8" w:color="00000A"/>
              <w:right w:val="single" w:sz="8" w:color="00000A"/>
            </w:tcBorders>
          </w:tcPr>
          <w:p>
            <w:pPr>
              <w:spacing w:after="0"/>
              <w:rPr>
                <w:sz w:val="18"/>
                <w:szCs w:val="18"/>
                <w:color w:val="auto"/>
              </w:rPr>
            </w:pPr>
          </w:p>
        </w:tc>
        <w:tc>
          <w:tcPr>
            <w:tcW w:w="1060" w:type="dxa"/>
            <w:vAlign w:val="bottom"/>
            <w:tcBorders>
              <w:bottom w:val="single" w:sz="8" w:color="00000A"/>
            </w:tcBorders>
          </w:tcPr>
          <w:p>
            <w:pPr>
              <w:spacing w:after="0"/>
              <w:rPr>
                <w:sz w:val="18"/>
                <w:szCs w:val="18"/>
                <w:color w:val="auto"/>
              </w:rPr>
            </w:pPr>
          </w:p>
        </w:tc>
        <w:tc>
          <w:tcPr>
            <w:tcW w:w="20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8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tcBorders>
              <w:left w:val="single" w:sz="8" w:color="00000A"/>
            </w:tcBorders>
          </w:tcPr>
          <w:p>
            <w:pPr>
              <w:ind w:left="40"/>
              <w:spacing w:after="0"/>
              <w:rPr>
                <w:sz w:val="20"/>
                <w:szCs w:val="20"/>
                <w:color w:val="auto"/>
              </w:rPr>
            </w:pPr>
            <w:r>
              <w:rPr>
                <w:rFonts w:ascii="Arial" w:cs="Arial" w:eastAsia="Arial" w:hAnsi="Arial"/>
                <w:sz w:val="16"/>
                <w:szCs w:val="16"/>
                <w:color w:val="auto"/>
              </w:rPr>
              <w:t>(+) expense for taxes paid in cash</w:t>
            </w:r>
          </w:p>
        </w:tc>
        <w:tc>
          <w:tcPr>
            <w:tcW w:w="980" w:type="dxa"/>
            <w:vAlign w:val="bottom"/>
          </w:tcPr>
          <w:p>
            <w:pPr>
              <w:spacing w:after="0"/>
              <w:rPr>
                <w:sz w:val="17"/>
                <w:szCs w:val="17"/>
                <w:color w:val="auto"/>
              </w:rPr>
            </w:pPr>
          </w:p>
        </w:tc>
        <w:tc>
          <w:tcPr>
            <w:tcW w:w="320" w:type="dxa"/>
            <w:vAlign w:val="bottom"/>
            <w:tcBorders>
              <w:right w:val="single" w:sz="8" w:color="00000A"/>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260" w:type="dxa"/>
            <w:vAlign w:val="bottom"/>
            <w:tcBorders>
              <w:left w:val="single" w:sz="8" w:color="00000A"/>
              <w:bottom w:val="single" w:sz="8" w:color="00000A"/>
              <w:right w:val="single" w:sz="8" w:color="00000A"/>
            </w:tcBorders>
            <w:gridSpan w:val="3"/>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9"/>
              </w:rPr>
              <w:t>(+) Restricted Payments paid in cash (other than Restricted</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2"/>
              </w:rPr>
              <w:t>Payments made by any Loan Party or any Restricted Subsidiary</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1"/>
              </w:rPr>
              <w:t>of a Loan Party to any Loan Party or to one or more Intermediate</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2"/>
              </w:rPr>
              <w:t>Holding Companies that subsequently distribute the proceeds of</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tcBorders>
            <w:gridSpan w:val="2"/>
          </w:tcPr>
          <w:p>
            <w:pPr>
              <w:ind w:left="40"/>
              <w:spacing w:after="0"/>
              <w:rPr>
                <w:sz w:val="20"/>
                <w:szCs w:val="20"/>
                <w:color w:val="auto"/>
              </w:rPr>
            </w:pPr>
            <w:r>
              <w:rPr>
                <w:rFonts w:ascii="Arial" w:cs="Arial" w:eastAsia="Arial" w:hAnsi="Arial"/>
                <w:sz w:val="16"/>
                <w:szCs w:val="16"/>
                <w:color w:val="auto"/>
                <w:w w:val="98"/>
              </w:rPr>
              <w:t>such Restricted Payments to one or more Loan Parties)</w:t>
            </w:r>
          </w:p>
        </w:tc>
        <w:tc>
          <w:tcPr>
            <w:tcW w:w="320" w:type="dxa"/>
            <w:vAlign w:val="bottom"/>
            <w:tcBorders>
              <w:right w:val="single" w:sz="8" w:color="00000A"/>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Borders>
              <w:left w:val="single" w:sz="8" w:color="00000A"/>
              <w:bottom w:val="single" w:sz="8" w:color="00000A"/>
              <w:right w:val="single" w:sz="8" w:color="00000A"/>
            </w:tcBorders>
            <w:gridSpan w:val="3"/>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4"/>
              </w:rPr>
              <w:t>(+) Capital Lease Obligation payments and unfinanced Capital</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1"/>
              </w:rPr>
              <w:t>Expenditures made in cash made during such period (other than</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9"/>
              </w:rPr>
              <w:t>any  such  Capital  Lease  Obligation  payments  or  Capital</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6"/>
              </w:rPr>
              <w:t>Expenditures to the extent that such Capital Lease Obligation</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2"/>
              </w:rPr>
              <w:t>payments or Capital Expenditures are made with proceeds from</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4"/>
              </w:rPr>
              <w:t>(A) any sale of assets permitted by this Agreement, (B) sale of</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7"/>
              </w:rPr>
              <w:t>Equity Interests permitted by this Agreement, (C) trade-ins of</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6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6"/>
                <w:szCs w:val="16"/>
                <w:color w:val="auto"/>
                <w:w w:val="96"/>
              </w:rPr>
              <w:t>machinery,  equipment  or  motor  vehicles  or  (D)  insurance</w:t>
            </w:r>
          </w:p>
        </w:tc>
        <w:tc>
          <w:tcPr>
            <w:tcW w:w="1060" w:type="dxa"/>
            <w:vAlign w:val="bottom"/>
          </w:tcPr>
          <w:p>
            <w:pPr>
              <w:spacing w:after="0"/>
              <w:rPr>
                <w:sz w:val="16"/>
                <w:szCs w:val="16"/>
                <w:color w:val="auto"/>
              </w:rPr>
            </w:pPr>
          </w:p>
        </w:tc>
        <w:tc>
          <w:tcPr>
            <w:tcW w:w="20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84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tcBorders>
              <w:left w:val="single" w:sz="8" w:color="00000A"/>
            </w:tcBorders>
          </w:tcPr>
          <w:p>
            <w:pPr>
              <w:ind w:left="40"/>
              <w:spacing w:after="0"/>
              <w:rPr>
                <w:sz w:val="20"/>
                <w:szCs w:val="20"/>
                <w:color w:val="auto"/>
              </w:rPr>
            </w:pPr>
            <w:r>
              <w:rPr>
                <w:rFonts w:ascii="Arial" w:cs="Arial" w:eastAsia="Arial" w:hAnsi="Arial"/>
                <w:sz w:val="16"/>
                <w:szCs w:val="16"/>
                <w:color w:val="auto"/>
                <w:w w:val="96"/>
              </w:rPr>
              <w:t>covering any loss or damage to Collateral)</w:t>
            </w:r>
          </w:p>
        </w:tc>
        <w:tc>
          <w:tcPr>
            <w:tcW w:w="980" w:type="dxa"/>
            <w:vAlign w:val="bottom"/>
          </w:tcPr>
          <w:p>
            <w:pPr>
              <w:spacing w:after="0"/>
              <w:rPr>
                <w:sz w:val="17"/>
                <w:szCs w:val="17"/>
                <w:color w:val="auto"/>
              </w:rPr>
            </w:pPr>
          </w:p>
        </w:tc>
        <w:tc>
          <w:tcPr>
            <w:tcW w:w="320" w:type="dxa"/>
            <w:vAlign w:val="bottom"/>
            <w:tcBorders>
              <w:right w:val="single" w:sz="8" w:color="00000A"/>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960" w:type="dxa"/>
            <w:vAlign w:val="bottom"/>
            <w:tcBorders>
              <w:left w:val="single" w:sz="8" w:color="00000A"/>
              <w:bottom w:val="single" w:sz="8" w:color="00000A"/>
            </w:tcBorders>
          </w:tcPr>
          <w:p>
            <w:pPr>
              <w:spacing w:after="0"/>
              <w:rPr>
                <w:sz w:val="2"/>
                <w:szCs w:val="2"/>
                <w:color w:val="auto"/>
              </w:rPr>
            </w:pPr>
          </w:p>
        </w:tc>
        <w:tc>
          <w:tcPr>
            <w:tcW w:w="980" w:type="dxa"/>
            <w:vAlign w:val="bottom"/>
            <w:tcBorders>
              <w:bottom w:val="single" w:sz="8" w:color="00000A"/>
            </w:tcBorders>
          </w:tcPr>
          <w:p>
            <w:pPr>
              <w:spacing w:after="0"/>
              <w:rPr>
                <w:sz w:val="2"/>
                <w:szCs w:val="2"/>
                <w:color w:val="auto"/>
              </w:rPr>
            </w:pPr>
          </w:p>
        </w:tc>
        <w:tc>
          <w:tcPr>
            <w:tcW w:w="32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95"/>
        </w:trPr>
        <w:tc>
          <w:tcPr>
            <w:tcW w:w="2960" w:type="dxa"/>
            <w:vAlign w:val="bottom"/>
            <w:tcBorders>
              <w:left w:val="single" w:sz="8" w:color="00000A"/>
            </w:tcBorders>
          </w:tcPr>
          <w:p>
            <w:pPr>
              <w:ind w:left="40"/>
              <w:spacing w:after="0"/>
              <w:rPr>
                <w:sz w:val="20"/>
                <w:szCs w:val="20"/>
                <w:color w:val="auto"/>
              </w:rPr>
            </w:pPr>
            <w:r>
              <w:rPr>
                <w:rFonts w:ascii="Arial" w:cs="Arial" w:eastAsia="Arial" w:hAnsi="Arial"/>
                <w:sz w:val="16"/>
                <w:szCs w:val="16"/>
                <w:color w:val="auto"/>
              </w:rPr>
              <w:t>= Fixed Charges</w:t>
            </w:r>
          </w:p>
        </w:tc>
        <w:tc>
          <w:tcPr>
            <w:tcW w:w="980" w:type="dxa"/>
            <w:vAlign w:val="bottom"/>
          </w:tcPr>
          <w:p>
            <w:pPr>
              <w:spacing w:after="0"/>
              <w:rPr>
                <w:sz w:val="24"/>
                <w:szCs w:val="24"/>
                <w:color w:val="auto"/>
              </w:rPr>
            </w:pPr>
          </w:p>
        </w:tc>
        <w:tc>
          <w:tcPr>
            <w:tcW w:w="320" w:type="dxa"/>
            <w:vAlign w:val="bottom"/>
            <w:tcBorders>
              <w:right w:val="single" w:sz="8" w:color="00000A"/>
            </w:tcBorders>
          </w:tcPr>
          <w:p>
            <w:pPr>
              <w:spacing w:after="0"/>
              <w:rPr>
                <w:sz w:val="24"/>
                <w:szCs w:val="24"/>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w w:val="93"/>
              </w:rPr>
              <w:t>$______</w:t>
            </w:r>
          </w:p>
        </w:tc>
        <w:tc>
          <w:tcPr>
            <w:tcW w:w="20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jc w:val="right"/>
              <w:ind w:right="661"/>
              <w:spacing w:after="0"/>
              <w:rPr>
                <w:sz w:val="20"/>
                <w:szCs w:val="20"/>
                <w:color w:val="auto"/>
              </w:rPr>
            </w:pPr>
            <w:r>
              <w:rPr>
                <w:rFonts w:ascii="Arial" w:cs="Arial" w:eastAsia="Arial" w:hAnsi="Arial"/>
                <w:sz w:val="16"/>
                <w:szCs w:val="16"/>
                <w:color w:val="auto"/>
                <w:w w:val="96"/>
              </w:rPr>
              <w:t>$______</w:t>
            </w:r>
          </w:p>
        </w:tc>
        <w:tc>
          <w:tcPr>
            <w:tcW w:w="1380" w:type="dxa"/>
            <w:vAlign w:val="bottom"/>
            <w:tcBorders>
              <w:right w:val="single" w:sz="8" w:color="00000A"/>
            </w:tcBorders>
          </w:tcPr>
          <w:p>
            <w:pPr>
              <w:jc w:val="right"/>
              <w:ind w:right="681"/>
              <w:spacing w:after="0"/>
              <w:rPr>
                <w:sz w:val="20"/>
                <w:szCs w:val="20"/>
                <w:color w:val="auto"/>
              </w:rPr>
            </w:pPr>
            <w:r>
              <w:rPr>
                <w:rFonts w:ascii="Arial" w:cs="Arial" w:eastAsia="Arial" w:hAnsi="Arial"/>
                <w:sz w:val="16"/>
                <w:szCs w:val="16"/>
                <w:color w:val="auto"/>
                <w:w w:val="96"/>
              </w:rPr>
              <w:t>$______</w:t>
            </w:r>
          </w:p>
        </w:tc>
        <w:tc>
          <w:tcPr>
            <w:tcW w:w="1360" w:type="dxa"/>
            <w:vAlign w:val="bottom"/>
            <w:tcBorders>
              <w:right w:val="single" w:sz="8" w:color="00000A"/>
            </w:tcBorders>
          </w:tcPr>
          <w:p>
            <w:pPr>
              <w:jc w:val="right"/>
              <w:ind w:right="661"/>
              <w:spacing w:after="0"/>
              <w:rPr>
                <w:sz w:val="20"/>
                <w:szCs w:val="20"/>
                <w:color w:val="auto"/>
              </w:rPr>
            </w:pPr>
            <w:r>
              <w:rPr>
                <w:rFonts w:ascii="Arial" w:cs="Arial" w:eastAsia="Arial" w:hAnsi="Arial"/>
                <w:sz w:val="16"/>
                <w:szCs w:val="16"/>
                <w:color w:val="auto"/>
                <w:w w:val="96"/>
              </w:rPr>
              <w:t>$______</w:t>
            </w:r>
          </w:p>
        </w:tc>
        <w:tc>
          <w:tcPr>
            <w:tcW w:w="1840" w:type="dxa"/>
            <w:vAlign w:val="bottom"/>
            <w:tcBorders>
              <w:right w:val="single" w:sz="8" w:color="00000A"/>
            </w:tcBorders>
          </w:tcPr>
          <w:p>
            <w:pPr>
              <w:jc w:val="right"/>
              <w:ind w:right="981"/>
              <w:spacing w:after="0"/>
              <w:rPr>
                <w:sz w:val="20"/>
                <w:szCs w:val="20"/>
                <w:color w:val="auto"/>
              </w:rPr>
            </w:pPr>
            <w:r>
              <w:rPr>
                <w:rFonts w:ascii="Arial" w:cs="Arial" w:eastAsia="Arial" w:hAnsi="Arial"/>
                <w:sz w:val="16"/>
                <w:szCs w:val="16"/>
                <w:color w:val="auto"/>
                <w:w w:val="94"/>
              </w:rPr>
              <w:t>$________</w:t>
            </w:r>
          </w:p>
        </w:tc>
        <w:tc>
          <w:tcPr>
            <w:tcW w:w="0" w:type="dxa"/>
            <w:vAlign w:val="bottom"/>
          </w:tcPr>
          <w:p>
            <w:pPr>
              <w:spacing w:after="0"/>
              <w:rPr>
                <w:sz w:val="1"/>
                <w:szCs w:val="1"/>
                <w:color w:val="auto"/>
              </w:rPr>
            </w:pPr>
          </w:p>
        </w:tc>
      </w:tr>
      <w:tr>
        <w:trPr>
          <w:trHeight w:val="25"/>
        </w:trPr>
        <w:tc>
          <w:tcPr>
            <w:tcW w:w="4260" w:type="dxa"/>
            <w:vAlign w:val="bottom"/>
            <w:tcBorders>
              <w:left w:val="single" w:sz="8" w:color="00000A"/>
              <w:bottom w:val="single" w:sz="8" w:color="00000A"/>
              <w:right w:val="single" w:sz="8" w:color="00000A"/>
            </w:tcBorders>
            <w:gridSpan w:val="3"/>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632"/>
        </w:trPr>
        <w:tc>
          <w:tcPr>
            <w:tcW w:w="5320" w:type="dxa"/>
            <w:vAlign w:val="bottom"/>
            <w:gridSpan w:val="4"/>
          </w:tcPr>
          <w:p>
            <w:pPr>
              <w:ind w:left="56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auto"/>
              </w:rPr>
              <w:t>FIXED CHARGE COVERAGE RATIO (Line A</w:t>
            </w:r>
            <w:r>
              <w:rPr>
                <w:rFonts w:ascii="Arial" w:cs="Arial" w:eastAsia="Arial" w:hAnsi="Arial"/>
                <w:sz w:val="17"/>
                <w:szCs w:val="17"/>
                <w:color w:val="auto"/>
              </w:rPr>
              <w:t xml:space="preserve"> </w:t>
            </w:r>
            <w:r>
              <w:rPr>
                <w:rFonts w:ascii="Arial" w:cs="Arial" w:eastAsia="Arial" w:hAnsi="Arial"/>
                <w:sz w:val="19"/>
                <w:szCs w:val="19"/>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Line B)</w:t>
            </w:r>
          </w:p>
        </w:tc>
        <w:tc>
          <w:tcPr>
            <w:tcW w:w="1560" w:type="dxa"/>
            <w:vAlign w:val="bottom"/>
            <w:gridSpan w:val="2"/>
          </w:tcPr>
          <w:p>
            <w:pPr>
              <w:jc w:val="right"/>
              <w:ind w:right="261"/>
              <w:spacing w:after="0"/>
              <w:rPr>
                <w:sz w:val="20"/>
                <w:szCs w:val="20"/>
                <w:color w:val="auto"/>
              </w:rPr>
            </w:pPr>
            <w:r>
              <w:rPr>
                <w:rFonts w:ascii="Arial" w:cs="Arial" w:eastAsia="Arial" w:hAnsi="Arial"/>
                <w:sz w:val="17"/>
                <w:szCs w:val="17"/>
                <w:color w:val="auto"/>
              </w:rPr>
              <w:t>______ to 1.00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960" w:type="dxa"/>
            <w:vAlign w:val="bottom"/>
          </w:tcPr>
          <w:p>
            <w:pPr>
              <w:ind w:left="56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IN COMPLIANCE</w:t>
            </w:r>
          </w:p>
        </w:tc>
        <w:tc>
          <w:tcPr>
            <w:tcW w:w="980" w:type="dxa"/>
            <w:vAlign w:val="bottom"/>
          </w:tcPr>
          <w:p>
            <w:pPr>
              <w:ind w:left="2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7"/>
                <w:szCs w:val="17"/>
                <w:b w:val="1"/>
                <w:bCs w:val="1"/>
                <w:color w:val="auto"/>
              </w:rPr>
              <w:t xml:space="preserve"> YES</w:t>
            </w:r>
          </w:p>
        </w:tc>
        <w:tc>
          <w:tcPr>
            <w:tcW w:w="1380" w:type="dxa"/>
            <w:vAlign w:val="bottom"/>
            <w:gridSpan w:val="2"/>
          </w:tcPr>
          <w:p>
            <w:pPr>
              <w:jc w:val="right"/>
              <w:ind w:right="541"/>
              <w:spacing w:after="0" w:line="253"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7"/>
                <w:szCs w:val="17"/>
                <w:b w:val="1"/>
                <w:bCs w:val="1"/>
                <w:color w:val="auto"/>
              </w:rPr>
              <w:t xml:space="preserve"> NO</w:t>
            </w:r>
            <w:r>
              <w:rPr>
                <w:rFonts w:ascii="Arial" w:cs="Arial" w:eastAsia="Arial" w:hAnsi="Arial"/>
                <w:sz w:val="17"/>
                <w:szCs w:val="17"/>
                <w:color w:val="auto"/>
              </w:rPr>
              <w:t>]</w:t>
            </w:r>
            <w:r>
              <w:rPr>
                <w:rFonts w:ascii="Arial" w:cs="Arial" w:eastAsia="Arial" w:hAnsi="Arial"/>
                <w:sz w:val="22"/>
                <w:szCs w:val="22"/>
                <w:color w:val="auto"/>
                <w:vertAlign w:val="superscript"/>
              </w:rPr>
              <w:t>2</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60"/>
        <w:spacing w:after="0"/>
        <w:rPr>
          <w:sz w:val="20"/>
          <w:szCs w:val="20"/>
          <w:color w:val="auto"/>
        </w:rPr>
      </w:pPr>
      <w:r>
        <w:rPr>
          <w:rFonts w:ascii="Arial" w:cs="Arial" w:eastAsia="Arial" w:hAnsi="Arial"/>
          <w:sz w:val="17"/>
          <w:szCs w:val="17"/>
          <w:u w:val="single" w:color="auto"/>
          <w:color w:val="auto"/>
        </w:rPr>
        <w:t>SCHEDULE II</w:t>
      </w:r>
      <w:r>
        <w:rPr>
          <w:rFonts w:ascii="Arial" w:cs="Arial" w:eastAsia="Arial" w:hAnsi="Arial"/>
          <w:sz w:val="22"/>
          <w:szCs w:val="22"/>
          <w:u w:val="single" w:color="auto"/>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-51435</wp:posOffset>
            </wp:positionV>
            <wp:extent cx="279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ectPr>
          <w:pgSz w:w="11900" w:h="16911" w:orient="portrait"/>
          <w:cols w:equalWidth="0" w:num="1">
            <w:col w:w="11440"/>
          </w:cols>
          <w:pgMar w:left="240" w:top="317" w:right="219" w:bottom="0" w:gutter="0" w:footer="0" w:header="0"/>
        </w:sectPr>
      </w:pPr>
    </w:p>
    <w:bookmarkStart w:id="110" w:name="page111"/>
    <w:bookmarkEnd w:id="110"/>
    <w:p>
      <w:pPr>
        <w:jc w:val="center"/>
        <w:ind w:right="60"/>
        <w:spacing w:after="0"/>
        <w:rPr>
          <w:sz w:val="20"/>
          <w:szCs w:val="20"/>
          <w:color w:val="auto"/>
        </w:rPr>
      </w:pPr>
      <w:r>
        <w:rPr>
          <w:rFonts w:ascii="Arial" w:cs="Arial" w:eastAsia="Arial" w:hAnsi="Arial"/>
          <w:sz w:val="17"/>
          <w:szCs w:val="17"/>
          <w:b w:val="1"/>
          <w:bCs w:val="1"/>
          <w:color w:val="auto"/>
        </w:rPr>
        <w:t>SECURED LEVERAGE RATIO CALCULATION</w:t>
      </w:r>
      <w:r>
        <w:rPr>
          <w:rFonts w:ascii="Arial" w:cs="Arial" w:eastAsia="Arial" w:hAnsi="Arial"/>
          <w:sz w:val="22"/>
          <w:szCs w:val="22"/>
          <w:b w:val="1"/>
          <w:bCs w:val="1"/>
          <w:u w:val="single" w:color="auto"/>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-40640</wp:posOffset>
            </wp:positionV>
            <wp:extent cx="279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Secured Leverage Ratio</w:t>
      </w:r>
      <w:r>
        <w:rPr>
          <w:rFonts w:ascii="Arial" w:cs="Arial" w:eastAsia="Arial" w:hAnsi="Arial"/>
          <w:sz w:val="17"/>
          <w:szCs w:val="17"/>
          <w:color w:val="auto"/>
        </w:rPr>
        <w:t>. On any date, the ratio of (a) Secured Indebtedness on such date to (b) EBITDA for the period of four consecutive fiscal quarters ended</w:t>
      </w:r>
      <w:r>
        <w:rPr>
          <w:rFonts w:ascii="Arial" w:cs="Arial" w:eastAsia="Arial" w:hAnsi="Arial"/>
          <w:sz w:val="17"/>
          <w:szCs w:val="17"/>
          <w:b w:val="1"/>
          <w:bCs w:val="1"/>
          <w:color w:val="auto"/>
        </w:rPr>
        <w:t xml:space="preserve"> </w:t>
      </w:r>
      <w:r>
        <w:rPr>
          <w:rFonts w:ascii="Arial" w:cs="Arial" w:eastAsia="Arial" w:hAnsi="Arial"/>
          <w:sz w:val="17"/>
          <w:szCs w:val="17"/>
          <w:color w:val="auto"/>
        </w:rPr>
        <w:t>on such date.</w:t>
      </w:r>
    </w:p>
    <w:p>
      <w:pPr>
        <w:spacing w:after="0" w:line="200" w:lineRule="exact"/>
        <w:rPr>
          <w:sz w:val="20"/>
          <w:szCs w:val="20"/>
          <w:color w:val="auto"/>
        </w:rPr>
      </w:pPr>
    </w:p>
    <w:p>
      <w:pPr>
        <w:spacing w:after="0" w:line="284" w:lineRule="exact"/>
        <w:rPr>
          <w:sz w:val="20"/>
          <w:szCs w:val="20"/>
          <w:color w:val="auto"/>
        </w:rPr>
      </w:pPr>
    </w:p>
    <w:p>
      <w:pPr>
        <w:ind w:left="720"/>
        <w:spacing w:after="0"/>
        <w:tabs>
          <w:tab w:leader="none" w:pos="1280" w:val="left"/>
          <w:tab w:leader="none" w:pos="96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b w:val="1"/>
          <w:bCs w:val="1"/>
          <w:color w:val="auto"/>
        </w:rPr>
        <w:t>SECURED INDEBTEDNESS</w:t>
      </w:r>
      <w:r>
        <w:rPr>
          <w:sz w:val="20"/>
          <w:szCs w:val="20"/>
          <w:color w:val="auto"/>
        </w:rPr>
        <w:tab/>
      </w:r>
      <w:r>
        <w:rPr>
          <w:rFonts w:ascii="Arial" w:cs="Arial" w:eastAsia="Arial" w:hAnsi="Arial"/>
          <w:sz w:val="15"/>
          <w:szCs w:val="15"/>
          <w:color w:val="auto"/>
        </w:rPr>
        <w:t>$______</w:t>
      </w:r>
    </w:p>
    <w:p>
      <w:pPr>
        <w:spacing w:after="0" w:line="200" w:lineRule="exact"/>
        <w:rPr>
          <w:sz w:val="20"/>
          <w:szCs w:val="20"/>
          <w:color w:val="auto"/>
        </w:rPr>
      </w:pPr>
    </w:p>
    <w:p>
      <w:pPr>
        <w:spacing w:after="0" w:line="260" w:lineRule="exact"/>
        <w:rPr>
          <w:sz w:val="20"/>
          <w:szCs w:val="20"/>
          <w:color w:val="auto"/>
        </w:rPr>
      </w:pPr>
    </w:p>
    <w:p>
      <w:pPr>
        <w:ind w:left="1300" w:hanging="578"/>
        <w:spacing w:after="0"/>
        <w:tabs>
          <w:tab w:leader="none" w:pos="1300" w:val="left"/>
        </w:tabs>
        <w:numPr>
          <w:ilvl w:val="0"/>
          <w:numId w:val="161"/>
        </w:numPr>
        <w:rPr>
          <w:rFonts w:ascii="Arial" w:cs="Arial" w:eastAsia="Arial" w:hAnsi="Arial"/>
          <w:sz w:val="17"/>
          <w:szCs w:val="17"/>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for the period of four consecutive fiscal quarters ended on such date (as calculated below).</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940" w:type="dxa"/>
            <w:vAlign w:val="bottom"/>
            <w:tcBorders>
              <w:bottom w:val="single" w:sz="8" w:color="00000A"/>
            </w:tcBorders>
          </w:tcPr>
          <w:p>
            <w:pPr>
              <w:spacing w:after="0"/>
              <w:rPr>
                <w:sz w:val="19"/>
                <w:szCs w:val="19"/>
                <w:color w:val="auto"/>
              </w:rPr>
            </w:pPr>
          </w:p>
        </w:tc>
        <w:tc>
          <w:tcPr>
            <w:tcW w:w="1360" w:type="dxa"/>
            <w:vAlign w:val="bottom"/>
            <w:tcBorders>
              <w:bottom w:val="single" w:sz="8" w:color="00000A"/>
            </w:tcBorders>
          </w:tcPr>
          <w:p>
            <w:pPr>
              <w:spacing w:after="0"/>
              <w:rPr>
                <w:sz w:val="19"/>
                <w:szCs w:val="19"/>
                <w:color w:val="auto"/>
              </w:rPr>
            </w:pPr>
          </w:p>
        </w:tc>
        <w:tc>
          <w:tcPr>
            <w:tcW w:w="1380" w:type="dxa"/>
            <w:vAlign w:val="bottom"/>
            <w:tcBorders>
              <w:bottom w:val="single" w:sz="8" w:color="00000A"/>
            </w:tcBorders>
          </w:tcPr>
          <w:p>
            <w:pPr>
              <w:spacing w:after="0"/>
              <w:rPr>
                <w:sz w:val="19"/>
                <w:szCs w:val="19"/>
                <w:color w:val="auto"/>
              </w:rPr>
            </w:pPr>
          </w:p>
        </w:tc>
        <w:tc>
          <w:tcPr>
            <w:tcW w:w="1360" w:type="dxa"/>
            <w:vAlign w:val="bottom"/>
            <w:tcBorders>
              <w:bottom w:val="single" w:sz="8" w:color="00000A"/>
            </w:tcBorders>
          </w:tcPr>
          <w:p>
            <w:pPr>
              <w:spacing w:after="0"/>
              <w:rPr>
                <w:sz w:val="19"/>
                <w:szCs w:val="19"/>
                <w:color w:val="auto"/>
              </w:rPr>
            </w:pPr>
          </w:p>
        </w:tc>
        <w:tc>
          <w:tcPr>
            <w:tcW w:w="138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1720" w:type="dxa"/>
            <w:vAlign w:val="bottom"/>
            <w:tcBorders>
              <w:bottom w:val="single" w:sz="8" w:color="00000A"/>
            </w:tcBorders>
          </w:tcPr>
          <w:p>
            <w:pPr>
              <w:jc w:val="right"/>
              <w:ind w:right="839"/>
              <w:spacing w:after="0"/>
              <w:rPr>
                <w:sz w:val="20"/>
                <w:szCs w:val="20"/>
                <w:color w:val="auto"/>
              </w:rPr>
            </w:pPr>
            <w:r>
              <w:rPr>
                <w:rFonts w:ascii="Arial" w:cs="Arial" w:eastAsia="Arial" w:hAnsi="Arial"/>
                <w:sz w:val="17"/>
                <w:szCs w:val="17"/>
                <w:color w:val="auto"/>
              </w:rPr>
              <w:t>$______</w:t>
            </w:r>
          </w:p>
        </w:tc>
        <w:tc>
          <w:tcPr>
            <w:tcW w:w="100" w:type="dxa"/>
            <w:vAlign w:val="bottom"/>
            <w:tcBorders>
              <w:bottom w:val="single" w:sz="8" w:color="00000A"/>
            </w:tcBorders>
          </w:tcPr>
          <w:p>
            <w:pPr>
              <w:spacing w:after="0"/>
              <w:rPr>
                <w:sz w:val="19"/>
                <w:szCs w:val="19"/>
                <w:color w:val="auto"/>
              </w:rPr>
            </w:pPr>
          </w:p>
        </w:tc>
        <w:tc>
          <w:tcPr>
            <w:tcW w:w="120" w:type="dxa"/>
            <w:vAlign w:val="bottom"/>
            <w:tcBorders>
              <w:bottom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9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6"/>
                <w:szCs w:val="16"/>
                <w:b w:val="1"/>
                <w:bCs w:val="1"/>
                <w:color w:val="auto"/>
                <w:w w:val="90"/>
              </w:rPr>
              <w:t>EBITDA of Holdings and its Restricted Subsidiaries on a</w:t>
            </w:r>
          </w:p>
        </w:tc>
        <w:tc>
          <w:tcPr>
            <w:tcW w:w="1360" w:type="dxa"/>
            <w:vAlign w:val="bottom"/>
            <w:tcBorders>
              <w:right w:val="single" w:sz="8" w:color="00000A"/>
            </w:tcBorders>
          </w:tcPr>
          <w:p>
            <w:pPr>
              <w:jc w:val="center"/>
              <w:ind w:right="1"/>
              <w:spacing w:after="0"/>
              <w:rPr>
                <w:sz w:val="20"/>
                <w:szCs w:val="20"/>
                <w:color w:val="auto"/>
              </w:rPr>
            </w:pPr>
            <w:r>
              <w:rPr>
                <w:rFonts w:ascii="Arial" w:cs="Arial" w:eastAsia="Arial" w:hAnsi="Arial"/>
                <w:sz w:val="16"/>
                <w:szCs w:val="16"/>
                <w:color w:val="auto"/>
                <w:w w:val="88"/>
              </w:rPr>
              <w:t>Quarter</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Quarter</w:t>
            </w:r>
          </w:p>
        </w:tc>
        <w:tc>
          <w:tcPr>
            <w:tcW w:w="1360" w:type="dxa"/>
            <w:vAlign w:val="bottom"/>
            <w:tcBorders>
              <w:right w:val="single" w:sz="8" w:color="00000A"/>
            </w:tcBorders>
          </w:tcPr>
          <w:p>
            <w:pPr>
              <w:jc w:val="center"/>
              <w:ind w:right="1"/>
              <w:spacing w:after="0"/>
              <w:rPr>
                <w:sz w:val="20"/>
                <w:szCs w:val="20"/>
                <w:color w:val="auto"/>
              </w:rPr>
            </w:pPr>
            <w:r>
              <w:rPr>
                <w:rFonts w:ascii="Arial" w:cs="Arial" w:eastAsia="Arial" w:hAnsi="Arial"/>
                <w:sz w:val="16"/>
                <w:szCs w:val="16"/>
                <w:color w:val="auto"/>
                <w:w w:val="88"/>
              </w:rPr>
              <w:t>Quarter</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8"/>
              </w:rPr>
              <w:t>Quarter</w:t>
            </w:r>
          </w:p>
        </w:tc>
        <w:tc>
          <w:tcPr>
            <w:tcW w:w="100" w:type="dxa"/>
            <w:vAlign w:val="bottom"/>
          </w:tcPr>
          <w:p>
            <w:pPr>
              <w:spacing w:after="0"/>
              <w:rPr>
                <w:sz w:val="17"/>
                <w:szCs w:val="17"/>
                <w:color w:val="auto"/>
              </w:rPr>
            </w:pPr>
          </w:p>
        </w:tc>
        <w:tc>
          <w:tcPr>
            <w:tcW w:w="1720" w:type="dxa"/>
            <w:vAlign w:val="bottom"/>
            <w:tcBorders>
              <w:right w:val="single" w:sz="8" w:color="00000A"/>
            </w:tcBorders>
          </w:tcPr>
          <w:p>
            <w:pPr>
              <w:jc w:val="center"/>
              <w:ind w:right="99"/>
              <w:spacing w:after="0"/>
              <w:rPr>
                <w:sz w:val="20"/>
                <w:szCs w:val="20"/>
                <w:color w:val="auto"/>
              </w:rPr>
            </w:pPr>
            <w:r>
              <w:rPr>
                <w:rFonts w:ascii="Arial" w:cs="Arial" w:eastAsia="Arial" w:hAnsi="Arial"/>
                <w:sz w:val="16"/>
                <w:szCs w:val="16"/>
                <w:color w:val="auto"/>
                <w:w w:val="90"/>
              </w:rPr>
              <w:t>Twelve</w:t>
            </w: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940" w:type="dxa"/>
            <w:vAlign w:val="bottom"/>
            <w:tcBorders>
              <w:left w:val="single" w:sz="8" w:color="00000A"/>
              <w:right w:val="single" w:sz="8" w:color="00000A"/>
            </w:tcBorders>
            <w:vMerge w:val="continue"/>
          </w:tcPr>
          <w:p>
            <w:pPr>
              <w:spacing w:after="0"/>
              <w:rPr>
                <w:sz w:val="14"/>
                <w:szCs w:val="14"/>
                <w:color w:val="auto"/>
              </w:rPr>
            </w:pPr>
          </w:p>
        </w:tc>
        <w:tc>
          <w:tcPr>
            <w:tcW w:w="1360" w:type="dxa"/>
            <w:vAlign w:val="bottom"/>
            <w:tcBorders>
              <w:right w:val="single" w:sz="8" w:color="00000A"/>
            </w:tcBorders>
          </w:tcPr>
          <w:p>
            <w:pPr>
              <w:jc w:val="center"/>
              <w:ind w:right="1"/>
              <w:spacing w:after="0" w:line="163" w:lineRule="exact"/>
              <w:rPr>
                <w:sz w:val="20"/>
                <w:szCs w:val="20"/>
                <w:color w:val="auto"/>
              </w:rPr>
            </w:pPr>
            <w:r>
              <w:rPr>
                <w:rFonts w:ascii="Arial" w:cs="Arial" w:eastAsia="Arial" w:hAnsi="Arial"/>
                <w:sz w:val="16"/>
                <w:szCs w:val="16"/>
                <w:color w:val="auto"/>
                <w:w w:val="86"/>
              </w:rPr>
              <w:t>Ended</w:t>
            </w:r>
          </w:p>
        </w:tc>
        <w:tc>
          <w:tcPr>
            <w:tcW w:w="1380" w:type="dxa"/>
            <w:vAlign w:val="bottom"/>
            <w:tcBorders>
              <w:right w:val="single" w:sz="8" w:color="00000A"/>
            </w:tcBorders>
          </w:tcPr>
          <w:p>
            <w:pPr>
              <w:jc w:val="center"/>
              <w:spacing w:after="0" w:line="163" w:lineRule="exact"/>
              <w:rPr>
                <w:sz w:val="20"/>
                <w:szCs w:val="20"/>
                <w:color w:val="auto"/>
              </w:rPr>
            </w:pPr>
            <w:r>
              <w:rPr>
                <w:rFonts w:ascii="Arial" w:cs="Arial" w:eastAsia="Arial" w:hAnsi="Arial"/>
                <w:sz w:val="16"/>
                <w:szCs w:val="16"/>
                <w:color w:val="auto"/>
                <w:w w:val="86"/>
              </w:rPr>
              <w:t>Ended</w:t>
            </w:r>
          </w:p>
        </w:tc>
        <w:tc>
          <w:tcPr>
            <w:tcW w:w="1360" w:type="dxa"/>
            <w:vAlign w:val="bottom"/>
            <w:tcBorders>
              <w:right w:val="single" w:sz="8" w:color="00000A"/>
            </w:tcBorders>
          </w:tcPr>
          <w:p>
            <w:pPr>
              <w:jc w:val="center"/>
              <w:ind w:right="1"/>
              <w:spacing w:after="0" w:line="163" w:lineRule="exact"/>
              <w:rPr>
                <w:sz w:val="20"/>
                <w:szCs w:val="20"/>
                <w:color w:val="auto"/>
              </w:rPr>
            </w:pPr>
            <w:r>
              <w:rPr>
                <w:rFonts w:ascii="Arial" w:cs="Arial" w:eastAsia="Arial" w:hAnsi="Arial"/>
                <w:sz w:val="16"/>
                <w:szCs w:val="16"/>
                <w:color w:val="auto"/>
                <w:w w:val="86"/>
              </w:rPr>
              <w:t>Ended</w:t>
            </w:r>
          </w:p>
        </w:tc>
        <w:tc>
          <w:tcPr>
            <w:tcW w:w="1380" w:type="dxa"/>
            <w:vAlign w:val="bottom"/>
            <w:tcBorders>
              <w:right w:val="single" w:sz="8" w:color="00000A"/>
            </w:tcBorders>
          </w:tcPr>
          <w:p>
            <w:pPr>
              <w:jc w:val="center"/>
              <w:spacing w:after="0" w:line="163" w:lineRule="exact"/>
              <w:rPr>
                <w:sz w:val="20"/>
                <w:szCs w:val="20"/>
                <w:color w:val="auto"/>
              </w:rPr>
            </w:pPr>
            <w:r>
              <w:rPr>
                <w:rFonts w:ascii="Arial" w:cs="Arial" w:eastAsia="Arial" w:hAnsi="Arial"/>
                <w:sz w:val="16"/>
                <w:szCs w:val="16"/>
                <w:color w:val="auto"/>
                <w:w w:val="86"/>
              </w:rPr>
              <w:t>Ended</w:t>
            </w:r>
          </w:p>
        </w:tc>
        <w:tc>
          <w:tcPr>
            <w:tcW w:w="100" w:type="dxa"/>
            <w:vAlign w:val="bottom"/>
          </w:tcPr>
          <w:p>
            <w:pPr>
              <w:spacing w:after="0"/>
              <w:rPr>
                <w:sz w:val="14"/>
                <w:szCs w:val="14"/>
                <w:color w:val="auto"/>
              </w:rPr>
            </w:pPr>
          </w:p>
        </w:tc>
        <w:tc>
          <w:tcPr>
            <w:tcW w:w="1720" w:type="dxa"/>
            <w:vAlign w:val="bottom"/>
            <w:tcBorders>
              <w:right w:val="single" w:sz="8" w:color="00000A"/>
            </w:tcBorders>
          </w:tcPr>
          <w:p>
            <w:pPr>
              <w:jc w:val="center"/>
              <w:ind w:right="79"/>
              <w:spacing w:after="0" w:line="163" w:lineRule="exact"/>
              <w:rPr>
                <w:sz w:val="20"/>
                <w:szCs w:val="20"/>
                <w:color w:val="auto"/>
              </w:rPr>
            </w:pPr>
            <w:r>
              <w:rPr>
                <w:rFonts w:ascii="Arial" w:cs="Arial" w:eastAsia="Arial" w:hAnsi="Arial"/>
                <w:sz w:val="16"/>
                <w:szCs w:val="16"/>
                <w:color w:val="auto"/>
                <w:w w:val="91"/>
              </w:rPr>
              <w:t>Months</w:t>
            </w:r>
          </w:p>
        </w:tc>
        <w:tc>
          <w:tcPr>
            <w:tcW w:w="100" w:type="dxa"/>
            <w:vAlign w:val="bottom"/>
            <w:tcBorders>
              <w:right w:val="single" w:sz="8" w:color="00000A"/>
            </w:tcBorders>
          </w:tcPr>
          <w:p>
            <w:pPr>
              <w:spacing w:after="0"/>
              <w:rPr>
                <w:sz w:val="14"/>
                <w:szCs w:val="14"/>
                <w:color w:val="auto"/>
              </w:rPr>
            </w:pPr>
          </w:p>
        </w:tc>
        <w:tc>
          <w:tcPr>
            <w:tcW w:w="12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consolidated basis</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________</w:t>
            </w:r>
          </w:p>
        </w:tc>
        <w:tc>
          <w:tcPr>
            <w:tcW w:w="138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________</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________</w:t>
            </w:r>
          </w:p>
        </w:tc>
        <w:tc>
          <w:tcPr>
            <w:tcW w:w="1380" w:type="dxa"/>
            <w:vAlign w:val="bottom"/>
            <w:tcBorders>
              <w:right w:val="single" w:sz="8" w:color="00000A"/>
            </w:tcBorders>
          </w:tcPr>
          <w:p>
            <w:pPr>
              <w:jc w:val="right"/>
              <w:ind w:right="301"/>
              <w:spacing w:after="0"/>
              <w:rPr>
                <w:sz w:val="20"/>
                <w:szCs w:val="20"/>
                <w:color w:val="auto"/>
              </w:rPr>
            </w:pPr>
            <w:r>
              <w:rPr>
                <w:rFonts w:ascii="Arial" w:cs="Arial" w:eastAsia="Arial" w:hAnsi="Arial"/>
                <w:sz w:val="16"/>
                <w:szCs w:val="16"/>
                <w:color w:val="auto"/>
              </w:rPr>
              <w:t>________</w:t>
            </w:r>
          </w:p>
        </w:tc>
        <w:tc>
          <w:tcPr>
            <w:tcW w:w="100" w:type="dxa"/>
            <w:vAlign w:val="bottom"/>
          </w:tcPr>
          <w:p>
            <w:pPr>
              <w:spacing w:after="0"/>
              <w:rPr>
                <w:sz w:val="18"/>
                <w:szCs w:val="18"/>
                <w:color w:val="auto"/>
              </w:rPr>
            </w:pPr>
          </w:p>
        </w:tc>
        <w:tc>
          <w:tcPr>
            <w:tcW w:w="1720" w:type="dxa"/>
            <w:vAlign w:val="bottom"/>
            <w:tcBorders>
              <w:right w:val="single" w:sz="8" w:color="00000A"/>
            </w:tcBorders>
          </w:tcPr>
          <w:p>
            <w:pPr>
              <w:jc w:val="center"/>
              <w:ind w:right="79"/>
              <w:spacing w:after="0"/>
              <w:rPr>
                <w:sz w:val="20"/>
                <w:szCs w:val="20"/>
                <w:color w:val="auto"/>
              </w:rPr>
            </w:pPr>
            <w:r>
              <w:rPr>
                <w:rFonts w:ascii="Arial" w:cs="Arial" w:eastAsia="Arial" w:hAnsi="Arial"/>
                <w:sz w:val="16"/>
                <w:szCs w:val="16"/>
                <w:color w:val="auto"/>
                <w:w w:val="86"/>
              </w:rPr>
              <w:t>Ended</w:t>
            </w:r>
          </w:p>
        </w:tc>
        <w:tc>
          <w:tcPr>
            <w:tcW w:w="100" w:type="dxa"/>
            <w:vAlign w:val="bottom"/>
            <w:tcBorders>
              <w:right w:val="single" w:sz="8" w:color="00000A"/>
            </w:tcBorders>
          </w:tcPr>
          <w:p>
            <w:pPr>
              <w:spacing w:after="0"/>
              <w:rPr>
                <w:sz w:val="18"/>
                <w:szCs w:val="18"/>
                <w:color w:val="auto"/>
              </w:rPr>
            </w:pPr>
          </w:p>
        </w:tc>
        <w:tc>
          <w:tcPr>
            <w:tcW w:w="1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jc w:val="center"/>
              <w:ind w:right="59"/>
              <w:spacing w:after="0"/>
              <w:rPr>
                <w:sz w:val="20"/>
                <w:szCs w:val="20"/>
                <w:color w:val="auto"/>
              </w:rPr>
            </w:pPr>
            <w:r>
              <w:rPr>
                <w:rFonts w:ascii="Arial" w:cs="Arial" w:eastAsia="Arial" w:hAnsi="Arial"/>
                <w:sz w:val="16"/>
                <w:szCs w:val="16"/>
                <w:color w:val="auto"/>
                <w:w w:val="87"/>
              </w:rPr>
              <w:t>__________</w:t>
            </w: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80" w:type="dxa"/>
            <w:vAlign w:val="bottom"/>
            <w:tcBorders>
              <w:bottom w:val="single" w:sz="8" w:color="00000A"/>
              <w:right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720" w:type="dxa"/>
            <w:vAlign w:val="bottom"/>
            <w:tcBorders>
              <w:bottom w:val="single" w:sz="8" w:color="00000A"/>
              <w:right w:val="single" w:sz="8" w:color="00000A"/>
            </w:tcBorders>
          </w:tcPr>
          <w:p>
            <w:pPr>
              <w:spacing w:after="0"/>
              <w:rPr>
                <w:sz w:val="24"/>
                <w:szCs w:val="24"/>
                <w:color w:val="auto"/>
              </w:rPr>
            </w:pPr>
          </w:p>
        </w:tc>
        <w:tc>
          <w:tcPr>
            <w:tcW w:w="10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Net Income</w:t>
            </w: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9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(a)(i) Interest Expense</w:t>
            </w: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380" w:type="dxa"/>
            <w:vAlign w:val="bottom"/>
            <w:tcBorders>
              <w:right w:val="single" w:sz="8" w:color="00000A"/>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(a)(ii) income tax expense</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00000A"/>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2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(a)(iii) all amounts attributable to depreciation and</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amortization expense</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(a)(iv) amortized debt discount</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00000A"/>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2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0"/>
              </w:rPr>
              <w:t>(+) (a)(v) any non-cash losses or non-cash charges for such</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3"/>
              </w:rPr>
              <w:t>period that relate to the write-down or write-off of inventory</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2"/>
              </w:rPr>
              <w:t>to the extent such non-cash charges or non-cash losses do</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0"/>
              </w:rPr>
              <w:t>not exceed $10,000,000 in the aggregate during such period</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00000A"/>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2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89"/>
              </w:rPr>
              <w:t>(+) (a)(vi) any other non-cash losses or non-cash charges for</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3"/>
              </w:rPr>
              <w:t>such period (but excluding any non-cash charge in respect</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of an item that was included in Net Income in a prior</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period)</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(b)(i) income tax credits and refunds</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left w:val="single" w:sz="8" w:color="00000A"/>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tcBorders>
          </w:tcPr>
          <w:p>
            <w:pPr>
              <w:spacing w:after="0"/>
              <w:rPr>
                <w:sz w:val="18"/>
                <w:szCs w:val="18"/>
                <w:color w:val="auto"/>
              </w:rPr>
            </w:pPr>
          </w:p>
        </w:tc>
        <w:tc>
          <w:tcPr>
            <w:tcW w:w="1720" w:type="dxa"/>
            <w:vAlign w:val="bottom"/>
            <w:tcBorders>
              <w:bottom w:val="single" w:sz="8" w:color="00000A"/>
              <w:right w:val="single" w:sz="8" w:color="00000A"/>
            </w:tcBorders>
          </w:tcPr>
          <w:p>
            <w:pPr>
              <w:spacing w:after="0"/>
              <w:rPr>
                <w:sz w:val="18"/>
                <w:szCs w:val="18"/>
                <w:color w:val="auto"/>
              </w:rPr>
            </w:pPr>
          </w:p>
        </w:tc>
        <w:tc>
          <w:tcPr>
            <w:tcW w:w="100" w:type="dxa"/>
            <w:vAlign w:val="bottom"/>
            <w:tcBorders>
              <w:bottom w:val="single" w:sz="8" w:color="00000A"/>
              <w:right w:val="single" w:sz="8" w:color="00000A"/>
            </w:tcBorders>
          </w:tcPr>
          <w:p>
            <w:pPr>
              <w:spacing w:after="0"/>
              <w:rPr>
                <w:sz w:val="18"/>
                <w:szCs w:val="18"/>
                <w:color w:val="auto"/>
              </w:rPr>
            </w:pPr>
          </w:p>
        </w:tc>
        <w:tc>
          <w:tcPr>
            <w:tcW w:w="12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(b)(ii) interest income</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6"/>
              </w:rPr>
              <w:t>(-) (b)(iii) any cash payments made during such period in</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88"/>
              </w:rPr>
              <w:t>respect of non-cash charges described in clause (a)(v) above</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taken in a prior period</w:t>
            </w:r>
          </w:p>
        </w:tc>
        <w:tc>
          <w:tcPr>
            <w:tcW w:w="1360" w:type="dxa"/>
            <w:vAlign w:val="bottom"/>
            <w:tcBorders>
              <w:right w:val="single" w:sz="8" w:color="00000A"/>
            </w:tcBorders>
          </w:tcPr>
          <w:p>
            <w:pPr>
              <w:spacing w:after="0"/>
              <w:rPr>
                <w:sz w:val="19"/>
                <w:szCs w:val="19"/>
                <w:color w:val="auto"/>
              </w:rPr>
            </w:pPr>
          </w:p>
        </w:tc>
        <w:tc>
          <w:tcPr>
            <w:tcW w:w="1380" w:type="dxa"/>
            <w:vAlign w:val="bottom"/>
            <w:tcBorders>
              <w:right w:val="single" w:sz="8" w:color="00000A"/>
            </w:tcBorders>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1380" w:type="dxa"/>
            <w:vAlign w:val="bottom"/>
            <w:tcBorders>
              <w:right w:val="single" w:sz="8" w:color="00000A"/>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right w:val="single" w:sz="8" w:color="00000A"/>
            </w:tcBorders>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1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4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1"/>
              </w:rPr>
              <w:t>(-) (b)(iv) any non-cash gains and non-cash items of income</w:t>
            </w:r>
          </w:p>
        </w:tc>
        <w:tc>
          <w:tcPr>
            <w:tcW w:w="1360" w:type="dxa"/>
            <w:vAlign w:val="bottom"/>
            <w:tcBorders>
              <w:top w:val="single" w:sz="8" w:color="auto"/>
              <w:right w:val="single" w:sz="8" w:color="00000A"/>
            </w:tcBorders>
          </w:tcPr>
          <w:p>
            <w:pPr>
              <w:spacing w:after="0"/>
              <w:rPr>
                <w:sz w:val="16"/>
                <w:szCs w:val="16"/>
                <w:color w:val="auto"/>
              </w:rPr>
            </w:pPr>
          </w:p>
        </w:tc>
        <w:tc>
          <w:tcPr>
            <w:tcW w:w="1380" w:type="dxa"/>
            <w:vAlign w:val="bottom"/>
            <w:tcBorders>
              <w:top w:val="single" w:sz="8" w:color="auto"/>
              <w:right w:val="single" w:sz="8" w:color="00000A"/>
            </w:tcBorders>
          </w:tcPr>
          <w:p>
            <w:pPr>
              <w:spacing w:after="0"/>
              <w:rPr>
                <w:sz w:val="16"/>
                <w:szCs w:val="16"/>
                <w:color w:val="auto"/>
              </w:rPr>
            </w:pPr>
          </w:p>
        </w:tc>
        <w:tc>
          <w:tcPr>
            <w:tcW w:w="1360" w:type="dxa"/>
            <w:vAlign w:val="bottom"/>
            <w:tcBorders>
              <w:top w:val="single" w:sz="8" w:color="auto"/>
              <w:right w:val="single" w:sz="8" w:color="00000A"/>
            </w:tcBorders>
          </w:tcPr>
          <w:p>
            <w:pPr>
              <w:spacing w:after="0"/>
              <w:rPr>
                <w:sz w:val="16"/>
                <w:szCs w:val="16"/>
                <w:color w:val="auto"/>
              </w:rPr>
            </w:pPr>
          </w:p>
        </w:tc>
        <w:tc>
          <w:tcPr>
            <w:tcW w:w="1380" w:type="dxa"/>
            <w:vAlign w:val="bottom"/>
            <w:tcBorders>
              <w:top w:val="single" w:sz="8" w:color="auto"/>
              <w:right w:val="single" w:sz="8" w:color="00000A"/>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right w:val="single" w:sz="8" w:color="00000A"/>
            </w:tcBorders>
          </w:tcPr>
          <w:p>
            <w:pPr>
              <w:spacing w:after="0"/>
              <w:rPr>
                <w:sz w:val="16"/>
                <w:szCs w:val="16"/>
                <w:color w:val="auto"/>
              </w:rPr>
            </w:pPr>
          </w:p>
        </w:tc>
        <w:tc>
          <w:tcPr>
            <w:tcW w:w="100" w:type="dxa"/>
            <w:vAlign w:val="bottom"/>
            <w:tcBorders>
              <w:top w:val="single" w:sz="8" w:color="auto"/>
              <w:right w:val="single" w:sz="8" w:color="00000A"/>
            </w:tcBorders>
          </w:tcPr>
          <w:p>
            <w:pPr>
              <w:spacing w:after="0"/>
              <w:rPr>
                <w:sz w:val="16"/>
                <w:szCs w:val="16"/>
                <w:color w:val="auto"/>
              </w:rPr>
            </w:pPr>
          </w:p>
        </w:tc>
        <w:tc>
          <w:tcPr>
            <w:tcW w:w="120" w:type="dxa"/>
            <w:vAlign w:val="bottom"/>
            <w:tcBorders>
              <w:top w:val="single" w:sz="8" w:color="auto"/>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1"/>
              </w:rPr>
              <w:t>for such period that relate to any write-up of inventory to the</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2"/>
              </w:rPr>
              <w:t>extent such non-cash gains and non-cash income does not</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6"/>
              </w:rPr>
              <w:t>exceed $10,000,000 in the aggregate during such period</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w w:val="96"/>
              </w:rPr>
              <w:t>(-)(b)(v) any other non-cash gains and non-cash items of</w:t>
            </w: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80" w:type="dxa"/>
            <w:vAlign w:val="bottom"/>
            <w:tcBorders>
              <w:right w:val="single" w:sz="8" w:color="00000A"/>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000A"/>
            </w:tcBorders>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12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income for such period</w:t>
            </w: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9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 EBITDA</w:t>
            </w:r>
          </w:p>
        </w:tc>
        <w:tc>
          <w:tcPr>
            <w:tcW w:w="1360" w:type="dxa"/>
            <w:vAlign w:val="bottom"/>
            <w:tcBorders>
              <w:right w:val="single" w:sz="8" w:color="00000A"/>
            </w:tcBorders>
          </w:tcPr>
          <w:p>
            <w:pPr>
              <w:jc w:val="right"/>
              <w:ind w:right="641"/>
              <w:spacing w:after="0"/>
              <w:rPr>
                <w:sz w:val="20"/>
                <w:szCs w:val="20"/>
                <w:color w:val="auto"/>
              </w:rPr>
            </w:pPr>
            <w:r>
              <w:rPr>
                <w:rFonts w:ascii="Arial" w:cs="Arial" w:eastAsia="Arial" w:hAnsi="Arial"/>
                <w:sz w:val="16"/>
                <w:szCs w:val="16"/>
                <w:color w:val="auto"/>
                <w:w w:val="99"/>
              </w:rPr>
              <w:t>$______</w:t>
            </w:r>
          </w:p>
        </w:tc>
        <w:tc>
          <w:tcPr>
            <w:tcW w:w="1380" w:type="dxa"/>
            <w:vAlign w:val="bottom"/>
            <w:tcBorders>
              <w:right w:val="single" w:sz="8" w:color="00000A"/>
            </w:tcBorders>
          </w:tcPr>
          <w:p>
            <w:pPr>
              <w:jc w:val="right"/>
              <w:ind w:right="679"/>
              <w:spacing w:after="0"/>
              <w:rPr>
                <w:sz w:val="20"/>
                <w:szCs w:val="20"/>
                <w:color w:val="auto"/>
              </w:rPr>
            </w:pPr>
            <w:r>
              <w:rPr>
                <w:rFonts w:ascii="Arial" w:cs="Arial" w:eastAsia="Arial" w:hAnsi="Arial"/>
                <w:sz w:val="16"/>
                <w:szCs w:val="16"/>
                <w:color w:val="auto"/>
                <w:w w:val="96"/>
              </w:rPr>
              <w:t>$______</w:t>
            </w:r>
          </w:p>
        </w:tc>
        <w:tc>
          <w:tcPr>
            <w:tcW w:w="1360" w:type="dxa"/>
            <w:vAlign w:val="bottom"/>
            <w:tcBorders>
              <w:right w:val="single" w:sz="8" w:color="00000A"/>
            </w:tcBorders>
          </w:tcPr>
          <w:p>
            <w:pPr>
              <w:jc w:val="right"/>
              <w:ind w:right="681"/>
              <w:spacing w:after="0"/>
              <w:rPr>
                <w:sz w:val="20"/>
                <w:szCs w:val="20"/>
                <w:color w:val="auto"/>
              </w:rPr>
            </w:pPr>
            <w:r>
              <w:rPr>
                <w:rFonts w:ascii="Arial" w:cs="Arial" w:eastAsia="Arial" w:hAnsi="Arial"/>
                <w:sz w:val="16"/>
                <w:szCs w:val="16"/>
                <w:color w:val="auto"/>
                <w:w w:val="93"/>
              </w:rPr>
              <w:t>$______</w:t>
            </w:r>
          </w:p>
        </w:tc>
        <w:tc>
          <w:tcPr>
            <w:tcW w:w="1380" w:type="dxa"/>
            <w:vAlign w:val="bottom"/>
          </w:tcPr>
          <w:p>
            <w:pPr>
              <w:jc w:val="right"/>
              <w:ind w:right="681"/>
              <w:spacing w:after="0"/>
              <w:rPr>
                <w:sz w:val="20"/>
                <w:szCs w:val="20"/>
                <w:color w:val="auto"/>
              </w:rPr>
            </w:pPr>
            <w:r>
              <w:rPr>
                <w:rFonts w:ascii="Arial" w:cs="Arial" w:eastAsia="Arial" w:hAnsi="Arial"/>
                <w:sz w:val="16"/>
                <w:szCs w:val="16"/>
                <w:color w:val="auto"/>
                <w:w w:val="96"/>
              </w:rPr>
              <w:t>$______</w:t>
            </w:r>
          </w:p>
        </w:tc>
        <w:tc>
          <w:tcPr>
            <w:tcW w:w="100" w:type="dxa"/>
            <w:vAlign w:val="bottom"/>
            <w:tcBorders>
              <w:right w:val="single" w:sz="8" w:color="00000A"/>
            </w:tcBorders>
          </w:tcPr>
          <w:p>
            <w:pPr>
              <w:spacing w:after="0"/>
              <w:rPr>
                <w:sz w:val="24"/>
                <w:szCs w:val="24"/>
                <w:color w:val="auto"/>
              </w:rPr>
            </w:pPr>
          </w:p>
        </w:tc>
        <w:tc>
          <w:tcPr>
            <w:tcW w:w="1720" w:type="dxa"/>
            <w:vAlign w:val="bottom"/>
          </w:tcPr>
          <w:p>
            <w:pPr>
              <w:jc w:val="right"/>
              <w:ind w:right="1019"/>
              <w:spacing w:after="0"/>
              <w:rPr>
                <w:sz w:val="20"/>
                <w:szCs w:val="20"/>
                <w:color w:val="auto"/>
              </w:rPr>
            </w:pPr>
            <w:r>
              <w:rPr>
                <w:rFonts w:ascii="Arial" w:cs="Arial" w:eastAsia="Arial" w:hAnsi="Arial"/>
                <w:sz w:val="16"/>
                <w:szCs w:val="16"/>
                <w:color w:val="auto"/>
                <w:w w:val="96"/>
              </w:rPr>
              <w:t>$______</w:t>
            </w:r>
          </w:p>
        </w:tc>
        <w:tc>
          <w:tcPr>
            <w:tcW w:w="100" w:type="dxa"/>
            <w:vAlign w:val="bottom"/>
            <w:tcBorders>
              <w:right w:val="single" w:sz="8" w:color="00000A"/>
            </w:tcBorders>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00000A"/>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Borders>
              <w:right w:val="single" w:sz="8" w:color="00000A"/>
            </w:tcBorders>
          </w:tcPr>
          <w:p>
            <w:pPr>
              <w:spacing w:after="0"/>
              <w:rPr>
                <w:sz w:val="17"/>
                <w:szCs w:val="17"/>
                <w:color w:val="auto"/>
              </w:rPr>
            </w:pPr>
          </w:p>
        </w:tc>
        <w:tc>
          <w:tcPr>
            <w:tcW w:w="1360" w:type="dxa"/>
            <w:vAlign w:val="bottom"/>
            <w:tcBorders>
              <w:right w:val="single" w:sz="8" w:color="00000A"/>
            </w:tcBorders>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gridSpan w:val="2"/>
          </w:tcPr>
          <w:p>
            <w:pPr>
              <w:jc w:val="center"/>
              <w:ind w:right="1120"/>
              <w:spacing w:after="0"/>
              <w:rPr>
                <w:sz w:val="20"/>
                <w:szCs w:val="20"/>
                <w:color w:val="auto"/>
              </w:rPr>
            </w:pPr>
            <w:r>
              <w:rPr>
                <w:rFonts w:ascii="Arial" w:cs="Arial" w:eastAsia="Arial" w:hAnsi="Arial"/>
                <w:sz w:val="16"/>
                <w:szCs w:val="16"/>
                <w:color w:val="auto"/>
                <w:w w:val="96"/>
              </w:rPr>
              <w:t>(to line B)</w:t>
            </w:r>
          </w:p>
        </w:tc>
        <w:tc>
          <w:tcPr>
            <w:tcW w:w="1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5300" w:type="dxa"/>
            <w:vAlign w:val="bottom"/>
            <w:gridSpan w:val="2"/>
          </w:tcPr>
          <w:p>
            <w:pPr>
              <w:ind w:left="56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auto"/>
              </w:rPr>
              <w:t>SECURED LEVERAGE RATIO</w:t>
            </w:r>
            <w:r>
              <w:rPr>
                <w:rFonts w:ascii="Arial" w:cs="Arial" w:eastAsia="Arial" w:hAnsi="Arial"/>
                <w:sz w:val="17"/>
                <w:szCs w:val="17"/>
                <w:color w:val="auto"/>
              </w:rPr>
              <w:t xml:space="preserve"> (Line A </w:t>
            </w:r>
            <w:r>
              <w:rPr>
                <w:rFonts w:ascii="Arial" w:cs="Arial" w:eastAsia="Arial" w:hAnsi="Arial"/>
                <w:sz w:val="19"/>
                <w:szCs w:val="19"/>
                <w:color w:val="auto"/>
              </w:rPr>
              <w:t>÷</w:t>
            </w:r>
            <w:r>
              <w:rPr>
                <w:rFonts w:ascii="Arial" w:cs="Arial" w:eastAsia="Arial" w:hAnsi="Arial"/>
                <w:sz w:val="17"/>
                <w:szCs w:val="17"/>
                <w:color w:val="auto"/>
              </w:rPr>
              <w:t xml:space="preserve"> Line B)</w:t>
            </w:r>
          </w:p>
        </w:tc>
        <w:tc>
          <w:tcPr>
            <w:tcW w:w="1380" w:type="dxa"/>
            <w:vAlign w:val="bottom"/>
          </w:tcPr>
          <w:p>
            <w:pPr>
              <w:jc w:val="right"/>
              <w:ind w:right="479"/>
              <w:spacing w:after="0"/>
              <w:rPr>
                <w:sz w:val="20"/>
                <w:szCs w:val="20"/>
                <w:color w:val="auto"/>
              </w:rPr>
            </w:pPr>
            <w:r>
              <w:rPr>
                <w:rFonts w:ascii="Arial" w:cs="Arial" w:eastAsia="Arial" w:hAnsi="Arial"/>
                <w:sz w:val="17"/>
                <w:szCs w:val="17"/>
                <w:color w:val="auto"/>
              </w:rPr>
              <w:t>________</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7"/>
          <w:szCs w:val="17"/>
          <w:u w:val="single" w:color="auto"/>
          <w:color w:val="auto"/>
        </w:rPr>
        <w:t>SCHEDULE III</w:t>
      </w:r>
      <w:r>
        <w:rPr>
          <w:rFonts w:ascii="Arial" w:cs="Arial" w:eastAsia="Arial" w:hAnsi="Arial"/>
          <w:sz w:val="22"/>
          <w:szCs w:val="22"/>
          <w:u w:val="single" w:color="auto"/>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-44450</wp:posOffset>
            </wp:positionV>
            <wp:extent cx="279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EXCLUDED SUBSIDIARIES AND UNRESTRICTED SUBSIDIARIES</w:t>
      </w:r>
    </w:p>
    <w:p>
      <w:pPr>
        <w:sectPr>
          <w:pgSz w:w="11900" w:h="16838" w:orient="portrait"/>
          <w:cols w:equalWidth="0" w:num="1">
            <w:col w:w="11440"/>
          </w:cols>
          <w:pgMar w:left="240" w:top="321"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EXHIBIT 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JOINDER AGREEMENT</w:t>
      </w:r>
    </w:p>
    <w:p>
      <w:pPr>
        <w:spacing w:after="0" w:line="200" w:lineRule="exact"/>
        <w:rPr>
          <w:sz w:val="20"/>
          <w:szCs w:val="20"/>
          <w:color w:val="auto"/>
        </w:rPr>
      </w:pPr>
    </w:p>
    <w:p>
      <w:pPr>
        <w:spacing w:after="0" w:line="218" w:lineRule="exact"/>
        <w:rPr>
          <w:sz w:val="20"/>
          <w:szCs w:val="20"/>
          <w:color w:val="auto"/>
        </w:rPr>
      </w:pPr>
    </w:p>
    <w:p>
      <w:pPr>
        <w:ind w:left="560"/>
        <w:spacing w:after="0"/>
        <w:tabs>
          <w:tab w:leader="none" w:pos="1180" w:val="left"/>
          <w:tab w:leader="none" w:pos="2160" w:val="left"/>
          <w:tab w:leader="none" w:pos="3480" w:val="left"/>
          <w:tab w:leader="none" w:pos="4040" w:val="left"/>
          <w:tab w:leader="none" w:pos="5320" w:val="left"/>
          <w:tab w:leader="none" w:pos="5940" w:val="left"/>
          <w:tab w:leader="none" w:pos="6340" w:val="left"/>
          <w:tab w:leader="none" w:pos="6740" w:val="left"/>
          <w:tab w:leader="none" w:pos="7900" w:val="left"/>
          <w:tab w:leader="none" w:pos="8540" w:val="left"/>
          <w:tab w:leader="none" w:pos="9180" w:val="left"/>
          <w:tab w:leader="none" w:pos="9540" w:val="left"/>
          <w:tab w:leader="none" w:pos="10300" w:val="left"/>
          <w:tab w:leader="none" w:pos="10820" w:val="left"/>
        </w:tabs>
        <w:rPr>
          <w:sz w:val="20"/>
          <w:szCs w:val="20"/>
          <w:color w:val="auto"/>
        </w:rPr>
      </w:pPr>
      <w:r>
        <w:rPr>
          <w:rFonts w:ascii="Arial" w:cs="Arial" w:eastAsia="Arial" w:hAnsi="Arial"/>
          <w:sz w:val="17"/>
          <w:szCs w:val="17"/>
          <w:color w:val="auto"/>
        </w:rPr>
        <w:t>THIS</w:t>
        <w:tab/>
        <w:t>JOINDER</w:t>
        <w:tab/>
        <w:t>AGREEMENT</w:t>
        <w:tab/>
        <w:t>(this</w:t>
        <w:tab/>
        <w:t>“</w:t>
      </w:r>
      <w:r>
        <w:rPr>
          <w:rFonts w:ascii="Arial" w:cs="Arial" w:eastAsia="Arial" w:hAnsi="Arial"/>
          <w:sz w:val="17"/>
          <w:szCs w:val="17"/>
          <w:u w:val="single" w:color="auto"/>
          <w:color w:val="auto"/>
        </w:rPr>
        <w:t>Agreement</w:t>
      </w:r>
      <w:r>
        <w:rPr>
          <w:rFonts w:ascii="Arial" w:cs="Arial" w:eastAsia="Arial" w:hAnsi="Arial"/>
          <w:sz w:val="17"/>
          <w:szCs w:val="17"/>
          <w:color w:val="auto"/>
        </w:rPr>
        <w:t>”),</w:t>
        <w:tab/>
        <w:t>dated</w:t>
        <w:tab/>
        <w:t>as</w:t>
        <w:tab/>
        <w:t>of</w:t>
        <w:tab/>
        <w:t>__________,</w:t>
        <w:tab/>
        <w:t>____,</w:t>
        <w:tab/>
        <w:t>20__,</w:t>
        <w:tab/>
        <w:t>is</w:t>
        <w:tab/>
        <w:t>entered</w:t>
        <w:tab/>
        <w:t>into</w:t>
      </w:r>
      <w:r>
        <w:rPr>
          <w:sz w:val="20"/>
          <w:szCs w:val="20"/>
          <w:color w:val="auto"/>
        </w:rPr>
        <w:tab/>
      </w:r>
      <w:r>
        <w:rPr>
          <w:rFonts w:ascii="Arial" w:cs="Arial" w:eastAsia="Arial" w:hAnsi="Arial"/>
          <w:sz w:val="15"/>
          <w:szCs w:val="15"/>
          <w:color w:val="auto"/>
        </w:rPr>
        <w:t>between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 a _________________ (the “</w:t>
      </w:r>
      <w:r>
        <w:rPr>
          <w:rFonts w:ascii="Arial" w:cs="Arial" w:eastAsia="Arial" w:hAnsi="Arial"/>
          <w:sz w:val="16"/>
          <w:szCs w:val="16"/>
          <w:u w:val="single" w:color="auto"/>
          <w:color w:val="auto"/>
        </w:rPr>
        <w:t>New Subsidiary</w:t>
      </w:r>
      <w:r>
        <w:rPr>
          <w:rFonts w:ascii="Arial" w:cs="Arial" w:eastAsia="Arial" w:hAnsi="Arial"/>
          <w:sz w:val="16"/>
          <w:szCs w:val="16"/>
          <w:color w:val="auto"/>
        </w:rPr>
        <w:t>”), and JPMORGAN CHASE BANK, N.A., in its capacity as administrative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Second Amended and Restated Credit Agreement dated as of September ____, 2015 (as the same may be</w:t>
      </w:r>
    </w:p>
    <w:p>
      <w:pPr>
        <w:spacing w:after="0" w:line="19"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amended, supplemented, modified, extended or restated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WESCO DISTRIBUTION, INC., a Delaware corporation, WESCO DISTRIBUTION CANADA LP, an Ontario limited partnership, the other Loan Parties party thereto, the Lenders party thereto, JPMORGAN CHASE BANK, N.A., Toronto Branch, as Canadian Administrative Agent, and the Administrative Agent. All capitalized terms used herein and not otherwise defined herein shall have the meanings set forth in the Credit Agreement.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New Subsidiary and the Administrative Agent, for the benefit of the Lenders, hereby agree as follows:</w:t>
      </w:r>
    </w:p>
    <w:p>
      <w:pPr>
        <w:spacing w:after="0" w:line="210" w:lineRule="exact"/>
        <w:rPr>
          <w:sz w:val="20"/>
          <w:szCs w:val="20"/>
          <w:color w:val="auto"/>
        </w:rPr>
      </w:pPr>
    </w:p>
    <w:p>
      <w:pPr>
        <w:jc w:val="both"/>
        <w:ind w:firstLine="567"/>
        <w:spacing w:after="0" w:line="272" w:lineRule="auto"/>
        <w:tabs>
          <w:tab w:leader="none" w:pos="90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New Subsidiary hereby acknowledges, agrees and confirms that, by its execution of this Agreement, the New Subsidiary will be deemed to be a Loan Party under the Credit Agreement and a [U.S. Borrower] [Canadian Borrower] for all purposes of the Credit Agreement and shall have all of the rights, duties, benefits and obligations of a Loan Party and a [U.S. Borrower] [Canadian Borrower]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and (b) all of the covenants set forth in Articles V and VI of the Credit Agreement. The New Subsidiary has delivered, or concurrently herewith will deliver, to the Administrative Agent [a joinder to the U.S. Security Agreement] [a Canadian Guarantee and a Canadian Security Agreement].</w:t>
      </w:r>
    </w:p>
    <w:p>
      <w:pPr>
        <w:spacing w:after="0" w:line="160" w:lineRule="exact"/>
        <w:rPr>
          <w:rFonts w:ascii="Arial" w:cs="Arial" w:eastAsia="Arial" w:hAnsi="Arial"/>
          <w:sz w:val="16"/>
          <w:szCs w:val="16"/>
          <w:color w:val="auto"/>
        </w:rPr>
      </w:pPr>
    </w:p>
    <w:p>
      <w:pPr>
        <w:ind w:firstLine="567"/>
        <w:spacing w:after="0" w:line="280" w:lineRule="auto"/>
        <w:tabs>
          <w:tab w:leader="none" w:pos="89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required, the New Subsidiary is, concurrently with the execution of this Agreement, executing and delivering such Collateral Documents (and such other documents and instruments) as requested by the Administrative Agent in accordance with the Credit Agreement.</w:t>
      </w:r>
    </w:p>
    <w:p>
      <w:pPr>
        <w:spacing w:after="0" w:line="151" w:lineRule="exact"/>
        <w:rPr>
          <w:rFonts w:ascii="Arial" w:cs="Arial" w:eastAsia="Arial" w:hAnsi="Arial"/>
          <w:sz w:val="17"/>
          <w:szCs w:val="17"/>
          <w:color w:val="auto"/>
        </w:rPr>
      </w:pPr>
    </w:p>
    <w:p>
      <w:pPr>
        <w:ind w:left="860" w:hanging="293"/>
        <w:spacing w:after="0"/>
        <w:tabs>
          <w:tab w:leader="none" w:pos="8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address of the New Subsidiary for purposes of Section 9.01 of the Credit Agreement is as follows: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ind w:right="20" w:firstLine="567"/>
        <w:spacing w:after="0" w:line="280" w:lineRule="auto"/>
        <w:tabs>
          <w:tab w:leader="none" w:pos="98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New Subsidiary hereby waives acceptance by the Administrative Agent and the Lenders of the guaranty by the New Subsidiary upon the execution of this Agreement by the New Subsidiary.</w:t>
      </w:r>
    </w:p>
    <w:p>
      <w:pPr>
        <w:spacing w:after="0" w:line="151" w:lineRule="exact"/>
        <w:rPr>
          <w:rFonts w:ascii="Arial" w:cs="Arial" w:eastAsia="Arial" w:hAnsi="Arial"/>
          <w:sz w:val="17"/>
          <w:szCs w:val="17"/>
          <w:color w:val="auto"/>
        </w:rPr>
      </w:pPr>
    </w:p>
    <w:p>
      <w:pPr>
        <w:ind w:right="20" w:firstLine="567"/>
        <w:spacing w:after="0" w:line="280" w:lineRule="auto"/>
        <w:tabs>
          <w:tab w:leader="none" w:pos="89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each of which when so executed and delivered shall be an original, but all of which shall constitute one and the same instrument.</w:t>
      </w:r>
    </w:p>
    <w:p>
      <w:pPr>
        <w:spacing w:after="0" w:line="151" w:lineRule="exact"/>
        <w:rPr>
          <w:rFonts w:ascii="Arial" w:cs="Arial" w:eastAsia="Arial" w:hAnsi="Arial"/>
          <w:sz w:val="17"/>
          <w:szCs w:val="17"/>
          <w:color w:val="auto"/>
        </w:rPr>
      </w:pPr>
    </w:p>
    <w:p>
      <w:pPr>
        <w:ind w:firstLine="567"/>
        <w:spacing w:after="0" w:line="257" w:lineRule="auto"/>
        <w:tabs>
          <w:tab w:leader="none" w:pos="106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HEREUNDER SHALL BE GOVERNED BY AND CONSTRUED AND INTERPRETED IN ACCORDANCE WITH THE LAWS OF THE STATE OF NEW YORK.</w:t>
      </w:r>
    </w:p>
    <w:p>
      <w:pPr>
        <w:ind w:right="20" w:firstLine="572"/>
        <w:spacing w:after="0" w:line="263" w:lineRule="auto"/>
        <w:rPr>
          <w:rFonts w:ascii="Arial" w:cs="Arial" w:eastAsia="Arial" w:hAnsi="Arial"/>
          <w:sz w:val="17"/>
          <w:szCs w:val="17"/>
          <w:color w:val="auto"/>
        </w:rPr>
      </w:pPr>
      <w:r>
        <w:rPr>
          <w:rFonts w:ascii="Arial" w:cs="Arial" w:eastAsia="Arial" w:hAnsi="Arial"/>
          <w:sz w:val="17"/>
          <w:szCs w:val="17"/>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-1837055</wp:posOffset>
            </wp:positionV>
            <wp:extent cx="66548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5480" cy="762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-1708150</wp:posOffset>
            </wp:positionV>
            <wp:extent cx="6654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5480" cy="762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-1579880</wp:posOffset>
            </wp:positionV>
            <wp:extent cx="6654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5480" cy="762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-1450975</wp:posOffset>
            </wp:positionV>
            <wp:extent cx="6654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45"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[NEW SUBSIDIARY]</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-8255</wp:posOffset>
            </wp:positionV>
            <wp:extent cx="665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-17145</wp:posOffset>
            </wp:positionV>
            <wp:extent cx="6654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-17145</wp:posOffset>
            </wp:positionV>
            <wp:extent cx="6654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76"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Acknowledged and accepted:</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JPMORGAN CHASE BANK, N.A., as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Administrative Agent</w:t>
      </w:r>
    </w:p>
    <w:p>
      <w:pPr>
        <w:spacing w:after="0" w:line="196"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-8255</wp:posOffset>
            </wp:positionV>
            <wp:extent cx="665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-17145</wp:posOffset>
            </wp:positionV>
            <wp:extent cx="665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-17145</wp:posOffset>
            </wp:positionV>
            <wp:extent cx="665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54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368300</wp:posOffset>
            </wp:positionV>
            <wp:extent cx="279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SECOND AMENDED AND RESTATED PLEDGE AND SECURITY AGREEMENT</w:t>
      </w:r>
    </w:p>
    <w:p>
      <w:pPr>
        <w:spacing w:after="0" w:line="200" w:lineRule="exact"/>
        <w:rPr>
          <w:sz w:val="20"/>
          <w:szCs w:val="20"/>
          <w:color w:val="auto"/>
        </w:rPr>
      </w:pPr>
    </w:p>
    <w:p>
      <w:pPr>
        <w:spacing w:after="0" w:line="242"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THIS SECOND AMENDED AND RESTATED PLEDGE AND SECURITY AGREEMENT (as it may be amended, restated, supplemented or otherwise modified from time to time, this “</w:t>
      </w:r>
      <w:r>
        <w:rPr>
          <w:rFonts w:ascii="Arial" w:cs="Arial" w:eastAsia="Arial" w:hAnsi="Arial"/>
          <w:sz w:val="16"/>
          <w:szCs w:val="16"/>
          <w:u w:val="single" w:color="auto"/>
          <w:color w:val="auto"/>
        </w:rPr>
        <w:t>US Security Agreement</w:t>
      </w:r>
      <w:r>
        <w:rPr>
          <w:rFonts w:ascii="Arial" w:cs="Arial" w:eastAsia="Arial" w:hAnsi="Arial"/>
          <w:sz w:val="16"/>
          <w:szCs w:val="16"/>
          <w:color w:val="auto"/>
        </w:rPr>
        <w:t>”) is entered into as of September 24, 2015 by and between WESCO Distribution,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parties named on the signature pages hereto (together with the Company, the “</w:t>
      </w:r>
      <w:r>
        <w:rPr>
          <w:rFonts w:ascii="Arial" w:cs="Arial" w:eastAsia="Arial" w:hAnsi="Arial"/>
          <w:sz w:val="16"/>
          <w:szCs w:val="16"/>
          <w:u w:val="single" w:color="auto"/>
          <w:color w:val="auto"/>
        </w:rPr>
        <w:t>Grantors</w:t>
      </w:r>
      <w:r>
        <w:rPr>
          <w:rFonts w:ascii="Arial" w:cs="Arial" w:eastAsia="Arial" w:hAnsi="Arial"/>
          <w:sz w:val="16"/>
          <w:szCs w:val="16"/>
          <w:color w:val="auto"/>
        </w:rPr>
        <w:t>”, and each a “</w:t>
      </w:r>
      <w:r>
        <w:rPr>
          <w:rFonts w:ascii="Arial" w:cs="Arial" w:eastAsia="Arial" w:hAnsi="Arial"/>
          <w:sz w:val="16"/>
          <w:szCs w:val="16"/>
          <w:u w:val="single" w:color="auto"/>
          <w:color w:val="auto"/>
        </w:rPr>
        <w:t>Grantor</w:t>
      </w:r>
      <w:r>
        <w:rPr>
          <w:rFonts w:ascii="Arial" w:cs="Arial" w:eastAsia="Arial" w:hAnsi="Arial"/>
          <w:sz w:val="16"/>
          <w:szCs w:val="16"/>
          <w:color w:val="auto"/>
        </w:rPr>
        <w:t>”), and JPMorgan Chase Bank, N.A., in its capacity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party to the Credit Agreement referred to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PRELIMINARY STATEMENTS</w:t>
      </w:r>
    </w:p>
    <w:p>
      <w:pPr>
        <w:sectPr>
          <w:pgSz w:w="11900" w:h="16838" w:orient="portrait"/>
          <w:cols w:equalWidth="0" w:num="1">
            <w:col w:w="11440"/>
          </w:cols>
          <w:pgMar w:left="240" w:top="929" w:right="219" w:bottom="0" w:gutter="0" w:footer="0" w:header="0"/>
        </w:sectPr>
      </w:pPr>
    </w:p>
    <w:bookmarkStart w:id="112" w:name="page113"/>
    <w:bookmarkEnd w:id="112"/>
    <w:p>
      <w:pPr>
        <w:jc w:val="both"/>
        <w:ind w:firstLine="572"/>
        <w:spacing w:after="0" w:line="255" w:lineRule="auto"/>
        <w:rPr>
          <w:sz w:val="20"/>
          <w:szCs w:val="20"/>
          <w:color w:val="auto"/>
        </w:rPr>
      </w:pPr>
      <w:r>
        <w:rPr>
          <w:rFonts w:ascii="Arial" w:cs="Arial" w:eastAsia="Arial" w:hAnsi="Arial"/>
          <w:sz w:val="17"/>
          <w:szCs w:val="17"/>
          <w:color w:val="auto"/>
        </w:rPr>
        <w:t>WHEREAS, certain of the Grantors (the “</w:t>
      </w:r>
      <w:r>
        <w:rPr>
          <w:rFonts w:ascii="Arial" w:cs="Arial" w:eastAsia="Arial" w:hAnsi="Arial"/>
          <w:sz w:val="17"/>
          <w:szCs w:val="17"/>
          <w:u w:val="single" w:color="auto"/>
          <w:color w:val="auto"/>
        </w:rPr>
        <w:t>Original Grantors</w:t>
      </w:r>
      <w:r>
        <w:rPr>
          <w:rFonts w:ascii="Arial" w:cs="Arial" w:eastAsia="Arial" w:hAnsi="Arial"/>
          <w:sz w:val="17"/>
          <w:szCs w:val="17"/>
          <w:color w:val="auto"/>
        </w:rPr>
        <w:t>”) are parties to that certain Amended and Restated Credit Agreement dated as of December 12, 2012 (as amended, restated, supplemented or otherwise modified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among the Company, as U.S. Borrower, the other U.S. Borrowers party thereto, WESCO Distribution Canada LP, as Canadian Borrower, the other Loan Parties party thereto, the lenders party thereto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the Administrative Agent, and JPMorgan Chase Bank, N.A., Toronto Branch (the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and together with the Administrative Agent, the “</w:t>
      </w:r>
      <w:r>
        <w:rPr>
          <w:rFonts w:ascii="Arial" w:cs="Arial" w:eastAsia="Arial" w:hAnsi="Arial"/>
          <w:sz w:val="17"/>
          <w:szCs w:val="17"/>
          <w:u w:val="single" w:color="auto"/>
          <w:color w:val="auto"/>
        </w:rPr>
        <w:t>Agents</w:t>
      </w:r>
      <w:r>
        <w:rPr>
          <w:rFonts w:ascii="Arial" w:cs="Arial" w:eastAsia="Arial" w:hAnsi="Arial"/>
          <w:sz w:val="17"/>
          <w:szCs w:val="17"/>
          <w:color w:val="auto"/>
        </w:rPr>
        <w:t>”), pursuant to which the Existing Lenders agreed to make certain loans and provide certain other credit accommodations to the borrowers thereunder from time to time;</w:t>
      </w:r>
    </w:p>
    <w:p>
      <w:pPr>
        <w:spacing w:after="0" w:line="161"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WHEREAS, in connection with the Existing Credit Agreement, the Original Grantors and the Administrative Agent entered into that certain Amended and Restated Pledge and Security Agreement (as amended, restated, supplemented or otherwise modified prior to the date hereof, the “</w:t>
      </w:r>
      <w:r>
        <w:rPr>
          <w:rFonts w:ascii="Arial" w:cs="Arial" w:eastAsia="Arial" w:hAnsi="Arial"/>
          <w:sz w:val="17"/>
          <w:szCs w:val="17"/>
          <w:u w:val="single" w:color="auto"/>
          <w:color w:val="auto"/>
        </w:rPr>
        <w:t>Existing US Security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the Original Grantors granted to the Administrative Agent security interests in the Collateral (as defined in the Existing US Security Agreement) to secure the obligations of the Original Grantors under the Existing Credit Agreement and the other Loan Documents (as defined in the Existing Credit Agreement);</w:t>
      </w:r>
    </w:p>
    <w:p>
      <w:pPr>
        <w:spacing w:after="0" w:line="161"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WHEREAS, concurrently herewith, certain of the Original Grantors as borrowers, WESCO International, Inc., the Agents, the other Borrowers party thereto and the financial institutions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are entering into that certain Second Amended and Restated Credit Agreement dated as of the date hereof (as it may be further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Credit Agreement further amends and restates the Existing Credit Agreement in its entirety;</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WHEREAS, each Guarantor (as defined herein) has agreed to guaranty the Secured Obligations (as defined in the Credit Agreement) and each Guarantor will derive substantial direct and indirect benefits from the making of the extensions of credit under the Credit Agreement;</w:t>
      </w:r>
    </w:p>
    <w:p>
      <w:pPr>
        <w:spacing w:after="0" w:line="140"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WHEREAS, each Grantor is entering into this US Security Agreement in order to induce the Lenders to enter into and extend credit to the Borrowers under the Credit Agreement and to secure the Secured Obligations that it has incurred as a Borrower or that it has agreed to guarantee pursuant to Article VIII of this US Security Agreement;</w:t>
      </w:r>
    </w:p>
    <w:p>
      <w:pPr>
        <w:spacing w:after="0" w:line="153"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the Grantors and the Administrative Agent, on behalf of the Lenders, hereby agree that the Existing US Security Agreement be, and hereby is, amended and restated in its entirety by this US Security Agreement, and the parties hereto hereby further agree as follows: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96"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Terms Defined in Credit Agreement</w:t>
      </w:r>
      <w:r>
        <w:rPr>
          <w:rFonts w:ascii="Arial" w:cs="Arial" w:eastAsia="Arial" w:hAnsi="Arial"/>
          <w:sz w:val="17"/>
          <w:szCs w:val="17"/>
          <w:color w:val="auto"/>
        </w:rPr>
        <w:t>. All capitalized terms used herein and not otherwise defined shall have the meanings assigned to such terms in the Credit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Defined in UCC</w:t>
      </w:r>
      <w:r>
        <w:rPr>
          <w:rFonts w:ascii="Arial" w:cs="Arial" w:eastAsia="Arial" w:hAnsi="Arial"/>
          <w:sz w:val="17"/>
          <w:szCs w:val="17"/>
          <w:color w:val="auto"/>
        </w:rPr>
        <w:t>. Terms defined in the UCC which are not otherwise defined in this US Security Agreement or the Credit Agreement are used herein as defined in Article 8 or Article 9 of the UCC.</w:t>
      </w:r>
    </w:p>
    <w:p>
      <w:pPr>
        <w:spacing w:after="0" w:line="152"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u w:val="single" w:color="auto"/>
          <w:color w:val="auto"/>
        </w:rPr>
        <w:t>Definitions of Certain Terms Used Herein</w:t>
      </w:r>
      <w:r>
        <w:rPr>
          <w:rFonts w:ascii="Arial" w:cs="Arial" w:eastAsia="Arial" w:hAnsi="Arial"/>
          <w:sz w:val="16"/>
          <w:szCs w:val="16"/>
          <w:color w:val="auto"/>
        </w:rPr>
        <w:t>. As used in this US Security Agreement, in addition to the terms defined in the first paragraph hereof,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Preliminary Statement, the following terms shall have the following meanings: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w:t>
      </w:r>
      <w:r>
        <w:rPr>
          <w:rFonts w:ascii="Arial" w:cs="Arial" w:eastAsia="Arial" w:hAnsi="Arial"/>
          <w:sz w:val="17"/>
          <w:szCs w:val="17"/>
          <w:color w:val="auto"/>
        </w:rPr>
        <w:t>” means a numbered article of this US Security Agreement, unless another document is specifically referenced.</w:t>
      </w:r>
    </w:p>
    <w:p>
      <w:pPr>
        <w:spacing w:after="0" w:line="210"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Assigned Contracts</w:t>
      </w:r>
      <w:r>
        <w:rPr>
          <w:rFonts w:ascii="Arial" w:cs="Arial" w:eastAsia="Arial" w:hAnsi="Arial"/>
          <w:sz w:val="16"/>
          <w:szCs w:val="16"/>
          <w:color w:val="auto"/>
        </w:rPr>
        <w:t>” means, with respect to any Grantor, collectively, all of such Grantors’ rights and remedies under, and all moneys and claims for money due or to become due to such Grantor under those contracts and other agreements relating to the purchase and sale of Inventory and all Accounts related thereto and any and all other material contracts between such Grantor and any party other than the Agents or any Lender, and any and all amendments, supplements, extensions, and renewals thereof, including all rights and claims of such Grantor now or hereafter existing: (a) 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Chattel Paper</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shall have the meaning set forth in Article II.</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Loan Party for any real property where any Collateral is located, as such landlord waiver or other agreement may be amended, restated, or otherwise modified from time to time.</w:t>
      </w:r>
    </w:p>
    <w:p>
      <w:pPr>
        <w:spacing w:after="0" w:line="169"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Report</w:t>
      </w:r>
      <w:r>
        <w:rPr>
          <w:rFonts w:ascii="Arial" w:cs="Arial" w:eastAsia="Arial" w:hAnsi="Arial"/>
          <w:sz w:val="17"/>
          <w:szCs w:val="17"/>
          <w:color w:val="auto"/>
        </w:rPr>
        <w:t>” means any certificate (including any Borrowing Base Certificate), report or other document delivered by any Grantor to the Administrative Agent with respect to the Collateral pursuant to any Loan Document.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means “commercial tort claims” as set forth in Article 9 of the UCC and the existing commercial tort claims of the Grantors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have the meaning set forth in Article 8 of the UCC or, if applicable, in Section 9-104, 9-105, 9-106 or 9-107 of Article 9 of the UCC.</w:t>
      </w:r>
    </w:p>
    <w:p>
      <w:pPr>
        <w:spacing w:after="0" w:line="221"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an agreement, in form and substance reasonably satisfactory to the Administrative Agent, among any Loan Party, a banking institution, securities broker, securities intermediary or other financial institution holding such Loan Party's funds, and the Administrative Agent with respect to collection and control of all deposits and balances held in a Deposit Account, Securities Account or Lock Box maintained by any Loan Party with such banking institution.</w:t>
      </w:r>
    </w:p>
    <w:p>
      <w:pPr>
        <w:spacing w:after="0" w:line="169"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ectPr>
          <w:pgSz w:w="11900" w:h="16838" w:orient="portrait"/>
          <w:cols w:equalWidth="0" w:num="1">
            <w:col w:w="11440"/>
          </w:cols>
          <w:pgMar w:left="240" w:top="124" w:right="219" w:bottom="0" w:gutter="0" w:footer="0" w:header="0"/>
        </w:sectPr>
      </w:pPr>
    </w:p>
    <w:bookmarkStart w:id="113" w:name="page114"/>
    <w:bookmarkEnd w:id="113"/>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Center</w:t>
      </w:r>
      <w:r>
        <w:rPr>
          <w:rFonts w:ascii="Arial" w:cs="Arial" w:eastAsia="Arial" w:hAnsi="Arial"/>
          <w:sz w:val="17"/>
          <w:szCs w:val="17"/>
          <w:color w:val="auto"/>
        </w:rPr>
        <w:t>” means a location leased by a Grantor where such Grantor operates a distribution facility of inventory.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Collateral</w:t>
      </w:r>
      <w:r>
        <w:rPr>
          <w:rFonts w:ascii="Arial" w:cs="Arial" w:eastAsia="Arial" w:hAnsi="Arial"/>
          <w:sz w:val="17"/>
          <w:szCs w:val="17"/>
          <w:color w:val="auto"/>
        </w:rPr>
        <w:t>” shall have the meaning set forth in Article II hereof.</w:t>
      </w:r>
    </w:p>
    <w:p>
      <w:pPr>
        <w:spacing w:after="0" w:line="210" w:lineRule="exact"/>
        <w:rPr>
          <w:sz w:val="20"/>
          <w:szCs w:val="20"/>
          <w:color w:val="auto"/>
        </w:rPr>
      </w:pPr>
    </w:p>
    <w:p>
      <w:pPr>
        <w:jc w:val="both"/>
        <w:ind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Debt Securities</w:t>
      </w:r>
      <w:r>
        <w:rPr>
          <w:rFonts w:ascii="Arial" w:cs="Arial" w:eastAsia="Arial" w:hAnsi="Arial"/>
          <w:sz w:val="16"/>
          <w:szCs w:val="16"/>
          <w:color w:val="auto"/>
        </w:rPr>
        <w:t>” means US $480,000,000 Promissory Note issued by WDCC Enterprises Inc. to WDC Holdings, Inc., as amended, restated, supplemented or otherwise modified from time to time, and referred to in the definition of “Hybrid Security” set forth in Section 1.01 of the Credit Agreement.</w:t>
      </w:r>
    </w:p>
    <w:p>
      <w:pPr>
        <w:spacing w:after="0" w:line="128" w:lineRule="exact"/>
        <w:rPr>
          <w:sz w:val="20"/>
          <w:szCs w:val="20"/>
          <w:color w:val="auto"/>
        </w:rPr>
      </w:pPr>
    </w:p>
    <w:p>
      <w:pPr>
        <w:jc w:val="both"/>
        <w:ind w:firstLine="57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Equity Interests</w:t>
      </w:r>
      <w:r>
        <w:rPr>
          <w:rFonts w:ascii="Arial" w:cs="Arial" w:eastAsia="Arial" w:hAnsi="Arial"/>
          <w:sz w:val="15"/>
          <w:szCs w:val="15"/>
          <w:color w:val="auto"/>
        </w:rPr>
        <w:t>” means (a) the Equity Interests of any Grantor in the Real Estate Subsidiaries or in any other special purpose entity that is formed or acquired after the Second Restatement Date which has no assets other than real property, (b) Equity Interests in entities where such Grantor holds 50% or less of the outstanding Equity Interests of such entity, to the extent a pledge of such Equity Interests is prohibited by the organizational documents or agreements with the other equity holders of such entity after the exercise of commercially reasonable efforts to remove or avoid such prohibition, (c) more than 65% of the issued and outstanding Equity Interests of any CFC Subsidiary or CFC Subsidiary Holding Company entitled to vote (within the meaning of United States Treasury Regulations Section 1.956-2(c)(2)) and (d) Equity Interests of any Excluded Subsidiary described in clause (b) and clause (c) of the definition thereof.</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Exhibit</w:t>
      </w:r>
      <w:r>
        <w:rPr>
          <w:rFonts w:ascii="Arial" w:cs="Arial" w:eastAsia="Arial" w:hAnsi="Arial"/>
          <w:sz w:val="17"/>
          <w:szCs w:val="17"/>
          <w:color w:val="auto"/>
        </w:rPr>
        <w:t>” refers to a specific exhibit to this US Security Agreement, unless another document is specifically referenced.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Fixtures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or “</w:t>
      </w:r>
      <w:r>
        <w:rPr>
          <w:rFonts w:ascii="Arial" w:cs="Arial" w:eastAsia="Arial" w:hAnsi="Arial"/>
          <w:sz w:val="17"/>
          <w:szCs w:val="17"/>
          <w:u w:val="single" w:color="auto"/>
          <w:color w:val="auto"/>
        </w:rPr>
        <w:t>Guarantors</w:t>
      </w:r>
      <w:r>
        <w:rPr>
          <w:rFonts w:ascii="Arial" w:cs="Arial" w:eastAsia="Arial" w:hAnsi="Arial"/>
          <w:sz w:val="17"/>
          <w:szCs w:val="17"/>
          <w:color w:val="auto"/>
        </w:rPr>
        <w:t>” means, individually or collectively, the Grantors from time to time party to this US Security Agreement, other than WDINESCO II B.V.</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and similar property of every kind and nature, including inventions, designs, Patents, Copyrights, Trademarks,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Property</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69"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73"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Instruments, Securities and other Investment Property of the Grantors included within the definition of Collateral herein, whether or not physically delivered to the Administrative Agent pursuant to this US Security Agreement, excluding, for the avoidance of doubt, any Excluded Collateral.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ULC Shares</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the Accounts, Chattel Paper, Documents, Investment Property, Instruments and any other rights or claims to receive money which are General Intangibles or which are otherwise included as Collateral.</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Securitization Lien</w:t>
      </w:r>
      <w:r>
        <w:rPr>
          <w:rFonts w:ascii="Arial" w:cs="Arial" w:eastAsia="Arial" w:hAnsi="Arial"/>
          <w:sz w:val="17"/>
          <w:szCs w:val="17"/>
          <w:color w:val="auto"/>
        </w:rPr>
        <w:t>” means a Lien on a Grantor’s Accounts which are sold, or intended to be sold, to WESCO Receivables pursuant to the Receivables Securitization Agreements.</w:t>
      </w:r>
    </w:p>
    <w:p>
      <w:pPr>
        <w:spacing w:after="0" w:line="152" w:lineRule="exact"/>
        <w:rPr>
          <w:sz w:val="20"/>
          <w:szCs w:val="20"/>
          <w:color w:val="auto"/>
        </w:rPr>
      </w:pPr>
    </w:p>
    <w:p>
      <w:pPr>
        <w:jc w:val="both"/>
        <w:ind w:right="20"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Secured Parties</w:t>
      </w:r>
      <w:r>
        <w:rPr>
          <w:rFonts w:ascii="Arial" w:cs="Arial" w:eastAsia="Arial" w:hAnsi="Arial"/>
          <w:sz w:val="16"/>
          <w:szCs w:val="16"/>
          <w:color w:val="auto"/>
        </w:rPr>
        <w:t>” means (a) prior to an acceleration of the Obligations under the Credit Agreement, the Required Lenders, (b) after an acceleration of the Obligations under the Credit Agreement but prior to the date upon which the Credit Agreement has terminated by its terms and all of the obligations thereunder have been paid in full (other than contingent obligations for which no claim has been asserted), Lenders holding in the aggregate at least a majority of the total of the Aggregate Credit Exposure, and (c) after the Credit Agreement has terminated by its terms and all of the Obligations thereunder have been paid in full (whether or not the Obligations under the Credit Agreement were ever accelerated) (other than contingent obligations for which no claim has been asserted), Lenders holding in the aggregate at least a majority of the aggregate net early termination payments and all other amounts then due and unpaid from any Grantor to the Lenders under Swap Agreement, as determined by the Administrative Agent in its reasonable discretion.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Restatement Date</w:t>
      </w:r>
      <w:r>
        <w:rPr>
          <w:rFonts w:ascii="Arial" w:cs="Arial" w:eastAsia="Arial" w:hAnsi="Arial"/>
          <w:sz w:val="17"/>
          <w:szCs w:val="17"/>
          <w:color w:val="auto"/>
        </w:rPr>
        <w:t>” means the date of the Credit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w:t>
      </w:r>
      <w:r>
        <w:rPr>
          <w:rFonts w:ascii="Arial" w:cs="Arial" w:eastAsia="Arial" w:hAnsi="Arial"/>
          <w:sz w:val="17"/>
          <w:szCs w:val="17"/>
          <w:color w:val="auto"/>
        </w:rPr>
        <w:t>” means a numbered section of this US Security Agreement, unless another document is specifically referenced.</w:t>
      </w:r>
    </w:p>
    <w:p>
      <w:pPr>
        <w:spacing w:after="0" w:line="21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 excluding for the avoidance of doubt, any Excluded Collateral.</w:t>
      </w:r>
    </w:p>
    <w:p>
      <w:pPr>
        <w:sectPr>
          <w:pgSz w:w="11900" w:h="16838" w:orient="portrait"/>
          <w:cols w:equalWidth="0" w:num="1">
            <w:col w:w="11440"/>
          </w:cols>
          <w:pgMar w:left="240" w:top="124" w:right="219" w:bottom="0" w:gutter="0" w:footer="0" w:header="0"/>
        </w:sectPr>
      </w:pPr>
    </w:p>
    <w:bookmarkStart w:id="114" w:name="page115"/>
    <w:bookmarkEnd w:id="114"/>
    <w:p>
      <w:pPr>
        <w:spacing w:after="0" w:line="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Supporting Obligations</w:t>
      </w:r>
      <w:r>
        <w:rPr>
          <w:rFonts w:ascii="Arial" w:cs="Arial" w:eastAsia="Arial" w:hAnsi="Arial"/>
          <w:sz w:val="17"/>
          <w:szCs w:val="17"/>
          <w:color w:val="auto"/>
        </w:rPr>
        <w:t>” shall have the meaning set forth in Article 9 of the UCC.</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Obligation Payment Date</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Priority Collateral</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2"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of the State of New York or of any other state the laws of which are required as a result thereof to be applied in connection with the attachment, perfection or priority of, or remedies with respect to, the Administrative Agent's or any Lender's Lien on any Collateral.</w:t>
      </w:r>
    </w:p>
    <w:p>
      <w:pPr>
        <w:spacing w:after="0" w:line="165" w:lineRule="exact"/>
        <w:rPr>
          <w:sz w:val="20"/>
          <w:szCs w:val="20"/>
          <w:color w:val="auto"/>
        </w:rPr>
      </w:pPr>
    </w:p>
    <w:p>
      <w:pPr>
        <w:jc w:val="both"/>
        <w:ind w:right="20" w:firstLine="5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Update Date</w:t>
      </w:r>
      <w:r>
        <w:rPr>
          <w:rFonts w:ascii="Arial" w:cs="Arial" w:eastAsia="Arial" w:hAnsi="Arial"/>
          <w:sz w:val="17"/>
          <w:szCs w:val="17"/>
          <w:color w:val="auto"/>
        </w:rPr>
        <w:t>” means the date on which any Grantor provides notice to the Administrative Agent of any updates to the representations and warranties contained in Article III hereof, as permitted by Article IV hereof, which shall occur within 30 days from June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ULC</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foregoing definitions shall be equally applicable to both the singular and plural forms of the defined terms.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OF SECURITY INTEREST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To secure the prompt and complete payment and performance of the Secured Obligations, each Grantor hereby pledges, assigns and grants to the Administrative Agent, on behalf of and for the ratable benefit of itself, the Canadian Administrative Agent, the Lenders and each other holder of Secured Obligations (as set forth in the definition thereof), a security interest in all of its right, title and interest in, to and under all personal property and other assets, whether now owned by or owing to, or hereafter acquired by or arising in favor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17"/>
          <w:szCs w:val="17"/>
          <w:u w:val="single" w:color="auto"/>
          <w:color w:val="auto"/>
        </w:rPr>
        <w:t>Collateral</w:t>
      </w:r>
      <w:r>
        <w:rPr>
          <w:rFonts w:ascii="Arial" w:cs="Arial" w:eastAsia="Arial" w:hAnsi="Arial"/>
          <w:sz w:val="17"/>
          <w:szCs w:val="17"/>
          <w:color w:val="auto"/>
        </w:rPr>
        <w:t>”), including:</w:t>
      </w:r>
    </w:p>
    <w:p>
      <w:pPr>
        <w:spacing w:after="0" w:line="243" w:lineRule="exact"/>
        <w:rPr>
          <w:sz w:val="20"/>
          <w:szCs w:val="20"/>
          <w:color w:val="auto"/>
        </w:rPr>
      </w:pPr>
    </w:p>
    <w:p>
      <w:pPr>
        <w:ind w:left="2440" w:hanging="729"/>
        <w:spacing w:after="0"/>
        <w:tabs>
          <w:tab w:leader="none" w:pos="24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Accounts;</w:t>
      </w:r>
    </w:p>
    <w:p>
      <w:pPr>
        <w:spacing w:after="0" w:line="138" w:lineRule="exact"/>
        <w:rPr>
          <w:rFonts w:ascii="Arial" w:cs="Arial" w:eastAsia="Arial" w:hAnsi="Arial"/>
          <w:sz w:val="17"/>
          <w:szCs w:val="17"/>
          <w:color w:val="auto"/>
        </w:rPr>
      </w:pPr>
    </w:p>
    <w:p>
      <w:pPr>
        <w:ind w:left="2500" w:hanging="789"/>
        <w:spacing w:after="0"/>
        <w:tabs>
          <w:tab w:leader="none" w:pos="25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Chattel Paper;</w:t>
      </w:r>
    </w:p>
    <w:p>
      <w:pPr>
        <w:spacing w:after="0" w:line="138" w:lineRule="exact"/>
        <w:rPr>
          <w:rFonts w:ascii="Arial" w:cs="Arial" w:eastAsia="Arial" w:hAnsi="Arial"/>
          <w:sz w:val="17"/>
          <w:szCs w:val="17"/>
          <w:color w:val="auto"/>
        </w:rPr>
      </w:pPr>
    </w:p>
    <w:p>
      <w:pPr>
        <w:ind w:left="2540" w:hanging="829"/>
        <w:spacing w:after="0"/>
        <w:tabs>
          <w:tab w:leader="none" w:pos="2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Copyrights, Patents and Trademarks;</w:t>
      </w:r>
    </w:p>
    <w:p>
      <w:pPr>
        <w:spacing w:after="0" w:line="126"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Documents;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General Intangibles (other than General Intangibles comprising Excluded Collateral (as defined below));</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Goods;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Instruments;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Inventory;</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Investment Property;</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cash or cash equivalents;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letters of credit, Letter-of-Credit Rights and Supporting Obligations;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all Deposit Accounts, Securities Accounts, and Lock Boxes;</w:t>
      </w:r>
    </w:p>
    <w:p>
      <w:pPr>
        <w:spacing w:after="0" w:line="114" w:lineRule="exact"/>
        <w:rPr>
          <w:rFonts w:ascii="Arial" w:cs="Arial" w:eastAsia="Arial" w:hAnsi="Arial"/>
          <w:sz w:val="17"/>
          <w:szCs w:val="17"/>
          <w:b w:val="1"/>
          <w:bCs w:val="1"/>
          <w:color w:val="auto"/>
        </w:rPr>
      </w:pPr>
    </w:p>
    <w:p>
      <w:pPr>
        <w:ind w:left="2280" w:hanging="569"/>
        <w:spacing w:after="0"/>
        <w:tabs>
          <w:tab w:leader="none" w:pos="2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all Commercial Tort Claims;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all Assigned Contracts; and</w:t>
      </w:r>
    </w:p>
    <w:p>
      <w:pPr>
        <w:spacing w:after="0" w:line="54" w:lineRule="exact"/>
        <w:rPr>
          <w:rFonts w:ascii="Arial" w:cs="Arial" w:eastAsia="Arial" w:hAnsi="Arial"/>
          <w:sz w:val="17"/>
          <w:szCs w:val="17"/>
          <w:b w:val="1"/>
          <w:bCs w:val="1"/>
          <w:color w:val="auto"/>
        </w:rPr>
      </w:pPr>
    </w:p>
    <w:p>
      <w:pPr>
        <w:jc w:val="both"/>
        <w:ind w:left="2280" w:hanging="569"/>
        <w:spacing w:after="0" w:line="288" w:lineRule="auto"/>
        <w:tabs>
          <w:tab w:leader="none" w:pos="22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Notwithstanding anything herein to the contrary, in no event shall the Collateral include, and no Grantor shall be deemed to have granted a security interest in, the following (collectively, the “</w:t>
      </w:r>
      <w:r>
        <w:rPr>
          <w:rFonts w:ascii="Arial" w:cs="Arial" w:eastAsia="Arial" w:hAnsi="Arial"/>
          <w:sz w:val="16"/>
          <w:szCs w:val="16"/>
          <w:u w:val="single" w:color="auto"/>
          <w:color w:val="auto"/>
        </w:rPr>
        <w:t>Excluded Collateral</w:t>
      </w:r>
      <w:r>
        <w:rPr>
          <w:rFonts w:ascii="Arial" w:cs="Arial" w:eastAsia="Arial" w:hAnsi="Arial"/>
          <w:sz w:val="16"/>
          <w:szCs w:val="16"/>
          <w:color w:val="auto"/>
        </w:rPr>
        <w:t xml:space="preserve">”): (A) Excluded Equity Interests, (B) Excluded Debt Securities, (C) any real estate, leasehold rights or leasehold improvements held by any Real Estate Subsidiary, (D) Accounts sold or otherwise transferred (including, without limitation, by means of capital contribution) to WESCO Receivables pursuant to the Receivables Securitization Agreements, (E) any property of any Loan Party or any other Restricted Subsidiary with respect to which the Administrative Agent reasonably determines that the costs or burdens of obtaining such security interests are excessive in relation to the benefits to the Lenders afforded thereby, or (F) any rights or property acquired under a lease, contract, property rights agreement or license, the grant of a security interest in which shall constitute or result in (x) the abandonment, invalidation or unenforceability of any right, title or interest of such Grantor therein or (y) a breach or termination pursuant to the terms of, or a default under, any lease, contract, property rights agreement or license (other than to the extent that any restriction on such assignment would be rendered ineffective pursuant to Sections 9-406, 9-407, 9-408 or 9-409 of the UCC (or any successor provision or provisions)) of any relevant jurisdiction or any other applicable law (including the United States Bankruptcy Code) or principles of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security interest shall attach to any and all (I) monies due or to become due in respect of such asset or property right or (II) proceeds from the sale, transfer, assignment, license, lease or other disposition of such asset or property right.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herein to the contrary, Collateral shall not include, with respect to any U.S. Secured Obligation, the assets of any CFC Subsidiary.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ectPr>
          <w:pgSz w:w="11900" w:h="16892" w:orient="portrait"/>
          <w:cols w:equalWidth="0" w:num="1">
            <w:col w:w="11440"/>
          </w:cols>
          <w:pgMar w:left="240" w:top="327" w:right="219" w:bottom="0" w:gutter="0" w:footer="0" w:header="0"/>
        </w:sectPr>
      </w:pPr>
    </w:p>
    <w:bookmarkStart w:id="115" w:name="page116"/>
    <w:bookmarkEnd w:id="115"/>
    <w:p>
      <w:pPr>
        <w:spacing w:after="0" w:line="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Grantor represents and warrants to the Administrative Agent and the Lenders that:</w:t>
      </w:r>
    </w:p>
    <w:p>
      <w:pPr>
        <w:spacing w:after="0" w:line="217"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7"/>
          <w:szCs w:val="17"/>
          <w:u w:val="single" w:color="auto"/>
          <w:color w:val="auto"/>
        </w:rPr>
        <w:t>Title, Perfection and Priority</w:t>
      </w:r>
      <w:r>
        <w:rPr>
          <w:rFonts w:ascii="Arial" w:cs="Arial" w:eastAsia="Arial" w:hAnsi="Arial"/>
          <w:sz w:val="17"/>
          <w:szCs w:val="17"/>
          <w:color w:val="auto"/>
        </w:rPr>
        <w:t>. Such Grantor has good and valid rights in or the power to transfer the Collateral and title to the Collateral with respect</w:t>
      </w:r>
      <w:r>
        <w:rPr>
          <w:rFonts w:ascii="Arial" w:cs="Arial" w:eastAsia="Arial" w:hAnsi="Arial"/>
          <w:sz w:val="19"/>
          <w:szCs w:val="19"/>
          <w:color w:val="auto"/>
        </w:rPr>
        <w:t xml:space="preserve"> </w:t>
      </w:r>
      <w:r>
        <w:rPr>
          <w:rFonts w:ascii="Arial" w:cs="Arial" w:eastAsia="Arial" w:hAnsi="Arial"/>
          <w:sz w:val="17"/>
          <w:szCs w:val="17"/>
          <w:color w:val="auto"/>
        </w:rPr>
        <w:t xml:space="preserve">to which it has purported to grant a security interest hereunder, free and clear of all Liens except for Liens permitted under Section 4.1(e), and has full power and authority to grant to the Administrative Agent the security interest in such Collateral pursuant hereto. When financing statements naming such Grantor as debtor and the Administrative Agent as secured party and providing a description of the Collateral (which may, for the avoidance of doubt, describe the Collateral as “all assets of the debtor” or on similar terms) with respect to which such Grantor has purported to grant a security interest hereunder have been filed in the appropriate offices against such Grantor in the locations listed on </w:t>
      </w:r>
      <w:r>
        <w:rPr>
          <w:rFonts w:ascii="Arial" w:cs="Arial" w:eastAsia="Arial" w:hAnsi="Arial"/>
          <w:sz w:val="17"/>
          <w:szCs w:val="17"/>
          <w:u w:val="single" w:color="auto"/>
          <w:color w:val="auto"/>
        </w:rPr>
        <w:t>Exhibit H</w:t>
      </w:r>
      <w:r>
        <w:rPr>
          <w:rFonts w:ascii="Arial" w:cs="Arial" w:eastAsia="Arial" w:hAnsi="Arial"/>
          <w:sz w:val="17"/>
          <w:szCs w:val="17"/>
          <w:color w:val="auto"/>
        </w:rPr>
        <w:t>, the Administrative Agent will have a fully perfected security interest in that Collateral of the Grantor (other than Fixtures) in which a security interest may be perfected by filing a financing statement under the UCC,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favor of the Term Loan Agent to the extent provided in the ABL-Term Loan Intercreditor Agreement.</w:t>
      </w:r>
    </w:p>
    <w:p>
      <w:pPr>
        <w:spacing w:after="0" w:line="177"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7"/>
          <w:szCs w:val="17"/>
          <w:u w:val="single" w:color="auto"/>
          <w:color w:val="auto"/>
        </w:rPr>
        <w:t>Type and Jurisdiction of Organization, Organizational and Identification Numbers</w:t>
      </w:r>
      <w:r>
        <w:rPr>
          <w:rFonts w:ascii="Arial" w:cs="Arial" w:eastAsia="Arial" w:hAnsi="Arial"/>
          <w:sz w:val="17"/>
          <w:szCs w:val="17"/>
          <w:color w:val="auto"/>
        </w:rPr>
        <w:t>. As of the date hereof and as of the last Update Date, the type of</w:t>
      </w:r>
      <w:r>
        <w:rPr>
          <w:rFonts w:ascii="Arial" w:cs="Arial" w:eastAsia="Arial" w:hAnsi="Arial"/>
          <w:sz w:val="19"/>
          <w:szCs w:val="19"/>
          <w:color w:val="auto"/>
        </w:rPr>
        <w:t xml:space="preserve"> </w:t>
      </w:r>
      <w:r>
        <w:rPr>
          <w:rFonts w:ascii="Arial" w:cs="Arial" w:eastAsia="Arial" w:hAnsi="Arial"/>
          <w:sz w:val="17"/>
          <w:szCs w:val="17"/>
          <w:color w:val="auto"/>
        </w:rPr>
        <w:t xml:space="preserve">entity of such Grantor, its state or other jurisdiction of organization, the organizational number issued to it by its state or other jurisdiction of organization and its federal employer identification number, if applicable, are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4" w:lineRule="exact"/>
        <w:rPr>
          <w:sz w:val="20"/>
          <w:szCs w:val="20"/>
          <w:color w:val="auto"/>
        </w:rPr>
      </w:pPr>
    </w:p>
    <w:p>
      <w:pPr>
        <w:jc w:val="both"/>
        <w:ind w:right="20" w:firstLine="572"/>
        <w:spacing w:after="0" w:line="26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7"/>
          <w:szCs w:val="17"/>
          <w:u w:val="single" w:color="auto"/>
          <w:color w:val="auto"/>
        </w:rPr>
        <w:t>Principal Location</w:t>
      </w:r>
      <w:r>
        <w:rPr>
          <w:rFonts w:ascii="Arial" w:cs="Arial" w:eastAsia="Arial" w:hAnsi="Arial"/>
          <w:sz w:val="17"/>
          <w:szCs w:val="17"/>
          <w:color w:val="auto"/>
        </w:rPr>
        <w:t>. As of the date hereof and as of the last Update Date, such Grantor's mailing address, the location of its principal place of</w:t>
      </w:r>
      <w:r>
        <w:rPr>
          <w:rFonts w:ascii="Arial" w:cs="Arial" w:eastAsia="Arial" w:hAnsi="Arial"/>
          <w:sz w:val="19"/>
          <w:szCs w:val="19"/>
          <w:color w:val="auto"/>
        </w:rPr>
        <w:t xml:space="preserve"> </w:t>
      </w:r>
      <w:r>
        <w:rPr>
          <w:rFonts w:ascii="Arial" w:cs="Arial" w:eastAsia="Arial" w:hAnsi="Arial"/>
          <w:sz w:val="17"/>
          <w:szCs w:val="17"/>
          <w:color w:val="auto"/>
        </w:rPr>
        <w:t xml:space="preserve">business or its chief executive office, and the location of its records concerning the Collateral are disclosed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7" w:lineRule="exact"/>
        <w:rPr>
          <w:sz w:val="20"/>
          <w:szCs w:val="20"/>
          <w:color w:val="auto"/>
        </w:rPr>
      </w:pPr>
    </w:p>
    <w:p>
      <w:pPr>
        <w:jc w:val="both"/>
        <w:ind w:right="20" w:firstLine="572"/>
        <w:spacing w:after="0" w:line="29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6"/>
          <w:szCs w:val="16"/>
          <w:u w:val="single" w:color="auto"/>
          <w:color w:val="auto"/>
        </w:rPr>
        <w:t>Collateral Locations</w:t>
      </w:r>
      <w:r>
        <w:rPr>
          <w:rFonts w:ascii="Arial" w:cs="Arial" w:eastAsia="Arial" w:hAnsi="Arial"/>
          <w:sz w:val="16"/>
          <w:szCs w:val="16"/>
          <w:color w:val="auto"/>
        </w:rPr>
        <w:t>. As of the date hereof and as of the last Update Date, all of the locations where one or more Grantor's Collateral is stored or</w:t>
      </w:r>
      <w:r>
        <w:rPr>
          <w:rFonts w:ascii="Arial" w:cs="Arial" w:eastAsia="Arial" w:hAnsi="Arial"/>
          <w:sz w:val="18"/>
          <w:szCs w:val="18"/>
          <w:color w:val="auto"/>
        </w:rPr>
        <w:t xml:space="preserve"> </w:t>
      </w:r>
      <w:r>
        <w:rPr>
          <w:rFonts w:ascii="Arial" w:cs="Arial" w:eastAsia="Arial" w:hAnsi="Arial"/>
          <w:sz w:val="16"/>
          <w:szCs w:val="16"/>
          <w:color w:val="auto"/>
        </w:rPr>
        <w:t xml:space="preserve">located (other than locations holding Collateral with an aggregate value (per location) of less than $500,000) are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except for (i) Inventory in transit, (ii) Inventory located at the locations described in clauses (k) and (q) of the definition of Eligible Inventory, or (iii) any additional locations which were not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most recent Update Date, but shall be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next Update Date. Except as otherwise disclosed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said locations are owned by such Grantor except for locations (i) which are leased by the Grantor as lessee and designated in </w:t>
      </w:r>
      <w:r>
        <w:rPr>
          <w:rFonts w:ascii="Arial" w:cs="Arial" w:eastAsia="Arial" w:hAnsi="Arial"/>
          <w:sz w:val="16"/>
          <w:szCs w:val="16"/>
          <w:u w:val="single" w:color="auto"/>
          <w:color w:val="auto"/>
        </w:rPr>
        <w:t>Part VII(b)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(ii) at which Inventory is held in a public warehouse or is otherwise held by a bailee or on consignment as designated in </w:t>
      </w:r>
      <w:r>
        <w:rPr>
          <w:rFonts w:ascii="Arial" w:cs="Arial" w:eastAsia="Arial" w:hAnsi="Arial"/>
          <w:sz w:val="16"/>
          <w:szCs w:val="16"/>
          <w:u w:val="single" w:color="auto"/>
          <w:color w:val="auto"/>
        </w:rPr>
        <w:t>Part VII(c)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4"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7"/>
          <w:szCs w:val="17"/>
          <w:u w:val="single" w:color="auto"/>
          <w:color w:val="auto"/>
        </w:rPr>
        <w:t>Deposit Accounts, Securities Accounts and Lock Boxes</w:t>
      </w:r>
      <w:r>
        <w:rPr>
          <w:rFonts w:ascii="Arial" w:cs="Arial" w:eastAsia="Arial" w:hAnsi="Arial"/>
          <w:sz w:val="17"/>
          <w:szCs w:val="17"/>
          <w:color w:val="auto"/>
        </w:rPr>
        <w:t>. As of the date hereof and as of the last Update Date, all of such Grantor’s Deposit</w:t>
      </w:r>
      <w:r>
        <w:rPr>
          <w:rFonts w:ascii="Arial" w:cs="Arial" w:eastAsia="Arial" w:hAnsi="Arial"/>
          <w:sz w:val="19"/>
          <w:szCs w:val="19"/>
          <w:color w:val="auto"/>
        </w:rPr>
        <w:t xml:space="preserve"> </w:t>
      </w:r>
      <w:r>
        <w:rPr>
          <w:rFonts w:ascii="Arial" w:cs="Arial" w:eastAsia="Arial" w:hAnsi="Arial"/>
          <w:sz w:val="17"/>
          <w:szCs w:val="17"/>
          <w:color w:val="auto"/>
        </w:rPr>
        <w:t xml:space="preserve">Accounts, Securities Accounts and Lock Boxes are listed in </w:t>
      </w:r>
      <w:r>
        <w:rPr>
          <w:rFonts w:ascii="Arial" w:cs="Arial" w:eastAsia="Arial" w:hAnsi="Arial"/>
          <w:sz w:val="17"/>
          <w:szCs w:val="17"/>
          <w:u w:val="single" w:color="auto"/>
          <w:color w:val="auto"/>
        </w:rPr>
        <w:t>Part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B</w:t>
      </w:r>
      <w:r>
        <w:rPr>
          <w:rFonts w:ascii="Arial" w:cs="Arial" w:eastAsia="Arial" w:hAnsi="Arial"/>
          <w:sz w:val="17"/>
          <w:szCs w:val="17"/>
          <w:color w:val="auto"/>
        </w:rPr>
        <w:t>. Any Deposit Account or Securities Account that is designated as an Excluded Account as of such date is noted by an asterisk “*” on such exhibit.</w:t>
      </w:r>
    </w:p>
    <w:p>
      <w:pPr>
        <w:spacing w:after="0" w:line="174"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7"/>
          <w:szCs w:val="17"/>
          <w:u w:val="single" w:color="auto"/>
          <w:color w:val="auto"/>
        </w:rPr>
        <w:t>Exact Names</w:t>
      </w:r>
      <w:r>
        <w:rPr>
          <w:rFonts w:ascii="Arial" w:cs="Arial" w:eastAsia="Arial" w:hAnsi="Arial"/>
          <w:sz w:val="17"/>
          <w:szCs w:val="17"/>
          <w:color w:val="auto"/>
        </w:rPr>
        <w:t>. As of the date hereof and as of the last Update Date, such Grantor’s name as it appears in such Grantor’s organizational documents, as</w:t>
      </w:r>
      <w:r>
        <w:rPr>
          <w:rFonts w:ascii="Arial" w:cs="Arial" w:eastAsia="Arial" w:hAnsi="Arial"/>
          <w:sz w:val="19"/>
          <w:szCs w:val="19"/>
          <w:color w:val="auto"/>
        </w:rPr>
        <w:t xml:space="preserve"> </w:t>
      </w:r>
      <w:r>
        <w:rPr>
          <w:rFonts w:ascii="Arial" w:cs="Arial" w:eastAsia="Arial" w:hAnsi="Arial"/>
          <w:sz w:val="17"/>
          <w:szCs w:val="17"/>
          <w:color w:val="auto"/>
        </w:rPr>
        <w:t xml:space="preserve">amended, as filed with such Grantor’s jurisdiction of organization is listed in Part I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 respect to such Grantor. Except as listed on Part IX of Exhibit A with respect to such Grantor as of the date hereof, such Grantor has not, during the past five years, been known by or used any other corporate or fictitious name, or been a party to any merger, consolidation or amalgamation, or been a party to any acquisition.</w:t>
      </w:r>
    </w:p>
    <w:p>
      <w:pPr>
        <w:spacing w:after="0" w:line="178" w:lineRule="exact"/>
        <w:rPr>
          <w:sz w:val="20"/>
          <w:szCs w:val="20"/>
          <w:color w:val="auto"/>
        </w:rPr>
      </w:pPr>
    </w:p>
    <w:p>
      <w:pPr>
        <w:jc w:val="both"/>
        <w:ind w:firstLine="572"/>
        <w:spacing w:after="0" w:line="30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6"/>
          <w:szCs w:val="16"/>
          <w:u w:val="single" w:color="auto"/>
          <w:color w:val="auto"/>
        </w:rPr>
        <w:t>Letter-of-Credit Rights and Chattel Paper</w:t>
      </w:r>
      <w:r>
        <w:rPr>
          <w:rFonts w:ascii="Arial" w:cs="Arial" w:eastAsia="Arial" w:hAnsi="Arial"/>
          <w:sz w:val="16"/>
          <w:szCs w:val="16"/>
          <w:color w:val="auto"/>
        </w:rPr>
        <w:t>. As of the date hereof and as of the last Update Date,</w:t>
      </w:r>
      <w:r>
        <w:rPr>
          <w:rFonts w:ascii="Arial" w:cs="Arial" w:eastAsia="Arial" w:hAnsi="Arial"/>
          <w:sz w:val="18"/>
          <w:szCs w:val="18"/>
          <w:color w:val="auto"/>
        </w:rPr>
        <w:t xml:space="preserve"> </w:t>
      </w:r>
      <w:r>
        <w:rPr>
          <w:rFonts w:ascii="Arial" w:cs="Arial" w:eastAsia="Arial" w:hAnsi="Arial"/>
          <w:sz w:val="16"/>
          <w:szCs w:val="16"/>
          <w:u w:val="single" w:color="auto"/>
          <w:color w:val="auto"/>
        </w:rPr>
        <w:t>Exhibit C</w:t>
      </w:r>
      <w:r>
        <w:rPr>
          <w:rFonts w:ascii="Arial" w:cs="Arial" w:eastAsia="Arial" w:hAnsi="Arial"/>
          <w:sz w:val="18"/>
          <w:szCs w:val="18"/>
          <w:color w:val="auto"/>
        </w:rPr>
        <w:t xml:space="preserve"> </w:t>
      </w:r>
      <w:r>
        <w:rPr>
          <w:rFonts w:ascii="Arial" w:cs="Arial" w:eastAsia="Arial" w:hAnsi="Arial"/>
          <w:sz w:val="16"/>
          <w:szCs w:val="16"/>
          <w:color w:val="auto"/>
        </w:rPr>
        <w:t>lists all Letter-of-Credit Rights in which</w:t>
      </w:r>
      <w:r>
        <w:rPr>
          <w:rFonts w:ascii="Arial" w:cs="Arial" w:eastAsia="Arial" w:hAnsi="Arial"/>
          <w:sz w:val="18"/>
          <w:szCs w:val="18"/>
          <w:color w:val="auto"/>
        </w:rPr>
        <w:t xml:space="preserve"> </w:t>
      </w:r>
      <w:r>
        <w:rPr>
          <w:rFonts w:ascii="Arial" w:cs="Arial" w:eastAsia="Arial" w:hAnsi="Arial"/>
          <w:sz w:val="16"/>
          <w:szCs w:val="16"/>
          <w:color w:val="auto"/>
        </w:rPr>
        <w:t xml:space="preserve">the underlying letter of credit is in an amount exceeding $5,000,000 and Chattel Paper of such Grantor. Subject to the ABL-Term Loan Intercreditor Agreement, all action by such Grantor necessary or desirable to protect and perfect the Administrative Agent's Lien on each item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(including the delivery of all originals and the placement of a legend on all Chattel Paper as required hereunder) has been duly taken. The Administrative Agent will have a fully perfected security interest in the Collateral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favor of the Term Loan Agent to the extent provided in the ABL-Term Loan Intercreditor Agreement.</w:t>
      </w:r>
    </w:p>
    <w:p>
      <w:pPr>
        <w:spacing w:after="0" w:line="160"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5"/>
          <w:szCs w:val="15"/>
          <w:u w:val="single" w:color="auto"/>
          <w:color w:val="auto"/>
        </w:rPr>
        <w:t>Accounts and Chattel Paper</w:t>
      </w:r>
      <w:r>
        <w:rPr>
          <w:rFonts w:ascii="Arial" w:cs="Arial" w:eastAsia="Arial" w:hAnsi="Arial"/>
          <w:sz w:val="15"/>
          <w:szCs w:val="15"/>
          <w:color w:val="auto"/>
        </w:rPr>
        <w:t>.</w:t>
      </w:r>
    </w:p>
    <w:p>
      <w:pPr>
        <w:spacing w:after="0" w:line="227" w:lineRule="exact"/>
        <w:rPr>
          <w:sz w:val="20"/>
          <w:szCs w:val="20"/>
          <w:color w:val="auto"/>
        </w:rPr>
      </w:pPr>
    </w:p>
    <w:p>
      <w:pPr>
        <w:jc w:val="both"/>
        <w:ind w:right="20" w:firstLine="1139"/>
        <w:spacing w:after="0" w:line="285" w:lineRule="auto"/>
        <w:tabs>
          <w:tab w:leader="none" w:pos="190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names of the obligors, amounts owing, due dates and other information with respect to its Accounts and Chattel Paper are and will be correctly stated in all material respects in all records of such Grantor relating thereto and in all invoices and Collateral Reports with respect thereto furnished to the Administrative Agent by such Grantor from time to time. As of the time when each Account or each item of Chattel Paper arises, such Grantor shall be deemed to have represented and warranted that such Account or Chattel Paper, as the case may be, and all records relating thereto, are genuine and in all material respects what they purport to be.</w:t>
      </w:r>
    </w:p>
    <w:p>
      <w:pPr>
        <w:spacing w:after="0" w:line="173" w:lineRule="exact"/>
        <w:rPr>
          <w:rFonts w:ascii="Arial" w:cs="Arial" w:eastAsia="Arial" w:hAnsi="Arial"/>
          <w:sz w:val="17"/>
          <w:szCs w:val="17"/>
          <w:color w:val="auto"/>
        </w:rPr>
      </w:pPr>
    </w:p>
    <w:p>
      <w:pPr>
        <w:jc w:val="both"/>
        <w:ind w:right="20" w:firstLine="1139"/>
        <w:spacing w:after="0" w:line="293" w:lineRule="auto"/>
        <w:tabs>
          <w:tab w:leader="none" w:pos="191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With respect to any of such Grantor’s Accounts scheduled or listed on the most recent Collateral Report furnished to the Administrative Agent, the information set forth in such Collateral Report regarding such Grantor’s Accounts is true and correct in all material respects and the Accounts listed therein as “Eligible Accounts” satisfy the eligibility requirements set forth in the Credit Agreement.</w:t>
      </w:r>
    </w:p>
    <w:p>
      <w:pPr>
        <w:spacing w:after="0" w:line="161"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7"/>
          <w:szCs w:val="17"/>
          <w:u w:val="single" w:color="auto"/>
          <w:color w:val="auto"/>
        </w:rPr>
        <w:t>Inventory</w:t>
      </w:r>
      <w:r>
        <w:rPr>
          <w:rFonts w:ascii="Arial" w:cs="Arial" w:eastAsia="Arial" w:hAnsi="Arial"/>
          <w:sz w:val="17"/>
          <w:szCs w:val="17"/>
          <w:color w:val="auto"/>
        </w:rPr>
        <w:t>. With respect to any of such Grantor’s Inventory scheduled or listed on the most recent Collateral Report furnished to the Administrative</w:t>
      </w:r>
      <w:r>
        <w:rPr>
          <w:rFonts w:ascii="Arial" w:cs="Arial" w:eastAsia="Arial" w:hAnsi="Arial"/>
          <w:sz w:val="19"/>
          <w:szCs w:val="19"/>
          <w:color w:val="auto"/>
        </w:rPr>
        <w:t xml:space="preserve"> </w:t>
      </w:r>
      <w:r>
        <w:rPr>
          <w:rFonts w:ascii="Arial" w:cs="Arial" w:eastAsia="Arial" w:hAnsi="Arial"/>
          <w:sz w:val="17"/>
          <w:szCs w:val="17"/>
          <w:color w:val="auto"/>
        </w:rPr>
        <w:t>Agent, the information set forth in such Collateral Report is true and correct in all material respects and the Inventory listed therein as “Eligible Inventory” satisfy the eligibility requirements set forth in the Credit Agreement.</w:t>
      </w:r>
    </w:p>
    <w:p>
      <w:pPr>
        <w:spacing w:after="0" w:line="174" w:lineRule="exact"/>
        <w:rPr>
          <w:sz w:val="20"/>
          <w:szCs w:val="20"/>
          <w:color w:val="auto"/>
        </w:rPr>
      </w:pPr>
    </w:p>
    <w:p>
      <w:pPr>
        <w:jc w:val="both"/>
        <w:ind w:firstLine="572"/>
        <w:spacing w:after="0" w:line="320"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5"/>
          <w:szCs w:val="15"/>
          <w:u w:val="single" w:color="auto"/>
          <w:color w:val="auto"/>
        </w:rPr>
        <w:t>Exhibit D</w:t>
      </w:r>
      <w:r>
        <w:rPr>
          <w:rFonts w:ascii="Arial" w:cs="Arial" w:eastAsia="Arial" w:hAnsi="Arial"/>
          <w:sz w:val="17"/>
          <w:szCs w:val="17"/>
          <w:color w:val="auto"/>
        </w:rPr>
        <w:t xml:space="preserve"> </w:t>
      </w:r>
      <w:r>
        <w:rPr>
          <w:rFonts w:ascii="Arial" w:cs="Arial" w:eastAsia="Arial" w:hAnsi="Arial"/>
          <w:sz w:val="15"/>
          <w:szCs w:val="15"/>
          <w:color w:val="auto"/>
        </w:rPr>
        <w:t>sets forth a correct and complete list as of the Second Restatement Date of all (i) Intellectual Property owned by</w:t>
      </w:r>
      <w:r>
        <w:rPr>
          <w:rFonts w:ascii="Arial" w:cs="Arial" w:eastAsia="Arial" w:hAnsi="Arial"/>
          <w:sz w:val="17"/>
          <w:szCs w:val="17"/>
          <w:color w:val="auto"/>
        </w:rPr>
        <w:t xml:space="preserve"> </w:t>
      </w:r>
      <w:r>
        <w:rPr>
          <w:rFonts w:ascii="Arial" w:cs="Arial" w:eastAsia="Arial" w:hAnsi="Arial"/>
          <w:sz w:val="15"/>
          <w:szCs w:val="15"/>
          <w:color w:val="auto"/>
        </w:rPr>
        <w:t xml:space="preserve">any Grantor as of the Second Restatement Date which is federally registered with the United States Patent and Trademark Office and the United States Copyright Office and (ii) Licenses to which any Grantor is a party or otherwise bound (whether as licensor or licensee) and which is material to the business of the Grantors as currently conducted. This US Security Agreement is effective to create a valid and continuing Lien and, upon filing of appropriate financing statements in the offices listed on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and this US Security Agreement with the United States Copyright Office and the United States Patent and Trademark Office, fully perfected security interests in favor of the Administrative Agent on such Grantor’s Patents, Trademarks and Copyrights, such perfected security interests are senior to all other Liens on such Patents, Trademarks and Copyrights (other than the Liens in favor of the Term Loan Agent pursuant to the Term Loan Documents to the extent provided in the ABL-Term Loan Intercreditor Agreement) and are enforceable as such as against any and all creditors of and purchasers from such Grantor; and all action necessary to protect and perfect the Administrative Agent’s Lien on such Grantor’s Patents, Trademarks or Copyrights shall have been duly taken.</w:t>
      </w:r>
    </w:p>
    <w:p>
      <w:pPr>
        <w:spacing w:after="0" w:line="151"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7"/>
          <w:szCs w:val="17"/>
          <w:u w:val="single" w:color="auto"/>
          <w:color w:val="auto"/>
        </w:rPr>
        <w:t>Filing Requirements</w:t>
      </w:r>
      <w:r>
        <w:rPr>
          <w:rFonts w:ascii="Arial" w:cs="Arial" w:eastAsia="Arial" w:hAnsi="Arial"/>
          <w:sz w:val="17"/>
          <w:szCs w:val="17"/>
          <w:color w:val="auto"/>
        </w:rPr>
        <w:t>. As of the date hereof and as of the last Update Date, none of the Collateral owned by such Grantor is of a type for which</w:t>
      </w:r>
      <w:r>
        <w:rPr>
          <w:rFonts w:ascii="Arial" w:cs="Arial" w:eastAsia="Arial" w:hAnsi="Arial"/>
          <w:sz w:val="19"/>
          <w:szCs w:val="19"/>
          <w:color w:val="auto"/>
        </w:rPr>
        <w:t xml:space="preserve"> </w:t>
      </w:r>
      <w:r>
        <w:rPr>
          <w:rFonts w:ascii="Arial" w:cs="Arial" w:eastAsia="Arial" w:hAnsi="Arial"/>
          <w:sz w:val="17"/>
          <w:szCs w:val="17"/>
          <w:color w:val="auto"/>
        </w:rPr>
        <w:t xml:space="preserve">security interests or liens may be perfected by filing under any federal statute, except for Patents, Trademarks and Copyrights held by such Grantor and described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other de minimis Collateral.</w:t>
      </w:r>
    </w:p>
    <w:p>
      <w:pPr>
        <w:sectPr>
          <w:pgSz w:w="11900" w:h="16886" w:orient="portrait"/>
          <w:cols w:equalWidth="0" w:num="1">
            <w:col w:w="11440"/>
          </w:cols>
          <w:pgMar w:left="240" w:top="327" w:right="219" w:bottom="0" w:gutter="0" w:footer="0" w:header="0"/>
        </w:sectPr>
      </w:pPr>
    </w:p>
    <w:bookmarkStart w:id="116" w:name="page117"/>
    <w:bookmarkEnd w:id="116"/>
    <w:p>
      <w:pPr>
        <w:ind w:left="560"/>
        <w:spacing w:after="0"/>
        <w:tabs>
          <w:tab w:leader="none" w:pos="108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27" w:lineRule="exact"/>
        <w:rPr>
          <w:sz w:val="20"/>
          <w:szCs w:val="20"/>
          <w:color w:val="auto"/>
        </w:rPr>
      </w:pPr>
    </w:p>
    <w:p>
      <w:pPr>
        <w:jc w:val="both"/>
        <w:ind w:firstLine="1139"/>
        <w:spacing w:after="0" w:line="226" w:lineRule="exact"/>
        <w:tabs>
          <w:tab w:leader="none" w:pos="190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As of the date hereof and as of the last Update Date, </w:t>
      </w:r>
      <w:r>
        <w:rPr>
          <w:rFonts w:ascii="Arial" w:cs="Arial" w:eastAsia="Arial" w:hAnsi="Arial"/>
          <w:sz w:val="16"/>
          <w:szCs w:val="16"/>
          <w:u w:val="single" w:color="auto"/>
          <w:color w:val="auto"/>
        </w:rPr>
        <w:t>Exhibit F and G</w:t>
      </w:r>
      <w:r>
        <w:rPr>
          <w:rFonts w:ascii="Arial" w:cs="Arial" w:eastAsia="Arial" w:hAnsi="Arial"/>
          <w:sz w:val="16"/>
          <w:szCs w:val="16"/>
          <w:color w:val="auto"/>
        </w:rPr>
        <w:t xml:space="preserve"> set forth complete and accurate lists of all Pledged Collateral owned by such Grantor. Such Grantor is, as of the date hereof or as the last Update Date, as applicable, the direct, sole beneficial owner and sole holder of record of the Pledged Collateral listed on </w:t>
      </w:r>
      <w:r>
        <w:rPr>
          <w:rFonts w:ascii="Arial" w:cs="Arial" w:eastAsia="Arial" w:hAnsi="Arial"/>
          <w:sz w:val="16"/>
          <w:szCs w:val="16"/>
          <w:u w:val="single" w:color="auto"/>
          <w:color w:val="auto"/>
        </w:rPr>
        <w:t>Exhibit F and G</w:t>
      </w:r>
      <w:r>
        <w:rPr>
          <w:rFonts w:ascii="Arial" w:cs="Arial" w:eastAsia="Arial" w:hAnsi="Arial"/>
          <w:sz w:val="16"/>
          <w:szCs w:val="16"/>
          <w:color w:val="auto"/>
        </w:rPr>
        <w:t xml:space="preserve"> as being owned by it, free and clear of any Liens, except for (i) the security interest granted to the Administrative Agent for the benefit of itself, the Canadian Administrative Agent and the Lenders hereunder, (ii) the security interest granted to the Term Loan Agent for the benefit of the Term Loan Lenders pursuant to the Term Loan Security Documents, and (iii) Liens permitted by Section 6.02 of the Credit Agreement. Such Grantor further represents and warrants that (i) all Pledged Collateral owned by it constituting an Equity Interest (other than Equity Interests of any Excluded Subsidiary) has been (to the extent such concepts are relevant with respect to such Pledged Collateral) duly authorized, validly issued, are fully paid and, apart from Pledged ULC Shares, non</w:t>
      </w:r>
      <w:r>
        <w:rPr>
          <w:rFonts w:ascii="MS PGothic" w:cs="MS PGothic" w:eastAsia="MS PGothic" w:hAnsi="MS PGothic"/>
          <w:sz w:val="16"/>
          <w:szCs w:val="16"/>
          <w:color w:val="auto"/>
        </w:rPr>
        <w:t>‑</w:t>
      </w:r>
      <w:r>
        <w:rPr>
          <w:rFonts w:ascii="Arial" w:cs="Arial" w:eastAsia="Arial" w:hAnsi="Arial"/>
          <w:sz w:val="16"/>
          <w:szCs w:val="16"/>
          <w:color w:val="auto"/>
        </w:rPr>
        <w:t>assessable, (ii) with respect to any certificates delivered to the Administrative Agent representing an Equity Interest (or until the Term Loan Obligation Payment Date, to the Term Loan Agent in accordance with the terms of the ABL-Term Loan Intercreditor Agreement in the case of any Pledged Collateral constituting Term Loan Priority Collateral), either such certificates are Securities as defined in Article 8 of the UCC as a result of actions by the issuer or otherwise, or, if such certificates are not Securities, such Grantor has so informed the Administrative Agent so that the Administrative Agent may take steps to perfect its security interest therein as a General Intangible, (iii) subject to the terms of the ABL-Term Loan Intercreditor Agreement, all such Pledged Collateral held by a securities intermediary (other than Collateral consisting of Investment Property held in an Excluded Account) is covered by a control agreement among such Grantor, the securities intermediary and the Administrative Agent pursuant to which the Administrative Agent has Control and (iv) subject to the ABL-Term Loan Intercreditor Agreement, all Pledged Collateral which represents Indebtedness owed to such Grantor has been duly authorized, authenticated or issued and delivered by the issuer of such Indebtedness, to the knowledge of the Grantors, is a legal, valid and binding obligation of such issuer (subject to applicable bankruptcy, insolvency, reorganization, moratorium or other laws affecting creditors’ rights generally and subject to general principles of equity, regardless of whether considered in a proceeding in equity or at law) and, as of the date hereof, such issuer is not in default thereunder.</w:t>
      </w:r>
    </w:p>
    <w:p>
      <w:pPr>
        <w:spacing w:after="0" w:line="220" w:lineRule="exact"/>
        <w:rPr>
          <w:rFonts w:ascii="Arial" w:cs="Arial" w:eastAsia="Arial" w:hAnsi="Arial"/>
          <w:sz w:val="16"/>
          <w:szCs w:val="16"/>
          <w:color w:val="auto"/>
        </w:rPr>
      </w:pPr>
    </w:p>
    <w:p>
      <w:pPr>
        <w:jc w:val="both"/>
        <w:ind w:firstLine="1139"/>
        <w:spacing w:after="0" w:line="281" w:lineRule="auto"/>
        <w:tabs>
          <w:tab w:leader="none" w:pos="191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addition, (i) none of the Pledged Collateral owned by such Grantor has been issued or transferred in violation of the securities registration, securities disclosure or similar laws of any jurisdiction to which such issuance or transfer may be subject, (ii)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US Security Agreement or for the execution, delivery and performance of this US Security Agreement by such Grantor, or except in the case of the Pledged ULC Shares, for the exercise by the Administrative Agent of the voting or other rights provided for in this US Security Agreement or for the remedies in respect of the Pledged Collateral pursuant to this US Security Agreement, except (i) as may be required in connection with such disposition by laws affecting the offering and sale of securities generally, or (ii) until the Term Loan Obligation Payment Date, in accordance with the terms of the ABL-Term Loan Intercreditor Agreement in the case of any such Pledged Collateral constituting Term Loan Priority Collateral.</w:t>
      </w:r>
    </w:p>
    <w:p>
      <w:pPr>
        <w:spacing w:after="0" w:line="177" w:lineRule="exact"/>
        <w:rPr>
          <w:rFonts w:ascii="Arial" w:cs="Arial" w:eastAsia="Arial" w:hAnsi="Arial"/>
          <w:sz w:val="17"/>
          <w:szCs w:val="17"/>
          <w:color w:val="auto"/>
        </w:rPr>
      </w:pPr>
    </w:p>
    <w:p>
      <w:pPr>
        <w:ind w:left="1900" w:hanging="761"/>
        <w:spacing w:after="0"/>
        <w:tabs>
          <w:tab w:leader="none" w:pos="1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jc w:val="both"/>
        <w:ind w:firstLine="1139"/>
        <w:spacing w:after="0" w:line="317" w:lineRule="auto"/>
        <w:tabs>
          <w:tab w:leader="none" w:pos="1919"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Notwithstanding any provisions to the contrary contained in this US Security Agreement, the Credit Agreement, any other Loan Document or any other document or agreement among all or some of the parties hereto, with regard to any Collateral which is shares or membership interests in an unlimited company incorporated or otherwise formed under the laws of the Province of Nova Scotia (the “</w:t>
      </w:r>
      <w:r>
        <w:rPr>
          <w:rFonts w:ascii="Arial" w:cs="Arial" w:eastAsia="Arial" w:hAnsi="Arial"/>
          <w:sz w:val="15"/>
          <w:szCs w:val="15"/>
          <w:u w:val="single" w:color="auto"/>
          <w:color w:val="auto"/>
        </w:rPr>
        <w:t>Pledged ULC Shares</w:t>
      </w:r>
      <w:r>
        <w:rPr>
          <w:rFonts w:ascii="Arial" w:cs="Arial" w:eastAsia="Arial" w:hAnsi="Arial"/>
          <w:sz w:val="15"/>
          <w:szCs w:val="15"/>
          <w:color w:val="auto"/>
        </w:rPr>
        <w:t>”), any Grantor who has granted a security interest in Pledged ULC Shares or any Grantor that is as of the date of this US Security Agreement the sole registered and beneficial owner of all Pledged ULC Shares will remain so until such time as such Pledged ULC Shares are fully and effectively transferred into the name of the Administrative Agent or any other Person on the books and records of such Nova Scotia unlimited company (“</w:t>
      </w:r>
      <w:r>
        <w:rPr>
          <w:rFonts w:ascii="Arial" w:cs="Arial" w:eastAsia="Arial" w:hAnsi="Arial"/>
          <w:sz w:val="15"/>
          <w:szCs w:val="15"/>
          <w:u w:val="single" w:color="auto"/>
          <w:color w:val="auto"/>
        </w:rPr>
        <w:t>ULC</w:t>
      </w:r>
      <w:r>
        <w:rPr>
          <w:rFonts w:ascii="Arial" w:cs="Arial" w:eastAsia="Arial" w:hAnsi="Arial"/>
          <w:sz w:val="15"/>
          <w:szCs w:val="15"/>
          <w:color w:val="auto"/>
        </w:rPr>
        <w:t xml:space="preserve">”). Nothing in this US Security Agreement, the Credit Agreement, any other Loan Document or any other document or agreement delivered among all or some of the parties hereto is intended to or shall constitute the Administrative Agent or any Person other than such Grantor to be a member or shareholder of any ULC for the purposes of the </w:t>
      </w:r>
      <w:r>
        <w:rPr>
          <w:rFonts w:ascii="Arial" w:cs="Arial" w:eastAsia="Arial" w:hAnsi="Arial"/>
          <w:sz w:val="15"/>
          <w:szCs w:val="15"/>
          <w:i w:val="1"/>
          <w:iCs w:val="1"/>
          <w:color w:val="auto"/>
        </w:rPr>
        <w:t>Companies Act</w:t>
      </w:r>
      <w:r>
        <w:rPr>
          <w:rFonts w:ascii="Arial" w:cs="Arial" w:eastAsia="Arial" w:hAnsi="Arial"/>
          <w:sz w:val="15"/>
          <w:szCs w:val="15"/>
          <w:color w:val="auto"/>
        </w:rPr>
        <w:t xml:space="preserve"> (Nova Scotia) until such time as written notice is given to such Grantor and all further steps are taken so as to register the Administrative Agent or other Person as holder of the Pledged ULC Shares. The granting of the pledge and security interest pursuant to this US Security Agreement does not make the Administrative Agent a successor to such Grantor as a member or shareholder of any ULC, and neither the Administrative Agent nor any of its respective successors or assigns hereunder shall be deemed to become a member or shareholder of any ULC by accepting this US Security Agreement or exercising any right granted herein unless and until such time, if any, when the Administrative Agent or any successor or assign expressly becomes a registered member or shareholder of any ULC. Such Grantor shall be entitled to receive and retain for its own account any dividends or other distributions if any, in respect of the Collateral relating to any such Pledged ULC Shares (except insofar as such Grantor has granted a security interest in such dividend on or other distribution) that is not otherwise permitted under this US Security Agreement or the Credit Agreement and shall have the right to vote such Pledged ULC Shares and to control the direction, management and policies of the ULC issuing such Pledged ULC Shares to the same extent as such Grantor would if such Pledged ULC Shares were not pledged to the Administrative Agent or to any other Person pursuant hereto. To the extent any provision hereof would have the effect of constituting the Administrative Agent to be a member or shareholder of any ULC prior to such time that written notice is delivered to such Grantor, such provision shall be severed herefrom and ineffective with respect to the relevant Pledged ULC Shares without otherwise invalidating or rendering unenforceable this US Security Agreement or invalidating or rendering unenforceable such provision insofar as it relates to Collateral other than Pledged ULC Shares. Notwithstanding anything herein to the contrary (except to the extent, if any, that the Administrative Agent or any of its successors or assigns hereafter expressly becomes a registered member or shareholder of any ULC), neither the Administrative Agent nor any of its respective successors or assigns shall be deemed to have assumed or otherwise become liable for any debts or obligations of any ULC. Except upon the exercise by the Administrative Agent or other Persons of rights to sell or otherwise dispose of Pledged ULC Shares or other remedies following the occurrence and during the continuance of an Event of Default, such Grantor shall not cause or permit, or enable any ULC in which it holds Pledged ULC Shares to cause or permit, the Administrative Agent to: (i) be registered as member or shareholder of such ULC; (ii) have any notation entered in its favor in the share register of such ULC; (iii) be held out as member or shareholder of such ULC; (iv) receive, directly or indirectly, any dividends, property or other distributions from such ULC by reason of the Administrative Agent or other Person holding a security interest in the Pledged ULC Shares; or (v) act as a member or shareholder of such ULC, or exercise any rights of a member or shareholder of such ULC, including the right to attend a meeting of such ULC or vote the shares of such ULC.</w:t>
      </w:r>
    </w:p>
    <w:p>
      <w:pPr>
        <w:spacing w:after="0" w:line="370"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IV</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COVENANTS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the date of this US Security Agreement, and thereafter until this US Security Agreement is terminated in accordance with Section 9.16 or such</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Grantor is released from its obligations hereunder in accordance with Section 9.16, each Grantor agrees that, each Grantor agrees that:</w:t>
      </w:r>
    </w:p>
    <w:p>
      <w:pPr>
        <w:spacing w:after="0" w:line="19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ectPr>
          <w:pgSz w:w="11900" w:h="16838" w:orient="portrait"/>
          <w:cols w:equalWidth="0" w:num="1">
            <w:col w:w="11440"/>
          </w:cols>
          <w:pgMar w:left="240" w:top="335" w:right="219" w:bottom="0" w:gutter="0" w:footer="0" w:header="0"/>
        </w:sectPr>
      </w:pPr>
    </w:p>
    <w:bookmarkStart w:id="117" w:name="page118"/>
    <w:bookmarkEnd w:id="117"/>
    <w:p>
      <w:pPr>
        <w:spacing w:after="0" w:line="53" w:lineRule="exact"/>
        <w:rPr>
          <w:sz w:val="20"/>
          <w:szCs w:val="20"/>
          <w:color w:val="auto"/>
        </w:rPr>
      </w:pPr>
    </w:p>
    <w:p>
      <w:pPr>
        <w:jc w:val="both"/>
        <w:ind w:left="-560" w:right="20" w:firstLine="1139"/>
        <w:spacing w:after="0" w:line="293" w:lineRule="auto"/>
        <w:tabs>
          <w:tab w:leader="none" w:pos="1073" w:val="left"/>
        </w:tabs>
        <w:numPr>
          <w:ilvl w:val="0"/>
          <w:numId w:val="166"/>
        </w:numPr>
        <w:rPr>
          <w:rFonts w:ascii="Arial" w:cs="Arial" w:eastAsia="Arial" w:hAnsi="Arial"/>
          <w:sz w:val="17"/>
          <w:szCs w:val="17"/>
          <w:b w:val="1"/>
          <w:bCs w:val="1"/>
          <w:color w:val="auto"/>
        </w:rPr>
      </w:pPr>
      <w:r>
        <w:rPr>
          <w:rFonts w:ascii="Arial" w:cs="Arial" w:eastAsia="Arial" w:hAnsi="Arial"/>
          <w:sz w:val="17"/>
          <w:szCs w:val="17"/>
          <w:u w:val="single" w:color="auto"/>
          <w:color w:val="auto"/>
        </w:rPr>
        <w:t>Collateral Records</w:t>
      </w:r>
      <w:r>
        <w:rPr>
          <w:rFonts w:ascii="Arial" w:cs="Arial" w:eastAsia="Arial" w:hAnsi="Arial"/>
          <w:sz w:val="17"/>
          <w:szCs w:val="17"/>
          <w:color w:val="auto"/>
        </w:rPr>
        <w:t>. Such Grantor will maintain complete and accurate in all material respects books and records with respect to the Collateral owned by it, and furnish to the Administrative Agent, such reports relating to such Collateral as the Administrative Agent shall from time to time request in its Permitted Discretion.</w:t>
      </w:r>
    </w:p>
    <w:p>
      <w:pPr>
        <w:spacing w:after="0" w:line="165" w:lineRule="exact"/>
        <w:rPr>
          <w:rFonts w:ascii="Arial" w:cs="Arial" w:eastAsia="Arial" w:hAnsi="Arial"/>
          <w:sz w:val="17"/>
          <w:szCs w:val="17"/>
          <w:b w:val="1"/>
          <w:bCs w:val="1"/>
          <w:color w:val="auto"/>
        </w:rPr>
      </w:pPr>
    </w:p>
    <w:p>
      <w:pPr>
        <w:jc w:val="both"/>
        <w:ind w:left="-560" w:firstLine="1139"/>
        <w:spacing w:after="0" w:line="300" w:lineRule="auto"/>
        <w:tabs>
          <w:tab w:leader="none" w:pos="1083" w:val="left"/>
        </w:tabs>
        <w:numPr>
          <w:ilvl w:val="0"/>
          <w:numId w:val="166"/>
        </w:numPr>
        <w:rPr>
          <w:rFonts w:ascii="Arial" w:cs="Arial" w:eastAsia="Arial" w:hAnsi="Arial"/>
          <w:sz w:val="16"/>
          <w:szCs w:val="16"/>
          <w:b w:val="1"/>
          <w:bCs w:val="1"/>
          <w:color w:val="auto"/>
        </w:rPr>
      </w:pPr>
      <w:r>
        <w:rPr>
          <w:rFonts w:ascii="Arial" w:cs="Arial" w:eastAsia="Arial" w:hAnsi="Arial"/>
          <w:sz w:val="16"/>
          <w:szCs w:val="16"/>
          <w:u w:val="single" w:color="auto"/>
          <w:color w:val="auto"/>
        </w:rPr>
        <w:t>Authorization to File Financing Statements; Ratification</w:t>
      </w:r>
      <w:r>
        <w:rPr>
          <w:rFonts w:ascii="Arial" w:cs="Arial" w:eastAsia="Arial" w:hAnsi="Arial"/>
          <w:sz w:val="16"/>
          <w:szCs w:val="16"/>
          <w:color w:val="auto"/>
        </w:rPr>
        <w:t>. Such Grantor hereby authorizes the Administrative Agent to file, and if requested will deliver to the Administrative Agent, all financing statements and other documents and take such other actions as may from time to time be reasonably requested by the Administrative Agent in order to maintain a first perfected security interest in and, if applicable, Control of, the Collateral owned by such Grantor, subject to the ABL-Term Loan Intercreditor Agreement. Any financing statement filed by the Administrative Agent may be filed in any filing office in any UCC jurisdiction and may (i) indicate such Grantor’s Collateral (1) as all assets of such Grantor or words of similar effect, regardless of whether any particular asset comprised in the Collateral falls within the scope of Article 9 of the UCC or such jurisdiction or (2) by any other description which reasonably approximates the description contained in this US Security Agreement, and (ii) contain any other information required by part 5 of Article 9 of the UCC for the sufficiency or filing office acceptance of any financing statement or amendment, including whether such Grantor is an organization, the type of organization and any organization identification number issued to such Grantor. Such Grantor also agrees to furnish any such information described in the foregoing sentence to the Administrative Agent promptly upon the reasonable request thereof. Such Grantor also ratifies its authorization for the Administrative Agent to have filed in any UCC jurisdiction any initial financing statements or amendments thereto if filed prior to the date hereof.</w:t>
      </w:r>
    </w:p>
    <w:p>
      <w:pPr>
        <w:spacing w:after="0" w:line="162" w:lineRule="exact"/>
        <w:rPr>
          <w:rFonts w:ascii="Arial" w:cs="Arial" w:eastAsia="Arial" w:hAnsi="Arial"/>
          <w:sz w:val="16"/>
          <w:szCs w:val="16"/>
          <w:b w:val="1"/>
          <w:bCs w:val="1"/>
          <w:color w:val="auto"/>
        </w:rPr>
      </w:pPr>
    </w:p>
    <w:p>
      <w:pPr>
        <w:jc w:val="both"/>
        <w:ind w:left="-560" w:right="20" w:firstLine="1139"/>
        <w:spacing w:after="0" w:line="284" w:lineRule="auto"/>
        <w:tabs>
          <w:tab w:leader="none" w:pos="1063" w:val="left"/>
        </w:tabs>
        <w:numPr>
          <w:ilvl w:val="0"/>
          <w:numId w:val="166"/>
        </w:numPr>
        <w:rPr>
          <w:rFonts w:ascii="Arial" w:cs="Arial" w:eastAsia="Arial" w:hAnsi="Arial"/>
          <w:sz w:val="17"/>
          <w:szCs w:val="17"/>
          <w:b w:val="1"/>
          <w:bCs w:val="1"/>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Such Grantor will, if so requested by the Administrative Agent, furnish to the Administrative Agent, as often as the Administrative Agent reasonably requests and subject to the limitations set forth in the Credit Agreement, statements and schedules further identifying and describing the Collateral owned by it and such other reports and information in connection with its Collateral as the Administrative Agent may reasonably request, all in such detail as the Administrative Agent may reasonably specify. Such Grantor also agrees to take any and all actions necessary in its commercially reasonable business judgment exercised in good faith to defend title to the Collateral against all persons and to defend the security interest of the Administrative Agent in its Collateral and the priority thereof against any Lien not expressly permitted hereunder.</w:t>
      </w:r>
    </w:p>
    <w:p>
      <w:pPr>
        <w:spacing w:after="0" w:line="172" w:lineRule="exact"/>
        <w:rPr>
          <w:rFonts w:ascii="Arial" w:cs="Arial" w:eastAsia="Arial" w:hAnsi="Arial"/>
          <w:sz w:val="17"/>
          <w:szCs w:val="17"/>
          <w:b w:val="1"/>
          <w:bCs w:val="1"/>
          <w:color w:val="auto"/>
        </w:rPr>
      </w:pPr>
    </w:p>
    <w:p>
      <w:pPr>
        <w:ind w:left="-560" w:right="20" w:firstLine="1139"/>
        <w:spacing w:after="0" w:line="310" w:lineRule="auto"/>
        <w:tabs>
          <w:tab w:leader="none" w:pos="107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Such Grantor will not sell, lease or otherwise dispose of the Collateral owned by it except for dispositions not prohibited pursuant to Section 6.05 of the Credit Agreement.</w:t>
      </w:r>
    </w:p>
    <w:p>
      <w:pPr>
        <w:spacing w:after="0" w:line="150" w:lineRule="exact"/>
        <w:rPr>
          <w:rFonts w:ascii="Arial" w:cs="Arial" w:eastAsia="Arial" w:hAnsi="Arial"/>
          <w:sz w:val="17"/>
          <w:szCs w:val="17"/>
          <w:color w:val="auto"/>
        </w:rPr>
      </w:pPr>
    </w:p>
    <w:p>
      <w:pPr>
        <w:ind w:left="-560" w:right="20" w:firstLine="1139"/>
        <w:spacing w:after="0" w:line="310" w:lineRule="auto"/>
        <w:tabs>
          <w:tab w:leader="none" w:pos="106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Such Grantor will not create, incur, or suffer to exist any Lien on the Collateral owned by it except (i) the security interest created by this US Security Agreement and (ii) other Liens permitted by Section 6.02 of the Credit Agreement.</w:t>
      </w:r>
    </w:p>
    <w:p>
      <w:pPr>
        <w:spacing w:after="0" w:line="150" w:lineRule="exact"/>
        <w:rPr>
          <w:rFonts w:ascii="Arial" w:cs="Arial" w:eastAsia="Arial" w:hAnsi="Arial"/>
          <w:sz w:val="17"/>
          <w:szCs w:val="17"/>
          <w:color w:val="auto"/>
        </w:rPr>
      </w:pPr>
    </w:p>
    <w:p>
      <w:pPr>
        <w:jc w:val="both"/>
        <w:ind w:left="-560" w:right="20" w:firstLine="1139"/>
        <w:spacing w:after="0" w:line="307" w:lineRule="auto"/>
        <w:tabs>
          <w:tab w:leader="none" w:pos="1044"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Other Financing Statements</w:t>
      </w:r>
      <w:r>
        <w:rPr>
          <w:rFonts w:ascii="Arial" w:cs="Arial" w:eastAsia="Arial" w:hAnsi="Arial"/>
          <w:sz w:val="16"/>
          <w:szCs w:val="16"/>
          <w:color w:val="auto"/>
        </w:rPr>
        <w:t>. Such Grantor will not authorize the filing of any financing statement naming it as debtor covering all or any portion of the Collateral owned by it, except for financing statements as permitted by Section 4.1(e). Other than in connection with the Liens in favor of the Term Loan Agent pursuant to the Term Loan Documents and in accordance with the ABL-Term Loan Intercreditor Agreement, such Grantor acknowledges that it is not authorized to file any financing statement or amendment or termination statement with respect to any financing statement naming the Administrative Agent as secured party without the prior written consent of the Administrative Agent, subject to such Grantor's rights under Section 9-509(d)(2) of the UCC.</w:t>
      </w:r>
    </w:p>
    <w:p>
      <w:pPr>
        <w:spacing w:after="0" w:line="157" w:lineRule="exact"/>
        <w:rPr>
          <w:rFonts w:ascii="Arial" w:cs="Arial" w:eastAsia="Arial" w:hAnsi="Arial"/>
          <w:sz w:val="16"/>
          <w:szCs w:val="16"/>
          <w:color w:val="auto"/>
        </w:rPr>
      </w:pPr>
    </w:p>
    <w:p>
      <w:pPr>
        <w:ind w:left="1060" w:hanging="481"/>
        <w:spacing w:after="0"/>
        <w:tabs>
          <w:tab w:leader="none" w:pos="10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ind w:left="-560" w:right="20" w:firstLine="1139"/>
        <w:spacing w:after="0" w:line="310" w:lineRule="auto"/>
        <w:tabs>
          <w:tab w:leader="none" w:pos="107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Compliance with Terms</w:t>
      </w:r>
      <w:r>
        <w:rPr>
          <w:rFonts w:ascii="Arial" w:cs="Arial" w:eastAsia="Arial" w:hAnsi="Arial"/>
          <w:sz w:val="17"/>
          <w:szCs w:val="17"/>
          <w:color w:val="auto"/>
        </w:rPr>
        <w:t>. Such Grantor will perform and comply in all material respects with all obligations in respect of the Collateral owned by it and all agreements to which it is a party or by which it is bound relating to such Collateral.</w:t>
      </w:r>
    </w:p>
    <w:p>
      <w:pPr>
        <w:spacing w:after="0" w:line="13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u w:val="single" w:color="auto"/>
          <w:color w:val="auto"/>
        </w:rPr>
        <w:t>Receivables</w:t>
      </w:r>
      <w:r>
        <w:rPr>
          <w:rFonts w:ascii="Arial" w:cs="Arial" w:eastAsia="Arial" w:hAnsi="Arial"/>
          <w:sz w:val="15"/>
          <w:szCs w:val="15"/>
          <w:color w:val="auto"/>
        </w:rPr>
        <w:t>.</w:t>
      </w:r>
    </w:p>
    <w:p>
      <w:pPr>
        <w:spacing w:after="0" w:line="222" w:lineRule="exact"/>
        <w:rPr>
          <w:sz w:val="20"/>
          <w:szCs w:val="20"/>
          <w:color w:val="auto"/>
        </w:rPr>
      </w:pPr>
    </w:p>
    <w:p>
      <w:pPr>
        <w:jc w:val="both"/>
        <w:ind w:left="-560" w:firstLine="1139"/>
        <w:spacing w:after="0" w:line="288" w:lineRule="auto"/>
        <w:tabs>
          <w:tab w:leader="none" w:pos="134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Certain Agreements on Receivables</w:t>
      </w:r>
      <w:r>
        <w:rPr>
          <w:rFonts w:ascii="Arial" w:cs="Arial" w:eastAsia="Arial" w:hAnsi="Arial"/>
          <w:sz w:val="17"/>
          <w:szCs w:val="17"/>
          <w:color w:val="auto"/>
        </w:rPr>
        <w:t>. Subject to the provisions of the Credit Agreement, such Grantor will not make or agree to make any discount, credit, rebate or other reduction in the original amount owing on a Receivable or accept in satisfaction of a Receivable less than the original amount thereof, except that, prior to the occurrence and during the continuance of an Event of Default, such Grantor may reduce the amount of Accounts arising from the sale of Inventory in accordance with its present policies and in the ordinary course of business.</w:t>
      </w:r>
    </w:p>
    <w:p>
      <w:pPr>
        <w:spacing w:after="0" w:line="169" w:lineRule="exact"/>
        <w:rPr>
          <w:rFonts w:ascii="Arial" w:cs="Arial" w:eastAsia="Arial" w:hAnsi="Arial"/>
          <w:sz w:val="17"/>
          <w:szCs w:val="17"/>
          <w:color w:val="auto"/>
        </w:rPr>
      </w:pPr>
    </w:p>
    <w:p>
      <w:pPr>
        <w:jc w:val="both"/>
        <w:ind w:left="-560" w:firstLine="1139"/>
        <w:spacing w:after="0" w:line="293" w:lineRule="auto"/>
        <w:tabs>
          <w:tab w:leader="none" w:pos="135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US Security Agreement or the Credit Agreement, such Grantor will use commercially reasonable efforts to collect and enforce in accordance with its present policies, at such Grantor's sole expense, all amounts due or hereafter due to such Grantor under the Receivables owned by it.</w:t>
      </w:r>
    </w:p>
    <w:p>
      <w:pPr>
        <w:spacing w:after="0" w:line="165" w:lineRule="exact"/>
        <w:rPr>
          <w:rFonts w:ascii="Arial" w:cs="Arial" w:eastAsia="Arial" w:hAnsi="Arial"/>
          <w:sz w:val="17"/>
          <w:szCs w:val="17"/>
          <w:color w:val="auto"/>
        </w:rPr>
      </w:pPr>
    </w:p>
    <w:p>
      <w:pPr>
        <w:ind w:left="-560" w:right="20" w:firstLine="1139"/>
        <w:spacing w:after="0" w:line="344" w:lineRule="auto"/>
        <w:tabs>
          <w:tab w:leader="none" w:pos="1349"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Delivery of Invoices</w:t>
      </w:r>
      <w:r>
        <w:rPr>
          <w:rFonts w:ascii="Arial" w:cs="Arial" w:eastAsia="Arial" w:hAnsi="Arial"/>
          <w:sz w:val="16"/>
          <w:szCs w:val="16"/>
          <w:color w:val="auto"/>
        </w:rPr>
        <w:t>. Such Grantor will deliver to the Administrative Agent promptly upon its reasonable request duplicate invoices with respect to each Account included in the Collateral owned by it bearing such language of assignment as the Administrative Agent shall specify.</w:t>
      </w:r>
    </w:p>
    <w:p>
      <w:pPr>
        <w:spacing w:after="0" w:line="127" w:lineRule="exact"/>
        <w:rPr>
          <w:rFonts w:ascii="Arial" w:cs="Arial" w:eastAsia="Arial" w:hAnsi="Arial"/>
          <w:sz w:val="16"/>
          <w:szCs w:val="16"/>
          <w:color w:val="auto"/>
        </w:rPr>
      </w:pPr>
    </w:p>
    <w:p>
      <w:pPr>
        <w:ind w:left="1360" w:hanging="781"/>
        <w:spacing w:after="0"/>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jc w:val="both"/>
        <w:ind w:left="-560" w:firstLine="1139"/>
        <w:spacing w:after="0" w:line="293" w:lineRule="auto"/>
        <w:tabs>
          <w:tab w:leader="none" w:pos="134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Electronic Chattel Paper</w:t>
      </w:r>
      <w:r>
        <w:rPr>
          <w:rFonts w:ascii="Arial" w:cs="Arial" w:eastAsia="Arial" w:hAnsi="Arial"/>
          <w:sz w:val="17"/>
          <w:szCs w:val="17"/>
          <w:color w:val="auto"/>
        </w:rPr>
        <w:t>. Such Grantor shall take all steps reasonably necessary to grant the Administrative Agent Control of all electronic chattel paper in accordance with the UCC and all “transferable records” as defined in each of the Uniform Electronic Transactions Act and the Electronic Signatures in Global and National Commerce Act, in each case, subject to the terms of the ABL-Term Loan Intercreditor Agreement.</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Inventory and Equipment</w:t>
      </w:r>
      <w:r>
        <w:rPr>
          <w:rFonts w:ascii="Arial" w:cs="Arial" w:eastAsia="Arial" w:hAnsi="Arial"/>
          <w:sz w:val="16"/>
          <w:szCs w:val="16"/>
          <w:color w:val="auto"/>
        </w:rPr>
        <w:t>.</w:t>
      </w:r>
    </w:p>
    <w:p>
      <w:pPr>
        <w:spacing w:after="0" w:line="222" w:lineRule="exact"/>
        <w:rPr>
          <w:sz w:val="20"/>
          <w:szCs w:val="20"/>
          <w:color w:val="auto"/>
        </w:rPr>
      </w:pPr>
    </w:p>
    <w:p>
      <w:pPr>
        <w:jc w:val="both"/>
        <w:ind w:left="-560" w:firstLine="567"/>
        <w:spacing w:after="0" w:line="288" w:lineRule="auto"/>
        <w:tabs>
          <w:tab w:leader="none" w:pos="77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Maintenance of Goods</w:t>
      </w:r>
      <w:r>
        <w:rPr>
          <w:rFonts w:ascii="Arial" w:cs="Arial" w:eastAsia="Arial" w:hAnsi="Arial"/>
          <w:sz w:val="17"/>
          <w:szCs w:val="17"/>
          <w:color w:val="auto"/>
        </w:rPr>
        <w:t>. Such Grantor will do all things necessary to maintain, preserve, protect and keep its Inventory and the Equipment necessary to the business in good repair and working and saleable condition, except for (i) damaged or defective goods arising in the ordinary course of such Grantor’s business, (ii) ordinary wear and tear in respect of the Equipment and (iii) Equipment which such Grantor determines in good faith is not material to its business.</w:t>
      </w:r>
    </w:p>
    <w:p>
      <w:pPr>
        <w:spacing w:after="0" w:line="348" w:lineRule="exact"/>
        <w:rPr>
          <w:rFonts w:ascii="Arial" w:cs="Arial" w:eastAsia="Arial" w:hAnsi="Arial"/>
          <w:sz w:val="17"/>
          <w:szCs w:val="17"/>
          <w:color w:val="auto"/>
        </w:rPr>
      </w:pPr>
    </w:p>
    <w:p>
      <w:pPr>
        <w:ind w:left="380" w:hanging="373"/>
        <w:spacing w:after="0"/>
        <w:tabs>
          <w:tab w:leader="none" w:pos="3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97" w:lineRule="exact"/>
        <w:rPr>
          <w:rFonts w:ascii="Arial" w:cs="Arial" w:eastAsia="Arial" w:hAnsi="Arial"/>
          <w:sz w:val="17"/>
          <w:szCs w:val="17"/>
          <w:color w:val="auto"/>
        </w:rPr>
      </w:pPr>
    </w:p>
    <w:p>
      <w:pPr>
        <w:jc w:val="both"/>
        <w:ind w:left="-560" w:right="20" w:firstLine="567"/>
        <w:spacing w:after="0" w:line="256" w:lineRule="auto"/>
        <w:tabs>
          <w:tab w:leader="none" w:pos="44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Inventory Count; Perpetual Inventory System</w:t>
      </w:r>
      <w:r>
        <w:rPr>
          <w:rFonts w:ascii="Arial" w:cs="Arial" w:eastAsia="Arial" w:hAnsi="Arial"/>
          <w:sz w:val="17"/>
          <w:szCs w:val="17"/>
          <w:color w:val="auto"/>
        </w:rPr>
        <w:t>. Such Grantor will conduct a verification, including without limitation, a physical count if required under GAAP, of its Inventory at least once per fiscal year in a manner consistent with past practices, and after and during the continuation of an Event of Default, at such other times as the Administrative Agent requests. Such Grantor, at its own expense, shall deliver to the Administrative Agent the results of each physical verification, which such Grantor has made, or has caused any other Person to make on its behalf, of all or any portion of its Inventory. Such Grantor will maintain a perpetual inventory reporting system at all times.</w:t>
      </w:r>
    </w:p>
    <w:p>
      <w:pPr>
        <w:sectPr>
          <w:pgSz w:w="11900" w:h="16892" w:orient="portrait"/>
          <w:cols w:equalWidth="0" w:num="1">
            <w:col w:w="10880"/>
          </w:cols>
          <w:pgMar w:left="800" w:top="339" w:right="219" w:bottom="0" w:gutter="0" w:footer="0" w:header="0"/>
        </w:sectPr>
      </w:pPr>
    </w:p>
    <w:bookmarkStart w:id="118" w:name="page119"/>
    <w:bookmarkEnd w:id="118"/>
    <w:p>
      <w:pPr>
        <w:jc w:val="both"/>
        <w:ind w:firstLine="572"/>
        <w:spacing w:after="0" w:line="25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Delivery of Instruments, Securities, Chattel Paper and Documents</w:t>
      </w:r>
      <w:r>
        <w:rPr>
          <w:rFonts w:ascii="Arial" w:cs="Arial" w:eastAsia="Arial" w:hAnsi="Arial"/>
          <w:sz w:val="17"/>
          <w:szCs w:val="17"/>
          <w:color w:val="auto"/>
        </w:rPr>
        <w:t xml:space="preserve">. Subject to the terms of the ABL-Term Loan Intercreditor Agreement, such Grantor will (a) deliver to the Administrative Agent promptly upon execution of this US Security Agreement the originals of all Chattel Paper, Securities and Instruments constituting Collateral owned by it (if any then exist) and with a value in excess of $250,000, (b) hold in trust for the Administrative Agent upon receipt and promptly, but in no event more than ten (10) Business Days following receipt (or such later date as agreed to by the Administrative Agent), thereafter deliver to the Administrative Agent any such Chattel Paper, Securities and Instruments constituting Collateral, (c) upon the Administrative Agent's request, deliver to the Administrative Agent (and thereafter hold in trust for the Administrative Agent upon receipt and promptly, but in no event more than ten (10) Business Days following receipt (or such later date as agreed to by the Administrative Agent), deliver to the Administrative Agent) any Document evidencing or constituting Collateral and (d) promptly upon the Administrative Agent's request, deliver to the Administrative Agent a duly executed amendment to this US Security Agreement,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Amendment</w:t>
      </w:r>
      <w:r>
        <w:rPr>
          <w:rFonts w:ascii="Arial" w:cs="Arial" w:eastAsia="Arial" w:hAnsi="Arial"/>
          <w:sz w:val="17"/>
          <w:szCs w:val="17"/>
          <w:color w:val="auto"/>
        </w:rPr>
        <w:t>”), pursuant to which such Grantor will pledge such additional Collateral. Such Grantor hereby authorizes the Administrative Agent to attach each Amendment to this US Security Agreement and agrees that all additional Collateral owned by it set forth in such Amendments shall be considered to be part of the Collateral.</w:t>
      </w:r>
    </w:p>
    <w:p>
      <w:pPr>
        <w:spacing w:after="0" w:line="182"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Uncertificated Pledged Collateral</w:t>
      </w:r>
      <w:r>
        <w:rPr>
          <w:rFonts w:ascii="Arial" w:cs="Arial" w:eastAsia="Arial" w:hAnsi="Arial"/>
          <w:sz w:val="16"/>
          <w:szCs w:val="16"/>
          <w:color w:val="auto"/>
        </w:rPr>
        <w:t>. Subject to the terms of the ABL-Term Loan Intercreditor Agreement, such Grantor will permit the Administrative Agent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US Security Agreement. With respect to any Pledged Collateral owned by it, such Grantor will take any necessary actions requested by the Administrative Agent to cause (a) the issuers of uncertificated securities which are Pledged Collateral and (b) any securities intermediary which is the holder of any such Pledged Collateral, to cause the Administrative Agent to have and retain Control over such Pledged Collateral (or until the Term Loan Obligation Payment Date, to cause the Term Loan Agent to have and retain Control over such Pledged Collateral, in accordance with the terms of the ABL-Term Loan Intercreditor Agreement in the case of any Pledged Collateral constituting Term Loan Priority Collateral). Without limiting the foregoing, such Grantor will, with respect to any such Pledged Collateral held with a securities intermediary, cause such securities intermediary to enter into a Control Agreement with the Administrative Agent, in form and substance reasonably satisfactory to the Administrative Agent, giving the Administrative Agent Control (or until the Term Loan Obligation Payment Date, to enter into a Control Agreement with the Term Loan Agent in accordance with the terms of the ABL-Term Loan Intercreditor Agreement in the case of any Pledged Collateral constituting Term Loan Priority Collateral). To the extent that any issuer of uncertificated securities that constitute Pledged Collateral shall issue certificates for such Pledged Collateral, such Grantor will promptly notify the Administrative Agent and comply with the provisions of Section 4.4 with respect to such Pledged Collateral.</w:t>
      </w:r>
    </w:p>
    <w:p>
      <w:pPr>
        <w:spacing w:after="0" w:line="1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22" w:lineRule="exact"/>
        <w:rPr>
          <w:sz w:val="20"/>
          <w:szCs w:val="20"/>
          <w:color w:val="auto"/>
        </w:rPr>
      </w:pPr>
    </w:p>
    <w:p>
      <w:pPr>
        <w:ind w:left="1900" w:hanging="761"/>
        <w:spacing w:after="0"/>
        <w:tabs>
          <w:tab w:leader="none" w:pos="190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33" w:lineRule="exact"/>
        <w:rPr>
          <w:rFonts w:ascii="Arial" w:cs="Arial" w:eastAsia="Arial" w:hAnsi="Arial"/>
          <w:sz w:val="17"/>
          <w:szCs w:val="17"/>
          <w:color w:val="auto"/>
        </w:rPr>
      </w:pPr>
    </w:p>
    <w:p>
      <w:pPr>
        <w:jc w:val="both"/>
        <w:ind w:firstLine="1139"/>
        <w:spacing w:after="0" w:line="293" w:lineRule="auto"/>
        <w:tabs>
          <w:tab w:leader="none" w:pos="1919"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Issuance of Additional Securities</w:t>
      </w:r>
      <w:r>
        <w:rPr>
          <w:rFonts w:ascii="Arial" w:cs="Arial" w:eastAsia="Arial" w:hAnsi="Arial"/>
          <w:sz w:val="17"/>
          <w:szCs w:val="17"/>
          <w:color w:val="auto"/>
        </w:rPr>
        <w:t>. Except as permitted under the Credit Agreement, such Grantor will not permit or suffer the issuer of an Equity Interest constituting Pledged Collateral owned by it to issue additional Equity Interests, any right to receive the same or any right to receive earnings, except to such Grantor.</w:t>
      </w:r>
    </w:p>
    <w:p>
      <w:pPr>
        <w:spacing w:after="0" w:line="165" w:lineRule="exact"/>
        <w:rPr>
          <w:rFonts w:ascii="Arial" w:cs="Arial" w:eastAsia="Arial" w:hAnsi="Arial"/>
          <w:sz w:val="17"/>
          <w:szCs w:val="17"/>
          <w:color w:val="auto"/>
        </w:rPr>
      </w:pPr>
    </w:p>
    <w:p>
      <w:pPr>
        <w:jc w:val="both"/>
        <w:ind w:right="20" w:firstLine="1139"/>
        <w:spacing w:after="0" w:line="307" w:lineRule="auto"/>
        <w:tabs>
          <w:tab w:leader="none" w:pos="1909"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Registration of Pledged Collateral</w:t>
      </w:r>
      <w:r>
        <w:rPr>
          <w:rFonts w:ascii="Arial" w:cs="Arial" w:eastAsia="Arial" w:hAnsi="Arial"/>
          <w:sz w:val="16"/>
          <w:szCs w:val="16"/>
          <w:color w:val="auto"/>
        </w:rPr>
        <w:t>. Subject to the terms of the ABL-Term Loan Intercreditor Agreement and to Section 3.13(d) with respect to the Pledged ULC Shares, such Grantor will permit any registerable Pledged Collateral owned by it to be registered in the name of the Administrative Agent or its nominee at any time after the occurrence and during the continuation of an Event of Default at the option of the Required Secured Parties (or until the Term Loan Obligation Payment Date, to be registered in the name of the Term Loan Agent or its nominee at such time, in accordance with the terms of the ABL-Term Loan Intercreditor Agreement in the case of any Pledged Collateral constituting Term Loan Priority Collateral).</w:t>
      </w:r>
    </w:p>
    <w:p>
      <w:pPr>
        <w:spacing w:after="0" w:line="157" w:lineRule="exact"/>
        <w:rPr>
          <w:rFonts w:ascii="Arial" w:cs="Arial" w:eastAsia="Arial" w:hAnsi="Arial"/>
          <w:sz w:val="16"/>
          <w:szCs w:val="16"/>
          <w:color w:val="auto"/>
        </w:rPr>
      </w:pPr>
    </w:p>
    <w:p>
      <w:pPr>
        <w:ind w:left="1920" w:hanging="781"/>
        <w:spacing w:after="0"/>
        <w:tabs>
          <w:tab w:leader="none" w:pos="192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Exercise of Rights in Pledged Collateral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560" w:firstLine="1151"/>
        <w:spacing w:after="0" w:line="256" w:lineRule="auto"/>
        <w:tabs>
          <w:tab w:leader="none" w:pos="217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Without in any way limiting the foregoing and subject to clause (ii) below and subject to the ABL-Term Loan Intercreditor Agreement in the case of any such Pledged Collateral constituting Term Loan Priority Collateral, such Grantor shall have the right to exercise all voting rights or other rights relating to the Pledged Collateral owned by it for all purposes not inconsistent with this US Security Agreement, the Credit Agreement or any other Loan Document;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vote or other right shall be exercised or action taken which would have the effect of impairing the rights of the Administrative Agent in respect of such Pledged Collateral.</w:t>
      </w:r>
    </w:p>
    <w:p>
      <w:pPr>
        <w:spacing w:after="0" w:line="184" w:lineRule="exact"/>
        <w:rPr>
          <w:rFonts w:ascii="Arial" w:cs="Arial" w:eastAsia="Arial" w:hAnsi="Arial"/>
          <w:sz w:val="17"/>
          <w:szCs w:val="17"/>
          <w:color w:val="auto"/>
        </w:rPr>
      </w:pPr>
    </w:p>
    <w:p>
      <w:pPr>
        <w:jc w:val="both"/>
        <w:ind w:left="560" w:firstLine="1151"/>
        <w:spacing w:after="0" w:line="307" w:lineRule="auto"/>
        <w:tabs>
          <w:tab w:leader="none" w:pos="248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Such Grantor will permit the Administrative Agent or its nominee at any time after the occurrence and during the continuance of an Event of Default, subject to Section 3.13(d) with respect to the Pledged ULC Shares and subject to the ABL-Term Loan Intercreditor Agreement in the case of any such Pledged Collateral constituting Term Loan Priority Collateral, without notice, to exercise all voting rights or other rights relating to the Pledged Collateral owned by it, including, without limitation, exchange, subscription or any other rights, privileges, or options pertaining to any Equity Interest or Investment Property constituting such Pledged Collateral as if it were the absolute owner thereof.</w:t>
      </w:r>
    </w:p>
    <w:p>
      <w:pPr>
        <w:spacing w:after="0" w:line="157" w:lineRule="exact"/>
        <w:rPr>
          <w:rFonts w:ascii="Arial" w:cs="Arial" w:eastAsia="Arial" w:hAnsi="Arial"/>
          <w:sz w:val="16"/>
          <w:szCs w:val="16"/>
          <w:color w:val="auto"/>
        </w:rPr>
      </w:pPr>
    </w:p>
    <w:p>
      <w:pPr>
        <w:jc w:val="both"/>
        <w:ind w:left="560" w:firstLine="1151"/>
        <w:spacing w:after="0" w:line="282" w:lineRule="auto"/>
        <w:tabs>
          <w:tab w:leader="none" w:pos="253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Subject to the ABL-Term Loan Intercreditor Agreement in the case of any such Pledged Collateral constituting Term Loan Priority Collateral, such Grantor shall be entitled to collect and receive for its own use all cash dividends and interest paid in respect of the Pledged Collateral owned by it to the extent not in violation of the Credit Agreement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any of the following distributions and payments (collectively referred to as the “</w:t>
      </w:r>
      <w:r>
        <w:rPr>
          <w:rFonts w:ascii="Arial" w:cs="Arial" w:eastAsia="Arial" w:hAnsi="Arial"/>
          <w:sz w:val="17"/>
          <w:szCs w:val="17"/>
          <w:u w:val="single" w:color="auto"/>
          <w:color w:val="auto"/>
        </w:rPr>
        <w:t>Excluded Payments</w:t>
      </w:r>
      <w:r>
        <w:rPr>
          <w:rFonts w:ascii="Arial" w:cs="Arial" w:eastAsia="Arial" w:hAnsi="Arial"/>
          <w:sz w:val="17"/>
          <w:szCs w:val="17"/>
          <w:color w:val="auto"/>
        </w:rPr>
        <w:t xml:space="preserve">”): (A) dividends and interest paid or payable other than in cash in respect of such Pledged Collateral, and instruments and other non-cash property received, receivable or otherwise distributed in respect of, or in exchange for, any Pledged Collateral, in each case, to the extent constituting Collateral; and (B) dividends and other distributions paid or payable in cash in respect of such Pledged Collateral not prohibited to be paid pursuant to the Credit Agreement;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until actually paid, all rights to such distributions shall remain subject to the Lien created by this US Security Agreement; and</w:t>
      </w:r>
    </w:p>
    <w:p>
      <w:pPr>
        <w:spacing w:after="0" w:line="176" w:lineRule="exact"/>
        <w:rPr>
          <w:rFonts w:ascii="Arial" w:cs="Arial" w:eastAsia="Arial" w:hAnsi="Arial"/>
          <w:sz w:val="17"/>
          <w:szCs w:val="17"/>
          <w:color w:val="auto"/>
        </w:rPr>
      </w:pPr>
    </w:p>
    <w:p>
      <w:pPr>
        <w:jc w:val="both"/>
        <w:ind w:left="560" w:firstLine="1151"/>
        <w:spacing w:after="0" w:line="282" w:lineRule="auto"/>
        <w:tabs>
          <w:tab w:leader="none" w:pos="252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All Excluded Payments (subject to Section 3.13(d) with respect to the Pledged ULC Shares) whenever paid or made, shall be delivered to the Administrative Agent (or until the Term Loan Obligation Payment Date, to the Term Loan Agent in accordance with the terms of the ABL-Term Loan Intercreditor Agreement in the case of any Excluded Payments constituting Term Loan Priority Collateral) to hold as Pledged Collateral and shall, if received by such Grantor, be received in trust for the benefit of the Administrative Agent (and, until the Term Loan Obligations Payment Date, the Term Loan Agent), be segregated from the other property or funds of such Grantor, and be forthwith delivered to the Administrative Agent (or until the Term Loan Obligation Payment Date, to the Term Loan Agent in accordance with the terms of the ABL-Term Loan Intercreditor Agreement in the case of any Excluded Payments constituting Term Loan Priority Collateral) as Pledged Collateral in the same form as so received (with any necessary endorsement).</w:t>
      </w:r>
    </w:p>
    <w:p>
      <w:pPr>
        <w:spacing w:after="0" w:line="172"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ectPr>
          <w:pgSz w:w="11900" w:h="16838" w:orient="portrait"/>
          <w:cols w:equalWidth="0" w:num="1">
            <w:col w:w="11440"/>
          </w:cols>
          <w:pgMar w:left="240" w:top="280" w:right="219" w:bottom="41" w:gutter="0" w:footer="0" w:header="0"/>
        </w:sectPr>
      </w:pPr>
    </w:p>
    <w:bookmarkStart w:id="119" w:name="page120"/>
    <w:bookmarkEnd w:id="119"/>
    <w:p>
      <w:pPr>
        <w:spacing w:after="0" w:line="52" w:lineRule="exact"/>
        <w:rPr>
          <w:sz w:val="20"/>
          <w:szCs w:val="20"/>
          <w:color w:val="auto"/>
        </w:rPr>
      </w:pPr>
    </w:p>
    <w:p>
      <w:pPr>
        <w:jc w:val="both"/>
        <w:ind w:right="20" w:firstLine="1139"/>
        <w:spacing w:after="0" w:line="293" w:lineRule="auto"/>
        <w:tabs>
          <w:tab w:leader="none" w:pos="190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subject to the terms of the ABL-Term Loan Intercreditor Agreement, such Grantor will use its commercially reasonable efforts to secure all consents and approvals necessary or appropriate for the assignment to or benefit of the Administrative Agent of any License held by such Grantor and to enforce the security interests granted hereunder.</w:t>
      </w:r>
    </w:p>
    <w:p>
      <w:pPr>
        <w:spacing w:after="0" w:line="165" w:lineRule="exact"/>
        <w:rPr>
          <w:rFonts w:ascii="Arial" w:cs="Arial" w:eastAsia="Arial" w:hAnsi="Arial"/>
          <w:sz w:val="17"/>
          <w:szCs w:val="17"/>
          <w:color w:val="auto"/>
        </w:rPr>
      </w:pPr>
    </w:p>
    <w:p>
      <w:pPr>
        <w:jc w:val="both"/>
        <w:ind w:firstLine="1139"/>
        <w:spacing w:after="0" w:line="284" w:lineRule="auto"/>
        <w:tabs>
          <w:tab w:leader="none" w:pos="19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Such Grantor shall notify the Administrative Agent promptly if it knows or has reason to know that any application or registration relating to any Patent, Trademark or Copyright (now or hereafter existing) that is material to the conduct of the business of Holdings, the Borrowers and their Subsidiaries, taken as a whole, becomes abandoned or dedicated, or of any material adverse determination or development (including the institution of, or any such determination or development in, any proceeding in the United States Patent and Trademark Office, the United States Copyright Office or any court) regarding such Grantor’s ownership of any Patent, Trademark or Copyright material to the business of Holdings, the Borrowers and their Subsidiaries, taken as a whole, its right to register the same, or to keep and maintain the same.</w:t>
      </w:r>
    </w:p>
    <w:p>
      <w:pPr>
        <w:spacing w:after="0" w:line="172" w:lineRule="exact"/>
        <w:rPr>
          <w:rFonts w:ascii="Arial" w:cs="Arial" w:eastAsia="Arial" w:hAnsi="Arial"/>
          <w:sz w:val="17"/>
          <w:szCs w:val="17"/>
          <w:color w:val="auto"/>
        </w:rPr>
      </w:pPr>
    </w:p>
    <w:p>
      <w:pPr>
        <w:jc w:val="both"/>
        <w:ind w:firstLine="1139"/>
        <w:spacing w:after="0" w:line="281" w:lineRule="auto"/>
        <w:tabs>
          <w:tab w:leader="none" w:pos="190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any Grantor, either itself or through any agent, employee, licensee or designee, acquires ownership of any Patent, Trademark or Copyright registration or application, in each case, material to the Grantors’ business, taken as whole, or files any application for any Patent, Trademark or Copyright with the United States Patent and Trademark Office, United States Copyright Office or any office or agency in any political subdivision of the United States or in any other country or any political subdivision thereof, in each case, material to the Grantors’ business, taken as a whole, such Grantor shall notify the Administrative Agent with written notice of such acquisition, registration or application concurrently with the delivery of the financial statements with respect to the end of the fiscal quarter in which such Grantor acquires such ownership interest (or such later date as agreed to by the Administrative Agent in its Permitted Discretion), and, upon request of the Administrative Agent, such Grantor shall execute and deliver any and all security agreements to be filed with the United States Patent and Trademark Office or the United States Copyright Office, as applicable, as the Administrative Agent may reasonably request to evidence the Administrative Agent’s security interest on such Patent, Trademark or Copyright, and the General Intangibles of such Grantor relating thereto or represented thereby.</w:t>
      </w:r>
    </w:p>
    <w:p>
      <w:pPr>
        <w:spacing w:after="0" w:line="177" w:lineRule="exact"/>
        <w:rPr>
          <w:rFonts w:ascii="Arial" w:cs="Arial" w:eastAsia="Arial" w:hAnsi="Arial"/>
          <w:sz w:val="17"/>
          <w:szCs w:val="17"/>
          <w:color w:val="auto"/>
        </w:rPr>
      </w:pPr>
    </w:p>
    <w:p>
      <w:pPr>
        <w:jc w:val="both"/>
        <w:ind w:right="20" w:firstLine="1139"/>
        <w:spacing w:after="0" w:line="307" w:lineRule="auto"/>
        <w:tabs>
          <w:tab w:leader="none" w:pos="191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Such Grantor shall take all actions necessary to maintain and pursue each application, to obtain the relevant registration and to maintain the registration of each of its Patents, Trademarks and Copyrights (now or hereafter existing) that are material to the conduct of the business of Holdings, the Borrowers and their Subsidiaries, taken as a whole, including the filing of applications for renewal, affidavits of use, affidavits of noncontestability and opposition and interference and cancellation proceedings or if such Grantor determines in its commercial reasonable business judgment exercised in good faith that the maintenance or pursuit of any such Patent, Trademark, or Copyright is no longer necessary to the conduct of such Grantor’s business.</w:t>
      </w:r>
    </w:p>
    <w:p>
      <w:pPr>
        <w:spacing w:after="0" w:line="157" w:lineRule="exact"/>
        <w:rPr>
          <w:rFonts w:ascii="Arial" w:cs="Arial" w:eastAsia="Arial" w:hAnsi="Arial"/>
          <w:sz w:val="16"/>
          <w:szCs w:val="16"/>
          <w:color w:val="auto"/>
        </w:rPr>
      </w:pPr>
    </w:p>
    <w:p>
      <w:pPr>
        <w:jc w:val="both"/>
        <w:ind w:right="20" w:firstLine="1139"/>
        <w:spacing w:after="0" w:line="285" w:lineRule="auto"/>
        <w:tabs>
          <w:tab w:leader="none" w:pos="190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 the event that any Grantor knows or has reason to believe that any Collateral consisting of a Patent, Trademark or Copyright that is material to the conduct of the business of Holdings, the Borrowers and their Subsidiaries, taken as a whole, has been or is being infringed, misappropriated, diluted or otherwise violated by a third person, such Grantor shall, if consistent with good business judgment, promptly sue for infringement, misappropriation, dilution or other violation and to recover any and all damages for such infringement, misappropriation, dilution or other violation, and take such other actions as are appropriate under the circumstances to protect such Collateral.</w:t>
      </w:r>
    </w:p>
    <w:p>
      <w:pPr>
        <w:spacing w:after="0" w:line="162"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Such Grantor shall promptly notify the Administrative Agent of any Commercial Tort Claim acquired by it having a value in excess of $1,000,000 and, unless the Administrative Agent otherwise consents, such Grantor shall enter into an amendment to this US Security Agreement,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 granting to Administrative Agent a security interest in such Commercial Tort Claim.</w:t>
      </w:r>
    </w:p>
    <w:p>
      <w:pPr>
        <w:spacing w:after="0" w:line="165"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Letter-of-Credit Rights</w:t>
      </w:r>
      <w:r>
        <w:rPr>
          <w:rFonts w:ascii="Arial" w:cs="Arial" w:eastAsia="Arial" w:hAnsi="Arial"/>
          <w:sz w:val="16"/>
          <w:szCs w:val="16"/>
          <w:color w:val="auto"/>
        </w:rPr>
        <w:t>. If such Grantor is or becomes the beneficiary of a letter of credit with a stated value in excess of $5,000,000, such Grantor shall promptly notify the Administrative Agent thereof and, subject to the terms of the ABL-Term Loan Intercreditor Agreement, use commercially reasonable efforts to cause the issuer and/or confirmation bank to (i) consent to the assignment of any Letter-of-Credit Rights to the Administrative Agent and (ii) during a Cash Dominion Period, agree to direct all payments thereunder to a Deposit Account subject to a Control Agreement for application to the Secured Obligations, in accordance with Section 2.18 of the Credit Agreement, all in form and substance reasonably satisfactory to the Administrative Agent.</w:t>
      </w:r>
    </w:p>
    <w:p>
      <w:pPr>
        <w:spacing w:after="0" w:line="15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1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No Interference</w:t>
      </w:r>
      <w:r>
        <w:rPr>
          <w:rFonts w:ascii="Arial" w:cs="Arial" w:eastAsia="Arial" w:hAnsi="Arial"/>
          <w:sz w:val="17"/>
          <w:szCs w:val="17"/>
          <w:color w:val="auto"/>
        </w:rPr>
        <w:t>. Such Grantor agrees that it will not interfere with any right, power and remedy of the Administrative Agent provided for in this US Security Agreement or now or hereafter existing at law or in equity or by statute or otherwise, or the exercise or beginning of the exercise by the Administrative Agent of any one or more of such rights, powers or remedies.</w:t>
      </w:r>
    </w:p>
    <w:p>
      <w:pPr>
        <w:spacing w:after="0" w:line="16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10" w:lineRule="exact"/>
        <w:rPr>
          <w:sz w:val="20"/>
          <w:szCs w:val="20"/>
          <w:color w:val="auto"/>
        </w:rPr>
      </w:pPr>
    </w:p>
    <w:p>
      <w:pPr>
        <w:jc w:val="both"/>
        <w:ind w:firstLine="1139"/>
        <w:spacing w:after="0" w:line="280" w:lineRule="auto"/>
        <w:tabs>
          <w:tab w:leader="none" w:pos="15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In the event any Collateral is located in any area that has been designated by the Federal Emergency Management Agency as a “Special Flood Hazard Area”, such Grantor shall purchase and maintain flood insurance on such Collateral (including any personal property which is located on any real property leased by such Loan Party within a “Special Flood Hazard Area”). The amount of flood insurance required by this Section shall be in an amount as to comply with the National Flood Insurance Program as set forth in the Flood Disaster Protection Act of 1973, as it may be amended from time to time.</w:t>
      </w:r>
    </w:p>
    <w:p>
      <w:pPr>
        <w:spacing w:after="0" w:line="177" w:lineRule="exact"/>
        <w:rPr>
          <w:rFonts w:ascii="Arial" w:cs="Arial" w:eastAsia="Arial" w:hAnsi="Arial"/>
          <w:sz w:val="16"/>
          <w:szCs w:val="16"/>
          <w:color w:val="auto"/>
        </w:rPr>
      </w:pPr>
    </w:p>
    <w:p>
      <w:pPr>
        <w:jc w:val="both"/>
        <w:ind w:right="20" w:firstLine="1139"/>
        <w:spacing w:after="0" w:line="293" w:lineRule="auto"/>
        <w:tabs>
          <w:tab w:leader="none" w:pos="160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insurance policies required hereunder and under Section 5.09 of the Credit Agreement shall name the Administrative Agent (for the benefit of itself, the Canadian Administrative Agent and the Lenders) as an additional insured or as lender loss payee, as applicable, and shall contain loss payable clauses or mortgagee clauses, through endorsements in form and substance reasonably satisfactory to the Administrative Agent.</w:t>
      </w:r>
    </w:p>
    <w:p>
      <w:pPr>
        <w:spacing w:after="0" w:line="153" w:lineRule="exact"/>
        <w:rPr>
          <w:rFonts w:ascii="Arial" w:cs="Arial" w:eastAsia="Arial" w:hAnsi="Arial"/>
          <w:sz w:val="17"/>
          <w:szCs w:val="17"/>
          <w:color w:val="auto"/>
        </w:rPr>
      </w:pPr>
    </w:p>
    <w:p>
      <w:pPr>
        <w:jc w:val="both"/>
        <w:ind w:firstLine="567"/>
        <w:spacing w:after="0" w:line="259" w:lineRule="auto"/>
        <w:tabs>
          <w:tab w:leader="none" w:pos="93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All premiums on any such insurance shall be paid when due by such Grantor, and copies of the policies delivered to the Administrative Agent. If such Grantor fails to obtain any insurance as required by this Section, the Administrative Agent may obtain such insurance at the Borrowers’ expense. By purchasing such insurance, the Administrative Agent shall not be deemed to have waived any Default arising from any Grantor's failure to maintain such insurance or pay any premiums therefor.</w:t>
      </w:r>
    </w:p>
    <w:p>
      <w:pPr>
        <w:spacing w:after="0" w:line="169"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Collateral Access Agreements</w:t>
      </w:r>
      <w:r>
        <w:rPr>
          <w:rFonts w:ascii="Arial" w:cs="Arial" w:eastAsia="Arial" w:hAnsi="Arial"/>
          <w:sz w:val="16"/>
          <w:szCs w:val="16"/>
          <w:color w:val="auto"/>
        </w:rPr>
        <w:t>. Such Grantor shall use commercially reasonable efforts to obtain a Collateral Access Agreement, from the lessor of each leased property, mortgagee of owned property or bailee or consignee with respect to any warehouse, processor or converter facility or other location where Inventory having a fair market value in excess of $1,000,000 is stored or located,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After the Second Restatement Date, if any Grantor leases any additional real property or warehouse space (other than a Distribution Center), such Grantor shall use commercially reasonably efforts to obtain a Collateral Access Agreement with respect to such location (unless the Inventory located at such location has an aggregate value of less than $1,000,000), and with respect to any additional leased real property or warehouse space (other than a Distribution Center), if the Administrative Agent has not received a Collateral Access Agreement within ninety (90) days after the date such location was leased, Eligible Inventory at any such location shall be subject to the establishment of Reserves acceptable to the Administrative Agent to the extent provided in the Credit Agreement.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ectPr>
          <w:pgSz w:w="11900" w:h="16890" w:orient="portrait"/>
          <w:cols w:equalWidth="0" w:num="1">
            <w:col w:w="11440"/>
          </w:cols>
          <w:pgMar w:left="240" w:top="137" w:right="219" w:bottom="0" w:gutter="0" w:footer="0" w:header="0"/>
        </w:sectPr>
      </w:pPr>
    </w:p>
    <w:bookmarkStart w:id="120" w:name="page121"/>
    <w:bookmarkEnd w:id="120"/>
    <w:p>
      <w:pPr>
        <w:jc w:val="both"/>
        <w:ind w:firstLine="572"/>
        <w:spacing w:after="0" w:line="255"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Change of Name or Location</w:t>
      </w:r>
      <w:r>
        <w:rPr>
          <w:rFonts w:ascii="Arial" w:cs="Arial" w:eastAsia="Arial" w:hAnsi="Arial"/>
          <w:sz w:val="17"/>
          <w:szCs w:val="17"/>
          <w:color w:val="auto"/>
        </w:rPr>
        <w:t>. Except as provided in the Credit Agreement, such Grantor shall not (a) change its name as it appears in official filings in the state or jurisdiction of its incorporation or organization, (b) change its chief executive office, principal place of business, mailing address, or the location of its records concerning the ABL Priority Collateral as set forth in this US Security Agreement, (c) change the type of entity that it is, (d) change its organization identification number, if any, issued by its state or jurisdiction of incorporation or other organization, or (e) change its state or jurisdiction of incorporation or organization, in each case, unless the Administrative Agent shall have received at least ten (10) days (or such shorter period of time as agreed to by the Administrative Agent) prior written notice of such change.</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EVENTS OF DEFAULT AND REMEDIES</w:t>
      </w:r>
    </w:p>
    <w:p>
      <w:pPr>
        <w:spacing w:after="0" w:line="19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17"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15" w:lineRule="exact"/>
        <w:rPr>
          <w:sz w:val="20"/>
          <w:szCs w:val="20"/>
          <w:color w:val="auto"/>
        </w:rPr>
      </w:pPr>
    </w:p>
    <w:p>
      <w:pPr>
        <w:ind w:right="20" w:firstLine="1139"/>
        <w:spacing w:after="0" w:line="344" w:lineRule="auto"/>
        <w:tabs>
          <w:tab w:leader="none" w:pos="190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the Administrative Agent may, or at the direction of the Required Secured Parties shall, exercise any or all of the following rights and remedies, subject to the terms of the ABL-Term Loan Intercreditor Agreement:</w:t>
      </w:r>
    </w:p>
    <w:p>
      <w:pPr>
        <w:spacing w:after="0" w:line="127" w:lineRule="exact"/>
        <w:rPr>
          <w:rFonts w:ascii="Arial" w:cs="Arial" w:eastAsia="Arial" w:hAnsi="Arial"/>
          <w:sz w:val="16"/>
          <w:szCs w:val="16"/>
          <w:color w:val="auto"/>
        </w:rPr>
      </w:pPr>
    </w:p>
    <w:p>
      <w:pPr>
        <w:jc w:val="both"/>
        <w:ind w:left="560" w:firstLine="1151"/>
        <w:spacing w:after="0" w:line="293" w:lineRule="auto"/>
        <w:tabs>
          <w:tab w:leader="none" w:pos="272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 xml:space="preserve">subject to Section 3.13(d) with respect to Pledged ULC Shares, those rights and remedies provided in this US Security Agreement, the Credit Agreement, or any other Loan Document;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Section 5.2(a) shall not be understood to limit any rights or remedies available to the Administrative Agent and the Lenders prior to an Event of Default;</w:t>
      </w:r>
    </w:p>
    <w:p>
      <w:pPr>
        <w:spacing w:after="0" w:line="165" w:lineRule="exact"/>
        <w:rPr>
          <w:rFonts w:ascii="Arial" w:cs="Arial" w:eastAsia="Arial" w:hAnsi="Arial"/>
          <w:sz w:val="17"/>
          <w:szCs w:val="17"/>
          <w:color w:val="auto"/>
        </w:rPr>
      </w:pPr>
    </w:p>
    <w:p>
      <w:pPr>
        <w:jc w:val="both"/>
        <w:ind w:left="560" w:firstLine="1151"/>
        <w:spacing w:after="0" w:line="293" w:lineRule="auto"/>
        <w:tabs>
          <w:tab w:leader="none" w:pos="277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65" w:lineRule="exact"/>
        <w:rPr>
          <w:rFonts w:ascii="Arial" w:cs="Arial" w:eastAsia="Arial" w:hAnsi="Arial"/>
          <w:sz w:val="17"/>
          <w:szCs w:val="17"/>
          <w:color w:val="auto"/>
        </w:rPr>
      </w:pPr>
    </w:p>
    <w:p>
      <w:pPr>
        <w:jc w:val="both"/>
        <w:ind w:left="560" w:firstLine="1151"/>
        <w:spacing w:after="0" w:line="283" w:lineRule="auto"/>
        <w:tabs>
          <w:tab w:leader="none" w:pos="2823"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without notice (except where written notice may be required pursuant to Section 3.13(d) in the case of Pledged ULC Shares, or as specifically provided in Section 9.1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 and</w:t>
      </w:r>
    </w:p>
    <w:p>
      <w:pPr>
        <w:spacing w:after="0" w:line="173" w:lineRule="exact"/>
        <w:rPr>
          <w:rFonts w:ascii="Arial" w:cs="Arial" w:eastAsia="Arial" w:hAnsi="Arial"/>
          <w:sz w:val="17"/>
          <w:szCs w:val="17"/>
          <w:color w:val="auto"/>
        </w:rPr>
      </w:pPr>
    </w:p>
    <w:p>
      <w:pPr>
        <w:jc w:val="both"/>
        <w:ind w:left="560" w:firstLine="1151"/>
        <w:spacing w:after="0" w:line="307" w:lineRule="auto"/>
        <w:tabs>
          <w:tab w:leader="none" w:pos="2814" w:val="left"/>
        </w:tabs>
        <w:numPr>
          <w:ilvl w:val="1"/>
          <w:numId w:val="173"/>
        </w:numPr>
        <w:rPr>
          <w:rFonts w:ascii="Arial" w:cs="Arial" w:eastAsia="Arial" w:hAnsi="Arial"/>
          <w:sz w:val="16"/>
          <w:szCs w:val="16"/>
          <w:color w:val="auto"/>
        </w:rPr>
      </w:pPr>
      <w:r>
        <w:rPr>
          <w:rFonts w:ascii="Arial" w:cs="Arial" w:eastAsia="Arial" w:hAnsi="Arial"/>
          <w:sz w:val="16"/>
          <w:szCs w:val="16"/>
          <w:color w:val="auto"/>
        </w:rPr>
        <w:t>concurrently with written notice to the applicable Grantor, or written notice in accordance with Section 3.13(d) in the case of Pledged ULC Shares, transfer and register in its name or in the name of its nominee the whole or any part of the Pledged Collateral, to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Administrative Agent was the outright owner thereof.</w:t>
      </w:r>
    </w:p>
    <w:p>
      <w:pPr>
        <w:spacing w:after="0" w:line="157" w:lineRule="exact"/>
        <w:rPr>
          <w:rFonts w:ascii="Arial" w:cs="Arial" w:eastAsia="Arial" w:hAnsi="Arial"/>
          <w:sz w:val="16"/>
          <w:szCs w:val="16"/>
          <w:color w:val="auto"/>
        </w:rPr>
      </w:pPr>
    </w:p>
    <w:p>
      <w:pPr>
        <w:ind w:right="20" w:firstLine="1139"/>
        <w:spacing w:after="0" w:line="310" w:lineRule="auto"/>
        <w:tabs>
          <w:tab w:leader="none" w:pos="191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 addition to (and without limitation of) all of the rights of the Administrative Agent set forth herein, during a Cash Dominion Period, the Administrative Agent shall have all of the rights set forth in Section 7.2.</w:t>
      </w:r>
    </w:p>
    <w:p>
      <w:pPr>
        <w:spacing w:after="0" w:line="150" w:lineRule="exact"/>
        <w:rPr>
          <w:rFonts w:ascii="Arial" w:cs="Arial" w:eastAsia="Arial" w:hAnsi="Arial"/>
          <w:sz w:val="17"/>
          <w:szCs w:val="17"/>
          <w:color w:val="auto"/>
        </w:rPr>
      </w:pPr>
    </w:p>
    <w:p>
      <w:pPr>
        <w:jc w:val="both"/>
        <w:ind w:right="20" w:firstLine="1139"/>
        <w:spacing w:after="0" w:line="293" w:lineRule="auto"/>
        <w:tabs>
          <w:tab w:leader="none" w:pos="190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Administrative Agent, on behalf of itself, the Canadian Administrative Agent and the Lenders, may comply with any applicable state or federal law requirements in connection with a disposition of the Collateral and compliance will not be considered to adversely affect the commercial reasonableness of any sale of the Collateral.</w:t>
      </w:r>
    </w:p>
    <w:p>
      <w:pPr>
        <w:spacing w:after="0" w:line="165" w:lineRule="exact"/>
        <w:rPr>
          <w:rFonts w:ascii="Arial" w:cs="Arial" w:eastAsia="Arial" w:hAnsi="Arial"/>
          <w:sz w:val="17"/>
          <w:szCs w:val="17"/>
          <w:color w:val="auto"/>
        </w:rPr>
      </w:pPr>
    </w:p>
    <w:p>
      <w:pPr>
        <w:jc w:val="both"/>
        <w:ind w:right="20" w:firstLine="1139"/>
        <w:spacing w:after="0" w:line="293" w:lineRule="auto"/>
        <w:tabs>
          <w:tab w:leader="none" w:pos="191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Administrative Agent shall have the right upon any such public sale or sales and, to the extent permitted by law, upon any such private sale or sales, to purchase for the benefit of itself, the Canadian Administrative Agent and the Lenders, the whole or any part of the Collateral so sold, free of any right of equity redemption, which equity redemption the Grantor hereby expressly releases.</w:t>
      </w:r>
    </w:p>
    <w:p>
      <w:pPr>
        <w:spacing w:after="0" w:line="165" w:lineRule="exact"/>
        <w:rPr>
          <w:rFonts w:ascii="Arial" w:cs="Arial" w:eastAsia="Arial" w:hAnsi="Arial"/>
          <w:sz w:val="17"/>
          <w:szCs w:val="17"/>
          <w:color w:val="auto"/>
        </w:rPr>
      </w:pPr>
    </w:p>
    <w:p>
      <w:pPr>
        <w:jc w:val="both"/>
        <w:ind w:firstLine="1139"/>
        <w:spacing w:after="0" w:line="284" w:lineRule="auto"/>
        <w:tabs>
          <w:tab w:leader="none" w:pos="190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Until the Administrative Agent is able to effect a sale, lease, or other disposition of Collateral, subject to the terms of the ABL-Term Loan Intercreditor Agreement,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subject to the terms of the ABL-Term Loan Intercreditor Agreement, if it so elects, seek the appointment of a receiver or keeper to take possession of Collateral and to enforce any of the Administrative Agent’s remedies (for the benefit of itself, the Canadian Administrative Agent and the Lenders), with respect to such appointment without prior notice or hearing as to such appointment.</w:t>
      </w:r>
    </w:p>
    <w:p>
      <w:pPr>
        <w:spacing w:after="0" w:line="172" w:lineRule="exact"/>
        <w:rPr>
          <w:rFonts w:ascii="Arial" w:cs="Arial" w:eastAsia="Arial" w:hAnsi="Arial"/>
          <w:sz w:val="17"/>
          <w:szCs w:val="17"/>
          <w:color w:val="auto"/>
        </w:rPr>
      </w:pPr>
    </w:p>
    <w:p>
      <w:pPr>
        <w:jc w:val="both"/>
        <w:ind w:right="20" w:firstLine="1139"/>
        <w:spacing w:after="0" w:line="288" w:lineRule="auto"/>
        <w:tabs>
          <w:tab w:leader="none" w:pos="189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If, after the Credit Agreement has terminated by its terms and all of the Obligations have been paid in full (other than contingent obligations for which no claim has been asserted), there remain Swap Obligations outstanding, the Required Secured Parties may exercise the remedies provided in this Section 5.2 upon the occurrence of any event which would allow or require the termination or acceleration of any Swap Obligations pursuant to the terms of the Swap Agreement.</w:t>
      </w:r>
    </w:p>
    <w:p>
      <w:pPr>
        <w:spacing w:after="0" w:line="169" w:lineRule="exact"/>
        <w:rPr>
          <w:rFonts w:ascii="Arial" w:cs="Arial" w:eastAsia="Arial" w:hAnsi="Arial"/>
          <w:sz w:val="17"/>
          <w:szCs w:val="17"/>
          <w:color w:val="auto"/>
        </w:rPr>
      </w:pPr>
    </w:p>
    <w:p>
      <w:pPr>
        <w:jc w:val="both"/>
        <w:ind w:firstLine="1139"/>
        <w:spacing w:after="0" w:line="285" w:lineRule="auto"/>
        <w:tabs>
          <w:tab w:leader="none" w:pos="191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Notwithstanding the foregoing, neither the Administrative Agent, the Canadian Administrative Agent nor the Lenders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73" w:lineRule="exact"/>
        <w:rPr>
          <w:rFonts w:ascii="Arial" w:cs="Arial" w:eastAsia="Arial" w:hAnsi="Arial"/>
          <w:sz w:val="17"/>
          <w:szCs w:val="17"/>
          <w:color w:val="auto"/>
        </w:rPr>
      </w:pPr>
    </w:p>
    <w:p>
      <w:pPr>
        <w:jc w:val="both"/>
        <w:ind w:firstLine="1139"/>
        <w:spacing w:after="0" w:line="332" w:lineRule="auto"/>
        <w:tabs>
          <w:tab w:leader="none" w:pos="191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w:t>
      </w:r>
    </w:p>
    <w:p>
      <w:pPr>
        <w:sectPr>
          <w:pgSz w:w="11900" w:h="16838" w:orient="portrait"/>
          <w:cols w:equalWidth="0" w:num="1">
            <w:col w:w="11440"/>
          </w:cols>
          <w:pgMar w:left="240" w:top="518" w:right="219" w:bottom="0" w:gutter="0" w:footer="0" w:header="0"/>
        </w:sectPr>
      </w:pPr>
    </w:p>
    <w:bookmarkStart w:id="121" w:name="page122"/>
    <w:bookmarkEnd w:id="121"/>
    <w:p>
      <w:pPr>
        <w:ind w:left="5" w:right="20"/>
        <w:spacing w:after="0" w:line="310" w:lineRule="auto"/>
        <w:rPr>
          <w:sz w:val="20"/>
          <w:szCs w:val="20"/>
          <w:color w:val="auto"/>
        </w:rPr>
      </w:pPr>
      <w:r>
        <w:rPr>
          <w:rFonts w:ascii="Arial" w:cs="Arial" w:eastAsia="Arial" w:hAnsi="Arial"/>
          <w:sz w:val="17"/>
          <w:szCs w:val="17"/>
          <w:color w:val="auto"/>
        </w:rPr>
        <w:t>register such securities for public sale under the Securities Act of 1933, as amended, or under applicable state securities laws, even if the applicable Grantor and the issuer would agree to do so.</w:t>
      </w:r>
    </w:p>
    <w:p>
      <w:pPr>
        <w:spacing w:after="0" w:line="138" w:lineRule="exact"/>
        <w:rPr>
          <w:sz w:val="20"/>
          <w:szCs w:val="20"/>
          <w:color w:val="auto"/>
        </w:rPr>
      </w:pPr>
    </w:p>
    <w:p>
      <w:pPr>
        <w:ind w:left="565"/>
        <w:spacing w:after="0"/>
        <w:tabs>
          <w:tab w:leader="none" w:pos="984"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Grantor's Obligations Upon Default</w:t>
      </w:r>
      <w:r>
        <w:rPr>
          <w:rFonts w:ascii="Arial" w:cs="Arial" w:eastAsia="Arial" w:hAnsi="Arial"/>
          <w:sz w:val="16"/>
          <w:szCs w:val="16"/>
          <w:color w:val="auto"/>
        </w:rPr>
        <w:t>. Upon the request of the Administrative Agent after the occurrence of and during the continuance of an Event of</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7"/>
          <w:szCs w:val="17"/>
          <w:color w:val="auto"/>
        </w:rPr>
        <w:t>Default, subject to the terms of the ABL-Term Loan Intercreditor Agreement, each Grantor will:</w:t>
      </w:r>
    </w:p>
    <w:p>
      <w:pPr>
        <w:spacing w:after="0" w:line="208" w:lineRule="exact"/>
        <w:rPr>
          <w:sz w:val="20"/>
          <w:szCs w:val="20"/>
          <w:color w:val="auto"/>
        </w:rPr>
      </w:pPr>
    </w:p>
    <w:p>
      <w:pPr>
        <w:ind w:left="5" w:right="20" w:firstLine="1139"/>
        <w:spacing w:after="0" w:line="310" w:lineRule="auto"/>
        <w:tabs>
          <w:tab w:leader="none" w:pos="191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assemble and make available to the Administrative Agent the Collateral and all books and records relating thereto at any place or places reasonably specified by the Administrative Agent, whether at a Grantor's premises or elsewhere;</w:t>
      </w:r>
    </w:p>
    <w:p>
      <w:pPr>
        <w:spacing w:after="0" w:line="150" w:lineRule="exact"/>
        <w:rPr>
          <w:rFonts w:ascii="Arial" w:cs="Arial" w:eastAsia="Arial" w:hAnsi="Arial"/>
          <w:sz w:val="17"/>
          <w:szCs w:val="17"/>
          <w:color w:val="auto"/>
        </w:rPr>
      </w:pPr>
    </w:p>
    <w:p>
      <w:pPr>
        <w:jc w:val="both"/>
        <w:ind w:left="5" w:firstLine="1139"/>
        <w:spacing w:after="0" w:line="288" w:lineRule="auto"/>
        <w:tabs>
          <w:tab w:leader="none" w:pos="192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69" w:lineRule="exact"/>
        <w:rPr>
          <w:rFonts w:ascii="Arial" w:cs="Arial" w:eastAsia="Arial" w:hAnsi="Arial"/>
          <w:sz w:val="17"/>
          <w:szCs w:val="17"/>
          <w:color w:val="auto"/>
        </w:rPr>
      </w:pPr>
    </w:p>
    <w:p>
      <w:pPr>
        <w:jc w:val="both"/>
        <w:ind w:left="5" w:firstLine="1139"/>
        <w:spacing w:after="0" w:line="285" w:lineRule="auto"/>
        <w:tabs>
          <w:tab w:leader="none" w:pos="191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prepare and file, or cause an issuer of Pledged Collateral to prepare and file, with the Securities and Exchange Commission or any other applicable government agency, registration statements, a prospectus and such other documentation in connection with the Pledged Collateral as the Administrative Agent may request, all in form and substance reasonably satisfactory to the Administrative Agent, and furnish to the Administrative Agent, or cause an issuer of Pledged Collateral to furnish to the Administrative Agent, any information regarding the Pledged Collateral in such detail as the Administrative Agent may reasonably specify;</w:t>
      </w:r>
    </w:p>
    <w:p>
      <w:pPr>
        <w:spacing w:after="0" w:line="173" w:lineRule="exact"/>
        <w:rPr>
          <w:rFonts w:ascii="Arial" w:cs="Arial" w:eastAsia="Arial" w:hAnsi="Arial"/>
          <w:sz w:val="17"/>
          <w:szCs w:val="17"/>
          <w:color w:val="auto"/>
        </w:rPr>
      </w:pPr>
    </w:p>
    <w:p>
      <w:pPr>
        <w:ind w:left="5" w:firstLine="1139"/>
        <w:spacing w:after="0" w:line="310" w:lineRule="auto"/>
        <w:tabs>
          <w:tab w:leader="none" w:pos="192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take, or cause an issuer of Pledged Collateral to take, any and all actions necessary to register or qualify the Pledged Collateral to enable the Administrative Agent to consummate a public sale or other disposition of the Pledged Collateral; and</w:t>
      </w:r>
    </w:p>
    <w:p>
      <w:pPr>
        <w:spacing w:after="0" w:line="150" w:lineRule="exact"/>
        <w:rPr>
          <w:rFonts w:ascii="Arial" w:cs="Arial" w:eastAsia="Arial" w:hAnsi="Arial"/>
          <w:sz w:val="17"/>
          <w:szCs w:val="17"/>
          <w:color w:val="auto"/>
        </w:rPr>
      </w:pPr>
    </w:p>
    <w:p>
      <w:pPr>
        <w:jc w:val="both"/>
        <w:ind w:left="5" w:firstLine="1139"/>
        <w:spacing w:after="0" w:line="288" w:lineRule="auto"/>
        <w:tabs>
          <w:tab w:leader="none" w:pos="191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at its own expense, use commercially reasonable efforts to cause the independent certified public accountants then engaged by each Grantor to prepare and deliver to the Administrative Agent, the Canadian Administrative Agent and each Lender, at any time, and from time to time, promptly upon the Administrative Agent’s request, the following reports with respect to the applicable Grantor: (i) a reconciliation of all Accounts; (ii) an aging of all Accounts; (iii) trial balances; and (iv) a test verification of such Accounts.</w:t>
      </w:r>
    </w:p>
    <w:p>
      <w:pPr>
        <w:spacing w:after="0" w:line="158" w:lineRule="exact"/>
        <w:rPr>
          <w:sz w:val="20"/>
          <w:szCs w:val="20"/>
          <w:color w:val="auto"/>
        </w:rPr>
      </w:pPr>
    </w:p>
    <w:p>
      <w:pPr>
        <w:jc w:val="both"/>
        <w:ind w:left="5" w:firstLine="572"/>
        <w:spacing w:after="0" w:line="25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Grant of Intellectual Property License</w:t>
      </w:r>
      <w:r>
        <w:rPr>
          <w:rFonts w:ascii="Arial" w:cs="Arial" w:eastAsia="Arial" w:hAnsi="Arial"/>
          <w:sz w:val="17"/>
          <w:szCs w:val="17"/>
          <w:color w:val="auto"/>
        </w:rPr>
        <w:t xml:space="preserve">. For the purpose of enabling the Administrative Agent to exercise the rights and remedies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at such time as the Administrative Agent shall be lawfully entitled to exercise such rights and remedies and subject to the terms of the ABL-Term Loan Intercreditor Agreement, each Grantor hereby (a) grants to the Administrative Agent, for the benefit of itself, the Canadian Administrative Agent and the Lenders, an irrevocable, nonexclusive license (exercisable without payment of royalty or other compensation to any Grantor) to use, license or sublicense any intellectual property rights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and (b) irrevocably agrees that the Administrative Agent may sell any of such Grantor's Inventory directly to any person, including without limitation persons who have previously purchased the Grantor's Inventory from such Grantor and in connection with any such sale or other enforcement of the Administrative Agent's rights under this US Security Agreement, may sell Inventory which bears any Trademark owned by or licensed to such Grantor and any Inventory that is covered by any Copyright owned by or licensed to such Grantor and the Administrative Agent may finish any work in process and affix any Trademark owned by or licensed to such Grantor and sell such Inventory as provided herein.</w:t>
      </w:r>
    </w:p>
    <w:p>
      <w:pPr>
        <w:spacing w:after="0" w:line="176"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ARTICLE VI</w:t>
      </w:r>
    </w:p>
    <w:p>
      <w:pPr>
        <w:spacing w:after="0" w:line="27"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ACCOUNT VERIFICATION; ATTORNEY IN FACT; PROXY</w:t>
      </w:r>
    </w:p>
    <w:p>
      <w:pPr>
        <w:spacing w:after="0" w:line="203" w:lineRule="exact"/>
        <w:rPr>
          <w:sz w:val="20"/>
          <w:szCs w:val="20"/>
          <w:color w:val="auto"/>
        </w:rPr>
      </w:pPr>
    </w:p>
    <w:p>
      <w:pPr>
        <w:jc w:val="both"/>
        <w:ind w:left="5" w:firstLine="572"/>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7"/>
          <w:szCs w:val="17"/>
          <w:u w:val="single" w:color="auto"/>
          <w:color w:val="auto"/>
        </w:rPr>
        <w:t>Account Verification</w:t>
      </w:r>
      <w:r>
        <w:rPr>
          <w:rFonts w:ascii="Arial" w:cs="Arial" w:eastAsia="Arial" w:hAnsi="Arial"/>
          <w:sz w:val="17"/>
          <w:szCs w:val="17"/>
          <w:color w:val="auto"/>
        </w:rPr>
        <w:t>. If Aggregate Availability falls below ten percent (10%) of the Aggregate Revolving Commitments, then the Administrative</w:t>
      </w:r>
      <w:r>
        <w:rPr>
          <w:rFonts w:ascii="Arial" w:cs="Arial" w:eastAsia="Arial" w:hAnsi="Arial"/>
          <w:sz w:val="19"/>
          <w:szCs w:val="19"/>
          <w:color w:val="auto"/>
        </w:rPr>
        <w:t xml:space="preserve"> </w:t>
      </w:r>
      <w:r>
        <w:rPr>
          <w:rFonts w:ascii="Arial" w:cs="Arial" w:eastAsia="Arial" w:hAnsi="Arial"/>
          <w:sz w:val="17"/>
          <w:szCs w:val="17"/>
          <w:color w:val="auto"/>
        </w:rPr>
        <w:t>Agent may at any time, in the Administrative Agent’s own name, in the name of a nominee of the Administrative Agent, or in the name of any Grantor communicate (by mail, telephone, facsimile or otherwise) with the Account Debtors of any such Grantor, parties to contracts with any such Grantor and obligors in respect of Instruments of any such Grantor to verify with such Persons, to the Administrative Agent’s satisfaction, the existence, amount, terms of, and any other matter relating to, Accounts, Instruments, Chattel Paper, payment intangibles and/or other Receivables.</w:t>
      </w:r>
    </w:p>
    <w:p>
      <w:pPr>
        <w:spacing w:after="0" w:line="178" w:lineRule="exact"/>
        <w:rPr>
          <w:sz w:val="20"/>
          <w:szCs w:val="20"/>
          <w:color w:val="auto"/>
        </w:rPr>
      </w:pPr>
    </w:p>
    <w:p>
      <w:pPr>
        <w:ind w:left="565"/>
        <w:spacing w:after="0"/>
        <w:tabs>
          <w:tab w:leader="none" w:pos="1004"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6"/>
          <w:szCs w:val="16"/>
          <w:u w:val="single" w:color="auto"/>
          <w:color w:val="auto"/>
        </w:rPr>
        <w:t>Authorization for Administrative Agent to Take Certain Action</w:t>
      </w:r>
      <w:r>
        <w:rPr>
          <w:rFonts w:ascii="Arial" w:cs="Arial" w:eastAsia="Arial" w:hAnsi="Arial"/>
          <w:sz w:val="16"/>
          <w:szCs w:val="16"/>
          <w:color w:val="auto"/>
        </w:rPr>
        <w:t>.</w:t>
      </w:r>
    </w:p>
    <w:p>
      <w:pPr>
        <w:spacing w:after="0" w:line="215" w:lineRule="exact"/>
        <w:rPr>
          <w:sz w:val="20"/>
          <w:szCs w:val="20"/>
          <w:color w:val="auto"/>
        </w:rPr>
      </w:pPr>
    </w:p>
    <w:p>
      <w:pPr>
        <w:jc w:val="both"/>
        <w:ind w:left="5" w:firstLine="1139"/>
        <w:spacing w:after="0" w:line="283" w:lineRule="auto"/>
        <w:tabs>
          <w:tab w:leader="none" w:pos="1519" w:val="left"/>
        </w:tabs>
        <w:numPr>
          <w:ilvl w:val="1"/>
          <w:numId w:val="175"/>
        </w:numPr>
        <w:rPr>
          <w:rFonts w:ascii="Arial" w:cs="Arial" w:eastAsia="Arial" w:hAnsi="Arial"/>
          <w:sz w:val="15"/>
          <w:szCs w:val="15"/>
          <w:color w:val="auto"/>
        </w:rPr>
      </w:pPr>
      <w:r>
        <w:rPr>
          <w:rFonts w:ascii="Arial" w:cs="Arial" w:eastAsia="Arial" w:hAnsi="Arial"/>
          <w:sz w:val="15"/>
          <w:szCs w:val="15"/>
          <w:color w:val="auto"/>
        </w:rPr>
        <w:t>Subject to Section 6.2(b) below and subject to the terms of the ABL-Term Loan Intercreditor Agreement, each Grantor irrevocably authorizes the Administrative Agent at any time and from time to time in the Permitted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to endorse and collect any cash proceeds of the Collateral, (iii) to file a carbon, photographic or other reproduction of this US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(iv)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 to apply the proceeds of any Collateral received by the Administrative Agent to the Secured Obligations as provided in Section 7.3,</w:t>
      </w:r>
    </w:p>
    <w:p>
      <w:pPr>
        <w:spacing w:after="0" w:line="5" w:lineRule="exact"/>
        <w:rPr>
          <w:rFonts w:ascii="Arial" w:cs="Arial" w:eastAsia="Arial" w:hAnsi="Arial"/>
          <w:sz w:val="15"/>
          <w:szCs w:val="15"/>
          <w:color w:val="auto"/>
        </w:rPr>
      </w:pPr>
    </w:p>
    <w:p>
      <w:pPr>
        <w:jc w:val="both"/>
        <w:ind w:left="5" w:hanging="5"/>
        <w:spacing w:after="0" w:line="266" w:lineRule="auto"/>
        <w:tabs>
          <w:tab w:leader="none" w:pos="30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to discharge past due taxes, assessments, charges, fees or Liens on the Collateral (except for (A) taxes, assessments, charges or fees which are permitted to be past due in accordance with the Credit Agreement, or (B) such Liens that are permitted under Section 6.02 of the Credit Agreement), (vii) to contact Account Debtors for any reason, (viii) to demand payment or enforce payment of the Receivables in the name of the Administrative Agent or such Grantor and to endorse any and all checks, drafts, and other instruments for the payment of money relating to the Receivables, (ix) to sign such Grantor's name on any invoice or bill of lading relating to the Receivables, drafts against any Account Debtor of the Grantor, assignments and verifications of Receivables, (x) to exercise all of such Grantor's rights and remedies with respect to the collection of the Receivables and any other Collateral, (xi) to settle, adjust, compromise, extend or renew the Receivables, (xii) to settle, adjust or compromise any legal proceedings brought to collect Receivables, (xiii) to prepare, file and sign such Grantor's name on a proof of claim in bankruptcy or similar document against any Account Debtor of such Grantor, (xiv) to prepare, file and sign such Grantor's name on any notice of Lien, assignment or satisfaction of Lien or similar document in connection with the Receivables, (xv) to change the address for delivery of mail addressed to such Grantor to such address as the Administrative Agent may designate and to receive, open and dispose of all mail addressed to such Grantor, and (xvi) to do all other acts and things necessary to carry out this US Security Agreement; and such Grantor agrees to reimburse the Administrative Agent on demand for any payment made or any reasonable and documented out-of-pocket expense incurred by the Administrative Agent in connection with any of the foregoing;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this authorization shall not relieve such Grantor of any of its obligations under this US Security Agreement or under the Credit Agreement.</w:t>
      </w:r>
    </w:p>
    <w:p>
      <w:pPr>
        <w:spacing w:after="0" w:line="170" w:lineRule="exact"/>
        <w:rPr>
          <w:rFonts w:ascii="Arial" w:cs="Arial" w:eastAsia="Arial" w:hAnsi="Arial"/>
          <w:sz w:val="16"/>
          <w:szCs w:val="16"/>
          <w:color w:val="auto"/>
        </w:rPr>
      </w:pPr>
    </w:p>
    <w:p>
      <w:pPr>
        <w:jc w:val="both"/>
        <w:ind w:left="5" w:firstLine="1139"/>
        <w:spacing w:after="0" w:line="288" w:lineRule="auto"/>
        <w:tabs>
          <w:tab w:leader="none" w:pos="154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All acts of said attorney or designee are hereby ratified and approved. The powers conferred on the Administrative Agent, for the benefit of itself, the Canadian Administrative Agent and the Lenders, under this Section 6.2 are solely to protect the Administrative Agent’s interests in the Collateral and shall not impose any duty upon the Administrative Agent or any Lender to exercise any such powers. The Administrative Agent agrees that, (i) except for the</w:t>
      </w:r>
    </w:p>
    <w:p>
      <w:pPr>
        <w:sectPr>
          <w:pgSz w:w="11900" w:h="16838" w:orient="portrait"/>
          <w:cols w:equalWidth="0" w:num="1">
            <w:col w:w="11445"/>
          </w:cols>
          <w:pgMar w:left="235" w:top="136" w:right="219" w:bottom="0" w:gutter="0" w:footer="0" w:header="0"/>
        </w:sectPr>
      </w:pPr>
    </w:p>
    <w:bookmarkStart w:id="122" w:name="page123"/>
    <w:bookmarkEnd w:id="122"/>
    <w:p>
      <w:pPr>
        <w:jc w:val="both"/>
        <w:ind w:right="20"/>
        <w:spacing w:after="0" w:line="259" w:lineRule="auto"/>
        <w:rPr>
          <w:sz w:val="20"/>
          <w:szCs w:val="20"/>
          <w:color w:val="auto"/>
        </w:rPr>
      </w:pPr>
      <w:r>
        <w:rPr>
          <w:rFonts w:ascii="Arial" w:cs="Arial" w:eastAsia="Arial" w:hAnsi="Arial"/>
          <w:sz w:val="17"/>
          <w:szCs w:val="17"/>
          <w:color w:val="auto"/>
        </w:rPr>
        <w:t>powers granted in Sections 6.2(a)(i)-(vi), the Administrative Agent shall not exercise any power or authority granted to it unless an Event of Default has occurred and is continuing, (ii) the Administrative Agent shall not exercise any power or authority granted to it under Sections 6.2(a)(ii) or 6.2(a)(v) unless a Cash Dominion Period shall be in effect and (iii) the Administrative Agent shall not exercise any power of attorney granted to it under Section 6.2(a) in a manner that would violate the terms of the ABL-Term Loan Intercreditor Agreement.</w:t>
      </w:r>
    </w:p>
    <w:p>
      <w:pPr>
        <w:spacing w:after="0" w:line="178" w:lineRule="exact"/>
        <w:rPr>
          <w:sz w:val="20"/>
          <w:szCs w:val="20"/>
          <w:color w:val="auto"/>
        </w:rPr>
      </w:pPr>
    </w:p>
    <w:p>
      <w:pPr>
        <w:jc w:val="both"/>
        <w:ind w:firstLine="572"/>
        <w:spacing w:after="0" w:line="228" w:lineRule="exact"/>
        <w:rPr>
          <w:sz w:val="20"/>
          <w:szCs w:val="20"/>
          <w:color w:val="auto"/>
        </w:rPr>
      </w:pPr>
      <w:r>
        <w:rPr>
          <w:rFonts w:ascii="Arial" w:cs="Arial" w:eastAsia="Arial" w:hAnsi="Arial"/>
          <w:sz w:val="19"/>
          <w:szCs w:val="19"/>
          <w:color w:val="auto"/>
        </w:rPr>
        <w:t xml:space="preserve">6.3. </w:t>
      </w:r>
      <w:r>
        <w:rPr>
          <w:rFonts w:ascii="Arial" w:cs="Arial" w:eastAsia="Arial" w:hAnsi="Arial"/>
          <w:sz w:val="17"/>
          <w:szCs w:val="17"/>
          <w:u w:val="single" w:color="auto"/>
          <w:color w:val="auto"/>
        </w:rPr>
        <w:t>Proxy</w:t>
      </w:r>
      <w:r>
        <w:rPr>
          <w:rFonts w:ascii="Arial" w:cs="Arial" w:eastAsia="Arial" w:hAnsi="Arial"/>
          <w:sz w:val="17"/>
          <w:szCs w:val="17"/>
          <w:color w:val="auto"/>
        </w:rPr>
        <w:t>. EACH GRANTOR HEREBY IRREVOCABLY CONSTITUTES AND APPOINTS THE ADMINISTRATIVE AGENT AS ITS PROXY</w:t>
      </w:r>
      <w:r>
        <w:rPr>
          <w:rFonts w:ascii="Arial" w:cs="Arial" w:eastAsia="Arial" w:hAnsi="Arial"/>
          <w:sz w:val="19"/>
          <w:szCs w:val="19"/>
          <w:color w:val="auto"/>
        </w:rPr>
        <w:t xml:space="preserve"> </w:t>
      </w:r>
      <w:r>
        <w:rPr>
          <w:rFonts w:ascii="Arial" w:cs="Arial" w:eastAsia="Arial" w:hAnsi="Arial"/>
          <w:sz w:val="17"/>
          <w:szCs w:val="17"/>
          <w:color w:val="auto"/>
        </w:rPr>
        <w:t>AND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(AS SET FORTH IN AND SUBJECT TO THE PROVISIONS OF SECTION 6.2 ABOVE) WITH RESPECT TO ITS PLEDGED COLLATERAL, INCLUDING THE RIGHT TO VOTE SUCH PLEDGED COLLATERAL EXCEPT FOR THE PLEDGED ULC SHARES, IN RESPECT OF WHICH SUCH RIGHTS DO NOT ARISE UNTIL AFTER THE GIVING OF NOTICE PROVIDED FOR IN SECTION 3.13(d), WITH FULL POWER OF SUBSTITUTION TO DO SO AFTER THE OCCURRENCE AND DURING THE CONTINUANCE OF AN EVENT OF DEFAULT. IN ADDITION TO THE RIGHT TO VOTE SUCH PLEDGED COLLATERAL AFTER THE OCCURRENCE AND DURING THE CONTINUANCE OF AN EVENT OF DEFAULT, THE APPOINTMENT OF THE ADMINISTRATIVE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SUCH PLEDGED COLLATERAL ON THE RECORD BOOKS OF THE ISSUER THEREOF) BY ANY PERSON (INCLUDING THE ISSUER OF THE PLEDGED COLLATERAL OR ANY OFFICER OR AGENT THEREOF), UPON THE OCCURRENCE OF AND DURING THE CONTINUANCE OF AN EVENT OF DEFAULT.</w:t>
      </w:r>
    </w:p>
    <w:p>
      <w:pPr>
        <w:spacing w:after="0" w:line="203"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7"/>
          <w:szCs w:val="17"/>
          <w:u w:val="single" w:color="auto"/>
          <w:color w:val="auto"/>
        </w:rPr>
        <w:t>Nature of Appointment; Limitation of Duty</w:t>
      </w:r>
      <w:r>
        <w:rPr>
          <w:rFonts w:ascii="Arial" w:cs="Arial" w:eastAsia="Arial" w:hAnsi="Arial"/>
          <w:sz w:val="17"/>
          <w:szCs w:val="17"/>
          <w:color w:val="auto"/>
        </w:rPr>
        <w:t>. THE APPOINTMENT OF THE ADMINISTRATIVE AGENT AS PROXY AND ATTORNEY-IN-FACT WITH RESPECT TO EACH GRANTOR IN THIS ARTICLE VI IS COUPLED WITH AN INTEREST AND SHALL BE IRREVOCABLE UNTIL THE DATE ON WHICH THIS US SECURITY AGREEMENT IS TERMINATED IN ACCORDANCE WITH SECTION 9.16 OR SUCH GRANTOR IS RELEASED FROM ITS OBLIGATIONS HEREUNDER IN ACCORDANCE WITH SECTION 9.16. NOTWITHSTANDING ANYTHING CONTAINED HEREIN, NEITHER THE ADMINISTRATIVE AGENT, NOR ANY LENDER, NOR ANY OF THEIR AFFILIATES, NOR ANY OF THEIR OR THEIR AFFILIATES' RESPECTIVE OFFICERS, DIRECTORS, EMPLOYEES, AGENTS OR REPRESENTATIVES SHALL HAVE ANY DUTY TO EXERCISE ANY RIGHT OR POWER GRANTED HEREUNDER OR OTHERWISE OR TO PRESERVE THE SAME AND SHALL NOT BE LIABLE FOR ANY FAILURE TO DO SO OR FOR ANY DELAY IN DOING SO, EXCEPT TO THE EXTENT ARISING OUT OF ITS BAD FAITH, OWN BAD FAITH, GROSS NEGLIGENCE OR WILLFUL MISCONDUCT AS FINALLY DETERMINED BY A COURT OF COMPETENT JURISDICTION; PROVIDED THAT, IN NO EVENT SHALL THEY BE LIABLE FOR ANY PUNITIVE, EXEMPLARY, INDIRECT OR CONSEQUENTIAL DAMAGES.</w:t>
      </w:r>
    </w:p>
    <w:p>
      <w:pPr>
        <w:spacing w:after="0" w:line="164"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VII</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COLLECTION AND APPLICATION OF COLLATERAL PROCEEDS; DEPOSIT ACCOUNTS</w:t>
      </w:r>
    </w:p>
    <w:p>
      <w:pPr>
        <w:spacing w:after="0" w:line="386"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Collection of Receivables</w:t>
      </w:r>
      <w:r>
        <w:rPr>
          <w:rFonts w:ascii="Arial" w:cs="Arial" w:eastAsia="Arial" w:hAnsi="Arial"/>
          <w:sz w:val="16"/>
          <w:szCs w:val="16"/>
          <w:color w:val="auto"/>
        </w:rPr>
        <w:t xml:space="preserve">. As of the date of this US Security Agreement, all Deposit Accounts, Securities Accounts and Lock Boxes established by the Grantors with any banking institution, securities broker, securities intermediary or other financial institution are listed in </w:t>
      </w:r>
      <w:r>
        <w:rPr>
          <w:rFonts w:ascii="Arial" w:cs="Arial" w:eastAsia="Arial" w:hAnsi="Arial"/>
          <w:sz w:val="16"/>
          <w:szCs w:val="16"/>
          <w:u w:val="single" w:color="auto"/>
          <w:color w:val="auto"/>
        </w:rPr>
        <w:t>Part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As of the date of this US Security Agreement, all Deposit Accounts, Securities Accounts and Lock Boxes established by WESCO Receivables with any banking institution, securities broker, securities intermediary or other financial institution are listed in </w:t>
      </w:r>
      <w:r>
        <w:rPr>
          <w:rFonts w:ascii="Arial" w:cs="Arial" w:eastAsia="Arial" w:hAnsi="Arial"/>
          <w:sz w:val="16"/>
          <w:szCs w:val="16"/>
          <w:u w:val="single" w:color="auto"/>
          <w:color w:val="auto"/>
        </w:rPr>
        <w:t>Part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Prior to the earlier of (i) termination of the Receivables Securitization or (ii) the occurrence and continuation of an Event of Default and delivery of a Receivables Termination Notice (as such term is defined in the Intercreditor Agreement) by the Administrative Agent to the Receivables Agent (as such term is defined in the Intercreditor Agreement), the Grantors shall continue to direct their Account Debtors to remit all cash, checks, electronic funds transfers and other similar payments relating to or constituting payments made in respect of Receivables directly to either a Deposit Account or a Lock Box set forth in either </w:t>
      </w:r>
      <w:r>
        <w:rPr>
          <w:rFonts w:ascii="Arial" w:cs="Arial" w:eastAsia="Arial" w:hAnsi="Arial"/>
          <w:sz w:val="16"/>
          <w:szCs w:val="16"/>
          <w:u w:val="single" w:color="auto"/>
          <w:color w:val="auto"/>
        </w:rPr>
        <w:t>Part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Part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After delivery of a Receivables Termination Notice by the Administrative Agent to the Receivables Agent in accordance with the provisions of the Intercreditor Agreement, the Grantors shall direct, and shall cause WESCO Receivables to direct, all Account Debtors to remit all cash, checks, electronic funds transfers and other similar payments relating to or constituting payments made in respect of Receivables directly to Deposit Accounts or Lock Boxes established and maintained in the name of any Grantor. If any Grantor should refuse or neglect to notify any Account Debtor to forward payments directly to a Deposit Account or Lock Box established and maintained in the name of any Grantor after delivery of a Receivables Termination Notice by the Administrative Agent to the Receivables Agent in accordance with the provisions of the Intercreditor Agreement, the Administrative Agent shall be entitled to make such notification directly to such Account Debtor.</w:t>
      </w:r>
    </w:p>
    <w:p>
      <w:pPr>
        <w:spacing w:after="0" w:line="172"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Application of Funds During a Cash Dominion Period</w:t>
      </w:r>
      <w:r>
        <w:rPr>
          <w:rFonts w:ascii="Arial" w:cs="Arial" w:eastAsia="Arial" w:hAnsi="Arial"/>
          <w:sz w:val="16"/>
          <w:szCs w:val="16"/>
          <w:color w:val="auto"/>
        </w:rPr>
        <w:t>. At all times during a Cash Dominion Period, the Grantors shall comply and shall cause the US Cash Management Bank to comply with the provisions of Section 5.12(d) of the Credit Agreement. At all times during a Cash Dominion Period, the Administrative Agent shall have the right (i) to declare that full cash dominion is in effect, (ii) to give a notice of sole control or other instruction under any Control Agreement, (iii) to notify each banking institution, securities broker or securities intermediary (including the US Cash Management Bank) at which any Grantor maintains any Deposit Account or Securities Accounts (in each case, other than Excluded Accounts), that (A) the Administrative Agent has taken full dominion and control over all Deposit Accounts and Securities Accounts (in each case, other than Excluded Accounts) and all funds from time to time on deposit therein, (B) such banking institutions, securities brokers and securities intermediaries shall follow all instructions given by the Administrative Agent with respect to such Deposit Accounts and Securities Accounts, and (C) such banking institutions shall remit directly to the US Collection Account (or to such other account as the Administrative Agent may direct), on a daily basis (or on such other basis as the Administrative Agent shall direct) all funds from time to time deposited into such Deposit Accounts and Securities Accounts, and (iv) to automatically apply, on a daily basis, all funds remitted to the US Collection Account (or to such other account as the Administrative Agent shall so direct), from all such Deposit Accounts and Securities Accounts, and all other proceeds of the Collateral, to repay the Loans and other Obligations in accordance with Sections 2.11 and 2.18 of the Credit Agreement.</w:t>
      </w:r>
    </w:p>
    <w:p>
      <w:pPr>
        <w:spacing w:after="0" w:line="168" w:lineRule="exact"/>
        <w:rPr>
          <w:sz w:val="20"/>
          <w:szCs w:val="20"/>
          <w:color w:val="auto"/>
        </w:rPr>
      </w:pPr>
    </w:p>
    <w:p>
      <w:pPr>
        <w:jc w:val="both"/>
        <w:ind w:right="20" w:firstLine="572"/>
        <w:spacing w:after="0" w:line="254"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Covenant Regarding New Deposit Accounts; Lock Boxes</w:t>
      </w:r>
      <w:r>
        <w:rPr>
          <w:rFonts w:ascii="Arial" w:cs="Arial" w:eastAsia="Arial" w:hAnsi="Arial"/>
          <w:sz w:val="17"/>
          <w:szCs w:val="17"/>
          <w:color w:val="auto"/>
        </w:rPr>
        <w:t>. Before opening or replacing any Deposit Account or Securities Account (other than an Excluded Account), or establishing a new Lock Box, each Grantor shall cause each bank or financial institution in which it seeks to open (i) a Deposit Account, Securities Account, or Lock Box (other than an Excluded Account) to enter into a Control Agreement with the Administrative Agent in order to give the Administrative Agent Control of such Deposit Account, Securities Account, or Lock Box. In addition, at any time, if reasonably requested by the Administrative Agent, each Grantor agrees to establish and maintain in its name a new Lock Box with the Administrative Agent or any Lender, in order to effect the provisions of Section 7.1. In the case of any Deposit Account, Securities Account or Lock Box maintained with any Lender, the terms of such letter shall be subject to the provisions of the Credit Agreement regarding setoffs.</w:t>
      </w:r>
    </w:p>
    <w:p>
      <w:pPr>
        <w:spacing w:after="0" w:line="172"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Application of Proceeds; Deficiency</w:t>
      </w:r>
      <w:r>
        <w:rPr>
          <w:rFonts w:ascii="Arial" w:cs="Arial" w:eastAsia="Arial" w:hAnsi="Arial"/>
          <w:sz w:val="17"/>
          <w:szCs w:val="17"/>
          <w:color w:val="auto"/>
        </w:rPr>
        <w:t>. In the case of any sale or other disposition of Collateral by the Administrative Agent in the exercise of its remedies provided herein or in any other Loan Document, the proceeds of such sale shall be applied (and allocated) by the Administrative Agent in accordance with Section 2.18 of the Credit Agreement. In the event that the proceeds from any sale or other disposition of Collateral are insufficient to pay all Secured Obligations in full, the Grantors shall remain liable for any deficiency, including any attorneys’ fees and other expenses incurred by the Agents or any Lender to collect such deficiency.</w:t>
      </w:r>
    </w:p>
    <w:p>
      <w:pPr>
        <w:spacing w:after="0" w:line="16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VIII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LOAN GUARANTY</w:t>
      </w:r>
    </w:p>
    <w:p>
      <w:pPr>
        <w:sectPr>
          <w:pgSz w:w="11900" w:h="16838" w:orient="portrait"/>
          <w:cols w:equalWidth="0" w:num="1">
            <w:col w:w="11440"/>
          </w:cols>
          <w:pgMar w:left="240" w:top="124" w:right="219" w:bottom="0" w:gutter="0" w:footer="0" w:header="0"/>
        </w:sectPr>
      </w:pPr>
    </w:p>
    <w:bookmarkStart w:id="123" w:name="page124"/>
    <w:bookmarkEnd w:id="123"/>
    <w:p>
      <w:pPr>
        <w:spacing w:after="0" w:line="17"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Guaranty</w:t>
      </w:r>
      <w:r>
        <w:rPr>
          <w:rFonts w:ascii="Arial" w:cs="Arial" w:eastAsia="Arial" w:hAnsi="Arial"/>
          <w:sz w:val="17"/>
          <w:szCs w:val="17"/>
          <w:color w:val="auto"/>
        </w:rPr>
        <w:t>. Subject to Section 8.16 hereof and Section 12.01 of the Credit Agreement, each Guarantor hereby agrees that it is jointly and severally liable for, and absolutely and unconditionally guarantees to the Lender Parties, the prompt payment when due, whether at stated maturity, upon acceleration or otherwise, and at all times thereafter, of the Secured Obligations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definition of “Guaranteed Obligations” shall not create any guarantee by any Guarantor of (or grant of security interest by any Guarantor to support, as applicable) any Excluded Swap Agreement Obligations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Article VIII apply to and may be enforced by or on behalf of any domestic or foreign branch or Affiliate of any Lender Party that extended any portion of the Guaranteed Obligations.</w:t>
      </w:r>
    </w:p>
    <w:p>
      <w:pPr>
        <w:spacing w:after="0" w:line="163" w:lineRule="exact"/>
        <w:rPr>
          <w:sz w:val="20"/>
          <w:szCs w:val="20"/>
          <w:color w:val="auto"/>
        </w:rPr>
      </w:pPr>
    </w:p>
    <w:p>
      <w:pPr>
        <w:jc w:val="both"/>
        <w:ind w:right="20" w:firstLine="572"/>
        <w:spacing w:after="0" w:line="28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Guaranty of Payment</w:t>
      </w:r>
      <w:r>
        <w:rPr>
          <w:rFonts w:ascii="Arial" w:cs="Arial" w:eastAsia="Arial" w:hAnsi="Arial"/>
          <w:sz w:val="16"/>
          <w:szCs w:val="16"/>
          <w:color w:val="auto"/>
        </w:rPr>
        <w:t>. This Loan Guaranty is a guaranty of payment and not of collection. Each Guarantor waives any right to require any Lender Party to sue any Borrower, any other Guarantor, any other guarantor, or any other person obligated for all or any part of the Guaranteed Obligations (each, an “</w:t>
      </w:r>
      <w:r>
        <w:rPr>
          <w:rFonts w:ascii="Arial" w:cs="Arial" w:eastAsia="Arial" w:hAnsi="Arial"/>
          <w:sz w:val="16"/>
          <w:szCs w:val="16"/>
          <w:u w:val="single" w:color="auto"/>
          <w:color w:val="auto"/>
        </w:rPr>
        <w:t>Obligated Party</w:t>
      </w:r>
      <w:r>
        <w:rPr>
          <w:rFonts w:ascii="Arial" w:cs="Arial" w:eastAsia="Arial" w:hAnsi="Arial"/>
          <w:sz w:val="16"/>
          <w:szCs w:val="16"/>
          <w:color w:val="auto"/>
        </w:rPr>
        <w:t>”), or otherwise to enforce its payment against any collateral securing all or any part of the Guaranteed Obligations.</w:t>
      </w:r>
    </w:p>
    <w:p>
      <w:pPr>
        <w:spacing w:after="0" w:line="136"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Discharge or Diminishment of Loan Guaranty</w:t>
      </w:r>
      <w:r>
        <w:rPr>
          <w:rFonts w:ascii="Arial" w:cs="Arial" w:eastAsia="Arial" w:hAnsi="Arial"/>
          <w:sz w:val="17"/>
          <w:szCs w:val="17"/>
          <w:color w:val="auto"/>
        </w:rPr>
        <w:t>. (a) Except as otherwise provided for herein, the obligations of each Guarantor hereunder are unconditional and absolute and not subject to any reduction, limitation, impairment or termination for any reason (other than the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Guarantor may have at any time against any Obligated Party, any Lender Party, or any other person, whether in connection herewith or in any unrelated transactions.</w:t>
      </w:r>
    </w:p>
    <w:p>
      <w:pPr>
        <w:spacing w:after="0" w:line="162" w:lineRule="exact"/>
        <w:rPr>
          <w:sz w:val="20"/>
          <w:szCs w:val="20"/>
          <w:color w:val="auto"/>
        </w:rPr>
      </w:pPr>
    </w:p>
    <w:p>
      <w:pPr>
        <w:jc w:val="both"/>
        <w:ind w:right="20" w:firstLine="1139"/>
        <w:spacing w:after="0" w:line="288" w:lineRule="auto"/>
        <w:tabs>
          <w:tab w:leader="none" w:pos="155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(in each case, other than payment or performance).</w:t>
      </w:r>
    </w:p>
    <w:p>
      <w:pPr>
        <w:spacing w:after="0" w:line="135" w:lineRule="exact"/>
        <w:rPr>
          <w:rFonts w:ascii="Arial" w:cs="Arial" w:eastAsia="Arial" w:hAnsi="Arial"/>
          <w:sz w:val="16"/>
          <w:szCs w:val="16"/>
          <w:color w:val="auto"/>
        </w:rPr>
      </w:pPr>
    </w:p>
    <w:p>
      <w:pPr>
        <w:jc w:val="both"/>
        <w:ind w:firstLine="1139"/>
        <w:spacing w:after="0" w:line="271" w:lineRule="auto"/>
        <w:tabs>
          <w:tab w:leader="none" w:pos="157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Further, the obligations of any Guarantor hereunder are not discharged or impaired or otherwise affected by: (i) the failure of any Lender Party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guarantor of or other person liable for any of the Guaranteed Obligations; (iv) any action or failure to act by any Lender Party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the indefeasible payment in full in cash of the Guaranteed Obligations).</w:t>
      </w:r>
    </w:p>
    <w:p>
      <w:pPr>
        <w:spacing w:after="0" w:line="149" w:lineRule="exact"/>
        <w:rPr>
          <w:sz w:val="20"/>
          <w:szCs w:val="20"/>
          <w:color w:val="auto"/>
        </w:rPr>
      </w:pPr>
    </w:p>
    <w:p>
      <w:pPr>
        <w:jc w:val="both"/>
        <w:ind w:right="20" w:firstLine="572"/>
        <w:spacing w:after="0" w:line="25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Defenses Waived</w:t>
      </w:r>
      <w:r>
        <w:rPr>
          <w:rFonts w:ascii="Arial" w:cs="Arial" w:eastAsia="Arial" w:hAnsi="Arial"/>
          <w:sz w:val="17"/>
          <w:szCs w:val="17"/>
          <w:color w:val="auto"/>
        </w:rPr>
        <w:t>. To the fullest extent permitted by applicable law, each Guarantor hereby waives any defense based on or arising out of any defense of any Borrower or any other Guarantor or the unenforceability of all or any part of the Guaranteed Obligations from any cause, or the cessation from any cause of the liability of any Borrower or any Guarantor, other than the payment or performance.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 fully and indefeasibly paid in cash.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spacing w:after="0" w:line="166"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Rights of Subrogation</w:t>
      </w:r>
      <w:r>
        <w:rPr>
          <w:rFonts w:ascii="Arial" w:cs="Arial" w:eastAsia="Arial" w:hAnsi="Arial"/>
          <w:sz w:val="17"/>
          <w:szCs w:val="17"/>
          <w:color w:val="auto"/>
        </w:rPr>
        <w:t>. No Guarantor will assert any right, claim or cause of action, including, without limitation, a claim of subrogation, contribution or indemnification that it has against any Obligated Party, or any collateral, until the Loan Parties and the Guarantors have fully performed all their obligations to the Lender Parties and no Obligations are outstanding.</w:t>
      </w:r>
    </w:p>
    <w:p>
      <w:pPr>
        <w:spacing w:after="0" w:line="153"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Reinstatement; Stay of Acceleration</w:t>
      </w:r>
      <w:r>
        <w:rPr>
          <w:rFonts w:ascii="Arial" w:cs="Arial" w:eastAsia="Arial" w:hAnsi="Arial"/>
          <w:sz w:val="17"/>
          <w:szCs w:val="17"/>
          <w:color w:val="auto"/>
        </w:rPr>
        <w:t>. If at any time any payment of any portion of the Guaranteed Obligations is rescinded or must otherwise be restored or returned upon the insolvency, bankruptcy, or reorganization of any Borrower or otherwise, each Guarantor’s obligations under this Article VIII with respect to that payment shall be reinstated at such time as though the payment had not been made and whether or not the Lender Parties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Guarantors forthwith on demand by the Lender Parties.</w:t>
      </w:r>
    </w:p>
    <w:p>
      <w:pPr>
        <w:spacing w:after="0" w:line="16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Information</w:t>
      </w:r>
      <w:r>
        <w:rPr>
          <w:rFonts w:ascii="Arial" w:cs="Arial" w:eastAsia="Arial" w:hAnsi="Arial"/>
          <w:sz w:val="17"/>
          <w:szCs w:val="17"/>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Article VIII, and agrees that no Lender Party shall have any duty to advise any Guarantor of information known to it regarding those circumstances or risks.</w:t>
      </w:r>
    </w:p>
    <w:p>
      <w:pPr>
        <w:spacing w:after="0" w:line="157"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Termination</w:t>
      </w:r>
      <w:r>
        <w:rPr>
          <w:rFonts w:ascii="Arial" w:cs="Arial" w:eastAsia="Arial" w:hAnsi="Arial"/>
          <w:sz w:val="17"/>
          <w:szCs w:val="17"/>
          <w:color w:val="auto"/>
        </w:rPr>
        <w:t>. The Lender Parties may continue to make loans or extend credit to the Borrowers based on this Loan Guaranty until five days after it receives written notice of termination from any Guarantor. Notwithstanding receipt of any such notice, each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Taxes</w:t>
      </w:r>
      <w:r>
        <w:rPr>
          <w:rFonts w:ascii="Arial" w:cs="Arial" w:eastAsia="Arial" w:hAnsi="Arial"/>
          <w:sz w:val="17"/>
          <w:szCs w:val="17"/>
          <w:color w:val="auto"/>
        </w:rPr>
        <w:t>. Each payment of the Guaranteed Obligations will be made by each Guarantor without withholding for any Taxes, except as required by applicable law subject to Section 2.17 of the Credit Agreement.</w:t>
      </w:r>
    </w:p>
    <w:p>
      <w:pPr>
        <w:spacing w:after="0" w:line="140" w:lineRule="exact"/>
        <w:rPr>
          <w:sz w:val="20"/>
          <w:szCs w:val="20"/>
          <w:color w:val="auto"/>
        </w:rPr>
      </w:pPr>
    </w:p>
    <w:p>
      <w:pPr>
        <w:jc w:val="both"/>
        <w:ind w:firstLine="572"/>
        <w:spacing w:after="0" w:line="290"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u w:val="single" w:color="auto"/>
          <w:color w:val="auto"/>
        </w:rPr>
        <w:t>Maximum Liability</w:t>
      </w:r>
      <w:r>
        <w:rPr>
          <w:rFonts w:ascii="Arial" w:cs="Arial" w:eastAsia="Arial" w:hAnsi="Arial"/>
          <w:sz w:val="15"/>
          <w:szCs w:val="15"/>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Guarantor under this Loan Guaranty would otherwise be held or determined to be avoidable, invalid or unenforceable on account of the amount of such Guarantor’s liability under this Loan Guaranty, then, notwithstanding any other provision of this Loan Guaranty to the contrary, the amount of such liability shall, without any further action by the Guarantors or the Lender Parties, be automatically limited and reduced to the highest amount that is valid and enforceable as determined in such action or proceeding (such highest amount determined hereunder being the relevant Guarantor’s “</w:t>
      </w:r>
      <w:r>
        <w:rPr>
          <w:rFonts w:ascii="Arial" w:cs="Arial" w:eastAsia="Arial" w:hAnsi="Arial"/>
          <w:sz w:val="15"/>
          <w:szCs w:val="15"/>
          <w:u w:val="single" w:color="auto"/>
          <w:color w:val="auto"/>
        </w:rPr>
        <w:t>Maximum Liability</w:t>
      </w:r>
      <w:r>
        <w:rPr>
          <w:rFonts w:ascii="Arial" w:cs="Arial" w:eastAsia="Arial" w:hAnsi="Arial"/>
          <w:sz w:val="15"/>
          <w:szCs w:val="15"/>
          <w:color w:val="auto"/>
        </w:rPr>
        <w:t>”). This Section with respect to the Maximum Liability of each Guarantor is intended solely to preserve the rights of the Lender Parties to the maximum extent not subject to avoidance under applicable law, and no Guarantor nor any other person or entity shall have any right or claim under this Section with respect to such Maximum Liability, except to the extent necessary so that the obligations of any Guarantor hereunder shall not be rendered voidable under applicable law. Each Guarantor agrees that the Guaranteed Obligations may at</w:t>
      </w:r>
    </w:p>
    <w:p>
      <w:pPr>
        <w:sectPr>
          <w:pgSz w:w="11900" w:h="16855" w:orient="portrait"/>
          <w:cols w:equalWidth="0" w:num="1">
            <w:col w:w="11440"/>
          </w:cols>
          <w:pgMar w:left="240" w:top="124" w:right="219" w:bottom="0" w:gutter="0" w:footer="0" w:header="0"/>
        </w:sectPr>
      </w:pPr>
    </w:p>
    <w:bookmarkStart w:id="124" w:name="page125"/>
    <w:bookmarkEnd w:id="124"/>
    <w:p>
      <w:pPr>
        <w:spacing w:after="0" w:line="65" w:lineRule="exact"/>
        <w:rPr>
          <w:sz w:val="20"/>
          <w:szCs w:val="20"/>
          <w:color w:val="auto"/>
        </w:rPr>
      </w:pPr>
    </w:p>
    <w:p>
      <w:pPr>
        <w:jc w:val="both"/>
        <w:ind w:left="5"/>
        <w:spacing w:after="0" w:line="265" w:lineRule="auto"/>
        <w:rPr>
          <w:sz w:val="20"/>
          <w:szCs w:val="20"/>
          <w:color w:val="auto"/>
        </w:rPr>
      </w:pPr>
      <w:r>
        <w:rPr>
          <w:rFonts w:ascii="Arial" w:cs="Arial" w:eastAsia="Arial" w:hAnsi="Arial"/>
          <w:sz w:val="17"/>
          <w:szCs w:val="17"/>
          <w:color w:val="auto"/>
        </w:rPr>
        <w:t xml:space="preserve">any time and from time to time exceed the Maximum Liability of each Guarantor without impairing this Loan Guaranty or affecting the rights and remedies of the Lender Parties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sentence shall be construed to increase any Guarantor’s obligations hereunder beyond its Maximum Liability.</w:t>
      </w:r>
    </w:p>
    <w:p>
      <w:pPr>
        <w:spacing w:after="0" w:line="152" w:lineRule="exact"/>
        <w:rPr>
          <w:sz w:val="20"/>
          <w:szCs w:val="20"/>
          <w:color w:val="auto"/>
        </w:rPr>
      </w:pPr>
    </w:p>
    <w:p>
      <w:pPr>
        <w:jc w:val="both"/>
        <w:ind w:left="5" w:firstLine="572"/>
        <w:spacing w:after="0" w:line="267"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Contribution</w:t>
      </w:r>
      <w:r>
        <w:rPr>
          <w:rFonts w:ascii="Arial" w:cs="Arial" w:eastAsia="Arial" w:hAnsi="Arial"/>
          <w:sz w:val="16"/>
          <w:szCs w:val="16"/>
          <w:color w:val="auto"/>
        </w:rPr>
        <w:t>. In the event any Guarantor (a “</w:t>
      </w:r>
      <w:r>
        <w:rPr>
          <w:rFonts w:ascii="Arial" w:cs="Arial" w:eastAsia="Arial" w:hAnsi="Arial"/>
          <w:sz w:val="16"/>
          <w:szCs w:val="16"/>
          <w:u w:val="single" w:color="auto"/>
          <w:color w:val="auto"/>
        </w:rPr>
        <w:t>Paying Guarantor</w:t>
      </w:r>
      <w:r>
        <w:rPr>
          <w:rFonts w:ascii="Arial" w:cs="Arial" w:eastAsia="Arial" w:hAnsi="Arial"/>
          <w:sz w:val="16"/>
          <w:szCs w:val="16"/>
          <w:color w:val="auto"/>
        </w:rPr>
        <w:t>”) shall make any payment or payments under this Loan Guaranty or shall suffer any loss as a result of any realization upon any collateral granted by it to secure its obligations under this Loan Guaranty, each other Guarantor (each a “</w:t>
      </w:r>
      <w:r>
        <w:rPr>
          <w:rFonts w:ascii="Arial" w:cs="Arial" w:eastAsia="Arial" w:hAnsi="Arial"/>
          <w:sz w:val="16"/>
          <w:szCs w:val="16"/>
          <w:u w:val="single" w:color="auto"/>
          <w:color w:val="auto"/>
        </w:rPr>
        <w:t>Non-Paying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w:t>
      </w:r>
      <w:r>
        <w:rPr>
          <w:rFonts w:ascii="Arial" w:cs="Arial" w:eastAsia="Arial" w:hAnsi="Arial"/>
          <w:sz w:val="16"/>
          <w:szCs w:val="16"/>
          <w:color w:val="auto"/>
        </w:rPr>
        <w:t>”) shall contribute to such Paying Guarantor an amount equal to such Non-Paying Guarantor’s “Applicable Percentage” of such payment or payments made, or losses suffered, by such Paying Guarantor. For purposes of this Article VIII, each Non-Paying Guarantor’s “Applicable Percentage”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the Borrowers after the Second Restatement Date (whether by loan, capital infusion or by other means) to (ii) the aggregate Maximum Liability of all Guarantor hereunder (including such Paying Guarantor) as of such date (without giving effect to any right to receive, or obligation to make, any contribution hereunder), or to the extent that a Maximum Liability has not been determined for any Guarantor, the aggregate amount of all monies received by such Guarantors from the Borrowers after the Second Restatement Date (whether by loan, capital infusion or by other means). Nothing in this provision shall affect any Guarantor’s several liability for the entire amount of the Guaranteed Obligations (up to such Guarantor’s Maximum Liability). Each of the Guarantors covenants and agrees that its right to receive any contribution under this Loan Guaranty from a Non-Paying Guarantor shall be subordinate and junior in right of payment to the payment in full in cash of the Guaranteed Obligations. This provision is for the benefit of both the Lender Parties and the Guarantors and may be enforced by any one, or more, or all of them in accordance with the terms hereof.</w:t>
      </w:r>
    </w:p>
    <w:p>
      <w:pPr>
        <w:spacing w:after="0" w:line="158" w:lineRule="exact"/>
        <w:rPr>
          <w:sz w:val="20"/>
          <w:szCs w:val="20"/>
          <w:color w:val="auto"/>
        </w:rPr>
      </w:pPr>
    </w:p>
    <w:p>
      <w:pPr>
        <w:jc w:val="both"/>
        <w:ind w:left="5" w:right="20" w:firstLine="572"/>
        <w:spacing w:after="0" w:line="259"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Liability Cumulative</w:t>
      </w:r>
      <w:r>
        <w:rPr>
          <w:rFonts w:ascii="Arial" w:cs="Arial" w:eastAsia="Arial" w:hAnsi="Arial"/>
          <w:sz w:val="17"/>
          <w:szCs w:val="17"/>
          <w:color w:val="auto"/>
        </w:rPr>
        <w:t>. The liability of each Guarantor under this Article VIII is in addition to and shall be cumulative with all liabilities of each Guarantor to the Lender Parties under this US Security Agreement and the other Loan Documents to which such Guarantor is a party or in respect of any obligations or liabilities of the other Loan Parties, without any limitation as to amount, unless the instrument or agreement evidencing or creating such other liability specifically provides to the contrary.</w:t>
      </w:r>
    </w:p>
    <w:p>
      <w:pPr>
        <w:spacing w:after="0" w:line="157" w:lineRule="exact"/>
        <w:rPr>
          <w:sz w:val="20"/>
          <w:szCs w:val="20"/>
          <w:color w:val="auto"/>
        </w:rPr>
      </w:pPr>
    </w:p>
    <w:p>
      <w:pPr>
        <w:jc w:val="both"/>
        <w:ind w:left="5" w:firstLine="572"/>
        <w:spacing w:after="0" w:line="271"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Keepwell</w:t>
      </w:r>
      <w:r>
        <w:rPr>
          <w:rFonts w:ascii="Arial" w:cs="Arial" w:eastAsia="Arial" w:hAnsi="Arial"/>
          <w:sz w:val="16"/>
          <w:szCs w:val="16"/>
          <w:color w:val="auto"/>
        </w:rPr>
        <w:t>. Subject to Section 8.16 hereof and Section 12.01 of the Credit Agreement,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8.13 for the maximum amount of such liability that can be hereby incurred without rendering its obligations under this Section 8.13 or otherwise under this Loan Guaranty voidable under applicable law relating to fraudulent conveyance or fraudulent transfer, and not for any greater amount). Except as otherwise provided herein, the obligations of each Qualified ECP Guarantor under this Section 8.13 shall remain in full force and effect until the termination of all Swap Obligations. Each Qualified ECP Guarantor intends that this Section 8.13 constitute, and this Section 8.13 shall be deemed to constitute, a “keepwell, support, or other agreement” for the benefit of each other Loan Party for all purposes of Section 1a(18)(A)(v)(II) of the Commodity Exchange Act.</w:t>
      </w:r>
    </w:p>
    <w:p>
      <w:pPr>
        <w:spacing w:after="0" w:line="149" w:lineRule="exact"/>
        <w:rPr>
          <w:sz w:val="20"/>
          <w:szCs w:val="20"/>
          <w:color w:val="auto"/>
        </w:rPr>
      </w:pPr>
    </w:p>
    <w:p>
      <w:pPr>
        <w:jc w:val="both"/>
        <w:ind w:left="5" w:firstLine="572"/>
        <w:spacing w:after="0" w:line="272"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Guarantor represents and warrants (i) as of the date hereof that each of the representations and warranties set forth in Article III of the Credit Agreement is true and correct in all material respects as of the date hereof and (ii) as of the date of any Borrowing or the date of issuance, amendment, renewal or extension of any Letter of Credit, as applicable, that each of the representations and warranties set forth in Article III of the Credit Agreement is true and correct in all material respects; except, in each case, that such materiality qualifier shall not be applicable to any representations and warranties that already are qualified or modified by materiality in the text thereof on and as of such date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49" w:lineRule="exact"/>
        <w:rPr>
          <w:sz w:val="20"/>
          <w:szCs w:val="20"/>
          <w:color w:val="auto"/>
        </w:rPr>
      </w:pPr>
    </w:p>
    <w:p>
      <w:pPr>
        <w:jc w:val="both"/>
        <w:ind w:left="5" w:firstLine="572"/>
        <w:spacing w:after="0" w:line="254"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Covenants</w:t>
      </w:r>
      <w:r>
        <w:rPr>
          <w:rFonts w:ascii="Arial" w:cs="Arial" w:eastAsia="Arial" w:hAnsi="Arial"/>
          <w:sz w:val="17"/>
          <w:szCs w:val="17"/>
          <w:color w:val="auto"/>
        </w:rPr>
        <w:t>. Until all the Revolving Commitments have expired or been terminated and the principal of and interest on each Loan and all fees payable under the Credit Agreement shall have been paid in full and all Letters of Credit shall have expired or terminated (or have been cash collateralized in accordance with Section 2.06(k) of the Credit Agreement) and all LC Disbursements shall have been reimbursed, each Guarantor covenants and agrees, jointly and severally with all of the Guarantors but subject to Section 8.16 hereof and Section 12.01 of the Credit Agreement, that each such Guarantor will perform and observe all of the terms, covenants and agreements set forth in the Loan Documents on its or their part to be performed or observed or that Holdings or any Borrower has agreed to cause such Guarantor to perform or observe (including, without limitation, the terms, covenants and agreements set forth in Articles V and VI of the Credit Agreement).</w:t>
      </w:r>
    </w:p>
    <w:p>
      <w:pPr>
        <w:spacing w:after="0" w:line="160" w:lineRule="exact"/>
        <w:rPr>
          <w:sz w:val="20"/>
          <w:szCs w:val="20"/>
          <w:color w:val="auto"/>
        </w:rPr>
      </w:pPr>
    </w:p>
    <w:p>
      <w:pPr>
        <w:jc w:val="both"/>
        <w:ind w:left="5" w:firstLine="572"/>
        <w:spacing w:after="0" w:line="280" w:lineRule="auto"/>
        <w:rPr>
          <w:sz w:val="20"/>
          <w:szCs w:val="20"/>
          <w:color w:val="auto"/>
        </w:rPr>
      </w:pPr>
      <w:r>
        <w:rPr>
          <w:rFonts w:ascii="Arial" w:cs="Arial" w:eastAsia="Arial" w:hAnsi="Arial"/>
          <w:sz w:val="17"/>
          <w:szCs w:val="17"/>
          <w:color w:val="auto"/>
        </w:rPr>
        <w:t xml:space="preserve">8.16. </w:t>
      </w:r>
      <w:r>
        <w:rPr>
          <w:rFonts w:ascii="Arial" w:cs="Arial" w:eastAsia="Arial" w:hAnsi="Arial"/>
          <w:sz w:val="17"/>
          <w:szCs w:val="17"/>
          <w:u w:val="single" w:color="auto"/>
          <w:color w:val="auto"/>
        </w:rPr>
        <w:t>Bifurcation</w:t>
      </w:r>
      <w:r>
        <w:rPr>
          <w:rFonts w:ascii="Arial" w:cs="Arial" w:eastAsia="Arial" w:hAnsi="Arial"/>
          <w:sz w:val="17"/>
          <w:szCs w:val="17"/>
          <w:color w:val="auto"/>
        </w:rPr>
        <w:t>. Notwithstanding any provision to the contrary set forth in this Agreement or any of the other Loan Documents, in no event shall any Canadian Loan Guarantor or Dutch Loan Guarantor be liable for any obligation of any U.S. Loan Party or CFC Subsidiary Holding Company.</w:t>
      </w:r>
    </w:p>
    <w:p>
      <w:pPr>
        <w:spacing w:after="0" w:line="134"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ARTICLE IX</w:t>
      </w:r>
    </w:p>
    <w:p>
      <w:pPr>
        <w:spacing w:after="0" w:line="27"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GENERAL PROVISIONS</w:t>
      </w:r>
    </w:p>
    <w:p>
      <w:pPr>
        <w:spacing w:after="0" w:line="398" w:lineRule="exact"/>
        <w:rPr>
          <w:sz w:val="20"/>
          <w:szCs w:val="20"/>
          <w:color w:val="auto"/>
        </w:rPr>
      </w:pPr>
    </w:p>
    <w:p>
      <w:pPr>
        <w:jc w:val="both"/>
        <w:ind w:left="525" w:hanging="525"/>
        <w:spacing w:after="0" w:line="268" w:lineRule="auto"/>
        <w:tabs>
          <w:tab w:leader="none" w:pos="52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at least ten (10) days prior to (i) the date of any such public sale or (ii) the time after which any such private sale or other disposition may be made. To the maximum extent permitted by applicable law, each Grantor waives all claims, damages, and demands against the Administrative Agent or any Lender arising out of the repossession, retention or sale of the Collateral, except to the extent arising out of the bad faith, gross negligence or willful misconduct of the Administrative Agent or such Lender as finally determined by a court of competent jurisdiction. To the extent it may lawfully do so, each Grantor absolutely and irrevocably waives and relinquishes the benefit and advantage of, and covenants not to assert against the Administrative Agent or any Lender,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US Security Agreement, or otherwise. Except as otherwise specifically provided herein, each Grantor hereby waives presentment, demand, protest or any notice (to the maximum extent permitted by applicable law) of any kind in connection with this US Security Agreement or any Collateral.</w:t>
      </w:r>
    </w:p>
    <w:p>
      <w:pPr>
        <w:spacing w:after="0" w:line="168" w:lineRule="exact"/>
        <w:rPr>
          <w:sz w:val="20"/>
          <w:szCs w:val="20"/>
          <w:color w:val="auto"/>
        </w:rPr>
      </w:pPr>
    </w:p>
    <w:p>
      <w:pPr>
        <w:jc w:val="both"/>
        <w:ind w:left="5" w:firstLine="572"/>
        <w:spacing w:after="0" w:line="288"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Limitation on Administrative Agent's and Lenders' Duty with Respect to the Collateral</w:t>
      </w:r>
      <w:r>
        <w:rPr>
          <w:rFonts w:ascii="Arial" w:cs="Arial" w:eastAsia="Arial" w:hAnsi="Arial"/>
          <w:sz w:val="15"/>
          <w:szCs w:val="15"/>
          <w:color w:val="auto"/>
        </w:rPr>
        <w:t>. The Administrative Agent shall have no obligation to clean-up or otherwise prepare the Collateral for sale. The Administrative Agent and each Lender shall use reasonable care with respect to the Collateral in its possession or under its control. Neither the Administrative Agent nor any Lender shall have any other duty as to any Collateral in its possession or control or in the possession or control of any agent or nominee of the Administrative Agent or such Lender,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w:t>
      </w:r>
    </w:p>
    <w:p>
      <w:pPr>
        <w:sectPr>
          <w:pgSz w:w="11900" w:h="16903" w:orient="portrait"/>
          <w:cols w:equalWidth="0" w:num="1">
            <w:col w:w="11445"/>
          </w:cols>
          <w:pgMar w:left="235" w:top="124" w:right="219" w:bottom="0" w:gutter="0" w:footer="0" w:header="0"/>
        </w:sectPr>
      </w:pPr>
    </w:p>
    <w:bookmarkStart w:id="125" w:name="page126"/>
    <w:bookmarkEnd w:id="125"/>
    <w:p>
      <w:pPr>
        <w:jc w:val="both"/>
        <w:spacing w:after="0" w:line="268" w:lineRule="auto"/>
        <w:rPr>
          <w:sz w:val="20"/>
          <w:szCs w:val="20"/>
          <w:color w:val="auto"/>
        </w:rPr>
      </w:pPr>
      <w:r>
        <w:rPr>
          <w:rFonts w:ascii="Arial" w:cs="Arial" w:eastAsia="Arial" w:hAnsi="Arial"/>
          <w:sz w:val="16"/>
          <w:szCs w:val="16"/>
          <w:color w:val="auto"/>
        </w:rPr>
        <w:t>other Persons, whether or not in the same business as such Grantor, for expressions of interest in acquiring all or any portion of the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Section 9.2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9.2. Without limitation upon the foregoing, nothing contained in this Section 9.2 shall be construed to grant any rights to any Grantor or to impose any duties on the Administrative Agent that would not have been granted or imposed by this US Security Agreement or by applicable law in the absence of this Section 9.2.</w:t>
      </w:r>
    </w:p>
    <w:p>
      <w:pPr>
        <w:spacing w:after="0" w:line="166"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subject to the terms of the ABL-Term Loan Intercreditor Agreement, at any time and from time to time, if an Event of Default has occurred and is continuing, compromise with the obligor on any Receivable, accept in full payment of any Receivable such amount as the Administrative Agent in its Permitted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74"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Secured Party Performance of Debtor Obligations</w:t>
      </w:r>
      <w:r>
        <w:rPr>
          <w:rFonts w:ascii="Arial" w:cs="Arial" w:eastAsia="Arial" w:hAnsi="Arial"/>
          <w:sz w:val="16"/>
          <w:szCs w:val="16"/>
          <w:color w:val="auto"/>
        </w:rPr>
        <w:t>. Without having any obligation to do so, subject to the terms of the ABL-Term Loan Intercreditor Agreement, the Administrative Agent may perform or pay any obligation which any Grantor has agreed to perform or pay in this US Security Agreement and the Grantors shall reimburse the Administrative Agent for any amounts paid by the Administrative Agent pursuant to this Section 9.4. The Grantors’ obligation to reimburse the Administrative Agent pursuant to the preceding sentence shall be a Secured Obligation payable on demand.</w:t>
      </w:r>
    </w:p>
    <w:p>
      <w:pPr>
        <w:spacing w:after="0" w:line="154"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Specific Performance of Certain Covenants</w:t>
      </w:r>
      <w:r>
        <w:rPr>
          <w:rFonts w:ascii="Arial" w:cs="Arial" w:eastAsia="Arial" w:hAnsi="Arial"/>
          <w:sz w:val="17"/>
          <w:szCs w:val="17"/>
          <w:color w:val="auto"/>
        </w:rPr>
        <w:t xml:space="preserve">. Each Grantor acknowledges and agrees that a breach of any of the covenants contained in Sections 4.1(d), 4.1(e), 4.4, 4.5, 4.6, 4.7, 4.8, 4.9, 4.11, 4.12, 4.13, 4.15, 5.3, or 8.7 or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cause irreparable injury to the Administrative Agent and the Lenders, that the Administrative Agent and Lenders have no adequate remedy at law in respect of such breaches and therefore agrees, without limiting the right of the Administrative Agent or the Lenders to seek and obtain specific performance of other obligations of the Grantors contained in this US Security Agreement, that, subject to the terms of the ABL-Term Loan Intercreditor Agreement, the covenants of the Grantors contained in the Sections referred to in this Section 9.5 shall be specifically enforceable against the Grantors.</w:t>
      </w:r>
    </w:p>
    <w:p>
      <w:pPr>
        <w:spacing w:after="0" w:line="172"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Dispositions Not Authorized</w:t>
      </w:r>
      <w:r>
        <w:rPr>
          <w:rFonts w:ascii="Arial" w:cs="Arial" w:eastAsia="Arial" w:hAnsi="Arial"/>
          <w:sz w:val="17"/>
          <w:szCs w:val="17"/>
          <w:color w:val="auto"/>
        </w:rPr>
        <w:t>. No Grantor is authorized to sell or otherwise dispose of the Collateral except as set forth in Section 4.1(d) and notwithstanding any course of dealing between any Grantor and the Administrative Agent or other conduct of the Administrative Agent, no authorization to sell or otherwise dispose of the Collateral (except as set forth in Section 4.1(d) or as otherwise permitted under the Credit Agreement) shall be binding upon the Administrative Agent or the Lenders unless such authorization is in writing signed by the Administrative Agent with the consent or at the direction of the Required Secured Parties.</w:t>
      </w:r>
    </w:p>
    <w:p>
      <w:pPr>
        <w:spacing w:after="0" w:line="173"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 Waiver; Amendments; Cumulative Remedies</w:t>
      </w:r>
      <w:r>
        <w:rPr>
          <w:rFonts w:ascii="Arial" w:cs="Arial" w:eastAsia="Arial" w:hAnsi="Arial"/>
          <w:sz w:val="16"/>
          <w:szCs w:val="16"/>
          <w:color w:val="auto"/>
        </w:rPr>
        <w:t>. No delay or omission of the Administrative Agent or any Lender to exercise any right or remedy granted under this US Security Agreement shall impair such right or remedy or be construed to be a waiver of any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US Security Agreement whatsoever shall be valid unless in writing signed by the Administrative Agent with the concurrence or at the direction of the Lenders required under Section 9.02 of the Credit Agreement and then only to the extent in such writing specifically set forth. All rights and remedies contained in this US Security Agreement or by law afforded shall be cumulative and all shall be available to the Administrative Agent and the Lenders until the termination of this US Security Agreement in accordance with Section 9.16.</w:t>
      </w:r>
    </w:p>
    <w:p>
      <w:pPr>
        <w:spacing w:after="0" w:line="161"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Limitation by Law; Severability of Provisions</w:t>
      </w:r>
      <w:r>
        <w:rPr>
          <w:rFonts w:ascii="Arial" w:cs="Arial" w:eastAsia="Arial" w:hAnsi="Arial"/>
          <w:sz w:val="17"/>
          <w:szCs w:val="17"/>
          <w:color w:val="auto"/>
        </w:rPr>
        <w:t>. All rights, remedies and powers provided in this US Security Agreement may be exercised only to the extent that the exercise thereof does not violate any applicable provision of law, and all the provisions of this US Security Agreement are intended to be subject to all applicable mandatory provisions of law that may be controlling and to be limited to the extent necessary so that they shall not render this US Security Agreement invalid, unenforceable or not entitled to be recorded or registered, in whole or in part. Any provision in this US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US Security Agreement are declared to be severable.</w:t>
      </w:r>
    </w:p>
    <w:p>
      <w:pPr>
        <w:spacing w:after="0" w:line="172" w:lineRule="exact"/>
        <w:rPr>
          <w:sz w:val="20"/>
          <w:szCs w:val="20"/>
          <w:color w:val="auto"/>
        </w:rPr>
      </w:pPr>
    </w:p>
    <w:p>
      <w:pPr>
        <w:jc w:val="both"/>
        <w:ind w:right="20" w:firstLine="572"/>
        <w:spacing w:after="0" w:line="253"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Reinstatement</w:t>
      </w:r>
      <w:r>
        <w:rPr>
          <w:rFonts w:ascii="Arial" w:cs="Arial" w:eastAsia="Arial" w:hAnsi="Arial"/>
          <w:sz w:val="17"/>
          <w:szCs w:val="17"/>
          <w:color w:val="auto"/>
        </w:rPr>
        <w:t>. This US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to the extent of the payment so rescinded, reduced, restored or returned and shall be reduced only by such amount paid and not so rescinded, reduced, restored or returned.</w:t>
      </w:r>
    </w:p>
    <w:p>
      <w:pPr>
        <w:spacing w:after="0" w:line="174"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US Security Agreement shall be binding upon and inure to the benefit of the Grantors, the Agents and the Lenders and their respective successors and assigns (including all persons who become bound as a debtor to this US Security Agreement), except that no Grantor shall have the right to assign its rights or delegate its obligations under this US Security Agreement or any interest herein, without the prior written consent of the Administrative Agent. No sales of participations, assignments, transfers, or other dispositions of any agreement governing the Secured Obligations or any portion thereof or interest therein shall in any manner impair the Lien granted to the Administrative Agent, for the benefit of itself, the Canadian Administrative Agent and the Lenders, hereunder.</w:t>
      </w:r>
    </w:p>
    <w:p>
      <w:pPr>
        <w:spacing w:after="0" w:line="17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Survival of Representations</w:t>
      </w:r>
      <w:r>
        <w:rPr>
          <w:rFonts w:ascii="Arial" w:cs="Arial" w:eastAsia="Arial" w:hAnsi="Arial"/>
          <w:sz w:val="17"/>
          <w:szCs w:val="17"/>
          <w:color w:val="auto"/>
        </w:rPr>
        <w:t>. All representations and warranties of the Grantors contained in this US Security Agreement shall survive the execution and delivery of this US Security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Taxes and Expenses</w:t>
      </w:r>
      <w:r>
        <w:rPr>
          <w:rFonts w:ascii="Arial" w:cs="Arial" w:eastAsia="Arial" w:hAnsi="Arial"/>
          <w:sz w:val="17"/>
          <w:szCs w:val="17"/>
          <w:color w:val="auto"/>
        </w:rPr>
        <w:t>. The Grantors shall be joint and severally obligated to reimburse the Administrative Agent and the Lenders for any amounts due by a Loan Party under Section 2.17 and Section 9.03 of the Credit Agreement.</w:t>
      </w:r>
    </w:p>
    <w:p>
      <w:pPr>
        <w:spacing w:after="0" w:line="152"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Headings</w:t>
      </w:r>
      <w:r>
        <w:rPr>
          <w:rFonts w:ascii="Arial" w:cs="Arial" w:eastAsia="Arial" w:hAnsi="Arial"/>
          <w:sz w:val="17"/>
          <w:szCs w:val="17"/>
          <w:color w:val="auto"/>
        </w:rPr>
        <w:t>. The title of and section headings in this US Security Agreement are for convenience of reference only, and shall not govern the interpretation of any of the terms and provisions of this US Security Agreement.</w:t>
      </w:r>
    </w:p>
    <w:p>
      <w:pPr>
        <w:sectPr>
          <w:pgSz w:w="11900" w:h="16838" w:orient="portrait"/>
          <w:cols w:equalWidth="0" w:num="1">
            <w:col w:w="11440"/>
          </w:cols>
          <w:pgMar w:left="240" w:top="124" w:right="219" w:bottom="0" w:gutter="0" w:footer="0" w:header="0"/>
        </w:sectPr>
      </w:pPr>
    </w:p>
    <w:bookmarkStart w:id="126" w:name="page127"/>
    <w:bookmarkEnd w:id="126"/>
    <w:p>
      <w:pPr>
        <w:jc w:val="both"/>
        <w:ind w:firstLine="572"/>
        <w:spacing w:after="0" w:line="254"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Other Pledge Agreements</w:t>
      </w:r>
      <w:r>
        <w:rPr>
          <w:rFonts w:ascii="Arial" w:cs="Arial" w:eastAsia="Arial" w:hAnsi="Arial"/>
          <w:sz w:val="17"/>
          <w:szCs w:val="17"/>
          <w:color w:val="auto"/>
        </w:rPr>
        <w:t>. The parties acknowledge and agree that certain of the Equity Interests constituting Pledged Collateral under this US Security Agreement (the “</w:t>
      </w:r>
      <w:r>
        <w:rPr>
          <w:rFonts w:ascii="Arial" w:cs="Arial" w:eastAsia="Arial" w:hAnsi="Arial"/>
          <w:sz w:val="17"/>
          <w:szCs w:val="17"/>
          <w:u w:val="single" w:color="auto"/>
          <w:color w:val="auto"/>
        </w:rPr>
        <w:t>Applicable Equity Interests</w:t>
      </w:r>
      <w:r>
        <w:rPr>
          <w:rFonts w:ascii="Arial" w:cs="Arial" w:eastAsia="Arial" w:hAnsi="Arial"/>
          <w:sz w:val="17"/>
          <w:szCs w:val="17"/>
          <w:color w:val="auto"/>
        </w:rPr>
        <w:t>”) may also be pledged to the Administrative Agent under a pledge agreement governed by the laws of Canada (or one or more provinces thereof) or the Netherlands (collectively, the “</w:t>
      </w:r>
      <w:r>
        <w:rPr>
          <w:rFonts w:ascii="Arial" w:cs="Arial" w:eastAsia="Arial" w:hAnsi="Arial"/>
          <w:sz w:val="17"/>
          <w:szCs w:val="17"/>
          <w:u w:val="single" w:color="auto"/>
          <w:color w:val="auto"/>
        </w:rPr>
        <w:t>Foreign Pledge Agreements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Foreign Pledge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If, in connection with any exercise of remedies by the Administrative Agent under any Foreign Pledge Agreement, a court of competent jurisdiction in Canada or the Netherlands, as applicable, determines that the pledge of the Applicable Equity Interests is governed by such Foreign Pledge Agreement, then such Foreign Pledge Agreement (and not this US Security Agreement) shall control and shall supersede this US Security Agreement, in each case, solely with respect to the pledge of such Applicable Equity Interests.</w:t>
      </w:r>
    </w:p>
    <w:p>
      <w:pPr>
        <w:spacing w:after="0" w:line="172"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Credit Agreement; Intercreditor Agreement; ABL-Term Loan Intercreditor Agreement</w:t>
      </w:r>
      <w:r>
        <w:rPr>
          <w:rFonts w:ascii="Arial" w:cs="Arial" w:eastAsia="Arial" w:hAnsi="Arial"/>
          <w:sz w:val="16"/>
          <w:szCs w:val="16"/>
          <w:color w:val="auto"/>
        </w:rPr>
        <w:t>. Notwithstanding any other provision of this US Security Agreement, the rights of the parties hereunder are subject to the provisions of the Credit Agreement, including the provisions thereof pertaining to the rights and responsibilities of the Administrative Agent. In the event that any provision of this US Security Agreement is in conflict with the terms of the Credit Agreement, the Credit Agreement shall control. Furthermore, notwithstanding any other provision of this US Security Agreement, the rights of the parties hereunder are subject to the provisions of the Intercreditor Agreement, including the provisions thereof pertaining to the rights and responsibilities of the Administrative Agent with respect to Accounts. To the extent any provision of this US Security Agreement pertaining to Accounts is in conflict with the terms of the Intercreditor Agreement, the Intercreditor Agreement shall control. Notwithstanding anything herein to the contrary, the rights of the parties hereunder and the priority of the Lien and security interest granted to the Administrative Agent pursuant hereto or pursuant to any other Loan Document and the exercise of any right or remedy in respect of the Collateral by the Administrative Agent hereunder or under any other Loan Document are subject to the provisions of the ABL-Term Loan Intercreditor Agreement. To the extent any provision of this US Security Agreement (other than Article II hereof) is in conflict with the terms of the ABL-Term Loan Intercreditor Agreement, the ABL-Term Loan Intercreditor Agreement shall control. The delivery of any Collateral to the Collateral Agent (as defined in the Term Loan Agreement) under the Term Loan Agreement pursuant to the Term Loan Documents shall satisfy any delivery requirement hereunder or under any other Loan Document to the extent that such delivery is consistent with the terms of the ABL-Term Loan Intercreditor Agreement.</w:t>
      </w:r>
    </w:p>
    <w:p>
      <w:pPr>
        <w:spacing w:after="0" w:line="165"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7"/>
          <w:szCs w:val="17"/>
          <w:color w:val="auto"/>
        </w:rPr>
        <w:t>9.15.</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198" w:lineRule="exact"/>
        <w:rPr>
          <w:sz w:val="20"/>
          <w:szCs w:val="20"/>
          <w:color w:val="auto"/>
        </w:rPr>
      </w:pPr>
    </w:p>
    <w:p>
      <w:pPr>
        <w:jc w:val="both"/>
        <w:ind w:right="20" w:firstLine="1139"/>
        <w:spacing w:after="0" w:line="276" w:lineRule="auto"/>
        <w:tabs>
          <w:tab w:leader="none" w:pos="155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This US Security Agreement shall continue in effect (notwithstanding the fact that from time to time there may be no Secured Obligations outstanding) until (i) the Credit Agreement has terminated pursuant to its express terms and (ii) all of the Secured Obligations (other than unasserted contingent obligations) have been paid in full (or with respect to any outstanding Letters of Credit, a cash deposit or a Supporting Letter of Credit has been delivered to the Administrative Agent as required by the Credit Agreement) and no commitments of the Administrative Agent or the Lenders which would give rise to any Secured Obligations are outstanding (notwithstanding the fact that there may be other Secured Obligations outstanding) (such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1139"/>
        <w:spacing w:after="0" w:line="272" w:lineRule="auto"/>
        <w:tabs>
          <w:tab w:leader="none" w:pos="166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(i) any Grantor ceases to be a Borrower or a Guarantor in a transaction permitted by the Credit Agreement or becomes an Excluded Subsidiary or (ii) any property of a Grantor is sold or otherwise disposed of pursuant to a transaction permitted by the terms of the Credit Agreement or otherwise constitutes Excluded Collateral (each a “Release Transaction”), at the request of the Grantors, the Administrative Agent will (A) in connection with a Release Transaction under subclause (i) above, promptly release such Grantor from its obligations hereunder and (B) in connection with a Release Transaction under subclause (ii) above, promptly release such property from the security interest created hereunder, in each case, concurrently with the consummation of such Release Transaction. Upon such release or on or after the Termination Date, the Administrative Agent will, at the reasonable request of the Grantors and at the Grantor’s sole cost and expense, will promptly execute and deliver such releases to evidence the foregoing.</w:t>
      </w:r>
    </w:p>
    <w:p>
      <w:pPr>
        <w:spacing w:after="0" w:line="161"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US Security Agreement embodies the entire agreement and understanding between the Grantors and the Administrative Agent relating to the Collateral and supersedes all prior agreements and understandings between the Grantors and the Administrative Agent relating to the Collateral.</w:t>
      </w:r>
    </w:p>
    <w:p>
      <w:pPr>
        <w:spacing w:after="0" w:line="159"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THIS US SECURITY AGREEMENT SHALL BE GOVERNED BY, AND CONSTRUED IN ACCORDANCE WITH,</w:t>
      </w:r>
      <w:r>
        <w:rPr>
          <w:rFonts w:ascii="Arial" w:cs="Arial" w:eastAsia="Arial" w:hAnsi="Arial"/>
          <w:sz w:val="17"/>
          <w:szCs w:val="17"/>
          <w:color w:val="auto"/>
        </w:rPr>
        <w:t xml:space="preserve"> </w:t>
      </w:r>
      <w:r>
        <w:rPr>
          <w:rFonts w:ascii="Arial" w:cs="Arial" w:eastAsia="Arial" w:hAnsi="Arial"/>
          <w:sz w:val="17"/>
          <w:szCs w:val="17"/>
          <w:b w:val="1"/>
          <w:bCs w:val="1"/>
          <w:color w:val="auto"/>
        </w:rPr>
        <w:t>THE INTERNAL LAWS (AND NOT THE LAW OF CONFLICTS) OF THE STATE OF NEW YORK, BUT GIVING EFFECT TO FEDERAL LAWS APPLICABLE TO NATIONAL BANKS.</w:t>
      </w:r>
    </w:p>
    <w:p>
      <w:pPr>
        <w:spacing w:after="0" w:line="155" w:lineRule="exact"/>
        <w:rPr>
          <w:sz w:val="20"/>
          <w:szCs w:val="20"/>
          <w:color w:val="auto"/>
        </w:rPr>
      </w:pPr>
    </w:p>
    <w:p>
      <w:pPr>
        <w:jc w:val="both"/>
        <w:ind w:firstLine="572"/>
        <w:spacing w:after="0" w:line="206" w:lineRule="exact"/>
        <w:rPr>
          <w:sz w:val="20"/>
          <w:szCs w:val="20"/>
          <w:color w:val="auto"/>
        </w:rPr>
      </w:pPr>
      <w:r>
        <w:rPr>
          <w:rFonts w:ascii="Arial" w:cs="Arial" w:eastAsia="Arial" w:hAnsi="Arial"/>
          <w:sz w:val="17"/>
          <w:szCs w:val="17"/>
          <w:color w:val="auto"/>
        </w:rPr>
        <w:t xml:space="preserve">9.18. </w:t>
      </w:r>
      <w:r>
        <w:rPr>
          <w:rFonts w:ascii="Arial" w:cs="Arial" w:eastAsia="Arial" w:hAnsi="Arial"/>
          <w:sz w:val="17"/>
          <w:szCs w:val="17"/>
          <w:b w:val="1"/>
          <w:bCs w:val="1"/>
          <w:u w:val="single" w:color="auto"/>
          <w:color w:val="auto"/>
        </w:rPr>
        <w:t>CONSENT TO JURISDICTION</w:t>
      </w:r>
      <w:r>
        <w:rPr>
          <w:rFonts w:ascii="Arial" w:cs="Arial" w:eastAsia="Arial" w:hAnsi="Arial"/>
          <w:sz w:val="17"/>
          <w:szCs w:val="17"/>
          <w:b w:val="1"/>
          <w:bCs w:val="1"/>
          <w:color w:val="auto"/>
        </w:rPr>
        <w:t>. EACH PARTY HERETO HEREBY IRREVOCABLY SUBMITS TO THE 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EXCLUSIVE</w:t>
      </w:r>
      <w:r>
        <w:rPr>
          <w:rFonts w:ascii="Arial" w:cs="Arial" w:eastAsia="Arial" w:hAnsi="Arial"/>
          <w:sz w:val="17"/>
          <w:szCs w:val="17"/>
          <w:color w:val="auto"/>
        </w:rPr>
        <w:t xml:space="preserve"> </w:t>
      </w:r>
      <w:r>
        <w:rPr>
          <w:rFonts w:ascii="Arial" w:cs="Arial" w:eastAsia="Arial" w:hAnsi="Arial"/>
          <w:sz w:val="17"/>
          <w:szCs w:val="17"/>
          <w:b w:val="1"/>
          <w:bCs w:val="1"/>
          <w:color w:val="auto"/>
        </w:rPr>
        <w:t>JURISDICTION OF ANY U.S. FEDERAL OR NEW YORK STATE COURT SITTING IN NEW YORK, NEW YORK IN ANY ACTION OR PROCEEDING ARISING OUT OF OR RELATING TO THIS US SECURITY AGREEMENT OR ANY OTHER LOAN DOCUMENT AND EACH PARTY HERETO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OR ANY LENDER TO BRING PROCEEDINGS AGAINST ANY GRANTOR IN THE COURTS OF ANY OTHER JURISDICTION. ANY JUDICIAL PROCEEDING BY ANY GRANTOR AGAINST THE ADMINISTRATIVE AGENT OR ANY LENDER OR ANY AFFILIATE OF THE ADMINISTRATIVE AGENT OR ANY LENDER INVOLVING, DIRECTLY OR INDIRECTLY, ANY MATTER IN ANY WAY ARISING OUT OF, RELATED TO, OR CONNECTED WITH THIS US SECURITY AGREEMENT OR ANY OTHER LOAN DOCUMENT SHALL BE BROUGHT ONLY IN A COURT IN NEW YORK, NEW YORK.</w:t>
      </w:r>
    </w:p>
    <w:p>
      <w:pPr>
        <w:spacing w:after="0" w:line="375"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7"/>
          <w:szCs w:val="17"/>
          <w:color w:val="auto"/>
        </w:rPr>
        <w:t xml:space="preserve">9.19.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GRANTOR, THE ADMINISTRATIVE AGENT AND EACH LENDER HEREBY WAIVE TRIAL</w:t>
      </w:r>
      <w:r>
        <w:rPr>
          <w:rFonts w:ascii="Arial" w:cs="Arial" w:eastAsia="Arial" w:hAnsi="Arial"/>
          <w:sz w:val="17"/>
          <w:szCs w:val="17"/>
          <w:color w:val="auto"/>
        </w:rPr>
        <w:t xml:space="preserve"> </w:t>
      </w:r>
      <w:r>
        <w:rPr>
          <w:rFonts w:ascii="Arial" w:cs="Arial" w:eastAsia="Arial" w:hAnsi="Arial"/>
          <w:sz w:val="17"/>
          <w:szCs w:val="17"/>
          <w:b w:val="1"/>
          <w:bCs w:val="1"/>
          <w:color w:val="auto"/>
        </w:rPr>
        <w:t>BY JURY IN ANY JUDICIAL PROCEEDING INVOLVING, DIRECTLY OR INDIRECTLY, ANY MATTER (WHETHER SOUNDING IN TORT, CONTRACT OR OTHERWISE) IN ANY WAY ARISING OUT OF, RELATED TO, OR CONNECTED WITH THIS US SECURITY AGREEMENT OR ANY OTHER LOAN DOCUMENT OR THE RELATIONSHIP ESTABLISHED THEREUNDER.</w:t>
      </w:r>
    </w:p>
    <w:p>
      <w:pPr>
        <w:spacing w:after="0" w:line="168" w:lineRule="exact"/>
        <w:rPr>
          <w:sz w:val="20"/>
          <w:szCs w:val="20"/>
          <w:color w:val="auto"/>
        </w:rPr>
      </w:pPr>
    </w:p>
    <w:p>
      <w:pPr>
        <w:jc w:val="both"/>
        <w:ind w:right="20" w:firstLine="572"/>
        <w:spacing w:after="0" w:line="255" w:lineRule="auto"/>
        <w:rPr>
          <w:sz w:val="20"/>
          <w:szCs w:val="20"/>
          <w:color w:val="auto"/>
        </w:rPr>
      </w:pPr>
      <w:r>
        <w:rPr>
          <w:rFonts w:ascii="Arial" w:cs="Arial" w:eastAsia="Arial" w:hAnsi="Arial"/>
          <w:sz w:val="17"/>
          <w:szCs w:val="17"/>
          <w:color w:val="auto"/>
        </w:rPr>
        <w:t xml:space="preserve">9.20.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The Grantors hereby agree that the provisions of Section 9.03(b) of the Credit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with respect to any and all losses, claims, damages, liabilities and related expenses incurred or asserted against any Indemnitee arising out of, in connection with, or as a result of this US Security Agreement, or the manufacture, purchase, acceptance, rejection, ownership, delivery, lease, possession, use, operation, condition, sale, return or other disposition of any Collateral (including, without limitation, latent and other defects, whether or not discoverable by the Administrative Agent, the Lenders or the Grantors, and any claim for Patent, Trademark or Copyright infringement), in each case, subject to the limitations set forth in Section 9.03(b) of the Credit Agreement.</w:t>
      </w:r>
    </w:p>
    <w:p>
      <w:pPr>
        <w:spacing w:after="0" w:line="172"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 xml:space="preserve">9.21. </w:t>
      </w:r>
      <w:r>
        <w:rPr>
          <w:rFonts w:ascii="Arial" w:cs="Arial" w:eastAsia="Arial" w:hAnsi="Arial"/>
          <w:sz w:val="17"/>
          <w:szCs w:val="17"/>
          <w:u w:val="single" w:color="auto"/>
          <w:color w:val="auto"/>
        </w:rPr>
        <w:t>Counterparts</w:t>
      </w:r>
      <w:r>
        <w:rPr>
          <w:rFonts w:ascii="Arial" w:cs="Arial" w:eastAsia="Arial" w:hAnsi="Arial"/>
          <w:sz w:val="17"/>
          <w:szCs w:val="17"/>
          <w:color w:val="auto"/>
        </w:rPr>
        <w:t>. This US Security Agreement may be executed in any number of counterparts, all of which taken together shall constitute one agreement, and any of the parties hereto may execute this US Security Agreement by signing any such counterpart. Delivery of an executed counterpart of a signature page of this US Security Agreement by facsimile or other electronic transmission shall be effective as delivery of a manually executed counterpart of this US Security Agreement.</w:t>
      </w:r>
    </w:p>
    <w:p>
      <w:pPr>
        <w:spacing w:after="0" w:line="176"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7"/>
          <w:szCs w:val="17"/>
          <w:color w:val="auto"/>
        </w:rPr>
        <w:t>9.22.</w:t>
      </w:r>
      <w:r>
        <w:rPr>
          <w:sz w:val="20"/>
          <w:szCs w:val="20"/>
          <w:color w:val="auto"/>
        </w:rPr>
        <w:tab/>
      </w:r>
      <w:r>
        <w:rPr>
          <w:rFonts w:ascii="Arial" w:cs="Arial" w:eastAsia="Arial" w:hAnsi="Arial"/>
          <w:sz w:val="15"/>
          <w:szCs w:val="15"/>
          <w:u w:val="single" w:color="auto"/>
          <w:color w:val="auto"/>
        </w:rPr>
        <w:t xml:space="preserve">Perfection Certificate. </w:t>
      </w:r>
      <w:r>
        <w:rPr>
          <w:rFonts w:ascii="Arial" w:cs="Arial" w:eastAsia="Arial" w:hAnsi="Arial"/>
          <w:sz w:val="15"/>
          <w:szCs w:val="15"/>
          <w:color w:val="auto"/>
        </w:rPr>
        <w:t>The Perfection Certificate attached as</w:t>
      </w:r>
      <w:r>
        <w:rPr>
          <w:rFonts w:ascii="Arial" w:cs="Arial" w:eastAsia="Arial" w:hAnsi="Arial"/>
          <w:sz w:val="15"/>
          <w:szCs w:val="15"/>
          <w:u w:val="single" w:color="auto"/>
          <w:color w:val="auto"/>
        </w:rPr>
        <w:t xml:space="preserve"> Exhibit J </w:t>
      </w:r>
      <w:r>
        <w:rPr>
          <w:rFonts w:ascii="Arial" w:cs="Arial" w:eastAsia="Arial" w:hAnsi="Arial"/>
          <w:sz w:val="15"/>
          <w:szCs w:val="15"/>
          <w:color w:val="auto"/>
        </w:rPr>
        <w:t>hereto is</w:t>
      </w:r>
      <w:r>
        <w:rPr>
          <w:rFonts w:ascii="Arial" w:cs="Arial" w:eastAsia="Arial" w:hAnsi="Arial"/>
          <w:sz w:val="15"/>
          <w:szCs w:val="15"/>
          <w:u w:val="single" w:color="auto"/>
          <w:color w:val="auto"/>
        </w:rPr>
        <w:t xml:space="preserve"> </w:t>
      </w:r>
      <w:r>
        <w:rPr>
          <w:rFonts w:ascii="Arial" w:cs="Arial" w:eastAsia="Arial" w:hAnsi="Arial"/>
          <w:sz w:val="16"/>
          <w:szCs w:val="16"/>
          <w:color w:val="auto"/>
        </w:rPr>
        <w:t>hereby incorporated by reference.</w:t>
      </w:r>
    </w:p>
    <w:p>
      <w:pPr>
        <w:spacing w:after="0" w:line="232"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X</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NOTICES</w:t>
      </w:r>
    </w:p>
    <w:p>
      <w:pPr>
        <w:sectPr>
          <w:pgSz w:w="11900" w:h="16838" w:orient="portrait"/>
          <w:cols w:equalWidth="0" w:num="1">
            <w:col w:w="11440"/>
          </w:cols>
          <w:pgMar w:left="240" w:top="327" w:right="219" w:bottom="0" w:gutter="0" w:footer="0" w:header="0"/>
        </w:sectPr>
      </w:pPr>
    </w:p>
    <w:bookmarkStart w:id="127" w:name="page128"/>
    <w:bookmarkEnd w:id="127"/>
    <w:p>
      <w:pPr>
        <w:spacing w:after="0" w:line="40"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Sending Notices</w:t>
      </w:r>
      <w:r>
        <w:rPr>
          <w:rFonts w:ascii="Arial" w:cs="Arial" w:eastAsia="Arial" w:hAnsi="Arial"/>
          <w:sz w:val="17"/>
          <w:szCs w:val="17"/>
          <w:color w:val="auto"/>
        </w:rPr>
        <w:t>. Any notice required or permitted to be given under this US Security Agreement shall be sent in accordance with Section 9.01 of the Credit Agreement.</w:t>
      </w:r>
    </w:p>
    <w:p>
      <w:pPr>
        <w:spacing w:after="0" w:line="152"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Change in Address for Notices</w:t>
      </w:r>
      <w:r>
        <w:rPr>
          <w:rFonts w:ascii="Arial" w:cs="Arial" w:eastAsia="Arial" w:hAnsi="Arial"/>
          <w:sz w:val="17"/>
          <w:szCs w:val="17"/>
          <w:color w:val="auto"/>
        </w:rPr>
        <w:t>. Each of the Grantors, the Administrative Agent and the Lenders may change the address for service of notice upon it by a notice in writing to the other parties.</w:t>
      </w:r>
    </w:p>
    <w:p>
      <w:pPr>
        <w:spacing w:after="0" w:line="14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XI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THE ADMINISTRATIVE AGENT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JPMorgan Chase Bank, N.A. has been appointed Administrative Agent for the Lenders hereunder pursuant to Article VIII of the Credit Agreement. It is expressly understood and agreed by the parties to this US Security Agreement that any authority conferred upon the Administrative Agent hereunder is subject to the terms of the delegation of authority made by the Lenders to the Administrative Agent pursuant to the Credit Agreement, and that the Administrative Agent has agreed to act (and any successor Administrative Agent shall act) as such hereunder only on the express conditions contained in such Article VIII. Any successor Administrative Agent appointed pursuant to Article VIII of the Credit Agreement shall be entitled to all the rights, interests and benefits of the Administrative Agent 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WITNESS WHEREOF, the Grantors and the Administrative Agent have executed this US Security Agreement as of the date first above written.</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u w:val="single" w:color="auto"/>
          <w:color w:val="auto"/>
        </w:rPr>
        <w:t>GRANTORS:</w:t>
      </w:r>
    </w:p>
    <w:p>
      <w:pPr>
        <w:spacing w:after="0" w:line="21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EQUITY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INTEGRATED SUPPLY, INC.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NEVADA, LTD.</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COMMUNICATIONS SUPPLY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CALVERT WIRE &amp; CABLE CORPORATION</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LIBERTY WIRE &amp; CABLE, INC.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CARLTON-BATES COMPANY</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TVC COMMUNICATIONS, L.L.C.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CONNEY SAFETY PRODUCTS, LLC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HI-LINE UTILITY SUPPLY COMPANY, LLC</w:t>
      </w:r>
    </w:p>
    <w:p>
      <w:pPr>
        <w:spacing w:after="0" w:line="374" w:lineRule="exact"/>
        <w:rPr>
          <w:sz w:val="20"/>
          <w:szCs w:val="20"/>
          <w:color w:val="auto"/>
        </w:rPr>
      </w:pPr>
    </w:p>
    <w:p>
      <w:pPr>
        <w:ind w:left="3420"/>
        <w:spacing w:after="0"/>
        <w:tabs>
          <w:tab w:leader="none" w:pos="3820" w:val="left"/>
        </w:tabs>
        <w:rPr>
          <w:sz w:val="20"/>
          <w:szCs w:val="20"/>
          <w:color w:val="auto"/>
        </w:rPr>
      </w:pPr>
      <w:r>
        <w:rPr>
          <w:rFonts w:ascii="Arial" w:cs="Arial" w:eastAsia="Arial" w:hAnsi="Arial"/>
          <w:sz w:val="17"/>
          <w:szCs w:val="17"/>
          <w:color w:val="auto"/>
        </w:rPr>
        <w:t>By</w:t>
        <w:tab/>
        <w:t>_________________________________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HILL COUNTRY ELECTRIC SUPPLY, L.P.,</w:t>
      </w:r>
    </w:p>
    <w:p>
      <w:pPr>
        <w:spacing w:after="0" w:line="21"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TVC International Holding, L.L.C.,</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its General Partner</w:t>
      </w:r>
    </w:p>
    <w:p>
      <w:pPr>
        <w:spacing w:after="0" w:line="374" w:lineRule="exact"/>
        <w:rPr>
          <w:sz w:val="20"/>
          <w:szCs w:val="20"/>
          <w:color w:val="auto"/>
        </w:rPr>
      </w:pPr>
    </w:p>
    <w:p>
      <w:pPr>
        <w:ind w:left="3420"/>
        <w:spacing w:after="0"/>
        <w:tabs>
          <w:tab w:leader="none" w:pos="3820" w:val="left"/>
        </w:tabs>
        <w:rPr>
          <w:sz w:val="20"/>
          <w:szCs w:val="20"/>
          <w:color w:val="auto"/>
        </w:rPr>
      </w:pPr>
      <w:r>
        <w:rPr>
          <w:rFonts w:ascii="Arial" w:cs="Arial" w:eastAsia="Arial" w:hAnsi="Arial"/>
          <w:sz w:val="17"/>
          <w:szCs w:val="17"/>
          <w:color w:val="auto"/>
        </w:rPr>
        <w:t>By</w:t>
        <w:tab/>
        <w:t>_________________________________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INTERNATIONAL, INC.</w:t>
      </w:r>
    </w:p>
    <w:p>
      <w:pPr>
        <w:spacing w:after="0" w:line="38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FINANCE CORPORATION</w:t>
      </w:r>
    </w:p>
    <w:p>
      <w:pPr>
        <w:spacing w:after="0" w:line="38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CDW HOLDCO, LLC</w:t>
      </w:r>
    </w:p>
    <w:p>
      <w:pPr>
        <w:spacing w:after="0" w:line="40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WDC HOLDING INC.</w:t>
      </w:r>
    </w:p>
    <w:p>
      <w:pPr>
        <w:sectPr>
          <w:pgSz w:w="11900" w:h="16878" w:orient="portrait"/>
          <w:cols w:equalWidth="0" w:num="1">
            <w:col w:w="11420"/>
          </w:cols>
          <w:pgMar w:left="240" w:top="327" w:right="239" w:bottom="0" w:gutter="0" w:footer="0" w:header="0"/>
        </w:sectPr>
      </w:pPr>
    </w:p>
    <w:p>
      <w:pPr>
        <w:spacing w:after="0" w:line="38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ectPr>
          <w:pgSz w:w="11900" w:h="16878" w:orient="portrait"/>
          <w:cols w:equalWidth="0" w:num="1">
            <w:col w:w="11420"/>
          </w:cols>
          <w:pgMar w:left="240" w:top="327" w:right="239" w:bottom="0" w:gutter="0" w:footer="0" w:header="0"/>
          <w:type w:val="continuous"/>
        </w:sectPr>
      </w:pPr>
    </w:p>
    <w:bookmarkStart w:id="128" w:name="page129"/>
    <w:bookmarkEnd w:id="128"/>
    <w:p>
      <w:pPr>
        <w:ind w:left="222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NIGERIA, INC.</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CBC LP HOLDINGS, LLC</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WDCH, LP</w:t>
      </w:r>
    </w:p>
    <w:p>
      <w:pPr>
        <w:spacing w:after="0" w:line="198"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BY: CBC LP HOLDINGS, LLC,</w:t>
      </w:r>
    </w:p>
    <w:p>
      <w:pPr>
        <w:spacing w:after="0" w:line="33" w:lineRule="exact"/>
        <w:rPr>
          <w:sz w:val="20"/>
          <w:szCs w:val="20"/>
          <w:color w:val="auto"/>
        </w:rPr>
      </w:pPr>
    </w:p>
    <w:p>
      <w:pPr>
        <w:jc w:val="right"/>
        <w:ind w:right="4539"/>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CONNEY INVESTMENT HOLDINGS, LLC</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ENTERPRISES, INC.</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WDCH US LP</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 WESCO Distribution II ULC,</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its General Partner</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TVC INTERNATIONAL HOLDING, L.L.C.</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DISTRIBUTION CANADA CO.</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TVC CANADA CORP.</w:t>
      </w: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-8255</wp:posOffset>
            </wp:positionV>
            <wp:extent cx="6654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124" w:right="1440" w:bottom="0" w:gutter="0" w:footer="0" w:header="0"/>
        </w:sectPr>
      </w:pPr>
    </w:p>
    <w:p>
      <w:pPr>
        <w:spacing w:after="0" w:line="37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WESCO DISTRIBUTION II ULC</w:t>
      </w:r>
    </w:p>
    <w:p>
      <w:pPr>
        <w:sectPr>
          <w:pgSz w:w="11900" w:h="16838" w:orient="portrait"/>
          <w:cols w:equalWidth="0" w:num="1">
            <w:col w:w="9019"/>
          </w:cols>
          <w:pgMar w:left="1440" w:top="124" w:right="1440" w:bottom="0" w:gutter="0" w:footer="0" w:header="0"/>
          <w:type w:val="continuous"/>
        </w:sectPr>
      </w:pPr>
    </w:p>
    <w:bookmarkStart w:id="129" w:name="page130"/>
    <w:bookmarkEnd w:id="129"/>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WDINESCO II BV</w:t>
      </w:r>
    </w:p>
    <w:p>
      <w:pPr>
        <w:spacing w:after="0" w:line="38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as Administrative Agent</w:t>
      </w:r>
    </w:p>
    <w:p>
      <w:pPr>
        <w:spacing w:after="0" w:line="196"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-8255</wp:posOffset>
            </wp:positionV>
            <wp:extent cx="6654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9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EXHIBIT 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(See Section 4.4 and 4.8 of US Security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dated ________________, ___ is delivered pursuant to Section 4.4 of the US Security Agreement referred to below. All defined terms herein</w:t>
      </w:r>
    </w:p>
    <w:p>
      <w:pPr>
        <w:spacing w:after="0" w:line="3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shall have the meanings ascribed thereto or incorporated by reference in the US Security Agreement. The undersigned hereby certifies that the representations and warranties in Article III of the US Security Agreement, as amended by any updates to the schedules referred to therein, are and continue to be true and correct in all material respects. The undersigned further agrees that this Amendment may be attached to that certain Second Amended and Restated Pledge and Security Agreement, dated as of September __, 2015, between the undersigned, as the Grantors, and JPMorgan Chase Bank, N.A., as the Administrative Agent (as amended, restated, supplemented or otherwise modified from time to time prior to the date hereof, the “</w:t>
      </w:r>
      <w:r>
        <w:rPr>
          <w:rFonts w:ascii="Arial" w:cs="Arial" w:eastAsia="Arial" w:hAnsi="Arial"/>
          <w:sz w:val="17"/>
          <w:szCs w:val="17"/>
          <w:u w:val="single" w:color="auto"/>
          <w:color w:val="auto"/>
        </w:rPr>
        <w:t>US Security Agreement</w:t>
      </w:r>
      <w:r>
        <w:rPr>
          <w:rFonts w:ascii="Arial" w:cs="Arial" w:eastAsia="Arial" w:hAnsi="Arial"/>
          <w:sz w:val="17"/>
          <w:szCs w:val="17"/>
          <w:color w:val="auto"/>
        </w:rPr>
        <w:t xml:space="preserve">”) and that the Collateral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shall be and become a part of the Collateral referred to in said US Security Agreement and shall secure all Secured Obligations referred to in the US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468630</wp:posOffset>
            </wp:positionV>
            <wp:extent cx="6654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-17145</wp:posOffset>
            </wp:positionV>
            <wp:extent cx="6654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-17145</wp:posOffset>
            </wp:positionV>
            <wp:extent cx="6654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SCHEDULE I TO AMENDMENT</w:t>
      </w:r>
    </w:p>
    <w:p>
      <w:pPr>
        <w:spacing w:after="0" w:line="210"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STOCKS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740" w:type="dxa"/>
            <w:vAlign w:val="bottom"/>
            <w:tcBorders>
              <w:top w:val="single" w:sz="8" w:color="00000A"/>
              <w:left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6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1"/>
              </w:rPr>
              <w:t>Percentage of Outstanding</w:t>
            </w:r>
          </w:p>
        </w:tc>
        <w:tc>
          <w:tcPr>
            <w:tcW w:w="0" w:type="dxa"/>
            <w:vAlign w:val="bottom"/>
          </w:tcPr>
          <w:p>
            <w:pPr>
              <w:spacing w:after="0"/>
              <w:rPr>
                <w:sz w:val="1"/>
                <w:szCs w:val="1"/>
                <w:color w:val="auto"/>
              </w:rPr>
            </w:pPr>
          </w:p>
        </w:tc>
      </w:tr>
      <w:tr>
        <w:trPr>
          <w:trHeight w:val="222"/>
        </w:trPr>
        <w:tc>
          <w:tcPr>
            <w:tcW w:w="174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right w:val="single" w:sz="8" w:color="00000A"/>
            </w:tcBorders>
            <w:vMerge w:val="restart"/>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right w:val="single" w:sz="8" w:color="00000A"/>
            </w:tcBorders>
          </w:tcPr>
          <w:p>
            <w:pPr>
              <w:ind w:left="200"/>
              <w:spacing w:after="0"/>
              <w:rPr>
                <w:sz w:val="20"/>
                <w:szCs w:val="20"/>
                <w:color w:val="auto"/>
              </w:rPr>
            </w:pPr>
            <w:r>
              <w:rPr>
                <w:rFonts w:ascii="Arial" w:cs="Arial" w:eastAsia="Arial" w:hAnsi="Arial"/>
                <w:sz w:val="17"/>
                <w:szCs w:val="17"/>
                <w:color w:val="auto"/>
              </w:rPr>
              <w:t>Certificate Number(s)</w:t>
            </w:r>
          </w:p>
        </w:tc>
        <w:tc>
          <w:tcPr>
            <w:tcW w:w="194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rPr>
              <w:t>Number of Shares</w:t>
            </w:r>
          </w:p>
        </w:tc>
        <w:tc>
          <w:tcPr>
            <w:tcW w:w="1960" w:type="dxa"/>
            <w:vAlign w:val="bottom"/>
            <w:tcBorders>
              <w:right w:val="single" w:sz="8" w:color="00000A"/>
            </w:tcBorders>
            <w:vMerge w:val="restart"/>
          </w:tcPr>
          <w:p>
            <w:pPr>
              <w:ind w:left="460"/>
              <w:spacing w:after="0"/>
              <w:rPr>
                <w:sz w:val="20"/>
                <w:szCs w:val="20"/>
                <w:color w:val="auto"/>
              </w:rPr>
            </w:pPr>
            <w:r>
              <w:rPr>
                <w:rFonts w:ascii="Arial" w:cs="Arial" w:eastAsia="Arial" w:hAnsi="Arial"/>
                <w:sz w:val="17"/>
                <w:szCs w:val="17"/>
                <w:color w:val="auto"/>
              </w:rPr>
              <w:t>Class of Stock</w:t>
            </w:r>
          </w:p>
        </w:tc>
        <w:tc>
          <w:tcPr>
            <w:tcW w:w="194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85"/>
              </w:rPr>
              <w:t>Shares</w:t>
            </w:r>
          </w:p>
        </w:tc>
        <w:tc>
          <w:tcPr>
            <w:tcW w:w="0" w:type="dxa"/>
            <w:vAlign w:val="bottom"/>
          </w:tcPr>
          <w:p>
            <w:pPr>
              <w:spacing w:after="0"/>
              <w:rPr>
                <w:sz w:val="1"/>
                <w:szCs w:val="1"/>
                <w:color w:val="auto"/>
              </w:rPr>
            </w:pPr>
          </w:p>
        </w:tc>
      </w:tr>
      <w:tr>
        <w:trPr>
          <w:trHeight w:val="214"/>
        </w:trPr>
        <w:tc>
          <w:tcPr>
            <w:tcW w:w="1740" w:type="dxa"/>
            <w:vAlign w:val="bottom"/>
            <w:tcBorders>
              <w:left w:val="single" w:sz="8" w:color="00000A"/>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6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BONDS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740" w:type="dxa"/>
            <w:vAlign w:val="bottom"/>
            <w:tcBorders>
              <w:top w:val="single" w:sz="8" w:color="00000A"/>
              <w:left w:val="single" w:sz="8" w:color="00000A"/>
              <w:bottom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top w:val="single" w:sz="8" w:color="00000A"/>
              <w:bottom w:val="single" w:sz="8" w:color="00000A"/>
              <w:right w:val="single" w:sz="8" w:color="00000A"/>
            </w:tcBorders>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top w:val="single" w:sz="8" w:color="00000A"/>
              <w:bottom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Number</w:t>
            </w:r>
          </w:p>
        </w:tc>
        <w:tc>
          <w:tcPr>
            <w:tcW w:w="194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Face Amount</w:t>
            </w:r>
          </w:p>
        </w:tc>
        <w:tc>
          <w:tcPr>
            <w:tcW w:w="196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Coupon Rate</w:t>
            </w:r>
          </w:p>
        </w:tc>
        <w:tc>
          <w:tcPr>
            <w:tcW w:w="1940" w:type="dxa"/>
            <w:vAlign w:val="bottom"/>
            <w:tcBorders>
              <w:top w:val="single" w:sz="8" w:color="00000A"/>
              <w:bottom w:val="single" w:sz="8" w:color="00000A"/>
              <w:right w:val="single" w:sz="8" w:color="00000A"/>
            </w:tcBorders>
          </w:tcPr>
          <w:p>
            <w:pPr>
              <w:ind w:left="640"/>
              <w:spacing w:after="0"/>
              <w:rPr>
                <w:sz w:val="20"/>
                <w:szCs w:val="20"/>
                <w:color w:val="auto"/>
              </w:rPr>
            </w:pPr>
            <w:r>
              <w:rPr>
                <w:rFonts w:ascii="Arial" w:cs="Arial" w:eastAsia="Arial" w:hAnsi="Arial"/>
                <w:sz w:val="17"/>
                <w:szCs w:val="17"/>
                <w:color w:val="auto"/>
              </w:rPr>
              <w:t>Maturity</w:t>
            </w: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sectPr>
          <w:pgSz w:w="11900" w:h="16838" w:orient="portrait"/>
          <w:cols w:equalWidth="0" w:num="1">
            <w:col w:w="11440"/>
          </w:cols>
          <w:pgMar w:left="240" w:top="279" w:right="219" w:bottom="0" w:gutter="0" w:footer="0" w:header="0"/>
        </w:sectPr>
      </w:pPr>
    </w:p>
    <w:p>
      <w:pPr>
        <w:jc w:val="center"/>
        <w:ind w:right="20"/>
        <w:spacing w:after="0"/>
        <w:rPr>
          <w:sz w:val="20"/>
          <w:szCs w:val="20"/>
          <w:color w:val="auto"/>
        </w:rPr>
      </w:pPr>
      <w:r>
        <w:rPr>
          <w:rFonts w:ascii="Arial" w:cs="Arial" w:eastAsia="Arial" w:hAnsi="Arial"/>
          <w:sz w:val="16"/>
          <w:szCs w:val="16"/>
          <w:color w:val="auto"/>
        </w:rPr>
        <w:t>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727011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40"/>
          </w:cols>
          <w:pgMar w:left="240" w:top="279" w:right="219" w:bottom="0" w:gutter="0" w:footer="0" w:header="0"/>
          <w:type w:val="continuous"/>
        </w:sectPr>
      </w:pPr>
    </w:p>
    <w:bookmarkStart w:id="130" w:name="page131"/>
    <w:bookmarkEnd w:id="130"/>
    <w:tbl>
      <w:tblPr>
        <w:tblLayout w:type="fixed"/>
        <w:tblInd w:w="15" w:type="dxa"/>
        <w:tblCellMar>
          <w:top w:w="0" w:type="dxa"/>
          <w:left w:w="0" w:type="dxa"/>
          <w:bottom w:w="0" w:type="dxa"/>
          <w:right w:w="0" w:type="dxa"/>
        </w:tblCellMar>
      </w:tblPr>
      <w:tr>
        <w:trPr>
          <w:trHeight w:val="226"/>
        </w:trPr>
        <w:tc>
          <w:tcPr>
            <w:tcW w:w="1860" w:type="dxa"/>
            <w:vAlign w:val="bottom"/>
            <w:tcBorders>
              <w:left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Name of Grantor</w:t>
            </w:r>
          </w:p>
        </w:tc>
        <w:tc>
          <w:tcPr>
            <w:tcW w:w="1600" w:type="dxa"/>
            <w:vAlign w:val="bottom"/>
            <w:tcBorders>
              <w:bottom w:val="single" w:sz="8" w:color="00000A"/>
              <w:right w:val="single" w:sz="8" w:color="00000A"/>
            </w:tcBorders>
          </w:tcPr>
          <w:p>
            <w:pPr>
              <w:ind w:left="580"/>
              <w:spacing w:after="0"/>
              <w:rPr>
                <w:sz w:val="20"/>
                <w:szCs w:val="20"/>
                <w:color w:val="auto"/>
              </w:rPr>
            </w:pPr>
            <w:r>
              <w:rPr>
                <w:rFonts w:ascii="Arial" w:cs="Arial" w:eastAsia="Arial" w:hAnsi="Arial"/>
                <w:sz w:val="17"/>
                <w:szCs w:val="17"/>
                <w:color w:val="auto"/>
              </w:rPr>
              <w:t>Issuer</w:t>
            </w:r>
          </w:p>
        </w:tc>
        <w:tc>
          <w:tcPr>
            <w:tcW w:w="1600" w:type="dxa"/>
            <w:vAlign w:val="bottom"/>
            <w:tcBorders>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Number</w:t>
            </w:r>
          </w:p>
        </w:tc>
        <w:tc>
          <w:tcPr>
            <w:tcW w:w="1600" w:type="dxa"/>
            <w:vAlign w:val="bottom"/>
            <w:tcBorders>
              <w:bottom w:val="single" w:sz="8" w:color="00000A"/>
              <w:right w:val="single" w:sz="8" w:color="00000A"/>
            </w:tcBorders>
          </w:tcPr>
          <w:p>
            <w:pPr>
              <w:ind w:left="620"/>
              <w:spacing w:after="0"/>
              <w:rPr>
                <w:sz w:val="20"/>
                <w:szCs w:val="20"/>
                <w:color w:val="auto"/>
              </w:rPr>
            </w:pPr>
            <w:r>
              <w:rPr>
                <w:rFonts w:ascii="Arial" w:cs="Arial" w:eastAsia="Arial" w:hAnsi="Arial"/>
                <w:sz w:val="17"/>
                <w:szCs w:val="17"/>
                <w:color w:val="auto"/>
              </w:rPr>
              <w:t>Type</w:t>
            </w:r>
          </w:p>
        </w:tc>
        <w:tc>
          <w:tcPr>
            <w:tcW w:w="1600" w:type="dxa"/>
            <w:vAlign w:val="bottom"/>
            <w:tcBorders>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Face Amount</w:t>
            </w:r>
          </w:p>
        </w:tc>
        <w:tc>
          <w:tcPr>
            <w:tcW w:w="1600" w:type="dxa"/>
            <w:vAlign w:val="bottom"/>
            <w:tcBorders>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Coupon Rate</w:t>
            </w:r>
          </w:p>
        </w:tc>
        <w:tc>
          <w:tcPr>
            <w:tcW w:w="1600" w:type="dxa"/>
            <w:vAlign w:val="bottom"/>
            <w:tcBorders>
              <w:bottom w:val="single" w:sz="8" w:color="00000A"/>
              <w:right w:val="single" w:sz="8" w:color="00000A"/>
            </w:tcBorders>
          </w:tcPr>
          <w:p>
            <w:pPr>
              <w:ind w:left="480"/>
              <w:spacing w:after="0"/>
              <w:rPr>
                <w:sz w:val="20"/>
                <w:szCs w:val="20"/>
                <w:color w:val="auto"/>
              </w:rPr>
            </w:pPr>
            <w:r>
              <w:rPr>
                <w:rFonts w:ascii="Arial" w:cs="Arial" w:eastAsia="Arial" w:hAnsi="Arial"/>
                <w:sz w:val="17"/>
                <w:szCs w:val="17"/>
                <w:color w:val="auto"/>
              </w:rPr>
              <w:t>Maturity</w:t>
            </w: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ind w:left="3925"/>
        <w:spacing w:after="0"/>
        <w:rPr>
          <w:sz w:val="20"/>
          <w:szCs w:val="20"/>
          <w:color w:val="auto"/>
        </w:rPr>
      </w:pPr>
      <w:r>
        <w:rPr>
          <w:rFonts w:ascii="Arial" w:cs="Arial" w:eastAsia="Arial" w:hAnsi="Arial"/>
          <w:sz w:val="17"/>
          <w:szCs w:val="17"/>
          <w:color w:val="auto"/>
        </w:rPr>
        <w:t>OTHER SECURITIES OR OTHER INVESTMENT PROPERTY</w:t>
      </w:r>
    </w:p>
    <w:p>
      <w:pPr>
        <w:spacing w:after="0" w:line="21" w:lineRule="exact"/>
        <w:rPr>
          <w:sz w:val="20"/>
          <w:szCs w:val="20"/>
          <w:color w:val="auto"/>
        </w:rPr>
      </w:pPr>
    </w:p>
    <w:p>
      <w:pPr>
        <w:ind w:left="3925"/>
        <w:spacing w:after="0"/>
        <w:rPr>
          <w:sz w:val="20"/>
          <w:szCs w:val="20"/>
          <w:color w:val="auto"/>
        </w:rPr>
      </w:pPr>
      <w:r>
        <w:rPr>
          <w:rFonts w:ascii="Arial" w:cs="Arial" w:eastAsia="Arial" w:hAnsi="Arial"/>
          <w:sz w:val="17"/>
          <w:szCs w:val="17"/>
          <w:color w:val="auto"/>
        </w:rPr>
        <w:t>(CERTIFICATED AND UNCERTIFICATED)</w:t>
      </w:r>
    </w:p>
    <w:p>
      <w:pPr>
        <w:spacing w:after="0" w:line="309" w:lineRule="exact"/>
        <w:rPr>
          <w:sz w:val="20"/>
          <w:szCs w:val="20"/>
          <w:color w:val="auto"/>
        </w:rPr>
      </w:pPr>
    </w:p>
    <w:tbl>
      <w:tblPr>
        <w:tblLayout w:type="fixed"/>
        <w:tblInd w:w="15" w:type="dxa"/>
        <w:tblCellMar>
          <w:top w:w="0" w:type="dxa"/>
          <w:left w:w="0" w:type="dxa"/>
          <w:bottom w:w="0" w:type="dxa"/>
          <w:right w:w="0" w:type="dxa"/>
        </w:tblCellMar>
      </w:tblPr>
      <w:tr>
        <w:trPr>
          <w:trHeight w:val="254"/>
        </w:trPr>
        <w:tc>
          <w:tcPr>
            <w:tcW w:w="2880" w:type="dxa"/>
            <w:vAlign w:val="bottom"/>
            <w:tcBorders>
              <w:top w:val="single" w:sz="8" w:color="00000A"/>
              <w:left w:val="single" w:sz="8" w:color="00000A"/>
              <w:bottom w:val="single" w:sz="8" w:color="00000A"/>
              <w:right w:val="single" w:sz="8" w:color="00000A"/>
            </w:tcBorders>
          </w:tcPr>
          <w:p>
            <w:pPr>
              <w:ind w:left="840"/>
              <w:spacing w:after="0"/>
              <w:rPr>
                <w:sz w:val="20"/>
                <w:szCs w:val="20"/>
                <w:color w:val="auto"/>
              </w:rPr>
            </w:pPr>
            <w:r>
              <w:rPr>
                <w:rFonts w:ascii="Arial" w:cs="Arial" w:eastAsia="Arial" w:hAnsi="Arial"/>
                <w:sz w:val="17"/>
                <w:szCs w:val="17"/>
                <w:color w:val="auto"/>
              </w:rPr>
              <w:t>Name of Grantor</w:t>
            </w:r>
          </w:p>
        </w:tc>
        <w:tc>
          <w:tcPr>
            <w:tcW w:w="2860" w:type="dxa"/>
            <w:vAlign w:val="bottom"/>
            <w:tcBorders>
              <w:top w:val="single" w:sz="8" w:color="00000A"/>
              <w:bottom w:val="single" w:sz="8" w:color="00000A"/>
              <w:right w:val="single" w:sz="8" w:color="00000A"/>
            </w:tcBorders>
          </w:tcPr>
          <w:p>
            <w:pPr>
              <w:ind w:left="1200"/>
              <w:spacing w:after="0"/>
              <w:rPr>
                <w:sz w:val="20"/>
                <w:szCs w:val="20"/>
                <w:color w:val="auto"/>
              </w:rPr>
            </w:pPr>
            <w:r>
              <w:rPr>
                <w:rFonts w:ascii="Arial" w:cs="Arial" w:eastAsia="Arial" w:hAnsi="Arial"/>
                <w:sz w:val="17"/>
                <w:szCs w:val="17"/>
                <w:color w:val="auto"/>
              </w:rPr>
              <w:t>Issuer</w:t>
            </w:r>
          </w:p>
        </w:tc>
        <w:tc>
          <w:tcPr>
            <w:tcW w:w="2860" w:type="dxa"/>
            <w:vAlign w:val="bottom"/>
            <w:tcBorders>
              <w:top w:val="single" w:sz="8" w:color="00000A"/>
              <w:bottom w:val="single" w:sz="8" w:color="00000A"/>
              <w:right w:val="single" w:sz="8" w:color="00000A"/>
            </w:tcBorders>
          </w:tcPr>
          <w:p>
            <w:pPr>
              <w:ind w:left="540"/>
              <w:spacing w:after="0"/>
              <w:rPr>
                <w:sz w:val="20"/>
                <w:szCs w:val="20"/>
                <w:color w:val="auto"/>
              </w:rPr>
            </w:pPr>
            <w:r>
              <w:rPr>
                <w:rFonts w:ascii="Arial" w:cs="Arial" w:eastAsia="Arial" w:hAnsi="Arial"/>
                <w:sz w:val="17"/>
                <w:szCs w:val="17"/>
                <w:color w:val="auto"/>
              </w:rPr>
              <w:t>Description of Collateral</w:t>
            </w:r>
          </w:p>
        </w:tc>
        <w:tc>
          <w:tcPr>
            <w:tcW w:w="286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7"/>
                <w:szCs w:val="17"/>
                <w:color w:val="auto"/>
              </w:rPr>
              <w:t>Percentage Ownership Interest</w:t>
            </w:r>
          </w:p>
        </w:tc>
      </w:tr>
      <w:tr>
        <w:trPr>
          <w:trHeight w:val="262"/>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bl>
    <w:p>
      <w:pPr>
        <w:spacing w:after="0" w:line="182"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Add description of custody accounts or arrangements with securities intermediary, if applicable</w:t>
      </w:r>
      <w:r>
        <w:rPr>
          <w:rFonts w:ascii="Arial" w:cs="Arial" w:eastAsia="Arial" w:hAnsi="Arial"/>
          <w:sz w:val="17"/>
          <w:szCs w:val="17"/>
          <w:b w:val="1"/>
          <w:bCs w:val="1"/>
          <w:color w:val="auto"/>
        </w:rPr>
        <w:t>]</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COMMERCIAL TORT CLAIMS</w:t>
      </w:r>
    </w:p>
    <w:p>
      <w:pPr>
        <w:spacing w:after="0" w:line="323" w:lineRule="exact"/>
        <w:rPr>
          <w:sz w:val="20"/>
          <w:szCs w:val="20"/>
          <w:color w:val="auto"/>
        </w:rPr>
      </w:pPr>
    </w:p>
    <w:tbl>
      <w:tblPr>
        <w:tblLayout w:type="fixed"/>
        <w:tblInd w:w="15" w:type="dxa"/>
        <w:tblCellMar>
          <w:top w:w="0" w:type="dxa"/>
          <w:left w:w="0" w:type="dxa"/>
          <w:bottom w:w="0" w:type="dxa"/>
          <w:right w:w="0" w:type="dxa"/>
        </w:tblCellMar>
      </w:tblPr>
      <w:tr>
        <w:trPr>
          <w:trHeight w:val="224"/>
        </w:trPr>
        <w:tc>
          <w:tcPr>
            <w:tcW w:w="2880" w:type="dxa"/>
            <w:vAlign w:val="bottom"/>
            <w:tcBorders>
              <w:top w:val="single" w:sz="8" w:color="00000A"/>
              <w:left w:val="single" w:sz="8" w:color="00000A"/>
              <w:right w:val="single" w:sz="8" w:color="00000A"/>
            </w:tcBorders>
          </w:tcPr>
          <w:p>
            <w:pPr>
              <w:ind w:left="840"/>
              <w:spacing w:after="0"/>
              <w:rPr>
                <w:sz w:val="20"/>
                <w:szCs w:val="20"/>
                <w:color w:val="auto"/>
              </w:rPr>
            </w:pPr>
            <w:r>
              <w:rPr>
                <w:rFonts w:ascii="Arial" w:cs="Arial" w:eastAsia="Arial" w:hAnsi="Arial"/>
                <w:sz w:val="17"/>
                <w:szCs w:val="17"/>
                <w:color w:val="auto"/>
              </w:rPr>
              <w:t>Name of Grantor</w:t>
            </w:r>
          </w:p>
        </w:tc>
        <w:tc>
          <w:tcPr>
            <w:tcW w:w="2860" w:type="dxa"/>
            <w:vAlign w:val="bottom"/>
            <w:tcBorders>
              <w:top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Description of Claim</w:t>
            </w:r>
          </w:p>
        </w:tc>
        <w:tc>
          <w:tcPr>
            <w:tcW w:w="2860" w:type="dxa"/>
            <w:vAlign w:val="bottom"/>
            <w:tcBorders>
              <w:top w:val="single" w:sz="8" w:color="00000A"/>
              <w:right w:val="single" w:sz="8" w:color="00000A"/>
            </w:tcBorders>
          </w:tcPr>
          <w:p>
            <w:pPr>
              <w:ind w:left="1180"/>
              <w:spacing w:after="0"/>
              <w:rPr>
                <w:sz w:val="20"/>
                <w:szCs w:val="20"/>
                <w:color w:val="auto"/>
              </w:rPr>
            </w:pPr>
            <w:r>
              <w:rPr>
                <w:rFonts w:ascii="Arial" w:cs="Arial" w:eastAsia="Arial" w:hAnsi="Arial"/>
                <w:sz w:val="17"/>
                <w:szCs w:val="17"/>
                <w:color w:val="auto"/>
              </w:rPr>
              <w:t>Parties</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3"/>
              </w:rPr>
              <w:t>Case Number; Name of Court where</w:t>
            </w:r>
          </w:p>
        </w:tc>
      </w:tr>
      <w:tr>
        <w:trPr>
          <w:trHeight w:val="233"/>
        </w:trPr>
        <w:tc>
          <w:tcPr>
            <w:tcW w:w="2880" w:type="dxa"/>
            <w:vAlign w:val="bottom"/>
            <w:tcBorders>
              <w:left w:val="single" w:sz="8" w:color="00000A"/>
              <w:bottom w:val="single" w:sz="8" w:color="00000A"/>
              <w:right w:val="single" w:sz="8" w:color="00000A"/>
            </w:tcBorders>
          </w:tcPr>
          <w:p>
            <w:pPr>
              <w:spacing w:after="0"/>
              <w:rPr>
                <w:sz w:val="20"/>
                <w:szCs w:val="20"/>
                <w:color w:val="auto"/>
              </w:rPr>
            </w:pPr>
          </w:p>
        </w:tc>
        <w:tc>
          <w:tcPr>
            <w:tcW w:w="2860" w:type="dxa"/>
            <w:vAlign w:val="bottom"/>
            <w:tcBorders>
              <w:bottom w:val="single" w:sz="8" w:color="00000A"/>
              <w:right w:val="single" w:sz="8" w:color="00000A"/>
            </w:tcBorders>
          </w:tcPr>
          <w:p>
            <w:pPr>
              <w:spacing w:after="0"/>
              <w:rPr>
                <w:sz w:val="20"/>
                <w:szCs w:val="20"/>
                <w:color w:val="auto"/>
              </w:rPr>
            </w:pPr>
          </w:p>
        </w:tc>
        <w:tc>
          <w:tcPr>
            <w:tcW w:w="2860" w:type="dxa"/>
            <w:vAlign w:val="bottom"/>
            <w:tcBorders>
              <w:bottom w:val="single" w:sz="8" w:color="00000A"/>
              <w:right w:val="single" w:sz="8" w:color="00000A"/>
            </w:tcBorders>
          </w:tcPr>
          <w:p>
            <w:pPr>
              <w:spacing w:after="0"/>
              <w:rPr>
                <w:sz w:val="20"/>
                <w:szCs w:val="20"/>
                <w:color w:val="auto"/>
              </w:rPr>
            </w:pP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1"/>
              </w:rPr>
              <w:t>Case was Filed</w:t>
            </w:r>
          </w:p>
        </w:tc>
      </w:tr>
      <w:tr>
        <w:trPr>
          <w:trHeight w:val="262"/>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bl>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EXHBIIT F-1</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FORM OF SECOND AMENDED AND RESTATED CANADIAN GUARANTEE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885" w:right="20" w:hanging="881"/>
        <w:spacing w:after="0" w:line="288" w:lineRule="auto"/>
        <w:rPr>
          <w:sz w:val="20"/>
          <w:szCs w:val="20"/>
          <w:color w:val="auto"/>
        </w:rPr>
      </w:pPr>
      <w:r>
        <w:rPr>
          <w:rFonts w:ascii="Arial" w:cs="Arial" w:eastAsia="Arial" w:hAnsi="Arial"/>
          <w:sz w:val="17"/>
          <w:szCs w:val="17"/>
          <w:b w:val="1"/>
          <w:bCs w:val="1"/>
          <w:color w:val="auto"/>
        </w:rPr>
        <w:t xml:space="preserve">TO:JPMORGAN CHASE BANK, N.A., AS ADMINISTRATIVE AGENT </w:t>
      </w:r>
      <w:r>
        <w:rPr>
          <w:rFonts w:ascii="Arial" w:cs="Arial" w:eastAsia="Arial" w:hAnsi="Arial"/>
          <w:sz w:val="17"/>
          <w:szCs w:val="17"/>
          <w:color w:val="auto"/>
        </w:rPr>
        <w:t>for itself and certain financial institutions from time to time party to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such term is hereinafter defined).</w:t>
      </w:r>
    </w:p>
    <w:p>
      <w:pPr>
        <w:spacing w:after="0" w:line="32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RECITALS:</w:t>
      </w:r>
    </w:p>
    <w:p>
      <w:pPr>
        <w:spacing w:after="0" w:line="204" w:lineRule="exact"/>
        <w:rPr>
          <w:sz w:val="20"/>
          <w:szCs w:val="20"/>
          <w:color w:val="auto"/>
        </w:rPr>
      </w:pPr>
    </w:p>
    <w:p>
      <w:pPr>
        <w:jc w:val="both"/>
        <w:ind w:left="865" w:right="20" w:hanging="579"/>
        <w:spacing w:after="0" w:line="264"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Administrative Agent, certain other Lender Parties (as defined in the hereinafter defined Original Credit Agreement) and certain Loan Parties (as defined in the hereinafter defined Original Credit Agreement) entered into a credit agreement dated as of August 22, 2011 (the "</w:t>
      </w:r>
      <w:r>
        <w:rPr>
          <w:rFonts w:ascii="Arial" w:cs="Arial" w:eastAsia="Arial" w:hAnsi="Arial"/>
          <w:sz w:val="17"/>
          <w:szCs w:val="17"/>
          <w:b w:val="1"/>
          <w:bCs w:val="1"/>
          <w:color w:val="auto"/>
        </w:rPr>
        <w:t>Original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53" w:lineRule="exact"/>
        <w:rPr>
          <w:rFonts w:ascii="Arial" w:cs="Arial" w:eastAsia="Arial" w:hAnsi="Arial"/>
          <w:sz w:val="17"/>
          <w:szCs w:val="17"/>
          <w:color w:val="auto"/>
        </w:rPr>
      </w:pPr>
    </w:p>
    <w:p>
      <w:pPr>
        <w:jc w:val="both"/>
        <w:ind w:left="865" w:right="20" w:hanging="579"/>
        <w:spacing w:after="0" w:line="264"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connection with the Original Credit Agreement, the Canadian Guarantors (as defined in the hereinafter defined Original Guarantees) entered into a Canadian guarantee in favour of the Administrative Agent, dated as of August 22, 2011 (each, an "</w:t>
      </w:r>
      <w:r>
        <w:rPr>
          <w:rFonts w:ascii="Arial" w:cs="Arial" w:eastAsia="Arial" w:hAnsi="Arial"/>
          <w:sz w:val="17"/>
          <w:szCs w:val="17"/>
          <w:b w:val="1"/>
          <w:bCs w:val="1"/>
          <w:color w:val="auto"/>
        </w:rPr>
        <w:t>Original Guarantee</w:t>
      </w:r>
      <w:r>
        <w:rPr>
          <w:rFonts w:ascii="Arial" w:cs="Arial" w:eastAsia="Arial" w:hAnsi="Arial"/>
          <w:sz w:val="17"/>
          <w:szCs w:val="17"/>
          <w:color w:val="auto"/>
        </w:rPr>
        <w:t>" and collectively, the "</w:t>
      </w:r>
      <w:r>
        <w:rPr>
          <w:rFonts w:ascii="Arial" w:cs="Arial" w:eastAsia="Arial" w:hAnsi="Arial"/>
          <w:sz w:val="17"/>
          <w:szCs w:val="17"/>
          <w:b w:val="1"/>
          <w:bCs w:val="1"/>
          <w:color w:val="auto"/>
        </w:rPr>
        <w:t>Original Guarantees</w:t>
      </w:r>
      <w:r>
        <w:rPr>
          <w:rFonts w:ascii="Arial" w:cs="Arial" w:eastAsia="Arial" w:hAnsi="Arial"/>
          <w:sz w:val="17"/>
          <w:szCs w:val="17"/>
          <w:color w:val="auto"/>
        </w:rPr>
        <w:t>").</w:t>
      </w:r>
    </w:p>
    <w:p>
      <w:pPr>
        <w:spacing w:after="0" w:line="153" w:lineRule="exact"/>
        <w:rPr>
          <w:rFonts w:ascii="Arial" w:cs="Arial" w:eastAsia="Arial" w:hAnsi="Arial"/>
          <w:sz w:val="17"/>
          <w:szCs w:val="17"/>
          <w:color w:val="auto"/>
        </w:rPr>
      </w:pPr>
    </w:p>
    <w:p>
      <w:pPr>
        <w:jc w:val="both"/>
        <w:ind w:left="865" w:right="20" w:hanging="579"/>
        <w:spacing w:after="0" w:line="264"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Original Credit Agreement was amended and restated in its entirety pursuant to the amended and restated credit agreement dated as of December 12, 2012 by and among, among others, the Administrative Agent, the other Lender Parties (as defined in the hereinafter defined First ARCA), and the Loan Parties (as defined in the hereinafter defined First ARCA) (the “</w:t>
      </w:r>
      <w:r>
        <w:rPr>
          <w:rFonts w:ascii="Arial" w:cs="Arial" w:eastAsia="Arial" w:hAnsi="Arial"/>
          <w:sz w:val="17"/>
          <w:szCs w:val="17"/>
          <w:b w:val="1"/>
          <w:bCs w:val="1"/>
          <w:color w:val="auto"/>
        </w:rPr>
        <w:t>First ARCA</w:t>
      </w:r>
      <w:r>
        <w:rPr>
          <w:rFonts w:ascii="Arial" w:cs="Arial" w:eastAsia="Arial" w:hAnsi="Arial"/>
          <w:sz w:val="17"/>
          <w:szCs w:val="17"/>
          <w:color w:val="auto"/>
        </w:rPr>
        <w:t>”).</w:t>
      </w:r>
    </w:p>
    <w:p>
      <w:pPr>
        <w:spacing w:after="0" w:line="153" w:lineRule="exact"/>
        <w:rPr>
          <w:rFonts w:ascii="Arial" w:cs="Arial" w:eastAsia="Arial" w:hAnsi="Arial"/>
          <w:sz w:val="17"/>
          <w:szCs w:val="17"/>
          <w:color w:val="auto"/>
        </w:rPr>
      </w:pPr>
    </w:p>
    <w:p>
      <w:pPr>
        <w:jc w:val="both"/>
        <w:ind w:left="865" w:hanging="579"/>
        <w:spacing w:after="0" w:line="264"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connection with the First ARCA, each of the Canadian Loan Guarantors (as defined in the hereinafter defined First Restated Guarantee) entered into an amended and restated Canadian guarantee (the "</w:t>
      </w:r>
      <w:r>
        <w:rPr>
          <w:rFonts w:ascii="Arial" w:cs="Arial" w:eastAsia="Arial" w:hAnsi="Arial"/>
          <w:sz w:val="17"/>
          <w:szCs w:val="17"/>
          <w:b w:val="1"/>
          <w:bCs w:val="1"/>
          <w:color w:val="auto"/>
        </w:rPr>
        <w:t>First Restated Guarantee</w:t>
      </w:r>
      <w:r>
        <w:rPr>
          <w:rFonts w:ascii="Arial" w:cs="Arial" w:eastAsia="Arial" w:hAnsi="Arial"/>
          <w:sz w:val="17"/>
          <w:szCs w:val="17"/>
          <w:color w:val="auto"/>
        </w:rPr>
        <w:t>") which amended and restated in its entirety its Original Guarantee pursuant to the terms thereof.</w:t>
      </w:r>
    </w:p>
    <w:p>
      <w:pPr>
        <w:spacing w:after="0" w:line="153" w:lineRule="exact"/>
        <w:rPr>
          <w:rFonts w:ascii="Arial" w:cs="Arial" w:eastAsia="Arial" w:hAnsi="Arial"/>
          <w:sz w:val="17"/>
          <w:szCs w:val="17"/>
          <w:color w:val="auto"/>
        </w:rPr>
      </w:pPr>
    </w:p>
    <w:p>
      <w:pPr>
        <w:jc w:val="both"/>
        <w:ind w:left="865" w:right="20" w:hanging="579"/>
        <w:spacing w:after="0" w:line="259"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First Restated Credit Agreement is being amended and restated in its entirety pursuant to the second amended and restated credit agreement dated as of the date hereof by and among, among others, the Administrative Agent, the other Lender Parties (as defined in the hereinafter defined Credit Agreement), and the Borrowers (as defined in the hereinafter defined Credit Agreement). All capitalized terms not otherwise defined herein shall have the meanings ascribed thereto in the Credit Agreement (hereinafter defined).</w:t>
      </w:r>
    </w:p>
    <w:p>
      <w:pPr>
        <w:spacing w:after="0" w:line="156" w:lineRule="exact"/>
        <w:rPr>
          <w:rFonts w:ascii="Arial" w:cs="Arial" w:eastAsia="Arial" w:hAnsi="Arial"/>
          <w:sz w:val="17"/>
          <w:szCs w:val="17"/>
          <w:color w:val="auto"/>
        </w:rPr>
      </w:pPr>
    </w:p>
    <w:p>
      <w:pPr>
        <w:jc w:val="both"/>
        <w:ind w:left="865" w:right="20" w:hanging="579"/>
        <w:spacing w:after="0" w:line="264" w:lineRule="auto"/>
        <w:tabs>
          <w:tab w:leader="none" w:pos="8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connection with the Credit Agreement, each of the undersigned, as a guarantor of the Canadian Secured Obligations, is required to enter into this second amended and restated Canadian guarantee (the “</w:t>
      </w:r>
      <w:r>
        <w:rPr>
          <w:rFonts w:ascii="Arial" w:cs="Arial" w:eastAsia="Arial" w:hAnsi="Arial"/>
          <w:sz w:val="17"/>
          <w:szCs w:val="17"/>
          <w:b w:val="1"/>
          <w:bCs w:val="1"/>
          <w:color w:val="auto"/>
        </w:rPr>
        <w:t>Canadian Guarantee</w:t>
      </w:r>
      <w:r>
        <w:rPr>
          <w:rFonts w:ascii="Arial" w:cs="Arial" w:eastAsia="Arial" w:hAnsi="Arial"/>
          <w:sz w:val="17"/>
          <w:szCs w:val="17"/>
          <w:color w:val="auto"/>
        </w:rPr>
        <w:t>”) and has agreed to amend and restate in its entirety, its First Restated Guarantee pursuant to the terms hereof.</w:t>
      </w:r>
    </w:p>
    <w:p>
      <w:pPr>
        <w:spacing w:after="0" w:line="147" w:lineRule="exact"/>
        <w:rPr>
          <w:sz w:val="20"/>
          <w:szCs w:val="20"/>
          <w:color w:val="auto"/>
        </w:rPr>
      </w:pPr>
    </w:p>
    <w:p>
      <w:pPr>
        <w:ind w:left="285"/>
        <w:spacing w:after="0"/>
        <w:rPr>
          <w:sz w:val="20"/>
          <w:szCs w:val="20"/>
          <w:color w:val="auto"/>
        </w:rPr>
      </w:pPr>
      <w:r>
        <w:rPr>
          <w:rFonts w:ascii="Arial" w:cs="Arial" w:eastAsia="Arial" w:hAnsi="Arial"/>
          <w:sz w:val="17"/>
          <w:szCs w:val="17"/>
          <w:b w:val="1"/>
          <w:bCs w:val="1"/>
          <w:color w:val="auto"/>
        </w:rPr>
        <w:t xml:space="preserve">NOW ACCORDINGLY </w:t>
      </w:r>
      <w:r>
        <w:rPr>
          <w:rFonts w:ascii="Arial" w:cs="Arial" w:eastAsia="Arial" w:hAnsi="Arial"/>
          <w:sz w:val="17"/>
          <w:szCs w:val="17"/>
          <w:color w:val="auto"/>
        </w:rPr>
        <w:t>each of the undersigned, jointly and severally, hereby agree as follows:</w:t>
      </w:r>
    </w:p>
    <w:p>
      <w:pPr>
        <w:spacing w:after="0" w:line="198" w:lineRule="exact"/>
        <w:rPr>
          <w:sz w:val="20"/>
          <w:szCs w:val="20"/>
          <w:color w:val="auto"/>
        </w:rPr>
      </w:pPr>
    </w:p>
    <w:p>
      <w:pPr>
        <w:jc w:val="both"/>
        <w:ind w:left="565" w:hanging="565"/>
        <w:spacing w:after="0" w:line="268" w:lineRule="auto"/>
        <w:tabs>
          <w:tab w:leader="none" w:pos="56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For valuable consideration, each of the signatories hereto (each, a "</w:t>
      </w:r>
      <w:r>
        <w:rPr>
          <w:rFonts w:ascii="Arial" w:cs="Arial" w:eastAsia="Arial" w:hAnsi="Arial"/>
          <w:sz w:val="16"/>
          <w:szCs w:val="16"/>
          <w:b w:val="1"/>
          <w:bCs w:val="1"/>
          <w:color w:val="auto"/>
        </w:rPr>
        <w:t>Canadian Loan 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Canadian Loan Guarantors</w:t>
      </w:r>
      <w:r>
        <w:rPr>
          <w:rFonts w:ascii="Arial" w:cs="Arial" w:eastAsia="Arial" w:hAnsi="Arial"/>
          <w:sz w:val="16"/>
          <w:szCs w:val="16"/>
          <w:color w:val="auto"/>
        </w:rPr>
        <w:t xml:space="preserve">"), subject to Section 29 hereof and Section 12.01 of the Credit Agreement, hereby unconditionally guarantees and promises to pay, jointly and severally, to </w:t>
      </w:r>
      <w:r>
        <w:rPr>
          <w:rFonts w:ascii="Arial" w:cs="Arial" w:eastAsia="Arial" w:hAnsi="Arial"/>
          <w:sz w:val="16"/>
          <w:szCs w:val="16"/>
          <w:b w:val="1"/>
          <w:bCs w:val="1"/>
          <w:color w:val="auto"/>
        </w:rPr>
        <w:t>JPMORGAN CHASE BANK, N.A.</w:t>
      </w:r>
      <w:r>
        <w:rPr>
          <w:rFonts w:ascii="Arial" w:cs="Arial" w:eastAsia="Arial" w:hAnsi="Arial"/>
          <w:sz w:val="16"/>
          <w:szCs w:val="16"/>
          <w:color w:val="auto"/>
        </w:rPr>
        <w:t>, as administrative agent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itself and the Canadian Lender Parties, or order, on</w:t>
      </w:r>
      <w:r>
        <w:rPr>
          <w:rFonts w:ascii="Arial" w:cs="Arial" w:eastAsia="Arial" w:hAnsi="Arial"/>
          <w:sz w:val="16"/>
          <w:szCs w:val="16"/>
          <w:b w:val="1"/>
          <w:bCs w:val="1"/>
          <w:color w:val="auto"/>
        </w:rPr>
        <w:t xml:space="preserve"> </w:t>
      </w:r>
      <w:r>
        <w:rPr>
          <w:rFonts w:ascii="Arial" w:cs="Arial" w:eastAsia="Arial" w:hAnsi="Arial"/>
          <w:sz w:val="16"/>
          <w:szCs w:val="16"/>
          <w:color w:val="auto"/>
        </w:rPr>
        <w:t>demand, any and all indebtedness of WESCO Distribution Canada LP WDCC Enterprises, Inc., EECOL Electric ULC, Hazmasters Inc. and Hazmasters Quebec Inc. (together with all other entities who are or may from time to time be party to the Credit Agreement as Canadian Borrowers, the "</w:t>
      </w:r>
      <w:r>
        <w:rPr>
          <w:rFonts w:ascii="Arial" w:cs="Arial" w:eastAsia="Arial" w:hAnsi="Arial"/>
          <w:sz w:val="16"/>
          <w:szCs w:val="16"/>
          <w:b w:val="1"/>
          <w:bCs w:val="1"/>
          <w:color w:val="auto"/>
        </w:rPr>
        <w:t>Canadian</w:t>
      </w:r>
      <w:r>
        <w:rPr>
          <w:rFonts w:ascii="Arial" w:cs="Arial" w:eastAsia="Arial" w:hAnsi="Arial"/>
          <w:sz w:val="16"/>
          <w:szCs w:val="16"/>
          <w:color w:val="auto"/>
        </w:rPr>
        <w:t xml:space="preserve"> </w:t>
      </w:r>
      <w:r>
        <w:rPr>
          <w:rFonts w:ascii="Arial" w:cs="Arial" w:eastAsia="Arial" w:hAnsi="Arial"/>
          <w:sz w:val="16"/>
          <w:szCs w:val="16"/>
          <w:b w:val="1"/>
          <w:bCs w:val="1"/>
          <w:color w:val="auto"/>
        </w:rPr>
        <w:t>Borrowers</w:t>
      </w:r>
      <w:r>
        <w:rPr>
          <w:rFonts w:ascii="Arial" w:cs="Arial" w:eastAsia="Arial" w:hAnsi="Arial"/>
          <w:sz w:val="16"/>
          <w:szCs w:val="16"/>
          <w:color w:val="auto"/>
        </w:rPr>
        <w:t>") to the Administrative Agent and the Canadian Lender Parties including pursuant to a second amended and restated credit agreement dated as</w:t>
      </w:r>
      <w:r>
        <w:rPr>
          <w:rFonts w:ascii="Arial" w:cs="Arial" w:eastAsia="Arial" w:hAnsi="Arial"/>
          <w:sz w:val="16"/>
          <w:szCs w:val="16"/>
          <w:b w:val="1"/>
          <w:bCs w:val="1"/>
          <w:color w:val="auto"/>
        </w:rPr>
        <w:t xml:space="preserve"> </w:t>
      </w:r>
      <w:r>
        <w:rPr>
          <w:rFonts w:ascii="Arial" w:cs="Arial" w:eastAsia="Arial" w:hAnsi="Arial"/>
          <w:sz w:val="16"/>
          <w:szCs w:val="16"/>
          <w:color w:val="auto"/>
        </w:rPr>
        <w:t>of September 24, 2015 by and among, amongst others, the Administrative Agent, the Canadian Borrowers, as the same may be amended, supplemented, revised, restated or replaced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The word "indebtedness" is used herein in its most comprehensive sense and includes any and all advances, debts, obligations and liabilities of the Canadian Borrowers, heretofore, now, or hereafter made, incurred or created, whether voluntary or involuntary and however arising, whether direct or acquired by the Administrative Agent and/or the Canadian Lender Parties by assignment or succession, whether due or not due, absolute or contingent, liquidated or unliquidated, determined or undetermined, and whether any Canadian Borrower may be liable individually or jointly with others, or whether recovery upon such indebtedness may be or hereafter become barred by any statute of limitations, or whether such indebtedness may be or hereafter become otherwise unenforceable.</w:t>
      </w:r>
    </w:p>
    <w:p>
      <w:pPr>
        <w:sectPr>
          <w:pgSz w:w="11900" w:h="16838" w:orient="portrait"/>
          <w:cols w:equalWidth="0" w:num="1">
            <w:col w:w="11445"/>
          </w:cols>
          <w:pgMar w:left="235" w:top="140" w:right="219" w:bottom="0" w:gutter="0" w:footer="0" w:header="0"/>
        </w:sectPr>
      </w:pPr>
    </w:p>
    <w:bookmarkStart w:id="131" w:name="page132"/>
    <w:bookmarkEnd w:id="131"/>
    <w:p>
      <w:pPr>
        <w:spacing w:after="0" w:line="74" w:lineRule="exact"/>
        <w:rPr>
          <w:sz w:val="20"/>
          <w:szCs w:val="20"/>
          <w:color w:val="auto"/>
        </w:rPr>
      </w:pPr>
    </w:p>
    <w:p>
      <w:pPr>
        <w:jc w:val="both"/>
        <w:ind w:left="565" w:hanging="565"/>
        <w:spacing w:after="0" w:line="253" w:lineRule="auto"/>
        <w:tabs>
          <w:tab w:leader="none" w:pos="5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liability of each Canadian Loan Guarantor under this Canadian Guarantee shall be unlimited. Regardless of whether or not any proposed guarantor or any other person or persons has or have executed or shall execute this Canadian Guarantee or is or are or shall become in any other way responsible to the Administrative Agent and/or the Canadian Lender Parties for the indebtedness or any part thereof whether under this Canadian Guarantee or otherwise shall cease to be so liable, this shall be a continuing Canadian Guarantee relating to any indebtedness, including that arising under successive transactions which shall either continue the indebtedness or from time to time renew it after it has been satisfied and shall secure the ultimate repayment of all monies owing from the Canadian Borrowers to the Administrative Agent and the Canadian Lender Parties and shall be binding as a continuing security on each Canadian Loan Guarantor. Any payment by a Canadian Loan Guarantor shall not reduce the maximum obligation of such Canadian Loan Guarantor hereunder.</w:t>
      </w:r>
    </w:p>
    <w:p>
      <w:pPr>
        <w:spacing w:after="0" w:line="162" w:lineRule="exact"/>
        <w:rPr>
          <w:rFonts w:ascii="Arial" w:cs="Arial" w:eastAsia="Arial" w:hAnsi="Arial"/>
          <w:sz w:val="17"/>
          <w:szCs w:val="17"/>
          <w:color w:val="auto"/>
        </w:rPr>
      </w:pPr>
    </w:p>
    <w:p>
      <w:pPr>
        <w:jc w:val="both"/>
        <w:ind w:left="565" w:right="20" w:hanging="565"/>
        <w:spacing w:after="0" w:line="288" w:lineRule="auto"/>
        <w:tabs>
          <w:tab w:leader="none" w:pos="5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obligations hereunder are independent of the obligations of the Canadian Borrowers and a separate action or actions may be brought and prosecuted against any Canadian Loan Guarantor whether action is brought against the Canadian Borrowers or whether the Canadian Borrowers be joined in any such action or actions; and each Canadian Loan Guarantor waives the benefit of any statute of limitations affecting its liability.</w:t>
      </w:r>
    </w:p>
    <w:p>
      <w:pPr>
        <w:spacing w:after="0" w:line="135" w:lineRule="exact"/>
        <w:rPr>
          <w:rFonts w:ascii="Arial" w:cs="Arial" w:eastAsia="Arial" w:hAnsi="Arial"/>
          <w:sz w:val="16"/>
          <w:szCs w:val="16"/>
          <w:color w:val="auto"/>
        </w:rPr>
      </w:pPr>
    </w:p>
    <w:p>
      <w:pPr>
        <w:ind w:left="565" w:hanging="565"/>
        <w:spacing w:after="0" w:line="280" w:lineRule="auto"/>
        <w:tabs>
          <w:tab w:leader="none" w:pos="5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Canadian Loan Guarantor authorizes the Administrative Agent, without notice or demand and without affecting its liability hereunder, from time to time, to:</w:t>
      </w:r>
    </w:p>
    <w:p>
      <w:pPr>
        <w:spacing w:after="0" w:line="151" w:lineRule="exact"/>
        <w:rPr>
          <w:rFonts w:ascii="Arial" w:cs="Arial" w:eastAsia="Arial" w:hAnsi="Arial"/>
          <w:sz w:val="17"/>
          <w:szCs w:val="17"/>
          <w:color w:val="auto"/>
        </w:rPr>
      </w:pPr>
    </w:p>
    <w:p>
      <w:pPr>
        <w:ind w:left="1145" w:right="20" w:hanging="573"/>
        <w:spacing w:after="0" w:line="281" w:lineRule="auto"/>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renew, compromise, extend, accelerate or otherwise change the time for payment of, or otherwise change the terms of the indebtedness or any part thereof, including increase or decrease of the rate of interest thereon;</w:t>
      </w:r>
    </w:p>
    <w:p>
      <w:pPr>
        <w:spacing w:after="0" w:line="158" w:lineRule="exact"/>
        <w:rPr>
          <w:rFonts w:ascii="Arial" w:cs="Arial" w:eastAsia="Arial" w:hAnsi="Arial"/>
          <w:sz w:val="19"/>
          <w:szCs w:val="19"/>
          <w:color w:val="auto"/>
        </w:rPr>
      </w:pPr>
    </w:p>
    <w:p>
      <w:pPr>
        <w:ind w:left="1145" w:right="20" w:hanging="573"/>
        <w:spacing w:after="0" w:line="281" w:lineRule="auto"/>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receive and hold security for the payment of this Canadian Guarantee or the indebtedness guaranteed, and exchange, enforce, waive, release, fail to perfect, sell, or otherwise dispose of any such security;</w:t>
      </w:r>
    </w:p>
    <w:p>
      <w:pPr>
        <w:spacing w:after="0" w:line="158" w:lineRule="exact"/>
        <w:rPr>
          <w:rFonts w:ascii="Arial" w:cs="Arial" w:eastAsia="Arial" w:hAnsi="Arial"/>
          <w:sz w:val="19"/>
          <w:szCs w:val="19"/>
          <w:color w:val="auto"/>
        </w:rPr>
      </w:pPr>
    </w:p>
    <w:p>
      <w:pPr>
        <w:ind w:left="1145" w:hanging="573"/>
        <w:spacing w:after="0"/>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apply such security and direct the order or manner of sale thereof as the Administrative Agent in its discretion may determine; and</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release or substitute any guarantors.</w:t>
      </w:r>
    </w:p>
    <w:p>
      <w:pPr>
        <w:spacing w:after="0" w:line="186" w:lineRule="exact"/>
        <w:rPr>
          <w:rFonts w:ascii="Arial" w:cs="Arial" w:eastAsia="Arial" w:hAnsi="Arial"/>
          <w:sz w:val="19"/>
          <w:szCs w:val="19"/>
          <w:color w:val="auto"/>
        </w:rPr>
      </w:pPr>
    </w:p>
    <w:p>
      <w:pPr>
        <w:ind w:left="565" w:hanging="565"/>
        <w:spacing w:after="0"/>
        <w:tabs>
          <w:tab w:leader="none" w:pos="5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Canadian Loan Guarantor waives any right to require the Administrative Agent or any of the Canadian Lender Parties to:</w:t>
      </w:r>
    </w:p>
    <w:p>
      <w:pPr>
        <w:spacing w:after="0" w:line="209" w:lineRule="exact"/>
        <w:rPr>
          <w:rFonts w:ascii="Arial" w:cs="Arial" w:eastAsia="Arial" w:hAnsi="Arial"/>
          <w:sz w:val="17"/>
          <w:szCs w:val="17"/>
          <w:color w:val="auto"/>
        </w:rPr>
      </w:pPr>
    </w:p>
    <w:p>
      <w:pPr>
        <w:ind w:left="1145" w:hanging="573"/>
        <w:spacing w:after="0"/>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proceed against any Canadian Borrower;</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proceed against or exhaust any security held from any Canadian Borrower or any other person; or</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2"/>
        </w:numPr>
        <w:rPr>
          <w:rFonts w:ascii="Arial" w:cs="Arial" w:eastAsia="Arial" w:hAnsi="Arial"/>
          <w:sz w:val="19"/>
          <w:szCs w:val="19"/>
          <w:color w:val="auto"/>
        </w:rPr>
      </w:pPr>
      <w:r>
        <w:rPr>
          <w:rFonts w:ascii="Arial" w:cs="Arial" w:eastAsia="Arial" w:hAnsi="Arial"/>
          <w:sz w:val="17"/>
          <w:szCs w:val="17"/>
          <w:color w:val="auto"/>
        </w:rPr>
        <w:t>pursue any other remedy in the Administrative Agent or the Canadian Lender Parties' power whatsoever.</w:t>
      </w:r>
    </w:p>
    <w:p>
      <w:pPr>
        <w:spacing w:after="0" w:line="187" w:lineRule="exact"/>
        <w:rPr>
          <w:sz w:val="20"/>
          <w:szCs w:val="20"/>
          <w:color w:val="auto"/>
        </w:rPr>
      </w:pPr>
    </w:p>
    <w:p>
      <w:pPr>
        <w:jc w:val="both"/>
        <w:ind w:left="565"/>
        <w:spacing w:after="0" w:line="268" w:lineRule="auto"/>
        <w:rPr>
          <w:sz w:val="20"/>
          <w:szCs w:val="20"/>
          <w:color w:val="auto"/>
        </w:rPr>
      </w:pPr>
      <w:r>
        <w:rPr>
          <w:rFonts w:ascii="Arial" w:cs="Arial" w:eastAsia="Arial" w:hAnsi="Arial"/>
          <w:sz w:val="16"/>
          <w:szCs w:val="16"/>
          <w:color w:val="auto"/>
        </w:rPr>
        <w:t>Each Canadian Loan Guarantor waives any defense arising by reason of any disability or other defense of the Canadian Borrowers, or the cessation from any cause whatsoever of the liability of the Canadian Borrowers, or any claim that such Canadian Loan Guarantor’s obligations exceed or are more burdensome than those of the Canadian Borrowers, each Canadian Loan Guarantor waives any right of subrogation, reimbursement, indemnification, and contribution (contractual, statutory or otherwise), arising from the existence or performance of this Canadian Guarantee and each Canadian Loan Guarantor waives any right to enforce any remedy which the Administrative Agent and/or the Canadian Lender Parties now have or may hereafter have against the Canadian Borrowers, and waives any benefit of, and any right to participate in, any security now or hereafter held by the Administrative Agent or the Canadian Lender Parties. The Administrative Agent may foreclose, either by judicial foreclosure or by exercise of power of sale, or realize any deed of trust or other security securing the indebtedness, and, even though the foreclosure or other realization may destroy or diminish any Canadian Loan Guarantor’s rights against the Canadian Borrowers or may result in security being sold at an under value, such Canadian Loan Guarantor shall be liable to the Administrative Agent and the Canadian Lender Parties for any part of the indebtedness remaining unpaid after the foreclosure or other realization. Each Canadian Loan Guarantor waives all presentments, demands for performance, notices of nonperformance, protests, notices of protest, notices of dishonour, and notices of acceptance of this Canadian Guarantee and of the existence, creation, or incurring of new or additional indebtedness.</w:t>
      </w:r>
    </w:p>
    <w:p>
      <w:pPr>
        <w:spacing w:after="0" w:line="168" w:lineRule="exact"/>
        <w:rPr>
          <w:sz w:val="20"/>
          <w:szCs w:val="20"/>
          <w:color w:val="auto"/>
        </w:rPr>
      </w:pPr>
    </w:p>
    <w:p>
      <w:pPr>
        <w:jc w:val="both"/>
        <w:ind w:left="565" w:hanging="565"/>
        <w:spacing w:after="0" w:line="259" w:lineRule="auto"/>
        <w:tabs>
          <w:tab w:leader="none" w:pos="5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Canadian Loan Guarantor acknowledges and agrees that it shall have the sole responsibility for obtaining from the Canadian Borrowers such information concerning the Canadian Borrowers' financial conditions or business operations as such Canadian Loan Guarantor may require, and that neither the Administrative Agent nor the Canadian Lender Parties have any duty at any time to disclose to such Canadian Loan Guarantor any information relating to the business operations or financial conditions of any Canadian Borrower.</w:t>
      </w:r>
    </w:p>
    <w:p>
      <w:pPr>
        <w:spacing w:after="0" w:line="156" w:lineRule="exact"/>
        <w:rPr>
          <w:rFonts w:ascii="Arial" w:cs="Arial" w:eastAsia="Arial" w:hAnsi="Arial"/>
          <w:sz w:val="17"/>
          <w:szCs w:val="17"/>
          <w:color w:val="auto"/>
        </w:rPr>
      </w:pPr>
    </w:p>
    <w:p>
      <w:pPr>
        <w:jc w:val="both"/>
        <w:ind w:left="565" w:hanging="565"/>
        <w:spacing w:after="0" w:line="252" w:lineRule="auto"/>
        <w:tabs>
          <w:tab w:leader="none" w:pos="5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obligations of a Canadian Borrower to a Canadian Loan Guarantor, now or hereafter existing, including but not limited to any obligations to such Canadian Loan Guarantor as subrogee of the Administrative Agent or the Canadian Lender Parties or resulting from such Canadian Loan Guarantor’s performance under this Canadian Guarantee, are hereby assigned to the Administrative Agent and postponed and subordinated to the indebtedness. Any such obligations of the Canadian Borrowers to a Canadian Loan Guarantor received by such Canadian Loan Guarantor shall be received in trust for the Administrative Agent and the Canadian Lender Parties and the proceeds thereof shall forthwith be paid over to the Administrative Agent on account of the indebtedness of the Canadian Borrowers to the Administrative Agent and the Canadian Lender Parties, but without reducing or affecting in any manner the liability of such Canadian Loan Guarantor under the provisions of this Canadian Guarantee. This assignment and postponement is independent of and severable from this Canadian Guarantee and shall remain in full force and effect whether or not a Canadian Loan Guarantor is liable for any amount under this Canadian Guarantee.</w:t>
      </w:r>
    </w:p>
    <w:p>
      <w:pPr>
        <w:spacing w:after="0" w:line="166" w:lineRule="exact"/>
        <w:rPr>
          <w:rFonts w:ascii="Arial" w:cs="Arial" w:eastAsia="Arial" w:hAnsi="Arial"/>
          <w:sz w:val="17"/>
          <w:szCs w:val="17"/>
          <w:color w:val="auto"/>
        </w:rPr>
      </w:pPr>
    </w:p>
    <w:p>
      <w:pPr>
        <w:jc w:val="both"/>
        <w:ind w:left="565" w:hanging="565"/>
        <w:spacing w:after="0" w:line="269" w:lineRule="auto"/>
        <w:tabs>
          <w:tab w:leader="none" w:pos="56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Where any Canadian Borrower becomes bankrupt or makes an assignment for the benefit of creditors or if any circumstances arise necessitating the Administrative Agent and/or the Canadian Lender Parties to file a claim against such Canadian Borrower and/or to value its securities, the Administrative Agent shall be entitled to place such valuation on its securities as the Administrative Agent may in its absolute discretion see fit and the filing of such claim and the valuing of securities shall not in any way prejudice or restrict the claim of the Administrative Agent and the Canadian Lender Parties against any Canadian Loan Guarantor and in no way discharges such Canadian Loan Guarantor from its liability hereunder to the Administrative Agent and the Canadian Lender Parties, either in whole or in part and until all indebtedness of the Canadian Borrowers to the Administrative Agent and the Canadian Lender Parties has been fully paid, the Administrative Agent shall have the right to include in its claim the amount of all sums paid by such Canadian Loan Guarantor to the Administrative Agent under this Canadian Guarantee and to prove and rank for and receive dividends in respect of such claim, any and all rights to prove and rank for such sums paid for by such Canadian Loan Guarantor and receive the full amount of all dividends in respect thereto are hereby assigned and transferred to the Administrative Agent by such Canadian Loan Guarantor.</w:t>
      </w:r>
    </w:p>
    <w:p>
      <w:pPr>
        <w:spacing w:after="0" w:line="153" w:lineRule="exact"/>
        <w:rPr>
          <w:rFonts w:ascii="Arial" w:cs="Arial" w:eastAsia="Arial" w:hAnsi="Arial"/>
          <w:sz w:val="16"/>
          <w:szCs w:val="16"/>
          <w:color w:val="auto"/>
        </w:rPr>
      </w:pPr>
    </w:p>
    <w:p>
      <w:pPr>
        <w:jc w:val="both"/>
        <w:ind w:left="565" w:right="20" w:hanging="565"/>
        <w:spacing w:after="0" w:line="256" w:lineRule="auto"/>
        <w:tabs>
          <w:tab w:leader="none" w:pos="56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account settled or stated by or between the Administrative Agent and/or the Canadian Lender Parties and any Canadian Borrower, or, if any such account has not been so settled or stated immediately before demand for payment under this Canadian Guarantee, any account stated by the Administrative Agent, shall be accepted by each Canadian Loan Guarantor as conclusive evidence of the amount which at the date of the account so settled or stated is due by such Canadian Borrower to the Administrative Agent or remains unpaid by such Canadian Borrower to the Administrative Agent and/or the Canadian Lender Parties.</w:t>
      </w:r>
    </w:p>
    <w:p>
      <w:pPr>
        <w:spacing w:after="0" w:line="160" w:lineRule="exact"/>
        <w:rPr>
          <w:rFonts w:ascii="Arial" w:cs="Arial" w:eastAsia="Arial" w:hAnsi="Arial"/>
          <w:sz w:val="17"/>
          <w:szCs w:val="17"/>
          <w:color w:val="auto"/>
        </w:rPr>
      </w:pPr>
    </w:p>
    <w:p>
      <w:pPr>
        <w:jc w:val="both"/>
        <w:ind w:left="565" w:hanging="565"/>
        <w:spacing w:after="0" w:line="350" w:lineRule="auto"/>
        <w:tabs>
          <w:tab w:leader="none" w:pos="565" w:val="left"/>
        </w:tabs>
        <w:numPr>
          <w:ilvl w:val="0"/>
          <w:numId w:val="183"/>
        </w:numPr>
        <w:rPr>
          <w:rFonts w:ascii="Arial" w:cs="Arial" w:eastAsia="Arial" w:hAnsi="Arial"/>
          <w:sz w:val="15"/>
          <w:szCs w:val="15"/>
          <w:color w:val="auto"/>
        </w:rPr>
      </w:pPr>
      <w:r>
        <w:rPr>
          <w:rFonts w:ascii="Arial" w:cs="Arial" w:eastAsia="Arial" w:hAnsi="Arial"/>
          <w:sz w:val="15"/>
          <w:szCs w:val="15"/>
          <w:color w:val="auto"/>
        </w:rPr>
        <w:t>Each Canadian Loan Guarantor shall make payment to the Administrative Agent of the amount of its liability to the Administrative Agent forthwith after demand therefor is made in writing and such demand shall be deemed to have been effectually made when an envelope containing such demand addressed</w:t>
      </w:r>
    </w:p>
    <w:p>
      <w:pPr>
        <w:sectPr>
          <w:pgSz w:w="11900" w:h="16912" w:orient="portrait"/>
          <w:cols w:equalWidth="0" w:num="1">
            <w:col w:w="11445"/>
          </w:cols>
          <w:pgMar w:left="235" w:top="172" w:right="219" w:bottom="0" w:gutter="0" w:footer="0" w:header="0"/>
        </w:sectPr>
      </w:pPr>
    </w:p>
    <w:bookmarkStart w:id="132" w:name="page133"/>
    <w:bookmarkEnd w:id="132"/>
    <w:p>
      <w:pPr>
        <w:ind w:left="565" w:right="20"/>
        <w:spacing w:after="0" w:line="282" w:lineRule="auto"/>
        <w:rPr>
          <w:sz w:val="20"/>
          <w:szCs w:val="20"/>
          <w:color w:val="auto"/>
        </w:rPr>
      </w:pPr>
      <w:r>
        <w:rPr>
          <w:rFonts w:ascii="Arial" w:cs="Arial" w:eastAsia="Arial" w:hAnsi="Arial"/>
          <w:sz w:val="17"/>
          <w:szCs w:val="17"/>
          <w:color w:val="auto"/>
        </w:rPr>
        <w:t>to such Canadian Loan Guarantor at its address last known to the Administrative Agent, is deposited, postage prepaid, in the mail. All payments hereunder shall be made to the Administrative Agent at the office of the Administrative Agent as provided in the Credit Agreement.</w:t>
      </w:r>
    </w:p>
    <w:p>
      <w:pPr>
        <w:spacing w:after="0" w:line="138" w:lineRule="exact"/>
        <w:rPr>
          <w:sz w:val="20"/>
          <w:szCs w:val="20"/>
          <w:color w:val="auto"/>
        </w:rPr>
      </w:pPr>
    </w:p>
    <w:p>
      <w:pPr>
        <w:jc w:val="both"/>
        <w:ind w:left="565" w:hanging="565"/>
        <w:spacing w:after="0" w:line="259"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and all payments by any Canadian Loan Guarantor to the Administrative Agent and/or the Canadian Lender Parties under this Canadian Guarantee or the Credit Agreement shall be made free and clear of, and without deduction or withholding for any taxes, levies, imposts, deductions, charges or withholdings of whatever kind or nature (the "</w:t>
      </w:r>
      <w:r>
        <w:rPr>
          <w:rFonts w:ascii="Arial" w:cs="Arial" w:eastAsia="Arial" w:hAnsi="Arial"/>
          <w:sz w:val="17"/>
          <w:szCs w:val="17"/>
          <w:b w:val="1"/>
          <w:bCs w:val="1"/>
          <w:color w:val="auto"/>
        </w:rPr>
        <w:t>Taxes</w:t>
      </w:r>
      <w:r>
        <w:rPr>
          <w:rFonts w:ascii="Arial" w:cs="Arial" w:eastAsia="Arial" w:hAnsi="Arial"/>
          <w:sz w:val="17"/>
          <w:szCs w:val="17"/>
          <w:color w:val="auto"/>
        </w:rPr>
        <w:t>") unless such Canadian Loan Guarantor is required to withhold or deduct taxes in which case paragraphs 12 and 13 shall apply.</w:t>
      </w:r>
    </w:p>
    <w:p>
      <w:pPr>
        <w:spacing w:after="0" w:line="156" w:lineRule="exact"/>
        <w:rPr>
          <w:rFonts w:ascii="Arial" w:cs="Arial" w:eastAsia="Arial" w:hAnsi="Arial"/>
          <w:sz w:val="17"/>
          <w:szCs w:val="17"/>
          <w:color w:val="auto"/>
        </w:rPr>
      </w:pPr>
    </w:p>
    <w:p>
      <w:pPr>
        <w:jc w:val="both"/>
        <w:ind w:left="565" w:right="20" w:hanging="565"/>
        <w:spacing w:after="0" w:line="289" w:lineRule="auto"/>
        <w:tabs>
          <w:tab w:leader="none" w:pos="565"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Canadian Loan Guarantor agrees to indemnify and hold harmless the Administrative Agent and/or the Canadian Lender Parties for the full amount of Taxes (including any Taxes imposed by any jurisdiction on amounts payable under this paragraph) paid by the Administrative Agent and/or the Canadian Lender Parties with respect to payments made by such Canadian Loan Guarantor to the Administrative Agent and/or the Canadian Lender Parties under this Canadian Guarantee, and any liability (including penalties, interest, additions to tax and expenses) arising therefrom or with respect thereto (but excluding for greater certainty, net income taxes payable by the Administrative Agent and/or Canadian Lender Parties directly). Payment under this indemnification shall be made within thirty (30) days after the date the Administrative Agent makes written demand therefor. The Administrative Agent agrees, within a reasonable time after receiving a written request from such Canadian Loan Guarantor, to provide such Canadian Loan Guarantor with such certificates as are reasonably required, and take such other actions as are reasonably necessary (so long as such actions do not have a negative effect on the Administrative Agent and/or the Canadian Lender Parties), to claim such exemptions as the Administrative Agent and/or the Canadian Lender Parties may be entitled to claim in respect of all or a portion of any Taxes which are otherwise required to be paid or deducted or withheld hereunder.</w:t>
      </w:r>
    </w:p>
    <w:p>
      <w:pPr>
        <w:spacing w:after="0" w:line="139" w:lineRule="exact"/>
        <w:rPr>
          <w:rFonts w:ascii="Arial" w:cs="Arial" w:eastAsia="Arial" w:hAnsi="Arial"/>
          <w:sz w:val="15"/>
          <w:szCs w:val="15"/>
          <w:color w:val="auto"/>
        </w:rPr>
      </w:pPr>
    </w:p>
    <w:p>
      <w:pPr>
        <w:ind w:left="565" w:hanging="565"/>
        <w:spacing w:after="0" w:line="280"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any Canadian Loan Guarantor shall be required by law to deduct or withhold any Taxes from or in respect of any sum payable hereunder to the Administrative Agent and/or the Canadian Lender Parties, then:</w:t>
      </w:r>
    </w:p>
    <w:p>
      <w:pPr>
        <w:spacing w:after="0" w:line="151" w:lineRule="exact"/>
        <w:rPr>
          <w:rFonts w:ascii="Arial" w:cs="Arial" w:eastAsia="Arial" w:hAnsi="Arial"/>
          <w:sz w:val="17"/>
          <w:szCs w:val="17"/>
          <w:color w:val="auto"/>
        </w:rPr>
      </w:pPr>
    </w:p>
    <w:p>
      <w:pPr>
        <w:jc w:val="both"/>
        <w:ind w:left="1145" w:hanging="573"/>
        <w:spacing w:after="0" w:line="277" w:lineRule="auto"/>
        <w:tabs>
          <w:tab w:leader="none" w:pos="1145" w:val="left"/>
        </w:tabs>
        <w:numPr>
          <w:ilvl w:val="1"/>
          <w:numId w:val="184"/>
        </w:numPr>
        <w:rPr>
          <w:rFonts w:ascii="Arial" w:cs="Arial" w:eastAsia="Arial" w:hAnsi="Arial"/>
          <w:sz w:val="19"/>
          <w:szCs w:val="19"/>
          <w:color w:val="auto"/>
        </w:rPr>
      </w:pPr>
      <w:r>
        <w:rPr>
          <w:rFonts w:ascii="Arial" w:cs="Arial" w:eastAsia="Arial" w:hAnsi="Arial"/>
          <w:sz w:val="17"/>
          <w:szCs w:val="17"/>
          <w:color w:val="auto"/>
        </w:rPr>
        <w:t>the sum payable shall be increased as necessary so that after making all required deductions and withholdings (including deductions and withholdings applicable to additional sums payable under this paragraph) the Administrative Agent and/or the Canadian Lender Parties receive an amount equal to the sum it would have received had no such deductions or withholdings been made;</w:t>
      </w:r>
    </w:p>
    <w:p>
      <w:pPr>
        <w:spacing w:after="0" w:line="166" w:lineRule="exact"/>
        <w:rPr>
          <w:rFonts w:ascii="Arial" w:cs="Arial" w:eastAsia="Arial" w:hAnsi="Arial"/>
          <w:sz w:val="19"/>
          <w:szCs w:val="19"/>
          <w:color w:val="auto"/>
        </w:rPr>
      </w:pPr>
    </w:p>
    <w:p>
      <w:pPr>
        <w:ind w:left="1145" w:hanging="573"/>
        <w:spacing w:after="0"/>
        <w:tabs>
          <w:tab w:leader="none" w:pos="1145" w:val="left"/>
        </w:tabs>
        <w:numPr>
          <w:ilvl w:val="1"/>
          <w:numId w:val="184"/>
        </w:numPr>
        <w:rPr>
          <w:rFonts w:ascii="Arial" w:cs="Arial" w:eastAsia="Arial" w:hAnsi="Arial"/>
          <w:sz w:val="19"/>
          <w:szCs w:val="19"/>
          <w:color w:val="auto"/>
        </w:rPr>
      </w:pPr>
      <w:r>
        <w:rPr>
          <w:rFonts w:ascii="Arial" w:cs="Arial" w:eastAsia="Arial" w:hAnsi="Arial"/>
          <w:sz w:val="17"/>
          <w:szCs w:val="17"/>
          <w:color w:val="auto"/>
        </w:rPr>
        <w:t>such Canadian Loan Guarantor shall make such deductions and withholdings;</w:t>
      </w:r>
    </w:p>
    <w:p>
      <w:pPr>
        <w:spacing w:after="0" w:line="198" w:lineRule="exact"/>
        <w:rPr>
          <w:rFonts w:ascii="Arial" w:cs="Arial" w:eastAsia="Arial" w:hAnsi="Arial"/>
          <w:sz w:val="19"/>
          <w:szCs w:val="19"/>
          <w:color w:val="auto"/>
        </w:rPr>
      </w:pPr>
    </w:p>
    <w:p>
      <w:pPr>
        <w:ind w:left="1145" w:right="20" w:hanging="573"/>
        <w:spacing w:after="0" w:line="281" w:lineRule="auto"/>
        <w:tabs>
          <w:tab w:leader="none" w:pos="1145" w:val="left"/>
        </w:tabs>
        <w:numPr>
          <w:ilvl w:val="1"/>
          <w:numId w:val="184"/>
        </w:numPr>
        <w:rPr>
          <w:rFonts w:ascii="Arial" w:cs="Arial" w:eastAsia="Arial" w:hAnsi="Arial"/>
          <w:sz w:val="19"/>
          <w:szCs w:val="19"/>
          <w:color w:val="auto"/>
        </w:rPr>
      </w:pPr>
      <w:r>
        <w:rPr>
          <w:rFonts w:ascii="Arial" w:cs="Arial" w:eastAsia="Arial" w:hAnsi="Arial"/>
          <w:sz w:val="17"/>
          <w:szCs w:val="17"/>
          <w:color w:val="auto"/>
        </w:rPr>
        <w:t>such Canadian Loan Guarantor shall timely pay the full amount deducted or withheld to the relevant taxing authority or other authority in accordance with applicable law; and</w:t>
      </w:r>
    </w:p>
    <w:p>
      <w:pPr>
        <w:spacing w:after="0" w:line="158" w:lineRule="exact"/>
        <w:rPr>
          <w:rFonts w:ascii="Arial" w:cs="Arial" w:eastAsia="Arial" w:hAnsi="Arial"/>
          <w:sz w:val="19"/>
          <w:szCs w:val="19"/>
          <w:color w:val="auto"/>
        </w:rPr>
      </w:pPr>
    </w:p>
    <w:p>
      <w:pPr>
        <w:jc w:val="both"/>
        <w:ind w:left="1145" w:right="20" w:hanging="573"/>
        <w:spacing w:after="0" w:line="277" w:lineRule="auto"/>
        <w:tabs>
          <w:tab w:leader="none" w:pos="1145" w:val="left"/>
        </w:tabs>
        <w:numPr>
          <w:ilvl w:val="1"/>
          <w:numId w:val="184"/>
        </w:numPr>
        <w:rPr>
          <w:rFonts w:ascii="Arial" w:cs="Arial" w:eastAsia="Arial" w:hAnsi="Arial"/>
          <w:sz w:val="19"/>
          <w:szCs w:val="19"/>
          <w:color w:val="auto"/>
        </w:rPr>
      </w:pPr>
      <w:r>
        <w:rPr>
          <w:rFonts w:ascii="Arial" w:cs="Arial" w:eastAsia="Arial" w:hAnsi="Arial"/>
          <w:sz w:val="17"/>
          <w:szCs w:val="17"/>
          <w:color w:val="auto"/>
        </w:rPr>
        <w:t>such Canadian Loan Guarantor shall also pay to the Administrative Agent and/or the Canadian Lender Parties, at the time interest is paid, all additional amounts (without duplication) which the Administrative Agent specifies as necessary to preserve the after-tax yield the Administrative Agent and/or the Canadian Lender Parties would have received if such Taxes had not been imposed.</w:t>
      </w:r>
    </w:p>
    <w:p>
      <w:pPr>
        <w:spacing w:after="0" w:line="154" w:lineRule="exact"/>
        <w:rPr>
          <w:rFonts w:ascii="Arial" w:cs="Arial" w:eastAsia="Arial" w:hAnsi="Arial"/>
          <w:sz w:val="19"/>
          <w:szCs w:val="19"/>
          <w:color w:val="auto"/>
        </w:rPr>
      </w:pPr>
    </w:p>
    <w:p>
      <w:pPr>
        <w:jc w:val="both"/>
        <w:ind w:left="565" w:hanging="565"/>
        <w:spacing w:after="0" w:line="264"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Within thirty (30) days after the date of any payment by any Canadian Loan Guarantor of Taxes, such Canadian Loan Guarantor shall furnish the Administrative Agent the original or a certified copy of a receipt evidencing payment thereof, or other evidence of payment satisfactory to the Administrative Agent.</w:t>
      </w:r>
    </w:p>
    <w:p>
      <w:pPr>
        <w:spacing w:after="0" w:line="153" w:lineRule="exact"/>
        <w:rPr>
          <w:rFonts w:ascii="Arial" w:cs="Arial" w:eastAsia="Arial" w:hAnsi="Arial"/>
          <w:sz w:val="17"/>
          <w:szCs w:val="17"/>
          <w:color w:val="auto"/>
        </w:rPr>
      </w:pPr>
    </w:p>
    <w:p>
      <w:pPr>
        <w:jc w:val="both"/>
        <w:ind w:left="565" w:hanging="565"/>
        <w:spacing w:after="0" w:line="259"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any provision of this Canadian Guarantee is determined in any proceeding in a court of competent jurisdiction to be void or to be wholly or partly unenforceable, that provision shall for the purposes of such proceeding, be severed from this Canadian Guarantee at the Administrative Agent's option and shall be treated as not forming a part hereof and all the remaining provisions of this Canadian Guarantee shall remain in full force and be unaffected thereby.</w:t>
      </w:r>
    </w:p>
    <w:p>
      <w:pPr>
        <w:spacing w:after="0" w:line="156" w:lineRule="exact"/>
        <w:rPr>
          <w:rFonts w:ascii="Arial" w:cs="Arial" w:eastAsia="Arial" w:hAnsi="Arial"/>
          <w:sz w:val="17"/>
          <w:szCs w:val="17"/>
          <w:color w:val="auto"/>
        </w:rPr>
      </w:pPr>
    </w:p>
    <w:p>
      <w:pPr>
        <w:jc w:val="both"/>
        <w:ind w:left="565" w:right="20" w:hanging="565"/>
        <w:spacing w:after="0" w:line="259"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This Canadian Guarantee shall not be subject to or affected by any promise or condition affecting or limiting the liability of any Canadian Loan Guarantor except as expressly set forth herein and no statement, representation, agreement or promise on the part of the Administrative Agent or any officer, employee or agent thereof, unless contained herein, forms any part of this contract or has induced the making thereof or shall be deemed in any way to affect the liability of any Canadian Loan Guarantor hereunder.</w:t>
      </w:r>
    </w:p>
    <w:p>
      <w:pPr>
        <w:spacing w:after="0" w:line="156" w:lineRule="exact"/>
        <w:rPr>
          <w:rFonts w:ascii="Arial" w:cs="Arial" w:eastAsia="Arial" w:hAnsi="Arial"/>
          <w:sz w:val="17"/>
          <w:szCs w:val="17"/>
          <w:color w:val="auto"/>
        </w:rPr>
      </w:pPr>
    </w:p>
    <w:p>
      <w:pPr>
        <w:ind w:left="565" w:right="20" w:hanging="565"/>
        <w:spacing w:after="0" w:line="280"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There are no representations, collateral agreements or conditions with respect to this Canadian Guarantee and agreement affecting the liability of any Canadian Loan Guarantor hereunder other than contained herein.</w:t>
      </w:r>
    </w:p>
    <w:p>
      <w:pPr>
        <w:spacing w:after="0" w:line="139" w:lineRule="exact"/>
        <w:rPr>
          <w:rFonts w:ascii="Arial" w:cs="Arial" w:eastAsia="Arial" w:hAnsi="Arial"/>
          <w:sz w:val="17"/>
          <w:szCs w:val="17"/>
          <w:color w:val="auto"/>
        </w:rPr>
      </w:pPr>
    </w:p>
    <w:p>
      <w:pPr>
        <w:ind w:left="565" w:right="20" w:hanging="565"/>
        <w:spacing w:after="0" w:line="313" w:lineRule="auto"/>
        <w:tabs>
          <w:tab w:leader="none" w:pos="5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This Canadian Guarantee and agreement shall extend to and enure to the benefit of the Administrative Agent and the Canadian Lender Parties and its and their successors and assigns, and shall extend to and be binding upon each Canadian Loan Guarantor and its successors and permitted assigns.</w:t>
      </w:r>
    </w:p>
    <w:p>
      <w:pPr>
        <w:spacing w:after="0" w:line="115" w:lineRule="exact"/>
        <w:rPr>
          <w:rFonts w:ascii="Arial" w:cs="Arial" w:eastAsia="Arial" w:hAnsi="Arial"/>
          <w:sz w:val="16"/>
          <w:szCs w:val="16"/>
          <w:color w:val="auto"/>
        </w:rPr>
      </w:pPr>
    </w:p>
    <w:p>
      <w:pPr>
        <w:jc w:val="both"/>
        <w:ind w:left="565" w:hanging="565"/>
        <w:spacing w:after="0" w:line="264"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It is not necessary for the Administrative Agent or the Canadian Lender Parties to inquire into the powers of the Canadian Borrowers or any Canadian Loan Guarantor or of the officers, directors, partners, or agents acting or purporting to act on their behalf, and any indebtedness made or created in reliance upon the professed exercise of such powers shall be guaranteed hereunder.</w:t>
      </w:r>
    </w:p>
    <w:p>
      <w:pPr>
        <w:spacing w:after="0" w:line="153" w:lineRule="exact"/>
        <w:rPr>
          <w:rFonts w:ascii="Arial" w:cs="Arial" w:eastAsia="Arial" w:hAnsi="Arial"/>
          <w:sz w:val="17"/>
          <w:szCs w:val="17"/>
          <w:color w:val="auto"/>
        </w:rPr>
      </w:pPr>
    </w:p>
    <w:p>
      <w:pPr>
        <w:jc w:val="both"/>
        <w:ind w:left="565" w:hanging="565"/>
        <w:spacing w:after="0" w:line="256" w:lineRule="auto"/>
        <w:tabs>
          <w:tab w:leader="none" w:pos="5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Administrative Agent may, without notice to a Canadian Loan Guarantor and without affecting such Canadian Loan Guarantor’s obligations hereunder, assign the indebtedness and this Canadian Guarantee, in whole or in part. Each Canadian Loan Guarantor agrees that the Administrative Agent and the Canadian Lender Parties may disclose to any assignee or purchaser, or any prospective assignee or purchaser, of all or part of the indebtedness any and all information in the Administrative Agent or a Canadian Lender Party's possession concerning such Canadian Loan Guarantor, this Canadian Guarantee, and any security for this Canadian Guarantee.</w:t>
      </w:r>
    </w:p>
    <w:p>
      <w:pPr>
        <w:spacing w:after="0" w:line="160" w:lineRule="exact"/>
        <w:rPr>
          <w:rFonts w:ascii="Arial" w:cs="Arial" w:eastAsia="Arial" w:hAnsi="Arial"/>
          <w:sz w:val="17"/>
          <w:szCs w:val="17"/>
          <w:color w:val="auto"/>
        </w:rPr>
      </w:pPr>
    </w:p>
    <w:p>
      <w:pPr>
        <w:jc w:val="both"/>
        <w:ind w:left="565" w:hanging="565"/>
        <w:spacing w:after="0" w:line="268" w:lineRule="auto"/>
        <w:tabs>
          <w:tab w:leader="none" w:pos="5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for the purpose of obtaining judgment in any court or for the purpose of determining, pursuant to the obligations of any Canadian Loan Guarantor, the amounts owing hereunder it is necessary to convert an amount due hereunder in the currency in which it is due (the "</w:t>
      </w:r>
      <w:r>
        <w:rPr>
          <w:rFonts w:ascii="Arial" w:cs="Arial" w:eastAsia="Arial" w:hAnsi="Arial"/>
          <w:sz w:val="16"/>
          <w:szCs w:val="16"/>
          <w:b w:val="1"/>
          <w:bCs w:val="1"/>
          <w:color w:val="auto"/>
        </w:rPr>
        <w:t>Original Currency</w:t>
      </w:r>
      <w:r>
        <w:rPr>
          <w:rFonts w:ascii="Arial" w:cs="Arial" w:eastAsia="Arial" w:hAnsi="Arial"/>
          <w:sz w:val="16"/>
          <w:szCs w:val="16"/>
          <w:color w:val="auto"/>
        </w:rPr>
        <w:t>")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the rate of exchange applied shall be that at which, in accordance with normal banking procedures, the Administrative Agent could purchase, in the New York foreign exchange market, the Original Currency with the Second Currency on the date two (2) Business Days preceding that on which judgment is given or any other payment is due hereunder. Each Canadian Loan Guarantor agrees that its obligation in respect of any Original Currency due from it to the Administrative Agent hereunder shall, notwithstanding any judgment or payment in such other currency, be discharged only to the extent that, on the Business Day following the date the Administrative Agent receives payment of any sum so adjudged or owing to be due hereunder in the Second Currency the Administrative Agent may, in accordance with normal banking procedures, purchase, in the New York foreign exchange market the Original Currency with the amount of the Second Currency so paid; and if the amount of the Original Currency so purchased or could have been so purchased is less than the amount originally due in the Original Currency, each Canadian Loan Guarantor agrees as a separate obligation and notwithstanding any such payment or judgment to indemnify the Administrative Agent against such loss. The term "rate of exchange" in this paragraph 21 means the spot rate at which the Administrative Agent, in accordance with normal practices is able, on the relevant date, to purchase the Original Currency with the Second Currency and includes any premium and costs of exchange payable in connection with such purchase.</w:t>
      </w:r>
    </w:p>
    <w:p>
      <w:pPr>
        <w:spacing w:after="0" w:line="152" w:lineRule="exact"/>
        <w:rPr>
          <w:rFonts w:ascii="Arial" w:cs="Arial" w:eastAsia="Arial" w:hAnsi="Arial"/>
          <w:sz w:val="16"/>
          <w:szCs w:val="16"/>
          <w:color w:val="auto"/>
        </w:rPr>
      </w:pPr>
    </w:p>
    <w:p>
      <w:pPr>
        <w:jc w:val="both"/>
        <w:ind w:left="565" w:hanging="565"/>
        <w:spacing w:after="0" w:line="313" w:lineRule="auto"/>
        <w:tabs>
          <w:tab w:leader="none" w:pos="5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 Canadian Loan Guarantor is a partnership, this Canadian Guarantee shall extend to the person, persons and corporations for the time being and from time to time carrying on the business now being carried on by such Canadian Loan Guarantor notwithstanding any change or changes in the name or</w:t>
      </w:r>
    </w:p>
    <w:p>
      <w:pPr>
        <w:sectPr>
          <w:pgSz w:w="11900" w:h="16838" w:orient="portrait"/>
          <w:cols w:equalWidth="0" w:num="1">
            <w:col w:w="11445"/>
          </w:cols>
          <w:pgMar w:left="235" w:top="124" w:right="219" w:bottom="0" w:gutter="0" w:footer="0" w:header="0"/>
        </w:sectPr>
      </w:pPr>
    </w:p>
    <w:bookmarkStart w:id="133" w:name="page134"/>
    <w:bookmarkEnd w:id="133"/>
    <w:p>
      <w:pPr>
        <w:spacing w:after="0" w:line="46" w:lineRule="exact"/>
        <w:rPr>
          <w:sz w:val="20"/>
          <w:szCs w:val="20"/>
          <w:color w:val="auto"/>
        </w:rPr>
      </w:pPr>
    </w:p>
    <w:p>
      <w:pPr>
        <w:jc w:val="both"/>
        <w:ind w:left="565"/>
        <w:spacing w:after="0" w:line="289" w:lineRule="auto"/>
        <w:rPr>
          <w:sz w:val="20"/>
          <w:szCs w:val="20"/>
          <w:color w:val="auto"/>
        </w:rPr>
      </w:pPr>
      <w:r>
        <w:rPr>
          <w:rFonts w:ascii="Arial" w:cs="Arial" w:eastAsia="Arial" w:hAnsi="Arial"/>
          <w:sz w:val="16"/>
          <w:szCs w:val="16"/>
          <w:color w:val="auto"/>
        </w:rPr>
        <w:t>membership of the partnership or the incorporation of a company for the purpose of acquiring the business of the partnership and where a Canadian Loan Guarantor is a corporation, this Canadian Guarantee shall extend to any amalgamated or new company formed to take over the business of such Canadian Loan Guarantor and any reorganization thereof, whether the new company is the same or different in its objects, character and constitution.</w:t>
      </w:r>
    </w:p>
    <w:p>
      <w:pPr>
        <w:spacing w:after="0" w:line="135" w:lineRule="exact"/>
        <w:rPr>
          <w:sz w:val="20"/>
          <w:szCs w:val="20"/>
          <w:color w:val="auto"/>
        </w:rPr>
      </w:pPr>
    </w:p>
    <w:p>
      <w:pPr>
        <w:jc w:val="both"/>
        <w:ind w:left="565" w:right="20" w:hanging="565"/>
        <w:spacing w:after="0" w:line="264"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Canadian Loan Guarantor agrees to pay all reasonable legal fees, including allocated costs of the Administrative Agent's in-house counsel, and all other costs and expenses which may be incurred by the Administrative Agent or the Canadian Lender Parties in the enforcement of this Canadian Guarantee.</w:t>
      </w:r>
    </w:p>
    <w:p>
      <w:pPr>
        <w:spacing w:after="0" w:line="153" w:lineRule="exact"/>
        <w:rPr>
          <w:rFonts w:ascii="Arial" w:cs="Arial" w:eastAsia="Arial" w:hAnsi="Arial"/>
          <w:sz w:val="17"/>
          <w:szCs w:val="17"/>
          <w:color w:val="auto"/>
        </w:rPr>
      </w:pPr>
    </w:p>
    <w:p>
      <w:pPr>
        <w:ind w:left="565" w:hanging="565"/>
        <w:spacing w:after="0"/>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words used herein in the plural shall be deemed to have been used in the singular where the context and construction so require.</w:t>
      </w:r>
    </w:p>
    <w:p>
      <w:pPr>
        <w:spacing w:after="0" w:line="197" w:lineRule="exact"/>
        <w:rPr>
          <w:rFonts w:ascii="Arial" w:cs="Arial" w:eastAsia="Arial" w:hAnsi="Arial"/>
          <w:sz w:val="17"/>
          <w:szCs w:val="17"/>
          <w:color w:val="auto"/>
        </w:rPr>
      </w:pPr>
    </w:p>
    <w:p>
      <w:pPr>
        <w:ind w:left="565" w:right="20" w:hanging="565"/>
        <w:spacing w:after="0" w:line="280"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Canadian Guarantee shall be governed by and construed in accordance with the laws of the Province of Ontario and the laws of Canada applicable therein.</w:t>
      </w:r>
    </w:p>
    <w:p>
      <w:pPr>
        <w:spacing w:after="0" w:line="139" w:lineRule="exact"/>
        <w:rPr>
          <w:rFonts w:ascii="Arial" w:cs="Arial" w:eastAsia="Arial" w:hAnsi="Arial"/>
          <w:sz w:val="17"/>
          <w:szCs w:val="17"/>
          <w:color w:val="auto"/>
        </w:rPr>
      </w:pPr>
    </w:p>
    <w:p>
      <w:pPr>
        <w:ind w:left="565" w:hanging="565"/>
        <w:spacing w:after="0"/>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Canadian Loan Guarantor acknowledges receipt of an executed copy of this Canadian Guarantee.</w:t>
      </w:r>
    </w:p>
    <w:p>
      <w:pPr>
        <w:spacing w:after="0" w:line="197" w:lineRule="exact"/>
        <w:rPr>
          <w:rFonts w:ascii="Arial" w:cs="Arial" w:eastAsia="Arial" w:hAnsi="Arial"/>
          <w:sz w:val="17"/>
          <w:szCs w:val="17"/>
          <w:color w:val="auto"/>
        </w:rPr>
      </w:pPr>
    </w:p>
    <w:p>
      <w:pPr>
        <w:jc w:val="both"/>
        <w:ind w:left="565" w:hanging="565"/>
        <w:spacing w:after="0" w:line="316" w:lineRule="auto"/>
        <w:tabs>
          <w:tab w:leader="none" w:pos="565"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This Canadian Guarantee may be executed in any number of counterparts, all of which taken together shall constitute one agreement, and any of the parties hereto may execute this Canadian Guarantee by signing any such counterpart. Delivery of an executed counterpart of a signature page of this Canadian Guarantee by facsimile or other electronic transmission shall be effective as delivery of a manually executed counterpart of this Canadian Guarantee.</w:t>
      </w:r>
    </w:p>
    <w:p>
      <w:pPr>
        <w:spacing w:after="0" w:line="116" w:lineRule="exact"/>
        <w:rPr>
          <w:rFonts w:ascii="Arial" w:cs="Arial" w:eastAsia="Arial" w:hAnsi="Arial"/>
          <w:sz w:val="15"/>
          <w:szCs w:val="15"/>
          <w:color w:val="auto"/>
        </w:rPr>
      </w:pPr>
    </w:p>
    <w:p>
      <w:pPr>
        <w:jc w:val="both"/>
        <w:ind w:left="565" w:right="20" w:hanging="565"/>
        <w:spacing w:after="0" w:line="259"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liability of each Canadian Loan Guarantor shall be absolute and conditional and shall not be discharged, diminished or in any way affected by any circumstance which might otherwise constitute in whole or in part (i) a defence available to such Canadian Loan Guarantor, any other Canadian Loan Guarantor or any Canadian Borrower or (ii) the discharge of any other Canadian Loan Guarantor, any Canadian Borrower or any other Person in respect of the obligations hereunder.</w:t>
      </w:r>
    </w:p>
    <w:p>
      <w:pPr>
        <w:spacing w:after="0" w:line="156" w:lineRule="exact"/>
        <w:rPr>
          <w:rFonts w:ascii="Arial" w:cs="Arial" w:eastAsia="Arial" w:hAnsi="Arial"/>
          <w:sz w:val="17"/>
          <w:szCs w:val="17"/>
          <w:color w:val="auto"/>
        </w:rPr>
      </w:pPr>
    </w:p>
    <w:p>
      <w:pPr>
        <w:ind w:left="565" w:right="20" w:hanging="565"/>
        <w:spacing w:after="0" w:line="280"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Notwithstanding any provision to the contrary set forth in this Canadian Guarantee or any of the other Loan Documents, in no event shall any Canadian Loan Guarantor or Dutch Loan Guarantor be liable for any obligation of any U.S. Loan Party or CFC Subsidiary Holding Company.</w:t>
      </w:r>
    </w:p>
    <w:p>
      <w:pPr>
        <w:spacing w:after="0" w:line="139" w:lineRule="exact"/>
        <w:rPr>
          <w:rFonts w:ascii="Arial" w:cs="Arial" w:eastAsia="Arial" w:hAnsi="Arial"/>
          <w:sz w:val="17"/>
          <w:szCs w:val="17"/>
          <w:color w:val="auto"/>
        </w:rPr>
      </w:pPr>
    </w:p>
    <w:p>
      <w:pPr>
        <w:ind w:left="565" w:right="20" w:hanging="565"/>
        <w:spacing w:after="0" w:line="280"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First Restated Guarantee, as amended and restated by this Canadian Guarantee shall remain in full force and effect as amended and restated hereby and is hereby ratified and confirmed by each of the undersigned.</w:t>
      </w:r>
    </w:p>
    <w:p>
      <w:pPr>
        <w:spacing w:after="0" w:line="139" w:lineRule="exact"/>
        <w:rPr>
          <w:rFonts w:ascii="Arial" w:cs="Arial" w:eastAsia="Arial" w:hAnsi="Arial"/>
          <w:sz w:val="17"/>
          <w:szCs w:val="17"/>
          <w:color w:val="auto"/>
        </w:rPr>
      </w:pPr>
    </w:p>
    <w:p>
      <w:pPr>
        <w:ind w:left="565" w:hanging="565"/>
        <w:spacing w:after="0" w:line="280" w:lineRule="auto"/>
        <w:tabs>
          <w:tab w:leader="none" w:pos="56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Canadian Loan Guarantor acknowledges communication of the terms of the Credit Agreement and of all the provisions therein contained and consents to and approves of its contents.</w:t>
      </w:r>
    </w:p>
    <w:p>
      <w:pPr>
        <w:spacing w:after="0" w:line="140"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parties acknowledge that they have required that this Canadian Guarantee and all related documents be prepared in English.</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17"/>
          <w:szCs w:val="17"/>
          <w:color w:val="auto"/>
        </w:rPr>
        <w:t>Les parties reconnaissent avoir exigé que la présente convention et tous les documents connexes soient rédigés en anglais.</w:t>
      </w:r>
    </w:p>
    <w:p>
      <w:pPr>
        <w:spacing w:after="0" w:line="21" w:lineRule="exact"/>
        <w:rPr>
          <w:sz w:val="20"/>
          <w:szCs w:val="20"/>
          <w:color w:val="auto"/>
        </w:rPr>
      </w:pPr>
    </w:p>
    <w:p>
      <w:pPr>
        <w:ind w:left="4205"/>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
        <w:spacing w:after="0"/>
        <w:rPr>
          <w:sz w:val="20"/>
          <w:szCs w:val="20"/>
          <w:color w:val="auto"/>
        </w:rPr>
      </w:pPr>
      <w:r>
        <w:rPr>
          <w:rFonts w:ascii="Arial" w:cs="Arial" w:eastAsia="Arial" w:hAnsi="Arial"/>
          <w:sz w:val="17"/>
          <w:szCs w:val="17"/>
          <w:color w:val="auto"/>
        </w:rPr>
        <w:t xml:space="preserve">Executed as of this </w:t>
      </w:r>
      <w:r>
        <w:rPr>
          <w:rFonts w:ascii="Arial" w:cs="Arial" w:eastAsia="Arial" w:hAnsi="Arial"/>
          <w:sz w:val="19"/>
          <w:szCs w:val="19"/>
          <w:color w:val="auto"/>
        </w:rPr>
        <w:t>____</w:t>
      </w:r>
      <w:r>
        <w:rPr>
          <w:rFonts w:ascii="Arial" w:cs="Arial" w:eastAsia="Arial" w:hAnsi="Arial"/>
          <w:sz w:val="17"/>
          <w:szCs w:val="17"/>
          <w:color w:val="auto"/>
        </w:rPr>
        <w:t xml:space="preserve"> day of ____________,2015.</w:t>
      </w:r>
    </w:p>
    <w:p>
      <w:pPr>
        <w:spacing w:after="0" w:line="200" w:lineRule="exact"/>
        <w:rPr>
          <w:sz w:val="20"/>
          <w:szCs w:val="20"/>
          <w:color w:val="auto"/>
        </w:rPr>
      </w:pPr>
    </w:p>
    <w:p>
      <w:pPr>
        <w:spacing w:after="0" w:line="378"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DISTRIBUTION CANADA LP</w:t>
      </w:r>
    </w:p>
    <w:p>
      <w:pPr>
        <w:spacing w:after="0" w:line="27"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DISTRIBUTION CANADA GP INC.</w:t>
      </w:r>
    </w:p>
    <w:p>
      <w:pPr>
        <w:spacing w:after="0" w:line="231" w:lineRule="exact"/>
        <w:rPr>
          <w:sz w:val="20"/>
          <w:szCs w:val="20"/>
          <w:color w:val="auto"/>
        </w:rPr>
      </w:pPr>
    </w:p>
    <w:tbl>
      <w:tblPr>
        <w:tblLayout w:type="fixed"/>
        <w:tblInd w:w="5645"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WDCC ENTERPRISES INC.</w:t>
            </w:r>
          </w:p>
        </w:tc>
        <w:tc>
          <w:tcPr>
            <w:tcW w:w="0" w:type="dxa"/>
            <w:vAlign w:val="bottom"/>
          </w:tcPr>
          <w:p>
            <w:pPr>
              <w:spacing w:after="0"/>
              <w:rPr>
                <w:sz w:val="1"/>
                <w:szCs w:val="1"/>
                <w:color w:val="auto"/>
              </w:rPr>
            </w:pPr>
          </w:p>
        </w:tc>
      </w:tr>
      <w:tr>
        <w:trPr>
          <w:trHeight w:val="608"/>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WESCO DISTRIBUTION CANADA GP INC.</w:t>
            </w:r>
          </w:p>
        </w:tc>
        <w:tc>
          <w:tcPr>
            <w:tcW w:w="0" w:type="dxa"/>
            <w:vAlign w:val="bottom"/>
          </w:tcPr>
          <w:p>
            <w:pPr>
              <w:spacing w:after="0"/>
              <w:rPr>
                <w:sz w:val="1"/>
                <w:szCs w:val="1"/>
                <w:color w:val="auto"/>
              </w:rPr>
            </w:pPr>
          </w:p>
        </w:tc>
      </w:tr>
      <w:tr>
        <w:trPr>
          <w:trHeight w:val="608"/>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CANADA I, LP</w:t>
      </w:r>
    </w:p>
    <w:p>
      <w:pPr>
        <w:spacing w:after="0" w:line="27"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HOLDINGS, LLC</w:t>
      </w:r>
    </w:p>
    <w:p>
      <w:pPr>
        <w:spacing w:after="0" w:line="231" w:lineRule="exact"/>
        <w:rPr>
          <w:sz w:val="20"/>
          <w:szCs w:val="20"/>
          <w:color w:val="auto"/>
        </w:rPr>
      </w:pPr>
    </w:p>
    <w:p>
      <w:pPr>
        <w:ind w:left="5645"/>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43815</wp:posOffset>
            </wp:positionV>
            <wp:extent cx="29730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5645"/>
        <w:spacing w:after="0"/>
        <w:tabs>
          <w:tab w:leader="none" w:pos="6764"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5645"/>
        <w:spacing w:after="0"/>
        <w:tabs>
          <w:tab w:leader="none" w:pos="6764"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ectPr>
          <w:pgSz w:w="11900" w:h="16884" w:orient="portrait"/>
          <w:cols w:equalWidth="0" w:num="1">
            <w:col w:w="11445"/>
          </w:cols>
          <w:pgMar w:left="235" w:top="124" w:right="219" w:bottom="0" w:gutter="0" w:footer="0" w:header="0"/>
        </w:sectPr>
      </w:pPr>
    </w:p>
    <w:p>
      <w:pPr>
        <w:spacing w:after="0" w:line="200" w:lineRule="exact"/>
        <w:rPr>
          <w:sz w:val="20"/>
          <w:szCs w:val="20"/>
          <w:color w:val="auto"/>
        </w:rPr>
      </w:pPr>
    </w:p>
    <w:p>
      <w:pPr>
        <w:spacing w:after="0" w:line="218"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CANADA II, LP</w:t>
      </w:r>
    </w:p>
    <w:p>
      <w:pPr>
        <w:sectPr>
          <w:pgSz w:w="11900" w:h="16884" w:orient="portrait"/>
          <w:cols w:equalWidth="0" w:num="1">
            <w:col w:w="11445"/>
          </w:cols>
          <w:pgMar w:left="235" w:top="124" w:right="219" w:bottom="0" w:gutter="0" w:footer="0" w:header="0"/>
          <w:type w:val="continuous"/>
        </w:sectPr>
      </w:pPr>
    </w:p>
    <w:bookmarkStart w:id="134" w:name="page135"/>
    <w:bookmarkEnd w:id="134"/>
    <w:p>
      <w:pPr>
        <w:ind w:left="4440"/>
        <w:spacing w:after="0"/>
        <w:rPr>
          <w:sz w:val="20"/>
          <w:szCs w:val="20"/>
          <w:color w:val="auto"/>
        </w:rPr>
      </w:pPr>
      <w:r>
        <w:rPr>
          <w:rFonts w:ascii="Arial" w:cs="Arial" w:eastAsia="Arial" w:hAnsi="Arial"/>
          <w:sz w:val="17"/>
          <w:szCs w:val="17"/>
          <w:b w:val="1"/>
          <w:bCs w:val="1"/>
          <w:color w:val="auto"/>
        </w:rPr>
        <w:t>by its general partner</w:t>
      </w:r>
    </w:p>
    <w:p>
      <w:pPr>
        <w:spacing w:after="0" w:line="26"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EECOL ELECTRIC ULC</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43815</wp:posOffset>
            </wp:positionV>
            <wp:extent cx="30486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4440"/>
        <w:spacing w:after="0"/>
        <w:tabs>
          <w:tab w:leader="none" w:pos="5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4440"/>
        <w:spacing w:after="0"/>
        <w:tabs>
          <w:tab w:leader="none" w:pos="5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394" w:lineRule="exact"/>
        <w:rPr>
          <w:sz w:val="20"/>
          <w:szCs w:val="20"/>
          <w:color w:val="auto"/>
        </w:rPr>
      </w:pPr>
    </w:p>
    <w:p>
      <w:pPr>
        <w:jc w:val="center"/>
        <w:ind w:left="1480"/>
        <w:spacing w:after="0"/>
        <w:rPr>
          <w:sz w:val="20"/>
          <w:szCs w:val="20"/>
          <w:color w:val="auto"/>
        </w:rPr>
      </w:pPr>
      <w:r>
        <w:rPr>
          <w:rFonts w:ascii="Arial" w:cs="Arial" w:eastAsia="Arial" w:hAnsi="Arial"/>
          <w:sz w:val="17"/>
          <w:szCs w:val="17"/>
          <w:b w:val="1"/>
          <w:bCs w:val="1"/>
          <w:color w:val="auto"/>
        </w:rPr>
        <w:t>HAZMASTERS INC.</w:t>
      </w:r>
    </w:p>
    <w:p>
      <w:pPr>
        <w:spacing w:after="0" w:line="200" w:lineRule="exact"/>
        <w:rPr>
          <w:sz w:val="20"/>
          <w:szCs w:val="20"/>
          <w:color w:val="auto"/>
        </w:rPr>
      </w:pPr>
    </w:p>
    <w:p>
      <w:pPr>
        <w:spacing w:after="0" w:line="218"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HAZMASTERS QUEBEC INC.</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WDINESCO C.V.</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12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r>
        <w:trPr>
          <w:trHeight w:val="596"/>
        </w:trPr>
        <w:tc>
          <w:tcPr>
            <w:tcW w:w="5800" w:type="dxa"/>
            <w:vAlign w:val="bottom"/>
            <w:gridSpan w:val="3"/>
          </w:tcPr>
          <w:p>
            <w:pPr>
              <w:spacing w:after="0"/>
              <w:rPr>
                <w:sz w:val="20"/>
                <w:szCs w:val="20"/>
                <w:color w:val="auto"/>
              </w:rPr>
            </w:pPr>
            <w:r>
              <w:rPr>
                <w:rFonts w:ascii="Arial" w:cs="Arial" w:eastAsia="Arial" w:hAnsi="Arial"/>
                <w:sz w:val="17"/>
                <w:szCs w:val="17"/>
                <w:b w:val="1"/>
                <w:bCs w:val="1"/>
                <w:color w:val="auto"/>
              </w:rPr>
              <w:t>WDINESCO III B.V.</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1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1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Managing Director A</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and by its Managing Director B</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TMF NETHERLANDS B.V.</w:t>
      </w:r>
    </w:p>
    <w:p>
      <w:pPr>
        <w:spacing w:after="0" w:line="31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Title:</w:t>
      </w:r>
    </w:p>
    <w:p>
      <w:pPr>
        <w:spacing w:after="0" w:line="18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Title:</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HOLDINGS, LLC</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WECOL HOLDINGS ULC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ectPr>
          <w:pgSz w:w="11900" w:h="16838" w:orient="portrait"/>
          <w:cols w:equalWidth="0" w:num="1">
            <w:col w:w="10240"/>
          </w:cols>
          <w:pgMar w:left="1440" w:top="120" w:right="219" w:bottom="0" w:gutter="0" w:footer="0" w:header="0"/>
        </w:sectPr>
      </w:pPr>
    </w:p>
    <w:bookmarkStart w:id="135" w:name="page136"/>
    <w:bookmarkEnd w:id="135"/>
    <w:p>
      <w:pPr>
        <w:ind w:left="5745"/>
        <w:spacing w:after="0"/>
        <w:tabs>
          <w:tab w:leader="none" w:pos="6764"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80" w:lineRule="exact"/>
        <w:rPr>
          <w:sz w:val="20"/>
          <w:szCs w:val="20"/>
          <w:color w:val="auto"/>
        </w:rPr>
      </w:pPr>
    </w:p>
    <w:p>
      <w:pPr>
        <w:ind w:left="5745"/>
        <w:spacing w:after="0"/>
        <w:tabs>
          <w:tab w:leader="none" w:pos="6764"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18"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EECOL PROPERTIES CORP.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43815</wp:posOffset>
            </wp:positionV>
            <wp:extent cx="31172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7215" cy="7620"/>
                    </a:xfrm>
                    <a:prstGeom prst="rect">
                      <a:avLst/>
                    </a:prstGeom>
                    <a:noFill/>
                  </pic:spPr>
                </pic:pic>
              </a:graphicData>
            </a:graphic>
          </wp:anchor>
        </w:drawing>
      </w:r>
    </w:p>
    <w:p>
      <w:pPr>
        <w:spacing w:after="0" w:line="70" w:lineRule="exact"/>
        <w:rPr>
          <w:sz w:val="20"/>
          <w:szCs w:val="20"/>
          <w:color w:val="auto"/>
        </w:rPr>
      </w:pPr>
    </w:p>
    <w:p>
      <w:pPr>
        <w:ind w:left="6545"/>
        <w:spacing w:after="0"/>
        <w:rPr>
          <w:sz w:val="20"/>
          <w:szCs w:val="20"/>
          <w:color w:val="auto"/>
        </w:rPr>
      </w:pPr>
      <w:r>
        <w:rPr>
          <w:rFonts w:ascii="Arial" w:cs="Arial" w:eastAsia="Arial" w:hAnsi="Arial"/>
          <w:sz w:val="17"/>
          <w:szCs w:val="17"/>
          <w:color w:val="auto"/>
        </w:rPr>
        <w:t>Name: Brian Begg</w:t>
      </w:r>
    </w:p>
    <w:p>
      <w:pPr>
        <w:spacing w:after="0" w:line="79" w:lineRule="exact"/>
        <w:rPr>
          <w:sz w:val="20"/>
          <w:szCs w:val="20"/>
          <w:color w:val="auto"/>
        </w:rPr>
      </w:pPr>
    </w:p>
    <w:p>
      <w:pPr>
        <w:ind w:left="6545"/>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WDINESCO II C.V.</w:t>
      </w:r>
    </w:p>
    <w:p>
      <w:pPr>
        <w:spacing w:after="0" w:line="27"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5745"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WDINESCO III C.V.</w:t>
      </w:r>
    </w:p>
    <w:p>
      <w:pPr>
        <w:spacing w:after="0" w:line="27"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745"/>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5225" w:type="dxa"/>
        <w:tblCellMar>
          <w:top w:w="0" w:type="dxa"/>
          <w:left w:w="0" w:type="dxa"/>
          <w:bottom w:w="0" w:type="dxa"/>
          <w:right w:w="0" w:type="dxa"/>
        </w:tblCellMar>
      </w:tblPr>
      <w:tr>
        <w:trPr>
          <w:trHeight w:val="222"/>
        </w:trPr>
        <w:tc>
          <w:tcPr>
            <w:tcW w:w="1540" w:type="dxa"/>
            <w:vAlign w:val="bottom"/>
          </w:tcPr>
          <w:p>
            <w:pPr>
              <w:ind w:left="520"/>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540" w:type="dxa"/>
            <w:vAlign w:val="bottom"/>
            <w:vMerge w:val="restart"/>
          </w:tcPr>
          <w:p>
            <w:pPr>
              <w:ind w:left="520"/>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54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540" w:type="dxa"/>
            <w:vAlign w:val="bottom"/>
          </w:tcPr>
          <w:p>
            <w:pPr>
              <w:ind w:left="520"/>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r>
        <w:trPr>
          <w:trHeight w:val="453"/>
        </w:trPr>
        <w:tc>
          <w:tcPr>
            <w:tcW w:w="1540" w:type="dxa"/>
            <w:vAlign w:val="bottom"/>
          </w:tcPr>
          <w:p>
            <w:pPr>
              <w:spacing w:after="0"/>
              <w:rPr>
                <w:sz w:val="20"/>
                <w:szCs w:val="20"/>
                <w:color w:val="auto"/>
              </w:rPr>
            </w:pPr>
            <w:r>
              <w:rPr>
                <w:rFonts w:ascii="Arial" w:cs="Arial" w:eastAsia="Arial" w:hAnsi="Arial"/>
                <w:sz w:val="17"/>
                <w:szCs w:val="17"/>
                <w:color w:val="auto"/>
              </w:rPr>
              <w:t>EXHBIIT F-2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FORM OF SECOND AMENDED AND RESTATED CANADIAN CROSS-BORDER GUARANTEE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885" w:right="20" w:hanging="881"/>
        <w:spacing w:after="0" w:line="260" w:lineRule="auto"/>
        <w:rPr>
          <w:sz w:val="20"/>
          <w:szCs w:val="20"/>
          <w:color w:val="auto"/>
        </w:rPr>
      </w:pPr>
      <w:r>
        <w:rPr>
          <w:rFonts w:ascii="Arial" w:cs="Arial" w:eastAsia="Arial" w:hAnsi="Arial"/>
          <w:sz w:val="17"/>
          <w:szCs w:val="17"/>
          <w:b w:val="1"/>
          <w:bCs w:val="1"/>
          <w:color w:val="auto"/>
        </w:rPr>
        <w:t xml:space="preserve">TO:JPMORGAN CHASE BANK, N.A., AS ADMINISTRATIVE AGENT </w:t>
      </w:r>
      <w:r>
        <w:rPr>
          <w:rFonts w:ascii="Arial" w:cs="Arial" w:eastAsia="Arial" w:hAnsi="Arial"/>
          <w:sz w:val="17"/>
          <w:szCs w:val="17"/>
          <w:color w:val="auto"/>
        </w:rPr>
        <w:t>for itself and certain financial institutions from time to time party to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such term is hereinafter defined).</w:t>
      </w:r>
    </w:p>
    <w:p>
      <w:pPr>
        <w:spacing w:after="0" w:line="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RECITALS:</w:t>
      </w:r>
    </w:p>
    <w:p>
      <w:pPr>
        <w:spacing w:after="0" w:line="184" w:lineRule="exact"/>
        <w:rPr>
          <w:sz w:val="20"/>
          <w:szCs w:val="20"/>
          <w:color w:val="auto"/>
        </w:rPr>
      </w:pPr>
    </w:p>
    <w:p>
      <w:pPr>
        <w:jc w:val="both"/>
        <w:ind w:left="865" w:right="20" w:hanging="579"/>
        <w:spacing w:after="0" w:line="264" w:lineRule="auto"/>
        <w:tabs>
          <w:tab w:leader="none" w:pos="86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Administrative Agent, certain other Lender Parties (as defined in the hereinafter defined Original Credit Agreement) and certain Loan Parties (as defined in the hereinafter defined Original Credit Agreement) entered into a credit agreement dated as of August 22, 2011 (the "</w:t>
      </w:r>
      <w:r>
        <w:rPr>
          <w:rFonts w:ascii="Arial" w:cs="Arial" w:eastAsia="Arial" w:hAnsi="Arial"/>
          <w:sz w:val="17"/>
          <w:szCs w:val="17"/>
          <w:b w:val="1"/>
          <w:bCs w:val="1"/>
          <w:color w:val="auto"/>
        </w:rPr>
        <w:t>Original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53" w:lineRule="exact"/>
        <w:rPr>
          <w:rFonts w:ascii="Arial" w:cs="Arial" w:eastAsia="Arial" w:hAnsi="Arial"/>
          <w:sz w:val="17"/>
          <w:szCs w:val="17"/>
          <w:color w:val="auto"/>
        </w:rPr>
      </w:pPr>
    </w:p>
    <w:p>
      <w:pPr>
        <w:jc w:val="both"/>
        <w:ind w:left="865" w:right="20" w:hanging="579"/>
        <w:spacing w:after="0" w:line="288" w:lineRule="auto"/>
        <w:tabs>
          <w:tab w:leader="none" w:pos="86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connection with the Original Credit Agreement, the Canadian Cross-Border Loan Guarantors (as defined in the hereinafter defined Original Canadian Cross-Border Guarantees) entered into a Canadian cross-border guarantee in favour of the Administrative Agent, dated as of August 22, 2011 (each, an "</w:t>
      </w:r>
      <w:r>
        <w:rPr>
          <w:rFonts w:ascii="Arial" w:cs="Arial" w:eastAsia="Arial" w:hAnsi="Arial"/>
          <w:sz w:val="16"/>
          <w:szCs w:val="16"/>
          <w:b w:val="1"/>
          <w:bCs w:val="1"/>
          <w:color w:val="auto"/>
        </w:rPr>
        <w:t>Original Canadian Cross-Border Guarantee</w:t>
      </w:r>
      <w:r>
        <w:rPr>
          <w:rFonts w:ascii="Arial" w:cs="Arial" w:eastAsia="Arial" w:hAnsi="Arial"/>
          <w:sz w:val="16"/>
          <w:szCs w:val="16"/>
          <w:color w:val="auto"/>
        </w:rPr>
        <w:t>" and collectively, the "</w:t>
      </w:r>
      <w:r>
        <w:rPr>
          <w:rFonts w:ascii="Arial" w:cs="Arial" w:eastAsia="Arial" w:hAnsi="Arial"/>
          <w:sz w:val="16"/>
          <w:szCs w:val="16"/>
          <w:b w:val="1"/>
          <w:bCs w:val="1"/>
          <w:color w:val="auto"/>
        </w:rPr>
        <w:t>Original Canadian Cross-Border Guarantees</w:t>
      </w:r>
      <w:r>
        <w:rPr>
          <w:rFonts w:ascii="Arial" w:cs="Arial" w:eastAsia="Arial" w:hAnsi="Arial"/>
          <w:sz w:val="16"/>
          <w:szCs w:val="16"/>
          <w:color w:val="auto"/>
        </w:rPr>
        <w:t>").</w:t>
      </w:r>
    </w:p>
    <w:p>
      <w:pPr>
        <w:spacing w:after="0" w:line="135" w:lineRule="exact"/>
        <w:rPr>
          <w:rFonts w:ascii="Arial" w:cs="Arial" w:eastAsia="Arial" w:hAnsi="Arial"/>
          <w:sz w:val="16"/>
          <w:szCs w:val="16"/>
          <w:color w:val="auto"/>
        </w:rPr>
      </w:pPr>
    </w:p>
    <w:p>
      <w:pPr>
        <w:jc w:val="both"/>
        <w:ind w:left="865" w:right="20" w:hanging="579"/>
        <w:spacing w:after="0" w:line="264" w:lineRule="auto"/>
        <w:tabs>
          <w:tab w:leader="none" w:pos="86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Original Credit Agreement was amended and restated in its entirety pursuant to the amended and restated credit agreement dated as of December 12, 2012 by and among, among others, the Administrative Agent, the other Lender Parties (as defined in the hereinafter defined First ARCA), and the Loan Parties (as defined in the hereinafter defined First ARCA) (the “</w:t>
      </w:r>
      <w:r>
        <w:rPr>
          <w:rFonts w:ascii="Arial" w:cs="Arial" w:eastAsia="Arial" w:hAnsi="Arial"/>
          <w:sz w:val="17"/>
          <w:szCs w:val="17"/>
          <w:b w:val="1"/>
          <w:bCs w:val="1"/>
          <w:color w:val="auto"/>
        </w:rPr>
        <w:t>First ARCA</w:t>
      </w:r>
      <w:r>
        <w:rPr>
          <w:rFonts w:ascii="Arial" w:cs="Arial" w:eastAsia="Arial" w:hAnsi="Arial"/>
          <w:sz w:val="17"/>
          <w:szCs w:val="17"/>
          <w:color w:val="auto"/>
        </w:rPr>
        <w:t>”).</w:t>
      </w:r>
    </w:p>
    <w:p>
      <w:pPr>
        <w:spacing w:after="0" w:line="153" w:lineRule="exact"/>
        <w:rPr>
          <w:rFonts w:ascii="Arial" w:cs="Arial" w:eastAsia="Arial" w:hAnsi="Arial"/>
          <w:sz w:val="17"/>
          <w:szCs w:val="17"/>
          <w:color w:val="auto"/>
        </w:rPr>
      </w:pPr>
    </w:p>
    <w:p>
      <w:pPr>
        <w:jc w:val="both"/>
        <w:ind w:left="865" w:right="20" w:hanging="579"/>
        <w:spacing w:after="0" w:line="288" w:lineRule="auto"/>
        <w:tabs>
          <w:tab w:leader="none" w:pos="86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connection with the First ARCA, each of the Canadian Cross-Border Loan Guarantors (as defined in the hereinafter defined First Restated Canadian Cross-Border Guarantee), entered into an amended and restated Canadian cross-border guarantee (the "</w:t>
      </w:r>
      <w:r>
        <w:rPr>
          <w:rFonts w:ascii="Arial" w:cs="Arial" w:eastAsia="Arial" w:hAnsi="Arial"/>
          <w:sz w:val="16"/>
          <w:szCs w:val="16"/>
          <w:b w:val="1"/>
          <w:bCs w:val="1"/>
          <w:color w:val="auto"/>
        </w:rPr>
        <w:t>First Restated Canadian Cross-Border</w:t>
      </w:r>
      <w:r>
        <w:rPr>
          <w:rFonts w:ascii="Arial" w:cs="Arial" w:eastAsia="Arial" w:hAnsi="Arial"/>
          <w:sz w:val="16"/>
          <w:szCs w:val="16"/>
          <w:color w:val="auto"/>
        </w:rPr>
        <w:t xml:space="preserve"> </w:t>
      </w:r>
      <w:r>
        <w:rPr>
          <w:rFonts w:ascii="Arial" w:cs="Arial" w:eastAsia="Arial" w:hAnsi="Arial"/>
          <w:sz w:val="16"/>
          <w:szCs w:val="16"/>
          <w:b w:val="1"/>
          <w:bCs w:val="1"/>
          <w:color w:val="auto"/>
        </w:rPr>
        <w:t>Guarantee</w:t>
      </w:r>
      <w:r>
        <w:rPr>
          <w:rFonts w:ascii="Arial" w:cs="Arial" w:eastAsia="Arial" w:hAnsi="Arial"/>
          <w:sz w:val="16"/>
          <w:szCs w:val="16"/>
          <w:color w:val="auto"/>
        </w:rPr>
        <w:t>") which amended and restated in its entirety its Original Canadian Cross-Border Guarantee pursuant to the terms thereof.</w:t>
      </w:r>
    </w:p>
    <w:p>
      <w:pPr>
        <w:spacing w:after="0" w:line="135" w:lineRule="exact"/>
        <w:rPr>
          <w:rFonts w:ascii="Arial" w:cs="Arial" w:eastAsia="Arial" w:hAnsi="Arial"/>
          <w:sz w:val="16"/>
          <w:szCs w:val="16"/>
          <w:color w:val="auto"/>
        </w:rPr>
      </w:pPr>
    </w:p>
    <w:p>
      <w:pPr>
        <w:jc w:val="both"/>
        <w:ind w:left="865" w:right="20" w:hanging="579"/>
        <w:spacing w:after="0" w:line="259" w:lineRule="auto"/>
        <w:tabs>
          <w:tab w:leader="none" w:pos="86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First Restated Credit Agreement is being amended and restated in its entirety pursuant to the second amended and restated credit agreement dated as of the date hereof by and among, among others, the Administrative Agent, the other Lender Parties (as defined in the hereinafter defined Credit Agreement), and the Borrowers (as defined in the hereinafter defined Credit Agreement). All capitalized terms not otherwise defined herein shall have the meanings ascribed thereto in the Credit Agreement (hereinafter defined).</w:t>
      </w:r>
    </w:p>
    <w:p>
      <w:pPr>
        <w:spacing w:after="0" w:line="156" w:lineRule="exact"/>
        <w:rPr>
          <w:rFonts w:ascii="Arial" w:cs="Arial" w:eastAsia="Arial" w:hAnsi="Arial"/>
          <w:sz w:val="17"/>
          <w:szCs w:val="17"/>
          <w:color w:val="auto"/>
        </w:rPr>
      </w:pPr>
    </w:p>
    <w:p>
      <w:pPr>
        <w:jc w:val="both"/>
        <w:ind w:left="865" w:right="20" w:hanging="579"/>
        <w:spacing w:after="0" w:line="264" w:lineRule="auto"/>
        <w:tabs>
          <w:tab w:leader="none" w:pos="86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connection with the Credit Agreement, each of the undersigned, as a guarantor of the Secured Obligations, is required to enter into this second amended and restated Canadian cross-border guarantee (the “</w:t>
      </w:r>
      <w:r>
        <w:rPr>
          <w:rFonts w:ascii="Arial" w:cs="Arial" w:eastAsia="Arial" w:hAnsi="Arial"/>
          <w:sz w:val="17"/>
          <w:szCs w:val="17"/>
          <w:b w:val="1"/>
          <w:bCs w:val="1"/>
          <w:color w:val="auto"/>
        </w:rPr>
        <w:t>Canadian Cross-Border Guarantee</w:t>
      </w:r>
      <w:r>
        <w:rPr>
          <w:rFonts w:ascii="Arial" w:cs="Arial" w:eastAsia="Arial" w:hAnsi="Arial"/>
          <w:sz w:val="17"/>
          <w:szCs w:val="17"/>
          <w:color w:val="auto"/>
        </w:rPr>
        <w:t>”) and has agreed to amend and restate in its entirety, its First Restated Canadian Cross-Border Guarantee pursuant to the terms hereof.</w:t>
      </w:r>
    </w:p>
    <w:p>
      <w:pPr>
        <w:spacing w:after="0" w:line="147" w:lineRule="exact"/>
        <w:rPr>
          <w:sz w:val="20"/>
          <w:szCs w:val="20"/>
          <w:color w:val="auto"/>
        </w:rPr>
      </w:pPr>
    </w:p>
    <w:p>
      <w:pPr>
        <w:ind w:left="285"/>
        <w:spacing w:after="0"/>
        <w:rPr>
          <w:sz w:val="20"/>
          <w:szCs w:val="20"/>
          <w:color w:val="auto"/>
        </w:rPr>
      </w:pPr>
      <w:r>
        <w:rPr>
          <w:rFonts w:ascii="Arial" w:cs="Arial" w:eastAsia="Arial" w:hAnsi="Arial"/>
          <w:sz w:val="17"/>
          <w:szCs w:val="17"/>
          <w:b w:val="1"/>
          <w:bCs w:val="1"/>
          <w:color w:val="auto"/>
        </w:rPr>
        <w:t xml:space="preserve">NOW ACCORDINGLY </w:t>
      </w:r>
      <w:r>
        <w:rPr>
          <w:rFonts w:ascii="Arial" w:cs="Arial" w:eastAsia="Arial" w:hAnsi="Arial"/>
          <w:sz w:val="17"/>
          <w:szCs w:val="17"/>
          <w:color w:val="auto"/>
        </w:rPr>
        <w:t>each of the undersigned, jointly and severally, hereby agree as follows:</w:t>
      </w:r>
    </w:p>
    <w:p>
      <w:pPr>
        <w:spacing w:after="0" w:line="210" w:lineRule="exact"/>
        <w:rPr>
          <w:sz w:val="20"/>
          <w:szCs w:val="20"/>
          <w:color w:val="auto"/>
        </w:rPr>
      </w:pPr>
    </w:p>
    <w:p>
      <w:pPr>
        <w:jc w:val="both"/>
        <w:ind w:left="565" w:hanging="565"/>
        <w:spacing w:after="0" w:line="297" w:lineRule="auto"/>
        <w:tabs>
          <w:tab w:leader="none" w:pos="565" w:val="left"/>
        </w:tabs>
        <w:numPr>
          <w:ilvl w:val="0"/>
          <w:numId w:val="187"/>
        </w:numPr>
        <w:rPr>
          <w:rFonts w:ascii="Arial" w:cs="Arial" w:eastAsia="Arial" w:hAnsi="Arial"/>
          <w:sz w:val="18"/>
          <w:szCs w:val="18"/>
          <w:color w:val="auto"/>
        </w:rPr>
      </w:pPr>
      <w:r>
        <w:rPr>
          <w:rFonts w:ascii="Arial" w:cs="Arial" w:eastAsia="Arial" w:hAnsi="Arial"/>
          <w:sz w:val="16"/>
          <w:szCs w:val="16"/>
          <w:color w:val="auto"/>
        </w:rPr>
        <w:t>For valuable consideration, each of the signatories hereto (each, a "</w:t>
      </w:r>
      <w:r>
        <w:rPr>
          <w:rFonts w:ascii="Arial" w:cs="Arial" w:eastAsia="Arial" w:hAnsi="Arial"/>
          <w:sz w:val="16"/>
          <w:szCs w:val="16"/>
          <w:b w:val="1"/>
          <w:bCs w:val="1"/>
          <w:color w:val="auto"/>
        </w:rPr>
        <w:t>Canadian Cross-Border Loan 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Canadian Cross-Border Loan Guarantors</w:t>
      </w:r>
      <w:r>
        <w:rPr>
          <w:rFonts w:ascii="Arial" w:cs="Arial" w:eastAsia="Arial" w:hAnsi="Arial"/>
          <w:sz w:val="16"/>
          <w:szCs w:val="16"/>
          <w:color w:val="auto"/>
        </w:rPr>
        <w:t>") hereby unconditionally guarantees and promises to pay, jointly and severally, to</w:t>
      </w:r>
      <w:r>
        <w:rPr>
          <w:rFonts w:ascii="Arial" w:cs="Arial" w:eastAsia="Arial" w:hAnsi="Arial"/>
          <w:sz w:val="16"/>
          <w:szCs w:val="16"/>
          <w:b w:val="1"/>
          <w:bCs w:val="1"/>
          <w:color w:val="auto"/>
        </w:rPr>
        <w:t xml:space="preserve"> JPMORGAN CHASE BANK, N.A.</w:t>
      </w:r>
      <w:r>
        <w:rPr>
          <w:rFonts w:ascii="Arial" w:cs="Arial" w:eastAsia="Arial" w:hAnsi="Arial"/>
          <w:sz w:val="16"/>
          <w:szCs w:val="16"/>
          <w:color w:val="auto"/>
        </w:rPr>
        <w:t>, as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itself and the Lender Parties, or order, on demand, any and all indebtedness of WESCO Distribution Canada LP, WDCC Enterprises, Inc., EECOL Electric ULC, Hazmasters Inc. and Hazmasters Quebec Inc. (collectively, the "</w:t>
      </w:r>
      <w:r>
        <w:rPr>
          <w:rFonts w:ascii="Arial" w:cs="Arial" w:eastAsia="Arial" w:hAnsi="Arial"/>
          <w:sz w:val="16"/>
          <w:szCs w:val="16"/>
          <w:b w:val="1"/>
          <w:bCs w:val="1"/>
          <w:color w:val="auto"/>
        </w:rPr>
        <w:t>Canadian</w:t>
      </w:r>
      <w:r>
        <w:rPr>
          <w:rFonts w:ascii="Arial" w:cs="Arial" w:eastAsia="Arial" w:hAnsi="Arial"/>
          <w:sz w:val="16"/>
          <w:szCs w:val="16"/>
          <w:color w:val="auto"/>
        </w:rPr>
        <w:t xml:space="preserve"> </w:t>
      </w:r>
      <w:r>
        <w:rPr>
          <w:rFonts w:ascii="Arial" w:cs="Arial" w:eastAsia="Arial" w:hAnsi="Arial"/>
          <w:sz w:val="16"/>
          <w:szCs w:val="16"/>
          <w:b w:val="1"/>
          <w:bCs w:val="1"/>
          <w:color w:val="auto"/>
        </w:rPr>
        <w:t>Borrowers</w:t>
      </w:r>
      <w:r>
        <w:rPr>
          <w:rFonts w:ascii="Arial" w:cs="Arial" w:eastAsia="Arial" w:hAnsi="Arial"/>
          <w:sz w:val="16"/>
          <w:szCs w:val="16"/>
          <w:color w:val="auto"/>
        </w:rPr>
        <w:t>"), and WESCO Distribution, Inc., WESCO Equity Corporation, WESCO Integrated Supply, Inc., WESCO Nevada, Ltd.,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Supply Corporation, Calvert Wire &amp; Cable Corporation, Liberty Wire &amp; Cable, Inc., TVC Communications, L.L.C., Carlton-Bates Company, Conney Safety Products, LLC, Hi-Line Utility Supply Company, LLC and Hill Country Electric Supply, L.P. (collectively, the “</w:t>
      </w:r>
      <w:r>
        <w:rPr>
          <w:rFonts w:ascii="Arial" w:cs="Arial" w:eastAsia="Arial" w:hAnsi="Arial"/>
          <w:sz w:val="16"/>
          <w:szCs w:val="16"/>
          <w:b w:val="1"/>
          <w:bCs w:val="1"/>
          <w:color w:val="auto"/>
        </w:rPr>
        <w:t>US Borrowers</w:t>
      </w:r>
      <w:r>
        <w:rPr>
          <w:rFonts w:ascii="Arial" w:cs="Arial" w:eastAsia="Arial" w:hAnsi="Arial"/>
          <w:sz w:val="16"/>
          <w:szCs w:val="16"/>
          <w:color w:val="auto"/>
        </w:rPr>
        <w:t>”, and collectively with the Canadian Borrowers and all other borrowers who are or may from time to time be party to the Credit Agreement, the “</w:t>
      </w:r>
      <w:r>
        <w:rPr>
          <w:rFonts w:ascii="Arial" w:cs="Arial" w:eastAsia="Arial" w:hAnsi="Arial"/>
          <w:sz w:val="16"/>
          <w:szCs w:val="16"/>
          <w:b w:val="1"/>
          <w:bCs w:val="1"/>
          <w:color w:val="auto"/>
        </w:rPr>
        <w:t>Borrowers</w:t>
      </w:r>
      <w:r>
        <w:rPr>
          <w:rFonts w:ascii="Arial" w:cs="Arial" w:eastAsia="Arial" w:hAnsi="Arial"/>
          <w:sz w:val="16"/>
          <w:szCs w:val="16"/>
          <w:color w:val="auto"/>
        </w:rPr>
        <w:t>”) to the Administrative Agent and the Lender Parties including pursuant to the second amended and restated credit agreement dated as of September 24, 2015 by</w:t>
      </w:r>
    </w:p>
    <w:p>
      <w:pPr>
        <w:sectPr>
          <w:pgSz w:w="11900" w:h="16838" w:orient="portrait"/>
          <w:cols w:equalWidth="0" w:num="1">
            <w:col w:w="11445"/>
          </w:cols>
          <w:pgMar w:left="235" w:top="124" w:right="219" w:bottom="0" w:gutter="0" w:footer="0" w:header="0"/>
        </w:sectPr>
      </w:pPr>
    </w:p>
    <w:bookmarkStart w:id="136" w:name="page137"/>
    <w:bookmarkEnd w:id="136"/>
    <w:p>
      <w:pPr>
        <w:jc w:val="both"/>
        <w:ind w:left="565"/>
        <w:spacing w:after="0" w:line="283" w:lineRule="auto"/>
        <w:rPr>
          <w:sz w:val="20"/>
          <w:szCs w:val="20"/>
          <w:color w:val="auto"/>
        </w:rPr>
      </w:pPr>
      <w:r>
        <w:rPr>
          <w:rFonts w:ascii="Arial" w:cs="Arial" w:eastAsia="Arial" w:hAnsi="Arial"/>
          <w:sz w:val="17"/>
          <w:szCs w:val="17"/>
          <w:color w:val="auto"/>
        </w:rPr>
        <w:t>and among, amongst others, the Administrative Agent, the Lender Parties and the Borrowers, as the same may be amended, supplemented, revised, restated or replaced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The word "indebtedness" is used herein in its most comprehensive sense and includes any and all advances, debts, obligations and liabilities of the Borrowers, heretofore, now, or hereafter made, incurred or created, whether voluntary or involuntary and however arising, whether direct or acquired by the Administrative Agent and/or the Lender Parties by assignment or succession, whether due or not due, absolute or contingent, liquidated or unliquidated, determined or undetermined, and whether any Borrower may be liable individually or jointly with others, or whether recovery upon such indebtedness may be or hereafter become barred by any statute of limitations, or whether such indebtedness may be or hereafter become otherwise unenforceable.</w:t>
      </w:r>
    </w:p>
    <w:p>
      <w:pPr>
        <w:spacing w:after="0" w:line="162" w:lineRule="exact"/>
        <w:rPr>
          <w:sz w:val="20"/>
          <w:szCs w:val="20"/>
          <w:color w:val="auto"/>
        </w:rPr>
      </w:pPr>
    </w:p>
    <w:p>
      <w:pPr>
        <w:jc w:val="both"/>
        <w:ind w:left="565" w:hanging="565"/>
        <w:spacing w:after="0" w:line="296"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6"/>
          <w:szCs w:val="16"/>
          <w:color w:val="auto"/>
        </w:rPr>
        <w:t>The liability of each Canadian Cross-Border Loan Guarantor under this Canadian Cross-Border Guarantee shall be unlimited. Regardless of whether or not any proposed guarantor or any other person or persons has or have executed or shall execute this Canadian Cross-Border Guarantee or is or are or shall become in any other way responsible to the Administrative Agent and/or the Lender Parties for the indebtedness or any part thereof whether under this Canadian Cross-Border Guarantee or otherwise shall cease to be so liable, this shall be a continuing Canadian Cross-Border Guarantee relating to any indebtedness, including that arising under successive transactions which shall either continue the indebtedness or from time to time renew it after it has been satisfied and shall secure the ultimate repayment of all monies owing from the Borrowers to the Administrative Agent and the Lender Parties and shall be binding as a continuing security on each Canadian Cross-Border Loan Guarantor. Any payment by a Canadian Cross-Border Loan Guarantor shall not reduce the maximum obligation of such Canadian Cross-Border Loan Guarantor hereunder.</w:t>
      </w:r>
    </w:p>
    <w:p>
      <w:pPr>
        <w:spacing w:after="0" w:line="157" w:lineRule="exact"/>
        <w:rPr>
          <w:rFonts w:ascii="Arial" w:cs="Arial" w:eastAsia="Arial" w:hAnsi="Arial"/>
          <w:sz w:val="18"/>
          <w:szCs w:val="18"/>
          <w:color w:val="auto"/>
        </w:rPr>
      </w:pPr>
    </w:p>
    <w:p>
      <w:pPr>
        <w:jc w:val="both"/>
        <w:ind w:left="565" w:hanging="565"/>
        <w:spacing w:after="0" w:line="277" w:lineRule="auto"/>
        <w:tabs>
          <w:tab w:leader="none" w:pos="565" w:val="left"/>
        </w:tabs>
        <w:numPr>
          <w:ilvl w:val="0"/>
          <w:numId w:val="188"/>
        </w:numPr>
        <w:rPr>
          <w:rFonts w:ascii="Arial" w:cs="Arial" w:eastAsia="Arial" w:hAnsi="Arial"/>
          <w:sz w:val="19"/>
          <w:szCs w:val="19"/>
          <w:color w:val="auto"/>
        </w:rPr>
      </w:pPr>
      <w:r>
        <w:rPr>
          <w:rFonts w:ascii="Arial" w:cs="Arial" w:eastAsia="Arial" w:hAnsi="Arial"/>
          <w:sz w:val="17"/>
          <w:szCs w:val="17"/>
          <w:color w:val="auto"/>
        </w:rPr>
        <w:t>The obligations hereunder are independent of the obligations of the Borrowers and a separate action or actions may be brought and prosecuted against any Canadian Cross-Border Loan Guarantor whether action is brought against the Borrowers or whether the Borrowers be joined in any such action or actions; and each Canadian Cross-Border Loan Guarantor waives the benefit of any statute of limitations affecting its liability.</w:t>
      </w:r>
    </w:p>
    <w:p>
      <w:pPr>
        <w:spacing w:after="0" w:line="166" w:lineRule="exact"/>
        <w:rPr>
          <w:rFonts w:ascii="Arial" w:cs="Arial" w:eastAsia="Arial" w:hAnsi="Arial"/>
          <w:sz w:val="19"/>
          <w:szCs w:val="19"/>
          <w:color w:val="auto"/>
        </w:rPr>
      </w:pPr>
    </w:p>
    <w:p>
      <w:pPr>
        <w:ind w:left="565" w:right="20" w:hanging="565"/>
        <w:spacing w:after="0" w:line="281" w:lineRule="auto"/>
        <w:tabs>
          <w:tab w:leader="none" w:pos="565" w:val="left"/>
        </w:tabs>
        <w:numPr>
          <w:ilvl w:val="0"/>
          <w:numId w:val="188"/>
        </w:numPr>
        <w:rPr>
          <w:rFonts w:ascii="Arial" w:cs="Arial" w:eastAsia="Arial" w:hAnsi="Arial"/>
          <w:sz w:val="19"/>
          <w:szCs w:val="19"/>
          <w:color w:val="auto"/>
        </w:rPr>
      </w:pPr>
      <w:r>
        <w:rPr>
          <w:rFonts w:ascii="Arial" w:cs="Arial" w:eastAsia="Arial" w:hAnsi="Arial"/>
          <w:sz w:val="17"/>
          <w:szCs w:val="17"/>
          <w:color w:val="auto"/>
        </w:rPr>
        <w:t>Each Canadian Cross-Border Loan Guarantor authorizes the Administrative Agent, without notice or demand and without affecting its liability hereunder, from time to time, to:</w:t>
      </w:r>
    </w:p>
    <w:p>
      <w:pPr>
        <w:spacing w:after="0" w:line="158" w:lineRule="exact"/>
        <w:rPr>
          <w:rFonts w:ascii="Arial" w:cs="Arial" w:eastAsia="Arial" w:hAnsi="Arial"/>
          <w:sz w:val="19"/>
          <w:szCs w:val="19"/>
          <w:color w:val="auto"/>
        </w:rPr>
      </w:pPr>
    </w:p>
    <w:p>
      <w:pPr>
        <w:ind w:left="1145" w:right="20" w:hanging="573"/>
        <w:spacing w:after="0" w:line="281" w:lineRule="auto"/>
        <w:tabs>
          <w:tab w:leader="none" w:pos="1145" w:val="left"/>
        </w:tabs>
        <w:numPr>
          <w:ilvl w:val="1"/>
          <w:numId w:val="188"/>
        </w:numPr>
        <w:rPr>
          <w:rFonts w:ascii="Arial" w:cs="Arial" w:eastAsia="Arial" w:hAnsi="Arial"/>
          <w:sz w:val="19"/>
          <w:szCs w:val="19"/>
          <w:color w:val="auto"/>
        </w:rPr>
      </w:pPr>
      <w:r>
        <w:rPr>
          <w:rFonts w:ascii="Arial" w:cs="Arial" w:eastAsia="Arial" w:hAnsi="Arial"/>
          <w:sz w:val="17"/>
          <w:szCs w:val="17"/>
          <w:color w:val="auto"/>
        </w:rPr>
        <w:t>renew, compromise, extend, accelerate or otherwise change the time for payment of, or otherwise change the terms of the indebtedness or any part thereof, including increase or decrease of the rate of interest thereon;</w:t>
      </w:r>
    </w:p>
    <w:p>
      <w:pPr>
        <w:spacing w:after="0" w:line="158" w:lineRule="exact"/>
        <w:rPr>
          <w:rFonts w:ascii="Arial" w:cs="Arial" w:eastAsia="Arial" w:hAnsi="Arial"/>
          <w:sz w:val="19"/>
          <w:szCs w:val="19"/>
          <w:color w:val="auto"/>
        </w:rPr>
      </w:pPr>
    </w:p>
    <w:p>
      <w:pPr>
        <w:ind w:left="1145" w:right="20" w:hanging="573"/>
        <w:spacing w:after="0" w:line="281" w:lineRule="auto"/>
        <w:tabs>
          <w:tab w:leader="none" w:pos="1145" w:val="left"/>
        </w:tabs>
        <w:numPr>
          <w:ilvl w:val="1"/>
          <w:numId w:val="188"/>
        </w:numPr>
        <w:rPr>
          <w:rFonts w:ascii="Arial" w:cs="Arial" w:eastAsia="Arial" w:hAnsi="Arial"/>
          <w:sz w:val="19"/>
          <w:szCs w:val="19"/>
          <w:color w:val="auto"/>
        </w:rPr>
      </w:pPr>
      <w:r>
        <w:rPr>
          <w:rFonts w:ascii="Arial" w:cs="Arial" w:eastAsia="Arial" w:hAnsi="Arial"/>
          <w:sz w:val="17"/>
          <w:szCs w:val="17"/>
          <w:color w:val="auto"/>
        </w:rPr>
        <w:t>receive and hold security for the payment of this Canadian Cross-Border Guarantee or the indebtedness guaranteed, and exchange, enforce, waive, release, fail to perfect, sell, or otherwise dispose of any such security;</w:t>
      </w:r>
    </w:p>
    <w:p>
      <w:pPr>
        <w:spacing w:after="0" w:line="158" w:lineRule="exact"/>
        <w:rPr>
          <w:rFonts w:ascii="Arial" w:cs="Arial" w:eastAsia="Arial" w:hAnsi="Arial"/>
          <w:sz w:val="19"/>
          <w:szCs w:val="19"/>
          <w:color w:val="auto"/>
        </w:rPr>
      </w:pPr>
    </w:p>
    <w:p>
      <w:pPr>
        <w:ind w:left="1145" w:hanging="573"/>
        <w:spacing w:after="0"/>
        <w:tabs>
          <w:tab w:leader="none" w:pos="1145" w:val="left"/>
        </w:tabs>
        <w:numPr>
          <w:ilvl w:val="1"/>
          <w:numId w:val="188"/>
        </w:numPr>
        <w:rPr>
          <w:rFonts w:ascii="Arial" w:cs="Arial" w:eastAsia="Arial" w:hAnsi="Arial"/>
          <w:sz w:val="19"/>
          <w:szCs w:val="19"/>
          <w:color w:val="auto"/>
        </w:rPr>
      </w:pPr>
      <w:r>
        <w:rPr>
          <w:rFonts w:ascii="Arial" w:cs="Arial" w:eastAsia="Arial" w:hAnsi="Arial"/>
          <w:sz w:val="17"/>
          <w:szCs w:val="17"/>
          <w:color w:val="auto"/>
        </w:rPr>
        <w:t>apply such security and direct the order or manner of sale thereof as the Administrative Agent in its discretion may determine; and</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8"/>
        </w:numPr>
        <w:rPr>
          <w:rFonts w:ascii="Arial" w:cs="Arial" w:eastAsia="Arial" w:hAnsi="Arial"/>
          <w:sz w:val="19"/>
          <w:szCs w:val="19"/>
          <w:color w:val="auto"/>
        </w:rPr>
      </w:pPr>
      <w:r>
        <w:rPr>
          <w:rFonts w:ascii="Arial" w:cs="Arial" w:eastAsia="Arial" w:hAnsi="Arial"/>
          <w:sz w:val="17"/>
          <w:szCs w:val="17"/>
          <w:color w:val="auto"/>
        </w:rPr>
        <w:t>release or substitute any guarantors.</w:t>
      </w:r>
    </w:p>
    <w:p>
      <w:pPr>
        <w:spacing w:after="0" w:line="198" w:lineRule="exact"/>
        <w:rPr>
          <w:rFonts w:ascii="Arial" w:cs="Arial" w:eastAsia="Arial" w:hAnsi="Arial"/>
          <w:sz w:val="19"/>
          <w:szCs w:val="19"/>
          <w:color w:val="auto"/>
        </w:rPr>
      </w:pPr>
    </w:p>
    <w:p>
      <w:pPr>
        <w:ind w:left="565" w:hanging="565"/>
        <w:spacing w:after="0"/>
        <w:tabs>
          <w:tab w:leader="none" w:pos="565" w:val="left"/>
        </w:tabs>
        <w:numPr>
          <w:ilvl w:val="0"/>
          <w:numId w:val="188"/>
        </w:numPr>
        <w:rPr>
          <w:rFonts w:ascii="Arial" w:cs="Arial" w:eastAsia="Arial" w:hAnsi="Arial"/>
          <w:sz w:val="19"/>
          <w:szCs w:val="19"/>
          <w:color w:val="auto"/>
        </w:rPr>
      </w:pPr>
      <w:r>
        <w:rPr>
          <w:rFonts w:ascii="Arial" w:cs="Arial" w:eastAsia="Arial" w:hAnsi="Arial"/>
          <w:sz w:val="17"/>
          <w:szCs w:val="17"/>
          <w:color w:val="auto"/>
        </w:rPr>
        <w:t>Each Canadian Cross-Border Loan Guarantor waives any right to require the Administrative Agent or any of the Lender Parties to:</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9"/>
        </w:numPr>
        <w:rPr>
          <w:rFonts w:ascii="Arial" w:cs="Arial" w:eastAsia="Arial" w:hAnsi="Arial"/>
          <w:sz w:val="19"/>
          <w:szCs w:val="19"/>
          <w:color w:val="auto"/>
        </w:rPr>
      </w:pPr>
      <w:r>
        <w:rPr>
          <w:rFonts w:ascii="Arial" w:cs="Arial" w:eastAsia="Arial" w:hAnsi="Arial"/>
          <w:sz w:val="17"/>
          <w:szCs w:val="17"/>
          <w:color w:val="auto"/>
        </w:rPr>
        <w:t>proceed against any Borrower;</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9"/>
        </w:numPr>
        <w:rPr>
          <w:rFonts w:ascii="Arial" w:cs="Arial" w:eastAsia="Arial" w:hAnsi="Arial"/>
          <w:sz w:val="19"/>
          <w:szCs w:val="19"/>
          <w:color w:val="auto"/>
        </w:rPr>
      </w:pPr>
      <w:r>
        <w:rPr>
          <w:rFonts w:ascii="Arial" w:cs="Arial" w:eastAsia="Arial" w:hAnsi="Arial"/>
          <w:sz w:val="17"/>
          <w:szCs w:val="17"/>
          <w:color w:val="auto"/>
        </w:rPr>
        <w:t>proceed against or exhaust any security held from any Borrower or any other person; or</w:t>
      </w:r>
    </w:p>
    <w:p>
      <w:pPr>
        <w:spacing w:after="0" w:line="198" w:lineRule="exact"/>
        <w:rPr>
          <w:rFonts w:ascii="Arial" w:cs="Arial" w:eastAsia="Arial" w:hAnsi="Arial"/>
          <w:sz w:val="19"/>
          <w:szCs w:val="19"/>
          <w:color w:val="auto"/>
        </w:rPr>
      </w:pPr>
    </w:p>
    <w:p>
      <w:pPr>
        <w:ind w:left="1145" w:hanging="573"/>
        <w:spacing w:after="0"/>
        <w:tabs>
          <w:tab w:leader="none" w:pos="1145" w:val="left"/>
        </w:tabs>
        <w:numPr>
          <w:ilvl w:val="1"/>
          <w:numId w:val="189"/>
        </w:numPr>
        <w:rPr>
          <w:rFonts w:ascii="Arial" w:cs="Arial" w:eastAsia="Arial" w:hAnsi="Arial"/>
          <w:sz w:val="19"/>
          <w:szCs w:val="19"/>
          <w:color w:val="auto"/>
        </w:rPr>
      </w:pPr>
      <w:r>
        <w:rPr>
          <w:rFonts w:ascii="Arial" w:cs="Arial" w:eastAsia="Arial" w:hAnsi="Arial"/>
          <w:sz w:val="17"/>
          <w:szCs w:val="17"/>
          <w:color w:val="auto"/>
        </w:rPr>
        <w:t>pursue any other remedy in the Administrative Agent or the Lender Parties' power whatsoever.</w:t>
      </w:r>
    </w:p>
    <w:p>
      <w:pPr>
        <w:spacing w:after="0" w:line="187" w:lineRule="exact"/>
        <w:rPr>
          <w:sz w:val="20"/>
          <w:szCs w:val="20"/>
          <w:color w:val="auto"/>
        </w:rPr>
      </w:pPr>
    </w:p>
    <w:p>
      <w:pPr>
        <w:jc w:val="both"/>
        <w:ind w:left="565"/>
        <w:spacing w:after="0" w:line="266" w:lineRule="auto"/>
        <w:rPr>
          <w:sz w:val="20"/>
          <w:szCs w:val="20"/>
          <w:color w:val="auto"/>
        </w:rPr>
      </w:pPr>
      <w:r>
        <w:rPr>
          <w:rFonts w:ascii="Arial" w:cs="Arial" w:eastAsia="Arial" w:hAnsi="Arial"/>
          <w:sz w:val="16"/>
          <w:szCs w:val="16"/>
          <w:color w:val="auto"/>
        </w:rPr>
        <w:t>Each Canadian Cross-Border Loan Guarantor waives any defense arising by reason of any disability or other defense of the Borrowers, or the cessation from any cause whatsoever of the liability of the Borrowers, or any claim that such Canadian Cross-Border Loan Guarantor’s obligations exceed or are more burdensome than those of the Borrowers, each Canadian Cross-Border Loan Guarantor waives any right of subrogation, reimbursement, indemnification, and contribution (contractual, statutory or otherwise), arising from the existence or performance of this Canadian Cross-Border Guarantee and each Canadian Cross-Border Loan Guarantor waives any right to enforce any remedy which the Administrative Agent and/or the Lender Parties now have or may hereafter have against the Borrowers, and waives any benefit of, and any right to participate in, any security now or hereafter held by the Administrative Agent or the Lender Parties. The Administrative Agent may foreclose, either by judicial foreclosure or by exercise of power of sale, or realize any deed of trust or other security securing the indebtedness, and, even though the foreclosure or other realization may destroy or diminish any Canadian Cross-Border Loan Guarantor’s rights against the Borrowers or may result in security being sold at an under value, such Canadian Cross-Border Loan Guarantor shall be liable to the Administrative Agent and the Lender Parties for any part of the indebtedness remaining unpaid after the foreclosure or other realization. Each Canadian Cross-Border Loan Guarantor waives all presentments, demands for performance, notices of nonperformance, protests, notices of protest, notices of dishonour, and notices of acceptance of this Canadian Cross-Border Guarantee and of the existence, creation, or incurring of new or additional indebtedness.</w:t>
      </w:r>
    </w:p>
    <w:p>
      <w:pPr>
        <w:spacing w:after="0" w:line="1" w:lineRule="exact"/>
        <w:rPr>
          <w:sz w:val="20"/>
          <w:szCs w:val="20"/>
          <w:color w:val="auto"/>
        </w:rPr>
      </w:pPr>
    </w:p>
    <w:p>
      <w:pPr>
        <w:jc w:val="both"/>
        <w:ind w:left="565" w:right="20" w:hanging="565"/>
        <w:spacing w:after="0" w:line="274" w:lineRule="auto"/>
        <w:tabs>
          <w:tab w:leader="none" w:pos="565" w:val="left"/>
        </w:tabs>
        <w:numPr>
          <w:ilvl w:val="0"/>
          <w:numId w:val="190"/>
        </w:numPr>
        <w:rPr>
          <w:rFonts w:ascii="Arial" w:cs="Arial" w:eastAsia="Arial" w:hAnsi="Arial"/>
          <w:sz w:val="19"/>
          <w:szCs w:val="19"/>
          <w:color w:val="auto"/>
        </w:rPr>
      </w:pPr>
      <w:r>
        <w:rPr>
          <w:rFonts w:ascii="Arial" w:cs="Arial" w:eastAsia="Arial" w:hAnsi="Arial"/>
          <w:sz w:val="17"/>
          <w:szCs w:val="17"/>
          <w:color w:val="auto"/>
        </w:rPr>
        <w:t>Each Canadian Cross-Border Loan Guarantor acknowledges and agrees that it shall have the sole responsibility for obtaining from the Borrowers such information concerning the Borrowers' financial conditions or business operations as such Canadian Cross-Border Loan Guarantor may require, and that neither the Administrative Agent nor the Lender Parties have any duty at any time to disclose to such Canadian Cross-Border Loan Guarantor any information relating to the business operations or financial conditions of any Borrower.</w:t>
      </w:r>
    </w:p>
    <w:p>
      <w:pPr>
        <w:spacing w:after="0" w:line="169" w:lineRule="exact"/>
        <w:rPr>
          <w:rFonts w:ascii="Arial" w:cs="Arial" w:eastAsia="Arial" w:hAnsi="Arial"/>
          <w:sz w:val="19"/>
          <w:szCs w:val="19"/>
          <w:color w:val="auto"/>
        </w:rPr>
      </w:pPr>
    </w:p>
    <w:p>
      <w:pPr>
        <w:jc w:val="both"/>
        <w:ind w:left="565" w:hanging="565"/>
        <w:spacing w:after="0" w:line="296" w:lineRule="auto"/>
        <w:tabs>
          <w:tab w:leader="none" w:pos="565" w:val="left"/>
        </w:tabs>
        <w:numPr>
          <w:ilvl w:val="0"/>
          <w:numId w:val="190"/>
        </w:numPr>
        <w:rPr>
          <w:rFonts w:ascii="Arial" w:cs="Arial" w:eastAsia="Arial" w:hAnsi="Arial"/>
          <w:sz w:val="18"/>
          <w:szCs w:val="18"/>
          <w:color w:val="auto"/>
        </w:rPr>
      </w:pPr>
      <w:r>
        <w:rPr>
          <w:rFonts w:ascii="Arial" w:cs="Arial" w:eastAsia="Arial" w:hAnsi="Arial"/>
          <w:sz w:val="16"/>
          <w:szCs w:val="16"/>
          <w:color w:val="auto"/>
        </w:rPr>
        <w:t>Any obligations of a Borrower to a Canadian Cross-Border Loan Guarantor, now or hereafter existing, including but not limited to any obligations to such Canadian Cross-Border Loan Guarantor as subrogee of the Administrative Agent or the Lender Parties or resulting from such Canadian Cross-Border Loan Guarantor’s performance under this Canadian Cross-Border Guarantee, are hereby assigned to the Administrative Agent and postponed and subordinated to the indebtedness. Any such obligations of the Borrowers to a Canadian Cross-Border Loan Guarantor received by such Canadian Cross-Border Loan Guarantor shall be received in trust for the Administrative Agent and the Lender Parties and the proceeds thereof shall forthwith be paid over to the Administrative Agent on account of the indebtedness of the Borrowers to the Administrative Agent and the Lender Parties, but without reducing or affecting in any manner the liability of such Canadian Cross-Border Loan Guarantor under the provisions of this Canadian Cross-Border Guarantee. This assignment and postponement is independent of and severable from this Canadian Cross-Border Guarantee and shall remain in full force and effect whether or not a Canadian Cross-Border Loan Guarantor is liable for any amount under this Canadian Cross-Border Guarantee.</w:t>
      </w:r>
    </w:p>
    <w:p>
      <w:pPr>
        <w:spacing w:after="0" w:line="157" w:lineRule="exact"/>
        <w:rPr>
          <w:rFonts w:ascii="Arial" w:cs="Arial" w:eastAsia="Arial" w:hAnsi="Arial"/>
          <w:sz w:val="18"/>
          <w:szCs w:val="18"/>
          <w:color w:val="auto"/>
        </w:rPr>
      </w:pPr>
    </w:p>
    <w:p>
      <w:pPr>
        <w:jc w:val="both"/>
        <w:ind w:left="565" w:hanging="565"/>
        <w:spacing w:after="0" w:line="297" w:lineRule="auto"/>
        <w:tabs>
          <w:tab w:leader="none" w:pos="565" w:val="left"/>
        </w:tabs>
        <w:numPr>
          <w:ilvl w:val="0"/>
          <w:numId w:val="190"/>
        </w:numPr>
        <w:rPr>
          <w:rFonts w:ascii="Arial" w:cs="Arial" w:eastAsia="Arial" w:hAnsi="Arial"/>
          <w:sz w:val="18"/>
          <w:szCs w:val="18"/>
          <w:color w:val="auto"/>
        </w:rPr>
      </w:pPr>
      <w:r>
        <w:rPr>
          <w:rFonts w:ascii="Arial" w:cs="Arial" w:eastAsia="Arial" w:hAnsi="Arial"/>
          <w:sz w:val="16"/>
          <w:szCs w:val="16"/>
          <w:color w:val="auto"/>
        </w:rPr>
        <w:t>Where any Borrower becomes bankrupt or makes an assignment for the benefit of creditors or if any circumstances arise necessitating the Administrative Agent and/or the Lender Parties to file a claim against such Borrower and/or to value its securities, the Administrative Agent shall be entitled to place such valuation on its securities as the Administrative Agent may in its absolute discretion see fit and the filing of such claim and the valuing of securities shall not in any way prejudice or restrict the claim of the Administrative Agent and the Lender Parties against any Canadian Cross-Border Loan Guarantor and in no way discharges such Canadian Cross-Border Loan Guarantor from its liability hereunder to the Administrative Agent and the Lender Parties, either in whole or in part and until all indebtedness of the Borrowers to the Administrative Agent and the Lender Parties has been fully paid, the Administrative</w:t>
      </w:r>
    </w:p>
    <w:p>
      <w:pPr>
        <w:sectPr>
          <w:pgSz w:w="11900" w:h="16838" w:orient="portrait"/>
          <w:cols w:equalWidth="0" w:num="1">
            <w:col w:w="11445"/>
          </w:cols>
          <w:pgMar w:left="235" w:top="137" w:right="219" w:bottom="0" w:gutter="0" w:footer="0" w:header="0"/>
        </w:sectPr>
      </w:pPr>
    </w:p>
    <w:bookmarkStart w:id="137" w:name="page138"/>
    <w:bookmarkEnd w:id="137"/>
    <w:p>
      <w:pPr>
        <w:jc w:val="both"/>
        <w:ind w:left="565" w:right="20"/>
        <w:spacing w:after="0" w:line="288" w:lineRule="auto"/>
        <w:rPr>
          <w:sz w:val="20"/>
          <w:szCs w:val="20"/>
          <w:color w:val="auto"/>
        </w:rPr>
      </w:pPr>
      <w:r>
        <w:rPr>
          <w:rFonts w:ascii="Arial" w:cs="Arial" w:eastAsia="Arial" w:hAnsi="Arial"/>
          <w:sz w:val="17"/>
          <w:szCs w:val="17"/>
          <w:color w:val="auto"/>
        </w:rPr>
        <w:t>Agent shall have the right to include in its claim the amount of all sums paid by such Canadian Cross-Border Loan Guarantor to the Administrative Agent under this Canadian Cross-Border Guarantee and to prove and rank for and receive dividends in respect of such claim, any and all rights to prove and rank for such sums paid for by such Canadian Cross-Border Loan Guarantor and receive the full amount of all dividends in respect thereto are hereby assigned and transferred to the Administrative Agent by such Canadian Cross-Border Loan Guarantor.</w:t>
      </w:r>
    </w:p>
    <w:p>
      <w:pPr>
        <w:spacing w:after="0" w:line="158" w:lineRule="exact"/>
        <w:rPr>
          <w:sz w:val="20"/>
          <w:szCs w:val="20"/>
          <w:color w:val="auto"/>
        </w:rPr>
      </w:pPr>
    </w:p>
    <w:p>
      <w:pPr>
        <w:jc w:val="both"/>
        <w:ind w:left="565" w:hanging="565"/>
        <w:spacing w:after="0" w:line="330" w:lineRule="auto"/>
        <w:tabs>
          <w:tab w:leader="none" w:pos="565" w:val="left"/>
        </w:tabs>
        <w:numPr>
          <w:ilvl w:val="0"/>
          <w:numId w:val="191"/>
        </w:numPr>
        <w:rPr>
          <w:rFonts w:ascii="Arial" w:cs="Arial" w:eastAsia="Arial" w:hAnsi="Arial"/>
          <w:sz w:val="16"/>
          <w:szCs w:val="16"/>
          <w:color w:val="auto"/>
        </w:rPr>
      </w:pPr>
      <w:r>
        <w:rPr>
          <w:rFonts w:ascii="Arial" w:cs="Arial" w:eastAsia="Arial" w:hAnsi="Arial"/>
          <w:sz w:val="15"/>
          <w:szCs w:val="15"/>
          <w:color w:val="auto"/>
        </w:rPr>
        <w:t>Any account settled or stated by or between the Administrative Agent and/or the Lender Parties and any Borrower, or, if any such account has not been so settled or stated immediately before demand for payment under this Canadian Cross-Border Guarantee, any account stated by the Administrative Agent, shall be accepted by each Canadian Cross-Border Loan Guarantor as conclusive evidence of the amount which at the date of the account so settled or stated is due by such Borrower to the Administrative Agent or remains unpaid by such Borrower to the Administrative Agent and/or the Lender Parties.</w:t>
      </w:r>
    </w:p>
    <w:p>
      <w:pPr>
        <w:spacing w:after="0" w:line="131" w:lineRule="exact"/>
        <w:rPr>
          <w:rFonts w:ascii="Arial" w:cs="Arial" w:eastAsia="Arial" w:hAnsi="Arial"/>
          <w:sz w:val="16"/>
          <w:szCs w:val="16"/>
          <w:color w:val="auto"/>
        </w:rPr>
      </w:pPr>
    </w:p>
    <w:p>
      <w:pPr>
        <w:jc w:val="both"/>
        <w:ind w:left="565" w:hanging="565"/>
        <w:spacing w:after="0" w:line="330" w:lineRule="auto"/>
        <w:tabs>
          <w:tab w:leader="none" w:pos="565" w:val="left"/>
        </w:tabs>
        <w:numPr>
          <w:ilvl w:val="0"/>
          <w:numId w:val="191"/>
        </w:numPr>
        <w:rPr>
          <w:rFonts w:ascii="Arial" w:cs="Arial" w:eastAsia="Arial" w:hAnsi="Arial"/>
          <w:sz w:val="16"/>
          <w:szCs w:val="16"/>
          <w:color w:val="auto"/>
        </w:rPr>
      </w:pPr>
      <w:r>
        <w:rPr>
          <w:rFonts w:ascii="Arial" w:cs="Arial" w:eastAsia="Arial" w:hAnsi="Arial"/>
          <w:sz w:val="15"/>
          <w:szCs w:val="15"/>
          <w:color w:val="auto"/>
        </w:rPr>
        <w:t>Each Canadian Cross-Border Loan Guarantor shall make payment to the Administrative Agent of the amount of its liability to the Administrative Agent forthwith after demand therefor is made in writing and such demand shall be deemed to have been effectually made when an envelope containing such demand addressed to such Canadian Cross-Border Loan Guarantor at its address last known to the Administrative Agent, is deposited, postage prepaid, in the mail. All payments hereunder shall be made to the Administrative Agent at the office of the Administrative Agent as provided in the Credit Agreement.</w:t>
      </w:r>
    </w:p>
    <w:p>
      <w:pPr>
        <w:spacing w:after="0" w:line="131" w:lineRule="exact"/>
        <w:rPr>
          <w:rFonts w:ascii="Arial" w:cs="Arial" w:eastAsia="Arial" w:hAnsi="Arial"/>
          <w:sz w:val="16"/>
          <w:szCs w:val="16"/>
          <w:color w:val="auto"/>
        </w:rPr>
      </w:pPr>
    </w:p>
    <w:p>
      <w:pPr>
        <w:jc w:val="both"/>
        <w:ind w:left="565"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Any and all payments by any Canadian Cross-Border Loan Guarantor to the Administrative Agent and/or the Lender Parties under this Canadian Cross-Border Guarantee or the Credit Agreement shall be made free and clear of, and without deduction or withholding for any taxes, levies, imposts, deductions, charges or withholdings of whatever kind or nature (the "</w:t>
      </w:r>
      <w:r>
        <w:rPr>
          <w:rFonts w:ascii="Arial" w:cs="Arial" w:eastAsia="Arial" w:hAnsi="Arial"/>
          <w:sz w:val="17"/>
          <w:szCs w:val="17"/>
          <w:b w:val="1"/>
          <w:bCs w:val="1"/>
          <w:color w:val="auto"/>
        </w:rPr>
        <w:t>Taxes</w:t>
      </w:r>
      <w:r>
        <w:rPr>
          <w:rFonts w:ascii="Arial" w:cs="Arial" w:eastAsia="Arial" w:hAnsi="Arial"/>
          <w:sz w:val="17"/>
          <w:szCs w:val="17"/>
          <w:color w:val="auto"/>
        </w:rPr>
        <w:t>") unless such Canadian Cross-Border Loan Guarantor is required to withhold or deduct taxes in which case paragraphs 12 and 13 shall apply.</w:t>
      </w:r>
    </w:p>
    <w:p>
      <w:pPr>
        <w:spacing w:after="0" w:line="167"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Each Canadian Cross-Border Loan Guarantor agrees to indemnify and hold harmless the Administrative Agent and/or the Lender Parties for the full amount of Taxes (including any Taxes imposed by any jurisdiction on amounts payable under this paragraph) paid by the Administrative Agent and/or the Lender Parties with respect to payments made by such Canadian Cross-Border Loan Guarantor to the Administrative Agent and/or the Lender Parties under this Canadian Cross-Border Guarantee, and any liability (including penalties, interest, additions to tax and expenses) arising therefrom or with respect thereto (but excluding for greater certainty, net income taxes payable by the Administrative Agent and/or Lender Parties directly). Payment under this indemnification shall be made within thirty (30) days after the date the Administrative Agent makes written demand therefor. The Administrative Agent agrees, within a reasonable time after receiving a written request from such Canadian Cross-Border Loan Guarantor, to provide such Canadian Cross-Border Loan Guarantor with such certificates as are reasonably required, and take such other actions as are reasonably necessary (so long as such actions do not have a negative effect on the Administrative Agent and/or the Lender Parties), to claim such exemptions as the Administrative Agent and/or the Lender Parties may be entitled to claim in respect of all or a portion of any Taxes which are otherwise required to be paid or deducted or withheld hereunder.</w:t>
      </w:r>
    </w:p>
    <w:p>
      <w:pPr>
        <w:spacing w:after="0" w:line="172" w:lineRule="exact"/>
        <w:rPr>
          <w:rFonts w:ascii="Arial" w:cs="Arial" w:eastAsia="Arial" w:hAnsi="Arial"/>
          <w:sz w:val="19"/>
          <w:szCs w:val="19"/>
          <w:color w:val="auto"/>
        </w:rPr>
      </w:pPr>
    </w:p>
    <w:p>
      <w:pPr>
        <w:ind w:left="565" w:hanging="565"/>
        <w:spacing w:after="0" w:line="281"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If any Canadian Cross-Border Loan Guarantor shall be required by law to deduct or withhold any Taxes from or in respect of any sum payable hereunder to the Administrative Agent and/or the Lender Parties, then:</w:t>
      </w:r>
    </w:p>
    <w:p>
      <w:pPr>
        <w:spacing w:after="0" w:line="158" w:lineRule="exact"/>
        <w:rPr>
          <w:rFonts w:ascii="Arial" w:cs="Arial" w:eastAsia="Arial" w:hAnsi="Arial"/>
          <w:sz w:val="19"/>
          <w:szCs w:val="19"/>
          <w:color w:val="auto"/>
        </w:rPr>
      </w:pPr>
    </w:p>
    <w:p>
      <w:pPr>
        <w:jc w:val="both"/>
        <w:ind w:left="1145" w:hanging="573"/>
        <w:spacing w:after="0" w:line="277" w:lineRule="auto"/>
        <w:tabs>
          <w:tab w:leader="none" w:pos="1145" w:val="left"/>
        </w:tabs>
        <w:numPr>
          <w:ilvl w:val="1"/>
          <w:numId w:val="191"/>
        </w:numPr>
        <w:rPr>
          <w:rFonts w:ascii="Arial" w:cs="Arial" w:eastAsia="Arial" w:hAnsi="Arial"/>
          <w:sz w:val="19"/>
          <w:szCs w:val="19"/>
          <w:color w:val="auto"/>
        </w:rPr>
      </w:pPr>
      <w:r>
        <w:rPr>
          <w:rFonts w:ascii="Arial" w:cs="Arial" w:eastAsia="Arial" w:hAnsi="Arial"/>
          <w:sz w:val="17"/>
          <w:szCs w:val="17"/>
          <w:color w:val="auto"/>
        </w:rPr>
        <w:t>the sum payable shall be increased as necessary so that after making all required deductions and withholdings (including deductions and withholdings applicable to additional sums payable under this paragraph) the Administrative Agent and/or the Lender Parties receive an amount equal to the sum it would have received had no such deductions or withholdings been made;</w:t>
      </w:r>
    </w:p>
    <w:p>
      <w:pPr>
        <w:spacing w:after="0" w:line="166" w:lineRule="exact"/>
        <w:rPr>
          <w:rFonts w:ascii="Arial" w:cs="Arial" w:eastAsia="Arial" w:hAnsi="Arial"/>
          <w:sz w:val="19"/>
          <w:szCs w:val="19"/>
          <w:color w:val="auto"/>
        </w:rPr>
      </w:pPr>
    </w:p>
    <w:p>
      <w:pPr>
        <w:ind w:left="1145" w:hanging="573"/>
        <w:spacing w:after="0"/>
        <w:tabs>
          <w:tab w:leader="none" w:pos="1145" w:val="left"/>
        </w:tabs>
        <w:numPr>
          <w:ilvl w:val="1"/>
          <w:numId w:val="191"/>
        </w:numPr>
        <w:rPr>
          <w:rFonts w:ascii="Arial" w:cs="Arial" w:eastAsia="Arial" w:hAnsi="Arial"/>
          <w:sz w:val="19"/>
          <w:szCs w:val="19"/>
          <w:color w:val="auto"/>
        </w:rPr>
      </w:pPr>
      <w:r>
        <w:rPr>
          <w:rFonts w:ascii="Arial" w:cs="Arial" w:eastAsia="Arial" w:hAnsi="Arial"/>
          <w:sz w:val="17"/>
          <w:szCs w:val="17"/>
          <w:color w:val="auto"/>
        </w:rPr>
        <w:t>such Canadian Cross-Border Loan Guarantor shall make such deductions and withholdings;</w:t>
      </w:r>
    </w:p>
    <w:p>
      <w:pPr>
        <w:spacing w:after="0" w:line="198" w:lineRule="exact"/>
        <w:rPr>
          <w:rFonts w:ascii="Arial" w:cs="Arial" w:eastAsia="Arial" w:hAnsi="Arial"/>
          <w:sz w:val="19"/>
          <w:szCs w:val="19"/>
          <w:color w:val="auto"/>
        </w:rPr>
      </w:pPr>
    </w:p>
    <w:p>
      <w:pPr>
        <w:ind w:left="1145" w:right="20" w:hanging="573"/>
        <w:spacing w:after="0" w:line="281" w:lineRule="auto"/>
        <w:tabs>
          <w:tab w:leader="none" w:pos="1145" w:val="left"/>
        </w:tabs>
        <w:numPr>
          <w:ilvl w:val="1"/>
          <w:numId w:val="191"/>
        </w:numPr>
        <w:rPr>
          <w:rFonts w:ascii="Arial" w:cs="Arial" w:eastAsia="Arial" w:hAnsi="Arial"/>
          <w:sz w:val="19"/>
          <w:szCs w:val="19"/>
          <w:color w:val="auto"/>
        </w:rPr>
      </w:pPr>
      <w:r>
        <w:rPr>
          <w:rFonts w:ascii="Arial" w:cs="Arial" w:eastAsia="Arial" w:hAnsi="Arial"/>
          <w:sz w:val="17"/>
          <w:szCs w:val="17"/>
          <w:color w:val="auto"/>
        </w:rPr>
        <w:t>such Canadian Cross-Border Loan Guarantor shall timely pay the full amount deducted or withheld to the relevant taxing authority or other authority in accordance with applicable law; and</w:t>
      </w:r>
    </w:p>
    <w:p>
      <w:pPr>
        <w:spacing w:after="0" w:line="158" w:lineRule="exact"/>
        <w:rPr>
          <w:rFonts w:ascii="Arial" w:cs="Arial" w:eastAsia="Arial" w:hAnsi="Arial"/>
          <w:sz w:val="19"/>
          <w:szCs w:val="19"/>
          <w:color w:val="auto"/>
        </w:rPr>
      </w:pPr>
    </w:p>
    <w:p>
      <w:pPr>
        <w:jc w:val="both"/>
        <w:ind w:left="1145" w:right="20" w:hanging="573"/>
        <w:spacing w:after="0" w:line="277" w:lineRule="auto"/>
        <w:tabs>
          <w:tab w:leader="none" w:pos="1145" w:val="left"/>
        </w:tabs>
        <w:numPr>
          <w:ilvl w:val="1"/>
          <w:numId w:val="191"/>
        </w:numPr>
        <w:rPr>
          <w:rFonts w:ascii="Arial" w:cs="Arial" w:eastAsia="Arial" w:hAnsi="Arial"/>
          <w:sz w:val="19"/>
          <w:szCs w:val="19"/>
          <w:color w:val="auto"/>
        </w:rPr>
      </w:pPr>
      <w:r>
        <w:rPr>
          <w:rFonts w:ascii="Arial" w:cs="Arial" w:eastAsia="Arial" w:hAnsi="Arial"/>
          <w:sz w:val="17"/>
          <w:szCs w:val="17"/>
          <w:color w:val="auto"/>
        </w:rPr>
        <w:t>such Canadian Cross-Border Loan Guarantor shall also pay to the Administrative Agent and/or the Lender Parties, at the time interest is paid, all additional amounts (without duplication) which the Administrative Agent specifies as necessary to preserve the after-tax yield the Administrative Agent and/or the Lender Parties would have received if such Taxes had not been imposed.</w:t>
      </w:r>
    </w:p>
    <w:p>
      <w:pPr>
        <w:spacing w:after="0" w:line="166"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Within thirty (30) days after the date of any payment by any Canadian Cross-Border Loan Guarantor of Taxes, such Canadian Cross-Border Loan Guarantor shall furnish the Administrative Agent the original or a certified copy of a receipt evidencing payment thereof, or other evidence of payment satisfactory to the Administrative Agent.</w:t>
      </w:r>
    </w:p>
    <w:p>
      <w:pPr>
        <w:spacing w:after="0" w:line="166" w:lineRule="exact"/>
        <w:rPr>
          <w:rFonts w:ascii="Arial" w:cs="Arial" w:eastAsia="Arial" w:hAnsi="Arial"/>
          <w:sz w:val="19"/>
          <w:szCs w:val="19"/>
          <w:color w:val="auto"/>
        </w:rPr>
      </w:pPr>
    </w:p>
    <w:p>
      <w:pPr>
        <w:jc w:val="both"/>
        <w:ind w:left="565" w:right="20"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If any provision of this Canadian Cross-Border Guarantee is determined in any proceeding in a court of competent jurisdiction to be void or to be wholly or partly unenforceable, that provision shall for the purposes of such proceeding, be severed from this Canadian Cross-Border Guarantee at the Administrative Agent's option and shall be treated as not forming a part hereof and all the remaining provisions of this Canadian Cross-Border Guarantee shall remain in full force and be unaffected thereby.</w:t>
      </w:r>
    </w:p>
    <w:p>
      <w:pPr>
        <w:spacing w:after="0" w:line="167"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This Canadian Cross-Border Guarantee shall not be subject to or affected by any promise or condition affecting or limiting the liability of any Canadian Cross-Border Loan Guarantor except as expressly set forth herein and no statement, representation, agreement or promise on the part of the Administrative Agent or any officer, employee or agent thereof, unless contained herein, forms any part of this contract or has induced the making thereof or shall be deemed in any way to affect the liability of any Canadian Cross-Border Loan Guarantor hereunder.</w:t>
      </w:r>
    </w:p>
    <w:p>
      <w:pPr>
        <w:spacing w:after="0" w:line="167" w:lineRule="exact"/>
        <w:rPr>
          <w:rFonts w:ascii="Arial" w:cs="Arial" w:eastAsia="Arial" w:hAnsi="Arial"/>
          <w:sz w:val="19"/>
          <w:szCs w:val="19"/>
          <w:color w:val="auto"/>
        </w:rPr>
      </w:pPr>
    </w:p>
    <w:p>
      <w:pPr>
        <w:ind w:left="565" w:right="20" w:hanging="565"/>
        <w:spacing w:after="0" w:line="281"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There are no representations, collateral agreements or conditions with respect to this Canadian Cross-Border Guarantee and agreement affecting the liability of any Canadian Cross-Border Loan Guarantor hereunder other than contained herein.</w:t>
      </w:r>
    </w:p>
    <w:p>
      <w:pPr>
        <w:spacing w:after="0" w:line="158"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This Canadian Cross-Border Guarantee and agreement shall extend to and enure to the benefit of the Administrative Agent and the Lender Parties and its and their successors and assigns, and shall extend to and be binding upon each Canadian Cross-Border Loan Guarantor and its successors and permitted assigns.</w:t>
      </w:r>
    </w:p>
    <w:p>
      <w:pPr>
        <w:spacing w:after="0" w:line="166" w:lineRule="exact"/>
        <w:rPr>
          <w:rFonts w:ascii="Arial" w:cs="Arial" w:eastAsia="Arial" w:hAnsi="Arial"/>
          <w:sz w:val="19"/>
          <w:szCs w:val="19"/>
          <w:color w:val="auto"/>
        </w:rPr>
      </w:pPr>
    </w:p>
    <w:p>
      <w:pPr>
        <w:jc w:val="both"/>
        <w:ind w:left="565" w:right="20" w:hanging="565"/>
        <w:spacing w:after="0" w:line="277" w:lineRule="auto"/>
        <w:tabs>
          <w:tab w:leader="none" w:pos="565" w:val="left"/>
        </w:tabs>
        <w:numPr>
          <w:ilvl w:val="0"/>
          <w:numId w:val="191"/>
        </w:numPr>
        <w:rPr>
          <w:rFonts w:ascii="Arial" w:cs="Arial" w:eastAsia="Arial" w:hAnsi="Arial"/>
          <w:sz w:val="19"/>
          <w:szCs w:val="19"/>
          <w:color w:val="auto"/>
        </w:rPr>
      </w:pPr>
      <w:r>
        <w:rPr>
          <w:rFonts w:ascii="Arial" w:cs="Arial" w:eastAsia="Arial" w:hAnsi="Arial"/>
          <w:sz w:val="17"/>
          <w:szCs w:val="17"/>
          <w:color w:val="auto"/>
        </w:rPr>
        <w:t>It is not necessary for the Administrative Agent or the Lender Parties to inquire into the powers of the Borrowers or any Canadian Cross-Border Loan Guarantor or of the officers, directors, partners, or agents acting or purporting to act on their behalf, and any indebtedness made or created in reliance upon the professed exercise of such powers shall be guaranteed hereunder.</w:t>
      </w:r>
    </w:p>
    <w:p>
      <w:pPr>
        <w:spacing w:after="0" w:line="166" w:lineRule="exact"/>
        <w:rPr>
          <w:rFonts w:ascii="Arial" w:cs="Arial" w:eastAsia="Arial" w:hAnsi="Arial"/>
          <w:sz w:val="19"/>
          <w:szCs w:val="19"/>
          <w:color w:val="auto"/>
        </w:rPr>
      </w:pPr>
    </w:p>
    <w:p>
      <w:pPr>
        <w:jc w:val="both"/>
        <w:ind w:left="565" w:hanging="565"/>
        <w:spacing w:after="0" w:line="367" w:lineRule="auto"/>
        <w:tabs>
          <w:tab w:leader="none" w:pos="565" w:val="left"/>
        </w:tabs>
        <w:numPr>
          <w:ilvl w:val="0"/>
          <w:numId w:val="191"/>
        </w:numPr>
        <w:rPr>
          <w:rFonts w:ascii="Arial" w:cs="Arial" w:eastAsia="Arial" w:hAnsi="Arial"/>
          <w:sz w:val="16"/>
          <w:szCs w:val="16"/>
          <w:color w:val="auto"/>
        </w:rPr>
      </w:pPr>
      <w:r>
        <w:rPr>
          <w:rFonts w:ascii="Arial" w:cs="Arial" w:eastAsia="Arial" w:hAnsi="Arial"/>
          <w:sz w:val="15"/>
          <w:szCs w:val="15"/>
          <w:color w:val="auto"/>
        </w:rPr>
        <w:t>The Administrative Agent may, without notice to a Canadian Cross-Border Loan Guarantor and without affecting such Canadian Cross-Border Loan Guarantor’s obligations hereunder, assign the indebtedness and this Canadian Cross-Border Guarantee, in whole or in part. Each Canadian Cross-Border</w:t>
      </w:r>
    </w:p>
    <w:p>
      <w:pPr>
        <w:sectPr>
          <w:pgSz w:w="11900" w:h="16838" w:orient="portrait"/>
          <w:cols w:equalWidth="0" w:num="1">
            <w:col w:w="11445"/>
          </w:cols>
          <w:pgMar w:left="235" w:top="136" w:right="219" w:bottom="0" w:gutter="0" w:footer="0" w:header="0"/>
        </w:sectPr>
      </w:pPr>
    </w:p>
    <w:bookmarkStart w:id="138" w:name="page139"/>
    <w:bookmarkEnd w:id="138"/>
    <w:p>
      <w:pPr>
        <w:jc w:val="both"/>
        <w:ind w:left="565" w:right="20"/>
        <w:spacing w:after="0" w:line="319" w:lineRule="auto"/>
        <w:rPr>
          <w:sz w:val="20"/>
          <w:szCs w:val="20"/>
          <w:color w:val="auto"/>
        </w:rPr>
      </w:pPr>
      <w:r>
        <w:rPr>
          <w:rFonts w:ascii="Arial" w:cs="Arial" w:eastAsia="Arial" w:hAnsi="Arial"/>
          <w:sz w:val="16"/>
          <w:szCs w:val="16"/>
          <w:color w:val="auto"/>
        </w:rPr>
        <w:t>Loan Guarantor agrees that the Administrative Agent and the Lender Parties may disclose to any assignee or purchaser, or any prospective assignee or purchaser, of all or part of the indebtedness any and all information in the Administrative Agent or a Lender Party's possession concerning such Canadian Cross-Border Loan Guarantor, this Canadian Cross-Border Guarantee, and any security for this Canadian Cross-Border Guarantee.</w:t>
      </w:r>
    </w:p>
    <w:p>
      <w:pPr>
        <w:spacing w:after="0" w:line="136" w:lineRule="exact"/>
        <w:rPr>
          <w:sz w:val="20"/>
          <w:szCs w:val="20"/>
          <w:color w:val="auto"/>
        </w:rPr>
      </w:pPr>
    </w:p>
    <w:p>
      <w:pPr>
        <w:jc w:val="both"/>
        <w:ind w:left="565" w:right="20" w:hanging="565"/>
        <w:spacing w:after="0" w:line="296" w:lineRule="auto"/>
        <w:tabs>
          <w:tab w:leader="none" w:pos="565" w:val="left"/>
        </w:tabs>
        <w:numPr>
          <w:ilvl w:val="0"/>
          <w:numId w:val="192"/>
        </w:numPr>
        <w:rPr>
          <w:rFonts w:ascii="Arial" w:cs="Arial" w:eastAsia="Arial" w:hAnsi="Arial"/>
          <w:sz w:val="18"/>
          <w:szCs w:val="18"/>
          <w:color w:val="auto"/>
        </w:rPr>
      </w:pPr>
      <w:r>
        <w:rPr>
          <w:rFonts w:ascii="Arial" w:cs="Arial" w:eastAsia="Arial" w:hAnsi="Arial"/>
          <w:sz w:val="16"/>
          <w:szCs w:val="16"/>
          <w:color w:val="auto"/>
        </w:rPr>
        <w:t>If for the purpose of obtaining judgment in any court or for the purpose of determining, pursuant to the obligations of any Canadian Cross-Border Loan Guarantor, the amounts owing hereunder it is necessary to convert an amount due hereunder in the currency in which it is due (the "</w:t>
      </w:r>
      <w:r>
        <w:rPr>
          <w:rFonts w:ascii="Arial" w:cs="Arial" w:eastAsia="Arial" w:hAnsi="Arial"/>
          <w:sz w:val="16"/>
          <w:szCs w:val="16"/>
          <w:b w:val="1"/>
          <w:bCs w:val="1"/>
          <w:color w:val="auto"/>
        </w:rPr>
        <w:t>Original Currency</w:t>
      </w:r>
      <w:r>
        <w:rPr>
          <w:rFonts w:ascii="Arial" w:cs="Arial" w:eastAsia="Arial" w:hAnsi="Arial"/>
          <w:sz w:val="16"/>
          <w:szCs w:val="16"/>
          <w:color w:val="auto"/>
        </w:rPr>
        <w:t>")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the rate of exchange applied shall be that at which, in accordance with normal banking procedures, the Administrative Agent could purchase, in the New York foreign exchange market, the Original Currency with the Second Currency on the date two (2) Business Days preceding that on which judgment is given or any other payment is due hereunder. Each Canadian Cross-Border Loan Guarantor agrees that its obligation in respect of any Original Currency due from it to the Administrative Agent hereunder shall, notwithstanding any judgment or payment in such other currency, be discharged only to the extent that, on the Business Day following the date the Administrative Agent receives payment of any sum so adjudged or owing to be due hereunder in the Second Currency the Administrative Agent may, in accordance with normal banking procedures, purchase, in the New York foreign exchange market the Original Currency with the amount of the Second Currency so paid; and if the amount of the Original Currency so purchased or could have been so purchased is less than the amount originally due in the Original Currency, each Canadian Cross-Border Loan Guarantor agrees as a separate obligation and notwithstanding any such payment or judgment to indemnify the Administrative Agent against such loss. The term "rate of exchange" in this paragraph 21 means the spot rate at which the Administrative Agent, in accordance with normal practices is able, on the relevant date, to purchase the Original Currency with the Second Currency and includes any premium and costs of exchange payable in connection with such purchase.</w:t>
      </w:r>
    </w:p>
    <w:p>
      <w:pPr>
        <w:spacing w:after="0" w:line="154" w:lineRule="exact"/>
        <w:rPr>
          <w:rFonts w:ascii="Arial" w:cs="Arial" w:eastAsia="Arial" w:hAnsi="Arial"/>
          <w:sz w:val="18"/>
          <w:szCs w:val="18"/>
          <w:color w:val="auto"/>
        </w:rPr>
      </w:pPr>
    </w:p>
    <w:p>
      <w:pPr>
        <w:jc w:val="both"/>
        <w:ind w:left="565" w:hanging="565"/>
        <w:spacing w:after="0" w:line="277"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If a Canadian Cross-Border Loan Guarantor is a partnership, this Canadian Cross-Border Guarantee shall extend to the person, persons and corporations for the time being and from time to time carrying on the business now being carried on by such Canadian Cross-Border Loan Guarantor notwithstanding any change or changes in the name or membership of the partnership or the incorporation of a company for the purpose of acquiring the business of the partnership and where a Canadian Cross-Border Loan Guarantor is a corporation, this Canadian Cross-Border Guarantee shall extend to any amalgamated or new company formed to take over the business of such Canadian Cross-Border Loan Guarantor and any reorganization thereof, whether the new company is the same or different in its objects, character and constitution.</w:t>
      </w:r>
    </w:p>
    <w:p>
      <w:pPr>
        <w:spacing w:after="0" w:line="168" w:lineRule="exact"/>
        <w:rPr>
          <w:rFonts w:ascii="Arial" w:cs="Arial" w:eastAsia="Arial" w:hAnsi="Arial"/>
          <w:sz w:val="19"/>
          <w:szCs w:val="19"/>
          <w:color w:val="auto"/>
        </w:rPr>
      </w:pPr>
    </w:p>
    <w:p>
      <w:pPr>
        <w:jc w:val="both"/>
        <w:ind w:left="565" w:right="20" w:hanging="565"/>
        <w:spacing w:after="0" w:line="277"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Each Canadian Cross-Border Loan Guarantor agrees to pay all reasonable legal fees, including allocated costs of the Administrative Agent's in-house counsel, and all other costs and expenses which may be incurred by the Administrative Agent or the Lender Parties in the enforcement of this Canadian Cross-Border Guarantee.</w:t>
      </w:r>
    </w:p>
    <w:p>
      <w:pPr>
        <w:spacing w:after="0" w:line="166" w:lineRule="exact"/>
        <w:rPr>
          <w:rFonts w:ascii="Arial" w:cs="Arial" w:eastAsia="Arial" w:hAnsi="Arial"/>
          <w:sz w:val="19"/>
          <w:szCs w:val="19"/>
          <w:color w:val="auto"/>
        </w:rPr>
      </w:pPr>
    </w:p>
    <w:p>
      <w:pPr>
        <w:ind w:left="565" w:hanging="565"/>
        <w:spacing w:after="0"/>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All words used herein in the plural shall be deemed to have been used in the singular where the context and construction so require.</w:t>
      </w:r>
    </w:p>
    <w:p>
      <w:pPr>
        <w:spacing w:after="0" w:line="198" w:lineRule="exact"/>
        <w:rPr>
          <w:rFonts w:ascii="Arial" w:cs="Arial" w:eastAsia="Arial" w:hAnsi="Arial"/>
          <w:sz w:val="19"/>
          <w:szCs w:val="19"/>
          <w:color w:val="auto"/>
        </w:rPr>
      </w:pPr>
    </w:p>
    <w:p>
      <w:pPr>
        <w:ind w:left="565" w:hanging="565"/>
        <w:spacing w:after="0" w:line="281"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This Canadian Cross-Border Guarantee shall be governed by and construed in accordance with the laws of the Province of Ontario and the laws of Canada applicable therein.</w:t>
      </w:r>
    </w:p>
    <w:p>
      <w:pPr>
        <w:spacing w:after="0" w:line="158" w:lineRule="exact"/>
        <w:rPr>
          <w:rFonts w:ascii="Arial" w:cs="Arial" w:eastAsia="Arial" w:hAnsi="Arial"/>
          <w:sz w:val="19"/>
          <w:szCs w:val="19"/>
          <w:color w:val="auto"/>
        </w:rPr>
      </w:pPr>
    </w:p>
    <w:p>
      <w:pPr>
        <w:ind w:left="565" w:hanging="565"/>
        <w:spacing w:after="0"/>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Each Canadian Cross-Border Loan Guarantor acknowledges receipt of an executed copy of this Canadian Cross-Border Guarantee.</w:t>
      </w:r>
    </w:p>
    <w:p>
      <w:pPr>
        <w:spacing w:after="0" w:line="198"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This Canadian Cross-Border Guarantee may be executed in any number of counterparts, all of which taken together shall constitute one agreement, and any of the parties hereto may execute this Canadian Cross-Border Guarantee by signing any such counterpart. Delivery of an executed counterpart of a signature page of this Canadian Cross-Border Guarantee by facsimile or other electronic transmission shall be effective as delivery of a manually executed counterpart of this Canadian Cross-Border Guarantee.</w:t>
      </w:r>
    </w:p>
    <w:p>
      <w:pPr>
        <w:spacing w:after="0" w:line="167" w:lineRule="exact"/>
        <w:rPr>
          <w:rFonts w:ascii="Arial" w:cs="Arial" w:eastAsia="Arial" w:hAnsi="Arial"/>
          <w:sz w:val="19"/>
          <w:szCs w:val="19"/>
          <w:color w:val="auto"/>
        </w:rPr>
      </w:pPr>
    </w:p>
    <w:p>
      <w:pPr>
        <w:jc w:val="both"/>
        <w:ind w:left="565" w:hanging="565"/>
        <w:spacing w:after="0" w:line="277"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The liability of each Canadian Cross-Border Loan Guarantor shall be absolute and conditional and shall not be discharged, diminished or in any way affected by any circumstance which might otherwise constitute in whole or in part (i) a defence available to such Canadian Cross-Border Loan Guarantor, any other Canadian Cross-Border Loan Guarantor or any Borrower or (ii) the discharge of any other Canadian Cross-Border Loan Guarantor, any Borrower or any other Person in respect of the obligations hereunder.</w:t>
      </w:r>
    </w:p>
    <w:p>
      <w:pPr>
        <w:spacing w:after="0" w:line="167" w:lineRule="exact"/>
        <w:rPr>
          <w:rFonts w:ascii="Arial" w:cs="Arial" w:eastAsia="Arial" w:hAnsi="Arial"/>
          <w:sz w:val="19"/>
          <w:szCs w:val="19"/>
          <w:color w:val="auto"/>
        </w:rPr>
      </w:pPr>
    </w:p>
    <w:p>
      <w:pPr>
        <w:ind w:left="565" w:right="20" w:hanging="565"/>
        <w:spacing w:after="0" w:line="281"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The First Restated Canadian Cross-Border Guarantee, as amended and restated by this Canadian Cross-Border Guarantee shall remain in full force and effect as amended and restated hereby and is hereby ratified and confirmed by each of the undersigned.</w:t>
      </w:r>
    </w:p>
    <w:p>
      <w:pPr>
        <w:spacing w:after="0" w:line="158" w:lineRule="exact"/>
        <w:rPr>
          <w:rFonts w:ascii="Arial" w:cs="Arial" w:eastAsia="Arial" w:hAnsi="Arial"/>
          <w:sz w:val="19"/>
          <w:szCs w:val="19"/>
          <w:color w:val="auto"/>
        </w:rPr>
      </w:pPr>
    </w:p>
    <w:p>
      <w:pPr>
        <w:ind w:left="565" w:right="20" w:hanging="565"/>
        <w:spacing w:after="0" w:line="281" w:lineRule="auto"/>
        <w:tabs>
          <w:tab w:leader="none" w:pos="565" w:val="left"/>
        </w:tabs>
        <w:numPr>
          <w:ilvl w:val="0"/>
          <w:numId w:val="192"/>
        </w:numPr>
        <w:rPr>
          <w:rFonts w:ascii="Arial" w:cs="Arial" w:eastAsia="Arial" w:hAnsi="Arial"/>
          <w:sz w:val="19"/>
          <w:szCs w:val="19"/>
          <w:color w:val="auto"/>
        </w:rPr>
      </w:pPr>
      <w:r>
        <w:rPr>
          <w:rFonts w:ascii="Arial" w:cs="Arial" w:eastAsia="Arial" w:hAnsi="Arial"/>
          <w:sz w:val="17"/>
          <w:szCs w:val="17"/>
          <w:color w:val="auto"/>
        </w:rPr>
        <w:t>Each Canadian Cross-Border Loan Guarantor acknowledges communication of the terms of the Credit Agreement and of all the provisions therein contained and consents to and approves of its contents.</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parties acknowledge that they have required that this Canadian Cross-Border Guarantee and all related documents be prepared in English.</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17"/>
          <w:szCs w:val="17"/>
          <w:color w:val="auto"/>
        </w:rPr>
        <w:t>Les parties reconnaissent avoir exigé que la présente convention et tous les documents connexes soient rédigés en anglais.</w:t>
      </w:r>
    </w:p>
    <w:p>
      <w:pPr>
        <w:spacing w:after="0" w:line="21" w:lineRule="exact"/>
        <w:rPr>
          <w:sz w:val="20"/>
          <w:szCs w:val="20"/>
          <w:color w:val="auto"/>
        </w:rPr>
      </w:pPr>
    </w:p>
    <w:p>
      <w:pPr>
        <w:ind w:left="4205"/>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17"/>
          <w:szCs w:val="17"/>
          <w:color w:val="auto"/>
        </w:rPr>
        <w:t>Executed as of this ____ day of ______________, 2015.</w:t>
      </w:r>
    </w:p>
    <w:p>
      <w:pPr>
        <w:spacing w:after="0" w:line="168"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WESCO DISTRIBUTION CANADA CO.</w:t>
      </w:r>
    </w:p>
    <w:p>
      <w:pPr>
        <w:spacing w:after="0" w:line="200" w:lineRule="exact"/>
        <w:rPr>
          <w:sz w:val="20"/>
          <w:szCs w:val="20"/>
          <w:color w:val="auto"/>
        </w:rPr>
      </w:pPr>
    </w:p>
    <w:p>
      <w:pPr>
        <w:spacing w:after="0" w:line="218" w:lineRule="exact"/>
        <w:rPr>
          <w:sz w:val="20"/>
          <w:szCs w:val="20"/>
          <w:color w:val="auto"/>
        </w:rPr>
      </w:pPr>
    </w:p>
    <w:p>
      <w:pPr>
        <w:ind w:left="5645"/>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43815</wp:posOffset>
            </wp:positionV>
            <wp:extent cx="30486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5645"/>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204"/>
        <w:spacing w:after="0"/>
        <w:rPr>
          <w:sz w:val="20"/>
          <w:szCs w:val="20"/>
          <w:color w:val="auto"/>
        </w:rPr>
      </w:pPr>
      <w:r>
        <w:rPr>
          <w:rFonts w:ascii="Arial" w:cs="Arial" w:eastAsia="Arial" w:hAnsi="Arial"/>
          <w:sz w:val="17"/>
          <w:szCs w:val="17"/>
          <w:color w:val="auto"/>
        </w:rPr>
        <w:t>Title:</w:t>
      </w:r>
    </w:p>
    <w:p>
      <w:pPr>
        <w:spacing w:after="0" w:line="394" w:lineRule="exact"/>
        <w:rPr>
          <w:sz w:val="20"/>
          <w:szCs w:val="20"/>
          <w:color w:val="auto"/>
        </w:rPr>
      </w:pPr>
    </w:p>
    <w:p>
      <w:pPr>
        <w:ind w:left="5645"/>
        <w:spacing w:after="0"/>
        <w:rPr>
          <w:sz w:val="20"/>
          <w:szCs w:val="20"/>
          <w:color w:val="auto"/>
        </w:rPr>
      </w:pPr>
      <w:r>
        <w:rPr>
          <w:rFonts w:ascii="Arial" w:cs="Arial" w:eastAsia="Arial" w:hAnsi="Arial"/>
          <w:sz w:val="17"/>
          <w:szCs w:val="17"/>
          <w:b w:val="1"/>
          <w:bCs w:val="1"/>
          <w:color w:val="auto"/>
        </w:rPr>
        <w:t>TVC CANADA CORP.</w:t>
      </w:r>
    </w:p>
    <w:p>
      <w:pPr>
        <w:spacing w:after="0" w:line="200" w:lineRule="exact"/>
        <w:rPr>
          <w:sz w:val="20"/>
          <w:szCs w:val="20"/>
          <w:color w:val="auto"/>
        </w:rPr>
      </w:pPr>
    </w:p>
    <w:p>
      <w:pPr>
        <w:spacing w:after="0" w:line="218" w:lineRule="exact"/>
        <w:rPr>
          <w:sz w:val="20"/>
          <w:szCs w:val="20"/>
          <w:color w:val="auto"/>
        </w:rPr>
      </w:pPr>
    </w:p>
    <w:p>
      <w:pPr>
        <w:ind w:left="5645"/>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43815</wp:posOffset>
            </wp:positionV>
            <wp:extent cx="304863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5645"/>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204"/>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45"/>
          </w:cols>
          <w:pgMar w:left="235" w:top="136" w:right="219" w:bottom="0" w:gutter="0" w:footer="0" w:header="0"/>
        </w:sectPr>
      </w:pPr>
    </w:p>
    <w:bookmarkStart w:id="139" w:name="page140"/>
    <w:bookmarkEnd w:id="139"/>
    <w:p>
      <w:pPr>
        <w:ind w:left="5640"/>
        <w:spacing w:after="0"/>
        <w:rPr>
          <w:sz w:val="20"/>
          <w:szCs w:val="20"/>
          <w:color w:val="auto"/>
        </w:rPr>
      </w:pPr>
      <w:r>
        <w:rPr>
          <w:rFonts w:ascii="Arial" w:cs="Arial" w:eastAsia="Arial" w:hAnsi="Arial"/>
          <w:sz w:val="17"/>
          <w:szCs w:val="17"/>
          <w:b w:val="1"/>
          <w:bCs w:val="1"/>
          <w:color w:val="auto"/>
        </w:rPr>
        <w:t>WESCO DISTRIBUTION II ULC</w:t>
      </w: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43815</wp:posOffset>
            </wp:positionV>
            <wp:extent cx="30486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SECOND AMENDED AND RESTATED CANADIAN PLEDGE AND SECURITY AGREEMENT</w:t>
      </w:r>
    </w:p>
    <w:p>
      <w:pPr>
        <w:spacing w:after="0" w:line="200" w:lineRule="exact"/>
        <w:rPr>
          <w:sz w:val="20"/>
          <w:szCs w:val="20"/>
          <w:color w:val="auto"/>
        </w:rPr>
      </w:pPr>
    </w:p>
    <w:p>
      <w:pPr>
        <w:spacing w:after="0" w:line="21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THIS SECOND AMENDED AND RESTATED CANADIAN PLEDGE AND SECURITY AGREEMENT (as it may be amended, restated, supplemented or otherwise modified from time to time, this “</w:t>
      </w:r>
      <w:r>
        <w:rPr>
          <w:rFonts w:ascii="Arial" w:cs="Arial" w:eastAsia="Arial" w:hAnsi="Arial"/>
          <w:sz w:val="17"/>
          <w:szCs w:val="17"/>
          <w:u w:val="single" w:color="auto"/>
          <w:color w:val="auto"/>
        </w:rPr>
        <w:t>Canadian Security Agreement</w:t>
      </w:r>
      <w:r>
        <w:rPr>
          <w:rFonts w:ascii="Arial" w:cs="Arial" w:eastAsia="Arial" w:hAnsi="Arial"/>
          <w:sz w:val="17"/>
          <w:szCs w:val="17"/>
          <w:color w:val="auto"/>
        </w:rPr>
        <w:t>”) is entered into as of September 24, 2015 by and between WESCO Distribution Canada LP, an Ontario limited partnership, WDCC Enterprises Inc., an Alberta corporation, EECOL Electric ULC, an Alberta unlimited liability company, Hazmasters Inc., an Ontario corporation</w:t>
      </w:r>
      <w:r>
        <w:rPr>
          <w:rFonts w:ascii="Arial" w:cs="Arial" w:eastAsia="Arial" w:hAnsi="Arial"/>
          <w:sz w:val="19"/>
          <w:szCs w:val="19"/>
          <w:color w:val="auto"/>
        </w:rPr>
        <w:t>,</w:t>
      </w:r>
      <w:r>
        <w:rPr>
          <w:rFonts w:ascii="Arial" w:cs="Arial" w:eastAsia="Arial" w:hAnsi="Arial"/>
          <w:sz w:val="17"/>
          <w:szCs w:val="17"/>
          <w:color w:val="auto"/>
        </w:rPr>
        <w:t xml:space="preserve"> and Hazmasters Quebec Inc., a corporation formed under the federal laws of Canada (together, the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parties named on the signature pages hereto (together with the Limited Partnership, the “</w:t>
      </w:r>
      <w:r>
        <w:rPr>
          <w:rFonts w:ascii="Arial" w:cs="Arial" w:eastAsia="Arial" w:hAnsi="Arial"/>
          <w:sz w:val="17"/>
          <w:szCs w:val="17"/>
          <w:u w:val="single" w:color="auto"/>
          <w:color w:val="auto"/>
        </w:rPr>
        <w:t>Grantors</w:t>
      </w:r>
      <w:r>
        <w:rPr>
          <w:rFonts w:ascii="Arial" w:cs="Arial" w:eastAsia="Arial" w:hAnsi="Arial"/>
          <w:sz w:val="17"/>
          <w:szCs w:val="17"/>
          <w:color w:val="auto"/>
        </w:rPr>
        <w:t>”, and each a “</w:t>
      </w:r>
      <w:r>
        <w:rPr>
          <w:rFonts w:ascii="Arial" w:cs="Arial" w:eastAsia="Arial" w:hAnsi="Arial"/>
          <w:sz w:val="17"/>
          <w:szCs w:val="17"/>
          <w:u w:val="single" w:color="auto"/>
          <w:color w:val="auto"/>
        </w:rPr>
        <w:t>Grantor</w:t>
      </w:r>
      <w:r>
        <w:rPr>
          <w:rFonts w:ascii="Arial" w:cs="Arial" w:eastAsia="Arial" w:hAnsi="Arial"/>
          <w:sz w:val="17"/>
          <w:szCs w:val="17"/>
          <w:color w:val="auto"/>
        </w:rPr>
        <w:t>”), and JPMorgan Chase Bank, N.A., in its capacity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Canadian Lender Parties (as defined in the hereinafter defined Credit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PRELIMINARY STATEMENT</w:t>
      </w:r>
    </w:p>
    <w:p>
      <w:pPr>
        <w:spacing w:after="0" w:line="210"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6"/>
          <w:szCs w:val="16"/>
          <w:color w:val="auto"/>
        </w:rPr>
        <w:t>WHEREAS, certain of the Grantors (the “</w:t>
      </w:r>
      <w:r>
        <w:rPr>
          <w:rFonts w:ascii="Arial" w:cs="Arial" w:eastAsia="Arial" w:hAnsi="Arial"/>
          <w:sz w:val="16"/>
          <w:szCs w:val="16"/>
          <w:u w:val="single" w:color="auto"/>
          <w:color w:val="auto"/>
        </w:rPr>
        <w:t>Original Grantors</w:t>
      </w:r>
      <w:r>
        <w:rPr>
          <w:rFonts w:ascii="Arial" w:cs="Arial" w:eastAsia="Arial" w:hAnsi="Arial"/>
          <w:sz w:val="16"/>
          <w:szCs w:val="16"/>
          <w:color w:val="auto"/>
        </w:rPr>
        <w:t>”) are parties to that certain credit agreement dated August 22, 2011, as amended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Loan Parties (as defined in the Original Credit Agreement) party thereto, the Lenders (as defined in the Original Credit Agreement) party thereto (the “</w:t>
      </w:r>
      <w:r>
        <w:rPr>
          <w:rFonts w:ascii="Arial" w:cs="Arial" w:eastAsia="Arial" w:hAnsi="Arial"/>
          <w:sz w:val="16"/>
          <w:szCs w:val="16"/>
          <w:u w:val="single" w:color="auto"/>
          <w:color w:val="auto"/>
        </w:rPr>
        <w:t>Original Lenders</w:t>
      </w:r>
      <w:r>
        <w:rPr>
          <w:rFonts w:ascii="Arial" w:cs="Arial" w:eastAsia="Arial" w:hAnsi="Arial"/>
          <w:sz w:val="16"/>
          <w:szCs w:val="16"/>
          <w:color w:val="auto"/>
        </w:rPr>
        <w:t>”), the Administrative Agent, and JPMorgan Chase Bank, N.A., Toronto Branch (the “</w:t>
      </w:r>
      <w:r>
        <w:rPr>
          <w:rFonts w:ascii="Arial" w:cs="Arial" w:eastAsia="Arial" w:hAnsi="Arial"/>
          <w:sz w:val="16"/>
          <w:szCs w:val="16"/>
          <w:u w:val="single" w:color="auto"/>
          <w:color w:val="auto"/>
        </w:rPr>
        <w:t>Canadian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together with the Administrative Agent, the “</w:t>
      </w:r>
      <w:r>
        <w:rPr>
          <w:rFonts w:ascii="Arial" w:cs="Arial" w:eastAsia="Arial" w:hAnsi="Arial"/>
          <w:sz w:val="16"/>
          <w:szCs w:val="16"/>
          <w:u w:val="single" w:color="auto"/>
          <w:color w:val="auto"/>
        </w:rPr>
        <w:t>Agents</w:t>
      </w:r>
      <w:r>
        <w:rPr>
          <w:rFonts w:ascii="Arial" w:cs="Arial" w:eastAsia="Arial" w:hAnsi="Arial"/>
          <w:sz w:val="16"/>
          <w:szCs w:val="16"/>
          <w:color w:val="auto"/>
        </w:rPr>
        <w:t>”), pursuant to which the Original Lenders agreed to make certain loans and provide certain other credit accommodations to the Borrowers (as defined in the Original Credit Agreement) thereunder from time to time;</w:t>
      </w:r>
    </w:p>
    <w:p>
      <w:pPr>
        <w:spacing w:after="0" w:line="157"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AND WHEREAS, in connection with the Original Credit Agreement, the Original Grantors and the Administrative Agent entered into that certain Canadian pledge and security agreement, as amended (the “</w:t>
      </w:r>
      <w:r>
        <w:rPr>
          <w:rFonts w:ascii="Arial" w:cs="Arial" w:eastAsia="Arial" w:hAnsi="Arial"/>
          <w:sz w:val="17"/>
          <w:szCs w:val="17"/>
          <w:u w:val="single" w:color="auto"/>
          <w:color w:val="auto"/>
        </w:rPr>
        <w:t>Original Canadian Security Agreement</w:t>
      </w:r>
      <w:r>
        <w:rPr>
          <w:rFonts w:ascii="Arial" w:cs="Arial" w:eastAsia="Arial" w:hAnsi="Arial"/>
          <w:sz w:val="17"/>
          <w:szCs w:val="17"/>
          <w:color w:val="auto"/>
        </w:rPr>
        <w:t>”), pursuant to which the Original Grantors granted to the Administrative Agent security interests in the Collateral (as defined in the Original Canadian Security Agreement) to secure the obligations of the Original Grantors under the Original Credit Agreement and the other Loan Documents (as defined in the Original Credit Agreement);</w:t>
      </w:r>
    </w:p>
    <w:p>
      <w:pPr>
        <w:spacing w:after="0" w:line="169"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AND WHEREAS, certain of the Grantors (the “</w:t>
      </w:r>
      <w:r>
        <w:rPr>
          <w:rFonts w:ascii="Arial" w:cs="Arial" w:eastAsia="Arial" w:hAnsi="Arial"/>
          <w:sz w:val="17"/>
          <w:szCs w:val="17"/>
          <w:u w:val="single" w:color="auto"/>
          <w:color w:val="auto"/>
        </w:rPr>
        <w:t>First ARCA Grantors</w:t>
      </w:r>
      <w:r>
        <w:rPr>
          <w:rFonts w:ascii="Arial" w:cs="Arial" w:eastAsia="Arial" w:hAnsi="Arial"/>
          <w:sz w:val="17"/>
          <w:szCs w:val="17"/>
          <w:color w:val="auto"/>
        </w:rPr>
        <w:t>”) are parties to that certain amended and restated credit agreement dated December 12, 2012 (as amended, restated, supplemented or otherwise modified prior to the date hereof, the “</w:t>
      </w:r>
      <w:r>
        <w:rPr>
          <w:rFonts w:ascii="Arial" w:cs="Arial" w:eastAsia="Arial" w:hAnsi="Arial"/>
          <w:sz w:val="17"/>
          <w:szCs w:val="17"/>
          <w:u w:val="single" w:color="auto"/>
          <w:color w:val="auto"/>
        </w:rPr>
        <w:t>First ARCA</w:t>
      </w:r>
      <w:r>
        <w:rPr>
          <w:rFonts w:ascii="Arial" w:cs="Arial" w:eastAsia="Arial" w:hAnsi="Arial"/>
          <w:sz w:val="17"/>
          <w:szCs w:val="17"/>
          <w:color w:val="auto"/>
        </w:rPr>
        <w:t>”), among the Loan Parties (as defined in the First ARCA) party thereto, the Lender Parties (as defined in the First ARCA) party thereto (the “</w:t>
      </w:r>
      <w:r>
        <w:rPr>
          <w:rFonts w:ascii="Arial" w:cs="Arial" w:eastAsia="Arial" w:hAnsi="Arial"/>
          <w:sz w:val="17"/>
          <w:szCs w:val="17"/>
          <w:u w:val="single" w:color="auto"/>
          <w:color w:val="auto"/>
        </w:rPr>
        <w:t>First ARCA Lenders</w:t>
      </w:r>
      <w:r>
        <w:rPr>
          <w:rFonts w:ascii="Arial" w:cs="Arial" w:eastAsia="Arial" w:hAnsi="Arial"/>
          <w:sz w:val="17"/>
          <w:szCs w:val="17"/>
          <w:color w:val="auto"/>
        </w:rPr>
        <w:t>”) and the Agents, pursuant to which the First ARCA Lenders agreed to make certain loans and provide certain other credit accommodations to the Borrowers (as defined in the First ARCA) thereunder from time to time, which First ARCA amends and restates the Original Credit Agreement in its entirety;</w:t>
      </w:r>
    </w:p>
    <w:p>
      <w:pPr>
        <w:spacing w:after="0" w:line="173"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AND WHEREAS, in connection with the First ARCA, the First ARCA Grantors and the Administrative Agent entered into that certain amended and restated Canadian pledge and security agreement, (as amended, restated, supplemented or otherwise modified prior to the date hereof, the “</w:t>
      </w:r>
      <w:r>
        <w:rPr>
          <w:rFonts w:ascii="Arial" w:cs="Arial" w:eastAsia="Arial" w:hAnsi="Arial"/>
          <w:sz w:val="17"/>
          <w:szCs w:val="17"/>
          <w:u w:val="single" w:color="auto"/>
          <w:color w:val="auto"/>
        </w:rPr>
        <w:t>First ARCA 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pursuant to which the First ARCA Grantors granted to the Administrative Agent security interests in the Collateral (as defined in the First ARCA Canadian Security Agreement) to secure the Secured Obligations (as defined in the First ARCA Canadian Security Agreement) of the First ARCA Grantors under the First ARCA and the other Loan Documents (as defined in the First ARCA) which First ARCA Canadian Security Agreement amended and restated the Original Canadian Security Agreement in its entirety;</w:t>
      </w:r>
    </w:p>
    <w:p>
      <w:pPr>
        <w:spacing w:after="0" w:line="172"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AND WHEREAS, concurrently herewith, the Agents, the Loan Parties (as defined in the hereinafter defined Credit Agreement) and the Lenders (as defined in the hereinafter defined Credit Agreement) are entering into that certain second amended and restated credit agreement dated as of the date hereof (as it may be further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Credit Agreement amends and restates the First ARCA in its entirety;</w:t>
      </w:r>
    </w:p>
    <w:p>
      <w:pPr>
        <w:spacing w:after="0" w:line="16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AND WHEREAS, each Grantor is entering into this Canadian Security Agreement in order to induce the Canadian Lender Parties (as defined in the Credit Agreement) to enter into and extend credit to the Canadian Borrowers under the Credit Agreement and to secure the Canadian Secured Obligations it has incurred as a Canadian Borrower or that it has agreed to guarantee pursuant to a second amended and restated Canadian guarantee dated as of the date hereof by the Canadian Loan Guarantors (as defined in the Credit Agreement) in favour of the Administrative Agent.</w:t>
      </w:r>
    </w:p>
    <w:p>
      <w:pPr>
        <w:spacing w:after="0" w:line="169"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and sufficiency of which are hereby acknowledged, the Grantors and the Administrative Agent, on behalf of the Canadian Lender Parties, hereby agree that the First ARCA Canadian Security Agreement be, and hereby is, amended and restated in its entirety by this Canadian Security Agreement, and the parties hereto hereby further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96"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Terms Defined in Credit Agreement</w:t>
      </w:r>
      <w:r>
        <w:rPr>
          <w:rFonts w:ascii="Arial" w:cs="Arial" w:eastAsia="Arial" w:hAnsi="Arial"/>
          <w:sz w:val="17"/>
          <w:szCs w:val="17"/>
          <w:color w:val="auto"/>
        </w:rPr>
        <w:t>. All capitalized terms used herein and not otherwise defined shall have the meanings assigned to such terms in the Credit Agreement.</w:t>
      </w:r>
    </w:p>
    <w:p>
      <w:pPr>
        <w:spacing w:after="0" w:line="152"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Defined in PPSA</w:t>
      </w:r>
      <w:r>
        <w:rPr>
          <w:rFonts w:ascii="Arial" w:cs="Arial" w:eastAsia="Arial" w:hAnsi="Arial"/>
          <w:sz w:val="17"/>
          <w:szCs w:val="17"/>
          <w:color w:val="auto"/>
        </w:rPr>
        <w:t>. Terms defined in the PPSA which are not otherwise defined in this Canadian Security Agreement or the Credit Agreement are used herein as defined in the PPSA or the STA.</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Definitions of Certain Terms Used Herein</w:t>
      </w:r>
      <w:r>
        <w:rPr>
          <w:rFonts w:ascii="Arial" w:cs="Arial" w:eastAsia="Arial" w:hAnsi="Arial"/>
          <w:sz w:val="17"/>
          <w:szCs w:val="17"/>
          <w:color w:val="auto"/>
        </w:rPr>
        <w:t>. As used in this Canadian Security Agreement, in addition to the terms defined in the first paragraph hereof and Preliminary Statement, the following terms shall have the following meanings: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w:t>
      </w:r>
      <w:r>
        <w:rPr>
          <w:rFonts w:ascii="Arial" w:cs="Arial" w:eastAsia="Arial" w:hAnsi="Arial"/>
          <w:sz w:val="17"/>
          <w:szCs w:val="17"/>
          <w:color w:val="auto"/>
        </w:rPr>
        <w:t>” means a numbered article of this Canadian Security Agreement, unless another document is specifically referenced.</w:t>
      </w:r>
    </w:p>
    <w:p>
      <w:pPr>
        <w:sectPr>
          <w:pgSz w:w="11900" w:h="16838" w:orient="portrait"/>
          <w:cols w:equalWidth="0" w:num="1">
            <w:col w:w="11440"/>
          </w:cols>
          <w:pgMar w:left="240" w:top="250" w:right="219" w:bottom="0" w:gutter="0" w:footer="0" w:header="0"/>
        </w:sectPr>
      </w:pPr>
    </w:p>
    <w:bookmarkStart w:id="140" w:name="page141"/>
    <w:bookmarkEnd w:id="140"/>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Assigned Contracts</w:t>
      </w:r>
      <w:r>
        <w:rPr>
          <w:rFonts w:ascii="Arial" w:cs="Arial" w:eastAsia="Arial" w:hAnsi="Arial"/>
          <w:sz w:val="16"/>
          <w:szCs w:val="16"/>
          <w:color w:val="auto"/>
        </w:rPr>
        <w:t>” means, with respect to any Grantor, collectively, all of such Grantor’s rights and remedies under, and all moneys and claims for money due or to become due to such Grantor under those contracts and other agreements relating to the purchase and sale of Inventory and all Accounts related thereto and any and all other material contracts between such Grantor and any party other than the Agents or any Lender and any and all amendments, supplements, extensions, and renewals thereof, including all rights and claims of such Grantor now or hereafter existing: (a) 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Lenders</w:t>
      </w:r>
      <w:r>
        <w:rPr>
          <w:rFonts w:ascii="Arial" w:cs="Arial" w:eastAsia="Arial" w:hAnsi="Arial"/>
          <w:sz w:val="17"/>
          <w:szCs w:val="17"/>
          <w:color w:val="auto"/>
        </w:rPr>
        <w:t>” shall have the meaning ascribed to it in the Credit Agreement and include their successors and assigns.</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Chattel Paper</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shall have the meaning set forth in Article II.</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Loan Party for any real property where any Collateral is located, as such landlord waiver or other agreement may be amended, restated, or otherwise modified from time to time.</w:t>
      </w:r>
    </w:p>
    <w:p>
      <w:pPr>
        <w:spacing w:after="0" w:line="169"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Report</w:t>
      </w:r>
      <w:r>
        <w:rPr>
          <w:rFonts w:ascii="Arial" w:cs="Arial" w:eastAsia="Arial" w:hAnsi="Arial"/>
          <w:sz w:val="17"/>
          <w:szCs w:val="17"/>
          <w:color w:val="auto"/>
        </w:rPr>
        <w:t>” means any certificate (including any Borrowing Base Certificate), report or other document delivered by any Grantor to the Administrative Agent with respect to the Collateral pursuant to any Loan Document.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have the meaning set forth in the STA or the PPSA, as applicable.</w:t>
      </w:r>
    </w:p>
    <w:p>
      <w:pPr>
        <w:spacing w:after="0" w:line="21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an agreement, in form and substance reasonably satisfactory to the Administrative Agent, among any Loan Party, a banking institution, securities broker, securities intermediary or other financial institution holding such Loan Party's funds, and the Administrative Agent with respect to collection and control of all deposits and balances held in a Deposit Account or Securities Account maintained by any Loan Party with such banking institution, securities broker or securities intermediary.</w:t>
      </w:r>
    </w:p>
    <w:p>
      <w:pPr>
        <w:spacing w:after="0" w:line="169"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Accounts</w:t>
      </w:r>
      <w:r>
        <w:rPr>
          <w:rFonts w:ascii="Arial" w:cs="Arial" w:eastAsia="Arial" w:hAnsi="Arial"/>
          <w:sz w:val="17"/>
          <w:szCs w:val="17"/>
          <w:color w:val="auto"/>
        </w:rPr>
        <w:t>” means all bank accounts having a depository function and domiciled in Canada.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Center</w:t>
      </w:r>
      <w:r>
        <w:rPr>
          <w:rFonts w:ascii="Arial" w:cs="Arial" w:eastAsia="Arial" w:hAnsi="Arial"/>
          <w:sz w:val="17"/>
          <w:szCs w:val="17"/>
          <w:color w:val="auto"/>
        </w:rPr>
        <w:t>” means a location leased by a Grantor where such Grantor operates a distribution facility of inventory.</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Documents</w:t>
      </w:r>
      <w:r>
        <w:rPr>
          <w:rFonts w:ascii="Arial" w:cs="Arial" w:eastAsia="Arial" w:hAnsi="Arial"/>
          <w:sz w:val="17"/>
          <w:szCs w:val="17"/>
          <w:color w:val="auto"/>
        </w:rPr>
        <w:t>” means “documents of title” as defined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Collateral</w:t>
      </w:r>
      <w:r>
        <w:rPr>
          <w:rFonts w:ascii="Arial" w:cs="Arial" w:eastAsia="Arial" w:hAnsi="Arial"/>
          <w:sz w:val="17"/>
          <w:szCs w:val="17"/>
          <w:color w:val="auto"/>
        </w:rPr>
        <w:t>” have the meaning set forth in Article II hereof.</w:t>
      </w:r>
    </w:p>
    <w:p>
      <w:pPr>
        <w:spacing w:after="0" w:line="210" w:lineRule="exact"/>
        <w:rPr>
          <w:sz w:val="20"/>
          <w:szCs w:val="20"/>
          <w:color w:val="auto"/>
        </w:rPr>
      </w:pPr>
    </w:p>
    <w:p>
      <w:pPr>
        <w:jc w:val="both"/>
        <w:ind w:firstLine="57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Equity Interests</w:t>
      </w:r>
      <w:r>
        <w:rPr>
          <w:rFonts w:ascii="Arial" w:cs="Arial" w:eastAsia="Arial" w:hAnsi="Arial"/>
          <w:sz w:val="15"/>
          <w:szCs w:val="15"/>
          <w:color w:val="auto"/>
        </w:rPr>
        <w:t>” means (a) the Equity Interests of any Grantor in the Real Estate Subsidiaries or in any other special purpose entity that is formed or acquired after the Second Restatement Date which has no assets other than real property, (b) Equity Interests in entities where such Grantor holds 50% or less of the outstanding Equity Interests of such entity, to the extent a pledge of such Equity Interests is prohibited by the organizational documents or agreements with the other equity holders of such entity after the exercise of commercially reasonable efforts to remove or avoid such prohibition, (c) more than 65% of the issued and outstanding Equity Interests of any CFC Subsidiary or CFC Subsidiary Holding Company entitled to vote (within the meaning of United States Treasury Regulations Section 1.956-2(c)(2)) and (d) Equity Interests of any Excluded Subsidiary described in clause (b) and clause (c) of the definition thereof.</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Exhibit</w:t>
      </w:r>
      <w:r>
        <w:rPr>
          <w:rFonts w:ascii="Arial" w:cs="Arial" w:eastAsia="Arial" w:hAnsi="Arial"/>
          <w:sz w:val="17"/>
          <w:szCs w:val="17"/>
          <w:color w:val="auto"/>
        </w:rPr>
        <w:t>” refers to a specific exhibit to this Canadian Security Agreement, unless another document is specifically referenced.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means “intangibles” as defined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and similar property of every kind and nature, including inventions, designs, Patents, Copyrights, Trademarks, industrial designs,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Property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shall have the meaning set forth in Section 4.8.</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69"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w:t>
      </w:r>
    </w:p>
    <w:p>
      <w:pPr>
        <w:sectPr>
          <w:pgSz w:w="11900" w:h="16838" w:orient="portrait"/>
          <w:cols w:equalWidth="0" w:num="1">
            <w:col w:w="11440"/>
          </w:cols>
          <w:pgMar w:left="240" w:top="327" w:right="219" w:bottom="0" w:gutter="0" w:footer="0" w:header="0"/>
        </w:sectPr>
      </w:pPr>
    </w:p>
    <w:bookmarkStart w:id="141" w:name="page142"/>
    <w:bookmarkEnd w:id="141"/>
    <w:p>
      <w:pPr>
        <w:jc w:val="both"/>
        <w:ind w:right="20"/>
        <w:spacing w:after="0" w:line="282" w:lineRule="auto"/>
        <w:rPr>
          <w:sz w:val="20"/>
          <w:szCs w:val="20"/>
          <w:color w:val="auto"/>
        </w:rPr>
      </w:pPr>
      <w:r>
        <w:rPr>
          <w:rFonts w:ascii="Arial" w:cs="Arial" w:eastAsia="Arial" w:hAnsi="Arial"/>
          <w:sz w:val="17"/>
          <w:szCs w:val="17"/>
          <w:color w:val="auto"/>
        </w:rPr>
        <w:t>payments for past and future infringements thereof; (e) all rights to sue for past, present, and future infringements thereof; and (f) all rights corresponding to any of the foregoing throughout the world.</w:t>
      </w:r>
    </w:p>
    <w:p>
      <w:pPr>
        <w:spacing w:after="0" w:line="149"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Instruments, Securities and other Investment Property of the Grantors included within the definition of Collateral herein, whether or not physically delivered to the Administrative Agent pursuant to this Canadian Security Agreement, excluding, for the avoidance of doubt, any Excluded Collateral.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ULC Shares</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PPSA</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Personal Property Security Act</w:t>
      </w:r>
      <w:r>
        <w:rPr>
          <w:rFonts w:ascii="Arial" w:cs="Arial" w:eastAsia="Arial" w:hAnsi="Arial"/>
          <w:sz w:val="17"/>
          <w:szCs w:val="17"/>
          <w:color w:val="auto"/>
        </w:rPr>
        <w:t xml:space="preserve"> (Ontario), or to the extent applicable, similar legislation of any other jurisdiction, as amended from time to time, and includes the Civil Code of Quebec, where applicable.</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the Accounts, Chattel Paper, Documents, Investment Property, Instruments and any other rights or claims to receive money which are General Intangibles or which are otherwise included as Collateral.</w:t>
      </w:r>
    </w:p>
    <w:p>
      <w:pPr>
        <w:spacing w:after="0" w:line="152" w:lineRule="exact"/>
        <w:rPr>
          <w:sz w:val="20"/>
          <w:szCs w:val="20"/>
          <w:color w:val="auto"/>
        </w:rPr>
      </w:pPr>
    </w:p>
    <w:p>
      <w:pPr>
        <w:jc w:val="both"/>
        <w:ind w:right="20"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Secured Parties</w:t>
      </w:r>
      <w:r>
        <w:rPr>
          <w:rFonts w:ascii="Arial" w:cs="Arial" w:eastAsia="Arial" w:hAnsi="Arial"/>
          <w:sz w:val="16"/>
          <w:szCs w:val="16"/>
          <w:color w:val="auto"/>
        </w:rPr>
        <w:t>” means (a) prior to an acceleration of the Obligations under the Credit Agreement, the Required Lenders, (b) after an acceleration of the Obligations under the Credit Agreement but prior to the date upon which the Credit Agreement has terminated by its terms and all of the obligations thereunder have been paid in full (other than contingent obligations for which no claim has been asserted), Lenders holding in the aggregate at least a majority of the total of the Aggregate Credit Exposure, and (c) after the Credit Agreement has terminated by its terms and all of the Obligations thereunder have been paid in full (whether or not the Obligations under the Credit Agreement were ever accelerated) (other than contingent obligations for which no claim has been asserted), Lenders holding in the aggregate at least a majority of the aggregate net early termination payments and all other amounts then due and unpaid from any Grantor to the Lenders under Swap Agreement, as determined by the Administrative Agent in its reasonable discretion.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Restatement Date</w:t>
      </w:r>
      <w:r>
        <w:rPr>
          <w:rFonts w:ascii="Arial" w:cs="Arial" w:eastAsia="Arial" w:hAnsi="Arial"/>
          <w:sz w:val="17"/>
          <w:szCs w:val="17"/>
          <w:color w:val="auto"/>
        </w:rPr>
        <w:t>” means the date of the Credit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w:t>
      </w:r>
      <w:r>
        <w:rPr>
          <w:rFonts w:ascii="Arial" w:cs="Arial" w:eastAsia="Arial" w:hAnsi="Arial"/>
          <w:sz w:val="17"/>
          <w:szCs w:val="17"/>
          <w:color w:val="auto"/>
        </w:rPr>
        <w:t>” means a numbered section of this Canadian Security Agreement, unless another document is specifically referenced.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Securities Transfer Act, 2006</w:t>
      </w:r>
      <w:r>
        <w:rPr>
          <w:rFonts w:ascii="Arial" w:cs="Arial" w:eastAsia="Arial" w:hAnsi="Arial"/>
          <w:sz w:val="16"/>
          <w:szCs w:val="16"/>
          <w:color w:val="auto"/>
        </w:rPr>
        <w:t xml:space="preserve"> (Ontario), or to the extent applicable, similar legislation of any other jurisdiction, as amended from time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96"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 excluding for the avoidance of doubt, any Excluded Collateral.</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Obligation Payment Date</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Priority Collateral</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2" w:lineRule="exact"/>
        <w:rPr>
          <w:sz w:val="20"/>
          <w:szCs w:val="20"/>
          <w:color w:val="auto"/>
        </w:rPr>
      </w:pPr>
    </w:p>
    <w:p>
      <w:pPr>
        <w:jc w:val="both"/>
        <w:ind w:right="20" w:firstLine="5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Update Date</w:t>
      </w:r>
      <w:r>
        <w:rPr>
          <w:rFonts w:ascii="Arial" w:cs="Arial" w:eastAsia="Arial" w:hAnsi="Arial"/>
          <w:sz w:val="17"/>
          <w:szCs w:val="17"/>
          <w:color w:val="auto"/>
        </w:rPr>
        <w:t>” means the date on which any Grantor provides notice to the Administrative Agent of any updates to the representations and warranties contained in Article III hereof, as permitted by Article IV hereof, which shall occur within 30 days from June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ULC</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foregoing definitions shall be equally applicable to both the singular and plural forms of the defined terms.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OF SECURITY INTEREST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To secure the prompt and complete payment and performance of the Canadian Secured Obligations, each Grantor hereby pledges, assigns and grants to the Administrative Agent, on behalf of and for the ratable benefit of itself, the Canadian Administrative Agent, the Canadian Lenders and each other holder of Canadian Secured Obligations (as set forth in the definition thereof), a security interest in all of its right, title and interest in, to and under all personal property and other assets, whether now owned by or owing to, or hereafter acquired by or arising in favour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17"/>
          <w:szCs w:val="17"/>
          <w:u w:val="single" w:color="auto"/>
          <w:color w:val="auto"/>
        </w:rPr>
        <w:t>Collateral</w:t>
      </w:r>
      <w:r>
        <w:rPr>
          <w:rFonts w:ascii="Arial" w:cs="Arial" w:eastAsia="Arial" w:hAnsi="Arial"/>
          <w:sz w:val="17"/>
          <w:szCs w:val="17"/>
          <w:color w:val="auto"/>
        </w:rPr>
        <w:t>”), including:</w:t>
      </w:r>
    </w:p>
    <w:p>
      <w:pPr>
        <w:spacing w:after="0" w:line="231" w:lineRule="exact"/>
        <w:rPr>
          <w:sz w:val="20"/>
          <w:szCs w:val="20"/>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Accounts;</w:t>
      </w:r>
    </w:p>
    <w:p>
      <w:pPr>
        <w:spacing w:after="0" w:line="126" w:lineRule="exact"/>
        <w:rPr>
          <w:rFonts w:ascii="Arial" w:cs="Arial" w:eastAsia="Arial" w:hAnsi="Arial"/>
          <w:sz w:val="17"/>
          <w:szCs w:val="17"/>
          <w:color w:val="auto"/>
        </w:rPr>
      </w:pPr>
    </w:p>
    <w:p>
      <w:pPr>
        <w:ind w:left="2500" w:hanging="789"/>
        <w:spacing w:after="0"/>
        <w:tabs>
          <w:tab w:leader="none" w:pos="25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Chattel Paper;</w:t>
      </w:r>
    </w:p>
    <w:p>
      <w:pPr>
        <w:spacing w:after="0" w:line="138" w:lineRule="exact"/>
        <w:rPr>
          <w:rFonts w:ascii="Arial" w:cs="Arial" w:eastAsia="Arial" w:hAnsi="Arial"/>
          <w:sz w:val="17"/>
          <w:szCs w:val="17"/>
          <w:color w:val="auto"/>
        </w:rPr>
      </w:pPr>
    </w:p>
    <w:p>
      <w:pPr>
        <w:ind w:left="2540" w:hanging="829"/>
        <w:spacing w:after="0"/>
        <w:tabs>
          <w:tab w:leader="none" w:pos="2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Copyrights, Patents and Trademarks;</w:t>
      </w:r>
    </w:p>
    <w:p>
      <w:pPr>
        <w:spacing w:after="0" w:line="126"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Documents;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General Intangibles;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Goods;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Instruments;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all Inventory;</w:t>
      </w:r>
    </w:p>
    <w:p>
      <w:pPr>
        <w:sectPr>
          <w:pgSz w:w="11900" w:h="16838" w:orient="portrait"/>
          <w:cols w:equalWidth="0" w:num="1">
            <w:col w:w="11440"/>
          </w:cols>
          <w:pgMar w:left="240" w:top="124" w:right="219" w:bottom="0" w:gutter="0" w:footer="0" w:header="0"/>
        </w:sectPr>
      </w:pPr>
    </w:p>
    <w:bookmarkStart w:id="142" w:name="page143"/>
    <w:bookmarkEnd w:id="142"/>
    <w:p>
      <w:pPr>
        <w:ind w:left="2285" w:hanging="569"/>
        <w:spacing w:after="0"/>
        <w:tabs>
          <w:tab w:leader="none" w:pos="228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Investment Property;</w:t>
      </w:r>
    </w:p>
    <w:p>
      <w:pPr>
        <w:spacing w:after="0" w:line="114" w:lineRule="exact"/>
        <w:rPr>
          <w:rFonts w:ascii="Arial" w:cs="Arial" w:eastAsia="Arial" w:hAnsi="Arial"/>
          <w:sz w:val="17"/>
          <w:szCs w:val="17"/>
          <w:color w:val="auto"/>
        </w:rPr>
      </w:pPr>
    </w:p>
    <w:p>
      <w:pPr>
        <w:ind w:left="2285" w:hanging="569"/>
        <w:spacing w:after="0"/>
        <w:tabs>
          <w:tab w:leader="none" w:pos="228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cash or cash equivalents;</w:t>
      </w:r>
    </w:p>
    <w:p>
      <w:pPr>
        <w:spacing w:after="0" w:line="114" w:lineRule="exact"/>
        <w:rPr>
          <w:rFonts w:ascii="Arial" w:cs="Arial" w:eastAsia="Arial" w:hAnsi="Arial"/>
          <w:sz w:val="17"/>
          <w:szCs w:val="17"/>
          <w:color w:val="auto"/>
        </w:rPr>
      </w:pPr>
    </w:p>
    <w:p>
      <w:pPr>
        <w:ind w:left="2285" w:hanging="569"/>
        <w:spacing w:after="0"/>
        <w:tabs>
          <w:tab w:leader="none" w:pos="228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letters of credit and Letter-of-Credit Rights;</w:t>
      </w:r>
    </w:p>
    <w:p>
      <w:pPr>
        <w:spacing w:after="0" w:line="114" w:lineRule="exact"/>
        <w:rPr>
          <w:rFonts w:ascii="Arial" w:cs="Arial" w:eastAsia="Arial" w:hAnsi="Arial"/>
          <w:sz w:val="17"/>
          <w:szCs w:val="17"/>
          <w:color w:val="auto"/>
        </w:rPr>
      </w:pPr>
    </w:p>
    <w:p>
      <w:pPr>
        <w:ind w:left="2285" w:hanging="569"/>
        <w:spacing w:after="0"/>
        <w:tabs>
          <w:tab w:leader="none" w:pos="2285"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all Deposit Accounts and Securities Accounts;</w:t>
      </w:r>
    </w:p>
    <w:p>
      <w:pPr>
        <w:spacing w:after="0" w:line="114" w:lineRule="exact"/>
        <w:rPr>
          <w:rFonts w:ascii="Arial" w:cs="Arial" w:eastAsia="Arial" w:hAnsi="Arial"/>
          <w:sz w:val="17"/>
          <w:szCs w:val="17"/>
          <w:b w:val="1"/>
          <w:bCs w:val="1"/>
          <w:color w:val="auto"/>
        </w:rPr>
      </w:pPr>
    </w:p>
    <w:p>
      <w:pPr>
        <w:ind w:left="2285" w:hanging="569"/>
        <w:spacing w:after="0"/>
        <w:tabs>
          <w:tab w:leader="none" w:pos="2285"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all Assigned Contracts; and</w:t>
      </w:r>
    </w:p>
    <w:p>
      <w:pPr>
        <w:spacing w:after="0" w:line="54" w:lineRule="exact"/>
        <w:rPr>
          <w:rFonts w:ascii="Arial" w:cs="Arial" w:eastAsia="Arial" w:hAnsi="Arial"/>
          <w:sz w:val="17"/>
          <w:szCs w:val="17"/>
          <w:b w:val="1"/>
          <w:bCs w:val="1"/>
          <w:color w:val="auto"/>
        </w:rPr>
      </w:pPr>
    </w:p>
    <w:p>
      <w:pPr>
        <w:jc w:val="both"/>
        <w:ind w:left="2285" w:hanging="569"/>
        <w:spacing w:after="0" w:line="288" w:lineRule="auto"/>
        <w:tabs>
          <w:tab w:leader="none" w:pos="22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48" w:lineRule="exact"/>
        <w:rPr>
          <w:sz w:val="20"/>
          <w:szCs w:val="20"/>
          <w:color w:val="auto"/>
        </w:rPr>
      </w:pPr>
    </w:p>
    <w:p>
      <w:pPr>
        <w:jc w:val="both"/>
        <w:ind w:left="5" w:right="20"/>
        <w:spacing w:after="0" w:line="285" w:lineRule="auto"/>
        <w:rPr>
          <w:sz w:val="20"/>
          <w:szCs w:val="20"/>
          <w:color w:val="auto"/>
        </w:rPr>
      </w:pPr>
      <w:r>
        <w:rPr>
          <w:rFonts w:ascii="Arial" w:cs="Arial" w:eastAsia="Arial" w:hAnsi="Arial"/>
          <w:sz w:val="15"/>
          <w:szCs w:val="15"/>
          <w:color w:val="auto"/>
        </w:rPr>
        <w:t>Notwithstanding anything herein to the contrary, in no event shall the Collateral include, and no Grantor shall be deemed to have granted a security interest in, the following (collectively, the “</w:t>
      </w:r>
      <w:r>
        <w:rPr>
          <w:rFonts w:ascii="Arial" w:cs="Arial" w:eastAsia="Arial" w:hAnsi="Arial"/>
          <w:sz w:val="15"/>
          <w:szCs w:val="15"/>
          <w:u w:val="single" w:color="auto"/>
          <w:color w:val="auto"/>
        </w:rPr>
        <w:t>Excluded Collateral</w:t>
      </w:r>
      <w:r>
        <w:rPr>
          <w:rFonts w:ascii="Arial" w:cs="Arial" w:eastAsia="Arial" w:hAnsi="Arial"/>
          <w:sz w:val="15"/>
          <w:szCs w:val="15"/>
          <w:color w:val="auto"/>
        </w:rPr>
        <w:t>”): (A) Excluded Equity Interests, (B) any property of any Loan Party or any other Restricted Subsidiary with respect to which the Administrative Agent reasonably determines that the costs or burdens of obtaining such security interests are excessive in relation to the benefits to the Canadian Lenders afforded thereby, or (C) any rights or property acquired under a lease, contract, property rights agreement or license, the grant of a security interest in which shall constitute or result in (x) the abandonment, invalidation or unenforceability of any right, title or interest of such Grantor therein or</w:t>
      </w:r>
    </w:p>
    <w:p>
      <w:pPr>
        <w:spacing w:after="0" w:line="3" w:lineRule="exact"/>
        <w:rPr>
          <w:sz w:val="20"/>
          <w:szCs w:val="20"/>
          <w:color w:val="auto"/>
        </w:rPr>
      </w:pPr>
    </w:p>
    <w:p>
      <w:pPr>
        <w:jc w:val="both"/>
        <w:ind w:left="5" w:hanging="5"/>
        <w:spacing w:after="0" w:line="251" w:lineRule="auto"/>
        <w:tabs>
          <w:tab w:leader="none" w:pos="27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 breach or termination pursuant to the terms of, or a default under, any lease, contract, property rights agreement or license, provided that the foregoing security interest shall attach to any and all (I) monies due or to become due in respect of such asset or property right or (II) proceeds from the sale, transfer, assignment, license, lease or other disposition of such asset or property right. For greater certainty, each Grantor’s grant of a security interest in Canadian Trademarks under this Canadian Security Agreement shall be limited to a grant by such Grantor of a security interest in all of such Grantor’s right, title and interest in such Canadian Trademarks, but does not constitute an absolute assignment of title of such Canadian Trademarks to the Administrative Agent until such time as the security hereunder becomes enforceable.</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III</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REPRESENTATIONS AND WARRANTIES</w:t>
      </w:r>
    </w:p>
    <w:p>
      <w:pPr>
        <w:spacing w:after="0" w:line="196" w:lineRule="exact"/>
        <w:rPr>
          <w:sz w:val="20"/>
          <w:szCs w:val="20"/>
          <w:color w:val="auto"/>
        </w:rPr>
      </w:pPr>
    </w:p>
    <w:p>
      <w:pPr>
        <w:ind w:left="565"/>
        <w:spacing w:after="0"/>
        <w:rPr>
          <w:sz w:val="20"/>
          <w:szCs w:val="20"/>
          <w:color w:val="auto"/>
        </w:rPr>
      </w:pPr>
      <w:r>
        <w:rPr>
          <w:rFonts w:ascii="Arial" w:cs="Arial" w:eastAsia="Arial" w:hAnsi="Arial"/>
          <w:sz w:val="17"/>
          <w:szCs w:val="17"/>
          <w:color w:val="auto"/>
        </w:rPr>
        <w:t>Each Grantor represents and warrants to the Administrative Agent and the Canadian Lenders that:</w:t>
      </w:r>
    </w:p>
    <w:p>
      <w:pPr>
        <w:spacing w:after="0" w:line="217" w:lineRule="exact"/>
        <w:rPr>
          <w:sz w:val="20"/>
          <w:szCs w:val="20"/>
          <w:color w:val="auto"/>
        </w:rPr>
      </w:pPr>
    </w:p>
    <w:p>
      <w:pPr>
        <w:jc w:val="both"/>
        <w:ind w:left="5" w:firstLine="572"/>
        <w:spacing w:after="0" w:line="27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7"/>
          <w:szCs w:val="17"/>
          <w:u w:val="single" w:color="auto"/>
          <w:color w:val="auto"/>
        </w:rPr>
        <w:t>Title, Perfection and Priority</w:t>
      </w:r>
      <w:r>
        <w:rPr>
          <w:rFonts w:ascii="Arial" w:cs="Arial" w:eastAsia="Arial" w:hAnsi="Arial"/>
          <w:sz w:val="17"/>
          <w:szCs w:val="17"/>
          <w:color w:val="auto"/>
        </w:rPr>
        <w:t>. Such Grantor has good and valid rights in or the power to transfer the Collateral and title to the Collateral with respect</w:t>
      </w:r>
      <w:r>
        <w:rPr>
          <w:rFonts w:ascii="Arial" w:cs="Arial" w:eastAsia="Arial" w:hAnsi="Arial"/>
          <w:sz w:val="19"/>
          <w:szCs w:val="19"/>
          <w:color w:val="auto"/>
        </w:rPr>
        <w:t xml:space="preserve"> </w:t>
      </w:r>
      <w:r>
        <w:rPr>
          <w:rFonts w:ascii="Arial" w:cs="Arial" w:eastAsia="Arial" w:hAnsi="Arial"/>
          <w:sz w:val="17"/>
          <w:szCs w:val="17"/>
          <w:color w:val="auto"/>
        </w:rPr>
        <w:t xml:space="preserve">to which it has purported to grant a security interest hereunder, free and clear of all Liens except for Liens permitted under Section 4.1(e), and has full power and authority to grant to the Administrative Agent the security interest in such Collateral pursuant hereto. When financing statements naming such Grantor as debtor, and the Administrative Agent as secured party, and providing a description of the Collateral (which may, for the avoidance of doubt, describe the Collateral as “all assets of the debtor” or on similar terms) with respect to which such Grantor has purported to grant a security interest hereunder have been filed in the appropriate offices against such Grantor in the locations listed on </w:t>
      </w:r>
      <w:r>
        <w:rPr>
          <w:rFonts w:ascii="Arial" w:cs="Arial" w:eastAsia="Arial" w:hAnsi="Arial"/>
          <w:sz w:val="17"/>
          <w:szCs w:val="17"/>
          <w:u w:val="single" w:color="auto"/>
          <w:color w:val="auto"/>
        </w:rPr>
        <w:t>Exhibit G</w:t>
      </w:r>
      <w:r>
        <w:rPr>
          <w:rFonts w:ascii="Arial" w:cs="Arial" w:eastAsia="Arial" w:hAnsi="Arial"/>
          <w:sz w:val="17"/>
          <w:szCs w:val="17"/>
          <w:color w:val="auto"/>
        </w:rPr>
        <w:t>, the Administrative Agent will have a fully perfected security interest in that Collateral of the Grantor in which a security interest may be perfected by filing a financing statement under the PPSA,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favour of the Term Loan Agent to the extent provided in the ABL-Term Loan Intercreditor Agreement.</w:t>
      </w:r>
    </w:p>
    <w:p>
      <w:pPr>
        <w:spacing w:after="0" w:line="177" w:lineRule="exact"/>
        <w:rPr>
          <w:sz w:val="20"/>
          <w:szCs w:val="20"/>
          <w:color w:val="auto"/>
        </w:rPr>
      </w:pPr>
    </w:p>
    <w:p>
      <w:pPr>
        <w:jc w:val="both"/>
        <w:ind w:left="5" w:firstLine="572"/>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7"/>
          <w:szCs w:val="17"/>
          <w:u w:val="single" w:color="auto"/>
          <w:color w:val="auto"/>
        </w:rPr>
        <w:t>Type and Jurisdiction of Organization, Organizational and Identification Numbers</w:t>
      </w:r>
      <w:r>
        <w:rPr>
          <w:rFonts w:ascii="Arial" w:cs="Arial" w:eastAsia="Arial" w:hAnsi="Arial"/>
          <w:sz w:val="17"/>
          <w:szCs w:val="17"/>
          <w:color w:val="auto"/>
        </w:rPr>
        <w:t>. As of the date hereof and as of the last Update Date, the type of</w:t>
      </w:r>
      <w:r>
        <w:rPr>
          <w:rFonts w:ascii="Arial" w:cs="Arial" w:eastAsia="Arial" w:hAnsi="Arial"/>
          <w:sz w:val="19"/>
          <w:szCs w:val="19"/>
          <w:color w:val="auto"/>
        </w:rPr>
        <w:t xml:space="preserve"> </w:t>
      </w:r>
      <w:r>
        <w:rPr>
          <w:rFonts w:ascii="Arial" w:cs="Arial" w:eastAsia="Arial" w:hAnsi="Arial"/>
          <w:sz w:val="17"/>
          <w:szCs w:val="17"/>
          <w:color w:val="auto"/>
        </w:rPr>
        <w:t xml:space="preserve">entity of such Grantor, its province or other jurisdiction of organization and the organizational number issued to it by its province or other jurisdiction of organization are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4" w:lineRule="exact"/>
        <w:rPr>
          <w:sz w:val="20"/>
          <w:szCs w:val="20"/>
          <w:color w:val="auto"/>
        </w:rPr>
      </w:pPr>
    </w:p>
    <w:p>
      <w:pPr>
        <w:jc w:val="both"/>
        <w:ind w:left="5" w:right="20" w:firstLine="572"/>
        <w:spacing w:after="0" w:line="26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7"/>
          <w:szCs w:val="17"/>
          <w:u w:val="single" w:color="auto"/>
          <w:color w:val="auto"/>
        </w:rPr>
        <w:t>Principal Location</w:t>
      </w:r>
      <w:r>
        <w:rPr>
          <w:rFonts w:ascii="Arial" w:cs="Arial" w:eastAsia="Arial" w:hAnsi="Arial"/>
          <w:sz w:val="17"/>
          <w:szCs w:val="17"/>
          <w:color w:val="auto"/>
        </w:rPr>
        <w:t>. As of the date hereof and as of the last Update Date, such Grantor's mailing address, the location of its principal place of</w:t>
      </w:r>
      <w:r>
        <w:rPr>
          <w:rFonts w:ascii="Arial" w:cs="Arial" w:eastAsia="Arial" w:hAnsi="Arial"/>
          <w:sz w:val="19"/>
          <w:szCs w:val="19"/>
          <w:color w:val="auto"/>
        </w:rPr>
        <w:t xml:space="preserve"> </w:t>
      </w:r>
      <w:r>
        <w:rPr>
          <w:rFonts w:ascii="Arial" w:cs="Arial" w:eastAsia="Arial" w:hAnsi="Arial"/>
          <w:sz w:val="17"/>
          <w:szCs w:val="17"/>
          <w:color w:val="auto"/>
        </w:rPr>
        <w:t xml:space="preserve">business or its chief executive office and the location of its records concerning the Collateral are disclosed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7" w:lineRule="exact"/>
        <w:rPr>
          <w:sz w:val="20"/>
          <w:szCs w:val="20"/>
          <w:color w:val="auto"/>
        </w:rPr>
      </w:pPr>
    </w:p>
    <w:p>
      <w:pPr>
        <w:jc w:val="both"/>
        <w:ind w:left="5" w:firstLine="572"/>
        <w:spacing w:after="0" w:line="29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6"/>
          <w:szCs w:val="16"/>
          <w:u w:val="single" w:color="auto"/>
          <w:color w:val="auto"/>
        </w:rPr>
        <w:t>Collateral Locations</w:t>
      </w:r>
      <w:r>
        <w:rPr>
          <w:rFonts w:ascii="Arial" w:cs="Arial" w:eastAsia="Arial" w:hAnsi="Arial"/>
          <w:sz w:val="16"/>
          <w:szCs w:val="16"/>
          <w:color w:val="auto"/>
        </w:rPr>
        <w:t>. As of the date hereof and as of the last Update Date, all of the locations where one or more Grantor’s Collateral is stored or</w:t>
      </w:r>
      <w:r>
        <w:rPr>
          <w:rFonts w:ascii="Arial" w:cs="Arial" w:eastAsia="Arial" w:hAnsi="Arial"/>
          <w:sz w:val="18"/>
          <w:szCs w:val="18"/>
          <w:color w:val="auto"/>
        </w:rPr>
        <w:t xml:space="preserve"> </w:t>
      </w:r>
      <w:r>
        <w:rPr>
          <w:rFonts w:ascii="Arial" w:cs="Arial" w:eastAsia="Arial" w:hAnsi="Arial"/>
          <w:sz w:val="16"/>
          <w:szCs w:val="16"/>
          <w:color w:val="auto"/>
        </w:rPr>
        <w:t xml:space="preserve">located (other than locations holding Collateral with an aggregate value (per location) of less than $500,000) are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except for (i) Inventory in transit, (ii) Inventory located at the locations described in clauses (k) and (q) of the definition of Eligible Inventory or (iii) any additional locations which were not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most recent Update Date, but shall be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next Update Date. Except as otherwise disclosed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said locations are owned by such Grantor except for locations (i) which are leased by the Grantor as lessee and designated in </w:t>
      </w:r>
      <w:r>
        <w:rPr>
          <w:rFonts w:ascii="Arial" w:cs="Arial" w:eastAsia="Arial" w:hAnsi="Arial"/>
          <w:sz w:val="16"/>
          <w:szCs w:val="16"/>
          <w:u w:val="single" w:color="auto"/>
          <w:color w:val="auto"/>
        </w:rPr>
        <w:t>Part VII(b)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(ii) at which Inventory is held in a public warehouse or is otherwise held by a bailee or on consignment as designated in </w:t>
      </w:r>
      <w:r>
        <w:rPr>
          <w:rFonts w:ascii="Arial" w:cs="Arial" w:eastAsia="Arial" w:hAnsi="Arial"/>
          <w:sz w:val="16"/>
          <w:szCs w:val="16"/>
          <w:u w:val="single" w:color="auto"/>
          <w:color w:val="auto"/>
        </w:rPr>
        <w:t>Part VII(c)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4" w:lineRule="exact"/>
        <w:rPr>
          <w:sz w:val="20"/>
          <w:szCs w:val="20"/>
          <w:color w:val="auto"/>
        </w:rPr>
      </w:pPr>
    </w:p>
    <w:p>
      <w:pPr>
        <w:jc w:val="both"/>
        <w:ind w:left="5" w:firstLine="572"/>
        <w:spacing w:after="0" w:line="273"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7"/>
          <w:szCs w:val="17"/>
          <w:u w:val="single" w:color="auto"/>
          <w:color w:val="auto"/>
        </w:rPr>
        <w:t>Deposit Accounts and Securities Accounts</w:t>
      </w:r>
      <w:r>
        <w:rPr>
          <w:rFonts w:ascii="Arial" w:cs="Arial" w:eastAsia="Arial" w:hAnsi="Arial"/>
          <w:sz w:val="17"/>
          <w:szCs w:val="17"/>
          <w:color w:val="auto"/>
        </w:rPr>
        <w:t>. As of the date hereof and as of the last Update Date, all of such Grantor’s Deposit Accounts and</w:t>
      </w:r>
      <w:r>
        <w:rPr>
          <w:rFonts w:ascii="Arial" w:cs="Arial" w:eastAsia="Arial" w:hAnsi="Arial"/>
          <w:sz w:val="19"/>
          <w:szCs w:val="19"/>
          <w:color w:val="auto"/>
        </w:rPr>
        <w:t xml:space="preserve"> </w:t>
      </w:r>
      <w:r>
        <w:rPr>
          <w:rFonts w:ascii="Arial" w:cs="Arial" w:eastAsia="Arial" w:hAnsi="Arial"/>
          <w:sz w:val="17"/>
          <w:szCs w:val="17"/>
          <w:color w:val="auto"/>
        </w:rPr>
        <w:t xml:space="preserve">Securities Accounts are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Any Deposit Account or Securities Account that is designated as an Excluded Account as of such date is noted by an asterisk “*” on such exhibit.</w:t>
      </w:r>
    </w:p>
    <w:p>
      <w:pPr>
        <w:spacing w:after="0" w:line="174" w:lineRule="exact"/>
        <w:rPr>
          <w:sz w:val="20"/>
          <w:szCs w:val="20"/>
          <w:color w:val="auto"/>
        </w:rPr>
      </w:pPr>
    </w:p>
    <w:p>
      <w:pPr>
        <w:jc w:val="both"/>
        <w:ind w:left="5" w:firstLine="572"/>
        <w:spacing w:after="0" w:line="29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6"/>
          <w:szCs w:val="16"/>
          <w:u w:val="single" w:color="auto"/>
          <w:color w:val="auto"/>
        </w:rPr>
        <w:t>Exact Names</w:t>
      </w:r>
      <w:r>
        <w:rPr>
          <w:rFonts w:ascii="Arial" w:cs="Arial" w:eastAsia="Arial" w:hAnsi="Arial"/>
          <w:sz w:val="16"/>
          <w:szCs w:val="16"/>
          <w:color w:val="auto"/>
        </w:rPr>
        <w:t>. As of the date hereof and as of the last Update Date, such Grantor’s name as it appears in such Grantor’s organizational documents, as</w:t>
      </w:r>
      <w:r>
        <w:rPr>
          <w:rFonts w:ascii="Arial" w:cs="Arial" w:eastAsia="Arial" w:hAnsi="Arial"/>
          <w:sz w:val="18"/>
          <w:szCs w:val="18"/>
          <w:color w:val="auto"/>
        </w:rPr>
        <w:t xml:space="preserve"> </w:t>
      </w:r>
      <w:r>
        <w:rPr>
          <w:rFonts w:ascii="Arial" w:cs="Arial" w:eastAsia="Arial" w:hAnsi="Arial"/>
          <w:sz w:val="16"/>
          <w:szCs w:val="16"/>
          <w:color w:val="auto"/>
        </w:rPr>
        <w:t xml:space="preserve">amended, as filed with such Grantor’s jurisdiction of organization is listed in Part 1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respect to such Grantor. Except as listed on Part 2 of Exhibit A with respect to such Grantor as of the date hereof, such Grantor has not, during the past five years, been known by or used any other corporate or fictitious name, or been a party to any merger, consolidation or amalgamation, or been a party to any acquisition except as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2" w:lineRule="exact"/>
        <w:rPr>
          <w:sz w:val="20"/>
          <w:szCs w:val="20"/>
          <w:color w:val="auto"/>
        </w:rPr>
      </w:pPr>
    </w:p>
    <w:p>
      <w:pPr>
        <w:jc w:val="both"/>
        <w:ind w:left="5" w:firstLine="572"/>
        <w:spacing w:after="0" w:line="30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6"/>
          <w:szCs w:val="16"/>
          <w:u w:val="single" w:color="auto"/>
          <w:color w:val="auto"/>
        </w:rPr>
        <w:t>Letter-of-Credit Rights and Chattel Paper</w:t>
      </w:r>
      <w:r>
        <w:rPr>
          <w:rFonts w:ascii="Arial" w:cs="Arial" w:eastAsia="Arial" w:hAnsi="Arial"/>
          <w:sz w:val="16"/>
          <w:szCs w:val="16"/>
          <w:color w:val="auto"/>
        </w:rPr>
        <w:t>. As of the date hereof and as of the last Update Date,</w:t>
      </w:r>
      <w:r>
        <w:rPr>
          <w:rFonts w:ascii="Arial" w:cs="Arial" w:eastAsia="Arial" w:hAnsi="Arial"/>
          <w:sz w:val="18"/>
          <w:szCs w:val="18"/>
          <w:color w:val="auto"/>
        </w:rPr>
        <w:t xml:space="preserve"> </w:t>
      </w:r>
      <w:r>
        <w:rPr>
          <w:rFonts w:ascii="Arial" w:cs="Arial" w:eastAsia="Arial" w:hAnsi="Arial"/>
          <w:sz w:val="16"/>
          <w:szCs w:val="16"/>
          <w:u w:val="single" w:color="auto"/>
          <w:color w:val="auto"/>
        </w:rPr>
        <w:t>Exhibit C</w:t>
      </w:r>
      <w:r>
        <w:rPr>
          <w:rFonts w:ascii="Arial" w:cs="Arial" w:eastAsia="Arial" w:hAnsi="Arial"/>
          <w:sz w:val="18"/>
          <w:szCs w:val="18"/>
          <w:color w:val="auto"/>
        </w:rPr>
        <w:t xml:space="preserve"> </w:t>
      </w:r>
      <w:r>
        <w:rPr>
          <w:rFonts w:ascii="Arial" w:cs="Arial" w:eastAsia="Arial" w:hAnsi="Arial"/>
          <w:sz w:val="16"/>
          <w:szCs w:val="16"/>
          <w:color w:val="auto"/>
        </w:rPr>
        <w:t>lists all Letter-of-Credit Rights in which</w:t>
      </w:r>
      <w:r>
        <w:rPr>
          <w:rFonts w:ascii="Arial" w:cs="Arial" w:eastAsia="Arial" w:hAnsi="Arial"/>
          <w:sz w:val="18"/>
          <w:szCs w:val="18"/>
          <w:color w:val="auto"/>
        </w:rPr>
        <w:t xml:space="preserve"> </w:t>
      </w:r>
      <w:r>
        <w:rPr>
          <w:rFonts w:ascii="Arial" w:cs="Arial" w:eastAsia="Arial" w:hAnsi="Arial"/>
          <w:sz w:val="16"/>
          <w:szCs w:val="16"/>
          <w:color w:val="auto"/>
        </w:rPr>
        <w:t xml:space="preserve">the underlying letter of credit is in an amount exceeding $5,000,000 and Chattel Paper of such Grantor. Subject to the ABL-Term Loan Intercreditor Agreement, all action by such Grantor necessary or desirable to protect and perfect the Administrative Agent's Lien on each item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(including the delivery of all originals and the placement of a legend on all Chattel Paper as required hereunder) has been duly taken. The Administrative Agent will have a fully perfected security interest in the Collateral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favour of the Term Loan Agent to the extent provided in the ABL-Term Loan Intercreditor Agreement.</w:t>
      </w:r>
    </w:p>
    <w:p>
      <w:pPr>
        <w:spacing w:after="0" w:line="160" w:lineRule="exact"/>
        <w:rPr>
          <w:sz w:val="20"/>
          <w:szCs w:val="20"/>
          <w:color w:val="auto"/>
        </w:rPr>
      </w:pPr>
    </w:p>
    <w:p>
      <w:pPr>
        <w:ind w:left="565"/>
        <w:spacing w:after="0"/>
        <w:tabs>
          <w:tab w:leader="none" w:pos="1004"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5"/>
          <w:szCs w:val="15"/>
          <w:u w:val="single" w:color="auto"/>
          <w:color w:val="auto"/>
        </w:rPr>
        <w:t>Accounts and Chattel Paper</w:t>
      </w:r>
      <w:r>
        <w:rPr>
          <w:rFonts w:ascii="Arial" w:cs="Arial" w:eastAsia="Arial" w:hAnsi="Arial"/>
          <w:sz w:val="15"/>
          <w:szCs w:val="15"/>
          <w:color w:val="auto"/>
        </w:rPr>
        <w:t>.</w:t>
      </w:r>
    </w:p>
    <w:p>
      <w:pPr>
        <w:spacing w:after="0" w:line="227" w:lineRule="exact"/>
        <w:rPr>
          <w:sz w:val="20"/>
          <w:szCs w:val="20"/>
          <w:color w:val="auto"/>
        </w:rPr>
      </w:pPr>
    </w:p>
    <w:p>
      <w:pPr>
        <w:jc w:val="both"/>
        <w:ind w:left="5" w:right="20" w:firstLine="1139"/>
        <w:spacing w:after="0" w:line="349" w:lineRule="auto"/>
        <w:tabs>
          <w:tab w:leader="none" w:pos="191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names of the obligors, amounts owing, due dates and other information with respect to its Accounts and Chattel Paper are and will be correctly stated in all material respects in all records of such Grantor relating thereto and in all invoices and Collateral Reports with respect thereto furnished to the Administrative Agent by such Grantor from time to time. As of the time when each Account or each item of Chattel Paper arises, such Grantor shall be deemed</w:t>
      </w:r>
    </w:p>
    <w:p>
      <w:pPr>
        <w:sectPr>
          <w:pgSz w:w="11900" w:h="16838" w:orient="portrait"/>
          <w:cols w:equalWidth="0" w:num="1">
            <w:col w:w="11445"/>
          </w:cols>
          <w:pgMar w:left="235" w:top="184" w:right="219" w:bottom="0" w:gutter="0" w:footer="0" w:header="0"/>
        </w:sectPr>
      </w:pPr>
    </w:p>
    <w:bookmarkStart w:id="143" w:name="page144"/>
    <w:bookmarkEnd w:id="143"/>
    <w:p>
      <w:pPr>
        <w:spacing w:after="0" w:line="114"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color w:val="auto"/>
        </w:rPr>
        <w:t>to have represented and warranted that such Account or Chattel Paper, as the case may be, and all records relating thereto, are genuine and in all material respects what they purport to be.</w:t>
      </w:r>
    </w:p>
    <w:p>
      <w:pPr>
        <w:spacing w:after="0" w:line="150" w:lineRule="exact"/>
        <w:rPr>
          <w:sz w:val="20"/>
          <w:szCs w:val="20"/>
          <w:color w:val="auto"/>
        </w:rPr>
      </w:pPr>
    </w:p>
    <w:p>
      <w:pPr>
        <w:jc w:val="both"/>
        <w:ind w:right="20" w:firstLine="1139"/>
        <w:spacing w:after="0" w:line="293" w:lineRule="auto"/>
        <w:tabs>
          <w:tab w:leader="none" w:pos="191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With respect to any of such Grantor’s Accounts scheduled or listed on the most recent Collateral Report furnished to the Administrative Agent, the information set forth in such Collateral Report regarding such Grantor’s Accounts is true and correct in all material respects and the Accounts listed therein as “Eligible Accounts” satisfy the eligibility requirements set forth in the Credit Agreement.</w:t>
      </w:r>
    </w:p>
    <w:p>
      <w:pPr>
        <w:spacing w:after="0" w:line="161"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7"/>
          <w:szCs w:val="17"/>
          <w:u w:val="single" w:color="auto"/>
          <w:color w:val="auto"/>
        </w:rPr>
        <w:t>Inventory</w:t>
      </w:r>
      <w:r>
        <w:rPr>
          <w:rFonts w:ascii="Arial" w:cs="Arial" w:eastAsia="Arial" w:hAnsi="Arial"/>
          <w:sz w:val="17"/>
          <w:szCs w:val="17"/>
          <w:color w:val="auto"/>
        </w:rPr>
        <w:t>. With respect to any of such Grantor’s Inventory scheduled or listed on the most recent Collateral Report furnished to the Administrative</w:t>
      </w:r>
      <w:r>
        <w:rPr>
          <w:rFonts w:ascii="Arial" w:cs="Arial" w:eastAsia="Arial" w:hAnsi="Arial"/>
          <w:sz w:val="19"/>
          <w:szCs w:val="19"/>
          <w:color w:val="auto"/>
        </w:rPr>
        <w:t xml:space="preserve"> </w:t>
      </w:r>
      <w:r>
        <w:rPr>
          <w:rFonts w:ascii="Arial" w:cs="Arial" w:eastAsia="Arial" w:hAnsi="Arial"/>
          <w:sz w:val="17"/>
          <w:szCs w:val="17"/>
          <w:color w:val="auto"/>
        </w:rPr>
        <w:t>Agent, the information set forth in such Collateral Report is true and correct in all material respects and the Inventory listed therein as “Eligible Inventory” satisfy the eligibility requirements set forth in the Credit Agreement.</w:t>
      </w:r>
    </w:p>
    <w:p>
      <w:pPr>
        <w:spacing w:after="0" w:line="174" w:lineRule="exact"/>
        <w:rPr>
          <w:sz w:val="20"/>
          <w:szCs w:val="20"/>
          <w:color w:val="auto"/>
        </w:rPr>
      </w:pPr>
    </w:p>
    <w:p>
      <w:pPr>
        <w:jc w:val="both"/>
        <w:ind w:firstLine="572"/>
        <w:spacing w:after="0" w:line="29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6"/>
          <w:szCs w:val="16"/>
          <w:u w:val="single" w:color="auto"/>
          <w:color w:val="auto"/>
        </w:rPr>
        <w:t>Intellectual Property. Exhibit D</w:t>
      </w:r>
      <w:r>
        <w:rPr>
          <w:rFonts w:ascii="Arial" w:cs="Arial" w:eastAsia="Arial" w:hAnsi="Arial"/>
          <w:sz w:val="18"/>
          <w:szCs w:val="18"/>
          <w:color w:val="auto"/>
        </w:rPr>
        <w:t xml:space="preserve"> </w:t>
      </w:r>
      <w:r>
        <w:rPr>
          <w:rFonts w:ascii="Arial" w:cs="Arial" w:eastAsia="Arial" w:hAnsi="Arial"/>
          <w:sz w:val="16"/>
          <w:szCs w:val="16"/>
          <w:color w:val="auto"/>
        </w:rPr>
        <w:t>sets forth a correct and complete list as of the Second Restatement Date of all (i) Intellectual Property owned by</w:t>
      </w:r>
      <w:r>
        <w:rPr>
          <w:rFonts w:ascii="Arial" w:cs="Arial" w:eastAsia="Arial" w:hAnsi="Arial"/>
          <w:sz w:val="18"/>
          <w:szCs w:val="18"/>
          <w:color w:val="auto"/>
        </w:rPr>
        <w:t xml:space="preserve"> </w:t>
      </w:r>
      <w:r>
        <w:rPr>
          <w:rFonts w:ascii="Arial" w:cs="Arial" w:eastAsia="Arial" w:hAnsi="Arial"/>
          <w:sz w:val="16"/>
          <w:szCs w:val="16"/>
          <w:color w:val="auto"/>
        </w:rPr>
        <w:t xml:space="preserve">any Grantor as of the Second Restatement Date which is federally registered with the Canadian Intellectual Property Office and (ii) Licenses to which any Grantor is a party or otherwise bound (whether as licensor or licensee) and which is material to the business of the Grantors as currently conducted. This Canadian Security Agreement is effective to create a valid and continuing Lien and, upon filing of appropriate financing statements in the offices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of this Canadian Security Agreement with the Canadian Intellectual Property Office and the United States Patent and Trademark Office, fully perfected security interests in favour of the Administrative Agent on such Grantor’s Patents, Trademarks and Copyrights, such perfected security interests are senior to all other Liens on such Patents, Trademarks and Copyrights (other than the Liens in favour of the Term Loan Agent pursuant to the Term Loan Documents to the extent provided in the ABL-Term Loan Intercreditor Agreement) and are enforceable as such as against any and all creditors of and purchasers from such Grantor; and all action necessary to protect and perfect the Administrative Agent’s Lien on such Grantor’s Patents, Trademarks or Copyrights shall have been duly taken.</w:t>
      </w:r>
    </w:p>
    <w:p>
      <w:pPr>
        <w:spacing w:after="0" w:line="160"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6"/>
          <w:szCs w:val="16"/>
          <w:u w:val="single" w:color="auto"/>
          <w:color w:val="auto"/>
        </w:rPr>
        <w:t>[Reserved]</w:t>
      </w:r>
    </w:p>
    <w:p>
      <w:pPr>
        <w:spacing w:after="0" w:line="22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27" w:lineRule="exact"/>
        <w:rPr>
          <w:sz w:val="20"/>
          <w:szCs w:val="20"/>
          <w:color w:val="auto"/>
        </w:rPr>
      </w:pPr>
    </w:p>
    <w:p>
      <w:pPr>
        <w:jc w:val="both"/>
        <w:ind w:firstLine="1139"/>
        <w:spacing w:after="0" w:line="226" w:lineRule="exact"/>
        <w:tabs>
          <w:tab w:leader="none" w:pos="190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As of the date hereof and as of the last Update Date, </w:t>
      </w:r>
      <w:r>
        <w:rPr>
          <w:rFonts w:ascii="Arial" w:cs="Arial" w:eastAsia="Arial" w:hAnsi="Arial"/>
          <w:sz w:val="16"/>
          <w:szCs w:val="16"/>
          <w:u w:val="single" w:color="auto"/>
          <w:color w:val="auto"/>
        </w:rPr>
        <w:t>Exhibits E and F</w:t>
      </w:r>
      <w:r>
        <w:rPr>
          <w:rFonts w:ascii="Arial" w:cs="Arial" w:eastAsia="Arial" w:hAnsi="Arial"/>
          <w:sz w:val="16"/>
          <w:szCs w:val="16"/>
          <w:color w:val="auto"/>
        </w:rPr>
        <w:t xml:space="preserve"> set forth complete and accurate lists of all Pledged Collateral owned by such Grantor. Such Grantor is , as of the date hereof or as of the last Update Date, as applicable, the direct, sole beneficial owner and sole holder of record of the Pledged Collateral listed on </w:t>
      </w:r>
      <w:r>
        <w:rPr>
          <w:rFonts w:ascii="Arial" w:cs="Arial" w:eastAsia="Arial" w:hAnsi="Arial"/>
          <w:sz w:val="16"/>
          <w:szCs w:val="16"/>
          <w:u w:val="single" w:color="auto"/>
          <w:color w:val="auto"/>
        </w:rPr>
        <w:t>Exhibits E and F</w:t>
      </w:r>
      <w:r>
        <w:rPr>
          <w:rFonts w:ascii="Arial" w:cs="Arial" w:eastAsia="Arial" w:hAnsi="Arial"/>
          <w:sz w:val="16"/>
          <w:szCs w:val="16"/>
          <w:color w:val="auto"/>
        </w:rPr>
        <w:t xml:space="preserve"> as being owned by it, free and clear of any Liens, except for (i) the security interest granted to the Administrative Agent for the benefit of itself, the Canadian Administrative Agent and the Canadian Lenders hereunder, (ii) the security interest granted to the Term Loan Agent for the benefit of the Term Loan Lenders pursuant to the Term Loan Security Documents, and (iii) Liens permitted by Section 6.02 of the Credit Agreement. Such Grantor further represents and warrants that (i) all Pledged Collateral owned by it constituting an Equity Interest (other than Equity Interests of any Excluded Subsidiary) has been (to the extent such concepts are relevant with respect to such Pledged Collateral) duly authorized, validly issued, are fully paid and, apart from Pledged ULC Shares, non</w:t>
      </w:r>
      <w:r>
        <w:rPr>
          <w:rFonts w:ascii="MS PGothic" w:cs="MS PGothic" w:eastAsia="MS PGothic" w:hAnsi="MS PGothic"/>
          <w:sz w:val="16"/>
          <w:szCs w:val="16"/>
          <w:color w:val="auto"/>
        </w:rPr>
        <w:t>‑</w:t>
      </w:r>
      <w:r>
        <w:rPr>
          <w:rFonts w:ascii="Arial" w:cs="Arial" w:eastAsia="Arial" w:hAnsi="Arial"/>
          <w:sz w:val="16"/>
          <w:szCs w:val="16"/>
          <w:color w:val="auto"/>
        </w:rPr>
        <w:t>assessable, (ii) with respect to any certificates delivered to the Administrative Agent representing an Equity Interest (or until the Term Loan Obligation Payment Date, to the Term Loan Agent in accordance with the terms of the ABL-Term Loan Intercreditor Agreement in the case of any Pledged Collateral constituting Term Loan Priority Collateral), either such certificates are Securities as defined in the PPSA as a result of actions by the issuer or otherwise, or, if such certificates are not Securities, such Grantor has so informed the Administrative Agent so that the Administrative Agent may take steps to perfect its security interest therein as a General Intangible, (iii) subject to the terms of the ABL-Term Loan Intercreditor Agreement, all such Pledged Collateral held by a securities intermediary (other than Collateral consisting of Investment Property held in an Excluded Account) is covered by a control agreement among such Grantor, the securities intermediary and the Administrative Agent pursuant to which the Administrative Agent has Control and (iv) subject to the terms of the ABL-Term Loan Intercreditor Agreement, all Pledged Collateral which represents Indebtedness owed to such Grantor has been duly authorized, authenticated or issued and delivered by the issuer of such Indebtedness, to the knowledge of the Grantors, is a legal, valid and binding obligation of such issuer (subject to applicable bankruptcy, insolvency, reorganization, moratorium or other laws affecting creditors’ rights generally and subject to general principles of equity, regardless of whether considered in a proceeding in equity or at law) and, as of the date hereof, such issuer is not in default thereunder.</w:t>
      </w:r>
    </w:p>
    <w:p>
      <w:pPr>
        <w:spacing w:after="0" w:line="220" w:lineRule="exact"/>
        <w:rPr>
          <w:rFonts w:ascii="Arial" w:cs="Arial" w:eastAsia="Arial" w:hAnsi="Arial"/>
          <w:sz w:val="16"/>
          <w:szCs w:val="16"/>
          <w:color w:val="auto"/>
        </w:rPr>
      </w:pPr>
    </w:p>
    <w:p>
      <w:pPr>
        <w:jc w:val="both"/>
        <w:ind w:firstLine="1139"/>
        <w:spacing w:after="0" w:line="300" w:lineRule="auto"/>
        <w:tabs>
          <w:tab w:leader="none" w:pos="191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 addition, (i) none of the Pledged Collateral owned by such Grantor has been issued or transferred in violation of the securities registration, securities disclosure or similar laws of any jurisdiction to which such issuance or transfer may be subject, (ii)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Canadian Security Agreement or for the execution, delivery and performance of this Canadian Security Agreement by such Grantor, or, except in the case of the Pledged ULC Shares, for the exercise by the Administrative Agent of the voting or other rights provided for in this Canadian Security Agreement or for the remedies in respect of the Pledged Collateral pursuant to this Canadian Security Agreement, except (i) as may be required in connection with such disposition by laws affecting the offering and sale of securities generally, or (ii) until the Term Loan Obligation Payment Date, in accordance with the terms of the ABL-Term Loan Intercreditor Agreement in the case of any such Pledged Collateral constituting Term Loan Priority Collateral.</w:t>
      </w:r>
    </w:p>
    <w:p>
      <w:pPr>
        <w:spacing w:after="0" w:line="166" w:lineRule="exact"/>
        <w:rPr>
          <w:rFonts w:ascii="Arial" w:cs="Arial" w:eastAsia="Arial" w:hAnsi="Arial"/>
          <w:sz w:val="16"/>
          <w:szCs w:val="16"/>
          <w:color w:val="auto"/>
        </w:rPr>
      </w:pPr>
    </w:p>
    <w:p>
      <w:pPr>
        <w:ind w:left="1900" w:hanging="761"/>
        <w:spacing w:after="0"/>
        <w:tabs>
          <w:tab w:leader="none" w:pos="1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jc w:val="both"/>
        <w:ind w:firstLine="1139"/>
        <w:spacing w:after="0" w:line="319" w:lineRule="auto"/>
        <w:tabs>
          <w:tab w:leader="none" w:pos="1919" w:val="left"/>
        </w:tabs>
        <w:numPr>
          <w:ilvl w:val="0"/>
          <w:numId w:val="198"/>
        </w:numPr>
        <w:rPr>
          <w:rFonts w:ascii="Arial" w:cs="Arial" w:eastAsia="Arial" w:hAnsi="Arial"/>
          <w:sz w:val="15"/>
          <w:szCs w:val="15"/>
          <w:color w:val="auto"/>
        </w:rPr>
      </w:pPr>
      <w:r>
        <w:rPr>
          <w:rFonts w:ascii="Arial" w:cs="Arial" w:eastAsia="Arial" w:hAnsi="Arial"/>
          <w:sz w:val="15"/>
          <w:szCs w:val="15"/>
          <w:color w:val="auto"/>
        </w:rPr>
        <w:t>Notwithstanding any provisions to the contrary contained in this Canadian Security Agreement, the Credit Agreement, any other Loan Document or any other document or agreement among all or some of the parties hereto, with regard to any Collateral which is shares or membership interests in an unlimited company incorporated or otherwise formed under the laws of the Province of Nova Scotia (the “</w:t>
      </w:r>
      <w:r>
        <w:rPr>
          <w:rFonts w:ascii="Arial" w:cs="Arial" w:eastAsia="Arial" w:hAnsi="Arial"/>
          <w:sz w:val="15"/>
          <w:szCs w:val="15"/>
          <w:u w:val="single" w:color="auto"/>
          <w:color w:val="auto"/>
        </w:rPr>
        <w:t>Pledged ULC Shares</w:t>
      </w:r>
      <w:r>
        <w:rPr>
          <w:rFonts w:ascii="Arial" w:cs="Arial" w:eastAsia="Arial" w:hAnsi="Arial"/>
          <w:sz w:val="15"/>
          <w:szCs w:val="15"/>
          <w:color w:val="auto"/>
        </w:rPr>
        <w:t>”), any Grantor who has granted a security interest in Pledged ULC Shares or any Grantor that is as of the date of this Canadian Security Agreement the sole registered and beneficial owner of all Pledged ULC Shares will remain so until such time as such Pledged ULC Shares are fully and effectively transferred into the name of the Administrative Agent or any other Person on the books and records of such Nova Scotia unlimited company (“</w:t>
      </w:r>
      <w:r>
        <w:rPr>
          <w:rFonts w:ascii="Arial" w:cs="Arial" w:eastAsia="Arial" w:hAnsi="Arial"/>
          <w:sz w:val="15"/>
          <w:szCs w:val="15"/>
          <w:u w:val="single" w:color="auto"/>
          <w:color w:val="auto"/>
        </w:rPr>
        <w:t>ULC</w:t>
      </w:r>
      <w:r>
        <w:rPr>
          <w:rFonts w:ascii="Arial" w:cs="Arial" w:eastAsia="Arial" w:hAnsi="Arial"/>
          <w:sz w:val="15"/>
          <w:szCs w:val="15"/>
          <w:color w:val="auto"/>
        </w:rPr>
        <w:t xml:space="preserve">”). Nothing in this Canadian Security Agreement, the Credit Agreement, any other Loan Document or any other document or agreement delivered among all or some of the parties hereto is intended to or shall constitute the Administrative Agent or any Person other than such Grantor to be a member or shareholder of any ULC for the purposes of the </w:t>
      </w:r>
      <w:r>
        <w:rPr>
          <w:rFonts w:ascii="Arial" w:cs="Arial" w:eastAsia="Arial" w:hAnsi="Arial"/>
          <w:sz w:val="15"/>
          <w:szCs w:val="15"/>
          <w:i w:val="1"/>
          <w:iCs w:val="1"/>
          <w:color w:val="auto"/>
        </w:rPr>
        <w:t>Companies Act</w:t>
      </w:r>
      <w:r>
        <w:rPr>
          <w:rFonts w:ascii="Arial" w:cs="Arial" w:eastAsia="Arial" w:hAnsi="Arial"/>
          <w:sz w:val="15"/>
          <w:szCs w:val="15"/>
          <w:color w:val="auto"/>
        </w:rPr>
        <w:t xml:space="preserve"> (Nova Scotia) until such time as written notice is given to such Grantor and all further steps are taken so as to register the Administrative Agent or other Person as holder of the Pledged ULC Shares. The granting of the pledge and security interest pursuant to this Canadian Security Agreement does not make the Administrative Agent a successor to such Grantor as a member or shareholder of any ULC, and neither the Administrative Agent nor any of its respective successors or assigns hereunder shall be deemed to become a member or shareholder of any ULC by accepting this Canadian Security Agreement or exercising any right granted herein unless and until such time, if any, when the Administrative Agent or any successor or assign expressly becomes a registered member or shareholder of any ULC. Such Grantor shall be entitled to receive and retain for its own account any dividends or other distributions if any, in respect of the Collateral relating to any such Pledged ULC Shares (except insofar as such Grantor has granted a security interest in such dividend on or other distribution) that is not otherwise permitted under</w:t>
      </w:r>
    </w:p>
    <w:p>
      <w:pPr>
        <w:sectPr>
          <w:pgSz w:w="11900" w:h="16953" w:orient="portrait"/>
          <w:cols w:equalWidth="0" w:num="1">
            <w:col w:w="11440"/>
          </w:cols>
          <w:pgMar w:left="240" w:top="137" w:right="219" w:bottom="0" w:gutter="0" w:footer="0" w:header="0"/>
        </w:sectPr>
      </w:pPr>
    </w:p>
    <w:bookmarkStart w:id="144" w:name="page145"/>
    <w:bookmarkEnd w:id="144"/>
    <w:p>
      <w:pPr>
        <w:jc w:val="both"/>
        <w:spacing w:after="0" w:line="298" w:lineRule="auto"/>
        <w:rPr>
          <w:sz w:val="20"/>
          <w:szCs w:val="20"/>
          <w:color w:val="auto"/>
        </w:rPr>
      </w:pPr>
      <w:r>
        <w:rPr>
          <w:rFonts w:ascii="Arial" w:cs="Arial" w:eastAsia="Arial" w:hAnsi="Arial"/>
          <w:sz w:val="16"/>
          <w:szCs w:val="16"/>
          <w:color w:val="auto"/>
        </w:rPr>
        <w:t>this Canadian Security Agreement or the Credit Agreement and shall have the right to vote such Pledged ULC Shares and to control the direction, management and policies of the ULC issuing such Pledged ULC Shares to the same extent as such Grantor would if such Pledged ULC Shares were not pledged to the Administrative Agent or to any other Person pursuant hereto. To the extent any provision hereof would have the effect of constituting the Administrative Agent to be a member or shareholder of any ULC prior to such time that written notice is delivered to such Grantor, such provision shall be severed herefrom and ineffective with respect to the relevant Pledged ULC Shares without otherwise invalidating or rendering unenforceable this Canadian Security Agreement or invalidating or rendering unenforceable such provision insofar as it relates to Collateral other than Pledged ULC Shares. Notwithstanding anything herein to the contrary (except to the extent, if any, that the Administrative Agent or any of its successors or assigns hereafter expressly becomes a registered member or shareholder of any ULC), neither the Administrative Agent nor any of its respective successors or assigns shall be deemed to have assumed or otherwise become liable for any debts or obligations of any ULC. Except upon the exercise by the Administrative Agent or other Persons of rights to sell or otherwise dispose of Pledged ULC Shares or other remedies following the occurrence and during the continuance of an Event of Default, such Grantor shall not cause or permit, or enable any ULC in which it holds Pledged ULC Shares to cause or permit, the Administrative Agent to: (i) be registered as member or shareholder of such ULC; (ii) have any notation entered in its favour in the share register of such ULC; (iii) be held out as member or shareholder of such ULC; (iv) receive, directly or indirectly, any dividends, property or other distributions from such ULC by reason of the Administrative Agent or other Person holding a security interest in the Pledged ULC Shares; or (v) act as a member or shareholder of such ULC, or exercise any rights of a member or shareholder of such ULC, including the right to attend a meeting of such ULC or vote the shares of such ULC.</w:t>
      </w:r>
    </w:p>
    <w:p>
      <w:pPr>
        <w:spacing w:after="0" w:line="15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IV</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COVENANTS</w:t>
      </w:r>
    </w:p>
    <w:p>
      <w:pPr>
        <w:spacing w:after="0" w:line="19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From the date of this Canadian Security Agreement, and thereafter until this Canadian Security Agreement is terminated in accordance with Section 8.16 or such Grantor is released from its obligations hereunder in accordance with Section 8.16, each Grantor agrees that:</w:t>
      </w:r>
    </w:p>
    <w:p>
      <w:pPr>
        <w:spacing w:after="0" w:line="152"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2" w:lineRule="exact"/>
        <w:rPr>
          <w:sz w:val="20"/>
          <w:szCs w:val="20"/>
          <w:color w:val="auto"/>
        </w:rPr>
      </w:pPr>
    </w:p>
    <w:p>
      <w:pPr>
        <w:jc w:val="both"/>
        <w:ind w:right="20" w:firstLine="1139"/>
        <w:spacing w:after="0" w:line="293" w:lineRule="auto"/>
        <w:tabs>
          <w:tab w:leader="none" w:pos="1633" w:val="left"/>
        </w:tabs>
        <w:numPr>
          <w:ilvl w:val="0"/>
          <w:numId w:val="199"/>
        </w:numPr>
        <w:rPr>
          <w:rFonts w:ascii="Arial" w:cs="Arial" w:eastAsia="Arial" w:hAnsi="Arial"/>
          <w:sz w:val="17"/>
          <w:szCs w:val="17"/>
          <w:b w:val="1"/>
          <w:bCs w:val="1"/>
          <w:color w:val="auto"/>
        </w:rPr>
      </w:pPr>
      <w:r>
        <w:rPr>
          <w:rFonts w:ascii="Arial" w:cs="Arial" w:eastAsia="Arial" w:hAnsi="Arial"/>
          <w:sz w:val="17"/>
          <w:szCs w:val="17"/>
          <w:u w:val="single" w:color="auto"/>
          <w:color w:val="auto"/>
        </w:rPr>
        <w:t>Collateral Records</w:t>
      </w:r>
      <w:r>
        <w:rPr>
          <w:rFonts w:ascii="Arial" w:cs="Arial" w:eastAsia="Arial" w:hAnsi="Arial"/>
          <w:sz w:val="17"/>
          <w:szCs w:val="17"/>
          <w:color w:val="auto"/>
        </w:rPr>
        <w:t>. Such Grantor will maintain complete and accurate, in all material respects, books and records with respect to the Collateral owned by it, and furnish to the Administrative Agent, such reports relating to such Collateral as the Administrative Agent shall from time to time request in its Permitted Discretion.</w:t>
      </w:r>
    </w:p>
    <w:p>
      <w:pPr>
        <w:spacing w:after="0" w:line="165" w:lineRule="exact"/>
        <w:rPr>
          <w:rFonts w:ascii="Arial" w:cs="Arial" w:eastAsia="Arial" w:hAnsi="Arial"/>
          <w:sz w:val="17"/>
          <w:szCs w:val="17"/>
          <w:b w:val="1"/>
          <w:bCs w:val="1"/>
          <w:color w:val="auto"/>
        </w:rPr>
      </w:pPr>
    </w:p>
    <w:p>
      <w:pPr>
        <w:jc w:val="both"/>
        <w:ind w:firstLine="1139"/>
        <w:spacing w:after="0" w:line="300" w:lineRule="auto"/>
        <w:tabs>
          <w:tab w:leader="none" w:pos="1643" w:val="left"/>
        </w:tabs>
        <w:numPr>
          <w:ilvl w:val="0"/>
          <w:numId w:val="199"/>
        </w:numPr>
        <w:rPr>
          <w:rFonts w:ascii="Arial" w:cs="Arial" w:eastAsia="Arial" w:hAnsi="Arial"/>
          <w:sz w:val="16"/>
          <w:szCs w:val="16"/>
          <w:b w:val="1"/>
          <w:bCs w:val="1"/>
          <w:color w:val="auto"/>
        </w:rPr>
      </w:pPr>
      <w:r>
        <w:rPr>
          <w:rFonts w:ascii="Arial" w:cs="Arial" w:eastAsia="Arial" w:hAnsi="Arial"/>
          <w:sz w:val="16"/>
          <w:szCs w:val="16"/>
          <w:u w:val="single" w:color="auto"/>
          <w:color w:val="auto"/>
        </w:rPr>
        <w:t>Authorization to File Financing Statements; Ratification</w:t>
      </w:r>
      <w:r>
        <w:rPr>
          <w:rFonts w:ascii="Arial" w:cs="Arial" w:eastAsia="Arial" w:hAnsi="Arial"/>
          <w:sz w:val="16"/>
          <w:szCs w:val="16"/>
          <w:color w:val="auto"/>
        </w:rPr>
        <w:t>. Such Grantor hereby authorizes the Administrative Agent to file, and if requested will deliver to the Administrative Agent, all financing statements, financing change statements, and other documents and take such other actions as may from time to time be reasonably requested by the Administrative Agent in order to maintain a first perfected security interest in and, if applicable, Control of, the Collateral owned by such Grantor, subject to the ABL-Term Loan Intercreditor Agreement. Any financing statement or financing change statement filed by the Administrative Agent may be filed in any filing office in any PPSA jurisdiction and may (i) indicate such Grantor’s Collateral (1) as all assets of such Grantor or words of similar effect, regardless of whether any particular asset comprised in the Collateral falls within the scope of the PPSA or such jurisdiction or (2) by any other description which reasonably approximates the description contained in this Canadian Security Agreement, and (ii) contain any other information required for the sufficiency or filing office acceptance of any financing statement or financing change statement, including whether such Grantor is an organization, the type of organization and any organization identification number issued to such Grantor. Such Grantor also agrees to furnish any such information described in the foregoing sentence to the Administrative Agent promptly upon the reasonable request thereof. Such Grantor also ratifies its authorization for the Administrative Agent to have filed in any PPSA jurisdiction any initial financing statements or amendments thereto if filed prior to the date hereof.</w:t>
      </w:r>
    </w:p>
    <w:p>
      <w:pPr>
        <w:spacing w:after="0" w:line="162" w:lineRule="exact"/>
        <w:rPr>
          <w:rFonts w:ascii="Arial" w:cs="Arial" w:eastAsia="Arial" w:hAnsi="Arial"/>
          <w:sz w:val="16"/>
          <w:szCs w:val="16"/>
          <w:b w:val="1"/>
          <w:bCs w:val="1"/>
          <w:color w:val="auto"/>
        </w:rPr>
      </w:pPr>
    </w:p>
    <w:p>
      <w:pPr>
        <w:jc w:val="both"/>
        <w:ind w:right="20" w:firstLine="1139"/>
        <w:spacing w:after="0" w:line="284" w:lineRule="auto"/>
        <w:tabs>
          <w:tab w:leader="none" w:pos="1623" w:val="left"/>
        </w:tabs>
        <w:numPr>
          <w:ilvl w:val="0"/>
          <w:numId w:val="199"/>
        </w:numPr>
        <w:rPr>
          <w:rFonts w:ascii="Arial" w:cs="Arial" w:eastAsia="Arial" w:hAnsi="Arial"/>
          <w:sz w:val="17"/>
          <w:szCs w:val="17"/>
          <w:b w:val="1"/>
          <w:bCs w:val="1"/>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Such Grantor will, if so requested by the Administrative Agent, furnish to the Administrative Agent, as often as the Administrative Agent reasonably requests and subject to the limitations set forth in the Credit Agreement, statements and schedules further identifying and describing the Collateral owned by it and such other reports and information in connection with its Collateral as the Administrative Agent may reasonably request, all in such detail as the Administrative Agent may reasonably specify. Such Grantor also agrees to take any and all actions necessary in its commercially reasonable business judgment exercised in good faith to defend title to the Collateral against all persons and to defend the security interest of the Administrative Agent in its Collateral and the priority thereof against any Lien not expressly permitted hereunder.</w:t>
      </w:r>
    </w:p>
    <w:p>
      <w:pPr>
        <w:spacing w:after="0" w:line="172" w:lineRule="exact"/>
        <w:rPr>
          <w:rFonts w:ascii="Arial" w:cs="Arial" w:eastAsia="Arial" w:hAnsi="Arial"/>
          <w:sz w:val="17"/>
          <w:szCs w:val="17"/>
          <w:b w:val="1"/>
          <w:bCs w:val="1"/>
          <w:color w:val="auto"/>
        </w:rPr>
      </w:pPr>
    </w:p>
    <w:p>
      <w:pPr>
        <w:ind w:right="20" w:firstLine="1139"/>
        <w:spacing w:after="0" w:line="310" w:lineRule="auto"/>
        <w:tabs>
          <w:tab w:leader="none" w:pos="1633"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Such Grantor will not sell, lease or otherwise dispose of the Collateral owned by it except for dispositions not prohibited pursuant to Section 6.05 of the Credit Agreement.</w:t>
      </w:r>
    </w:p>
    <w:p>
      <w:pPr>
        <w:spacing w:after="0" w:line="150" w:lineRule="exact"/>
        <w:rPr>
          <w:rFonts w:ascii="Arial" w:cs="Arial" w:eastAsia="Arial" w:hAnsi="Arial"/>
          <w:sz w:val="17"/>
          <w:szCs w:val="17"/>
          <w:color w:val="auto"/>
        </w:rPr>
      </w:pPr>
    </w:p>
    <w:p>
      <w:pPr>
        <w:ind w:right="20" w:firstLine="1139"/>
        <w:spacing w:after="0" w:line="310" w:lineRule="auto"/>
        <w:tabs>
          <w:tab w:leader="none" w:pos="1623"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Such Grantor will not create, incur, or suffer to exist any Lien on the Collateral owned by it except (i) the security interest created by this Canadian Security Agreement, and (ii) other Liens permitted by Section 6.02 of the Credit Agreement.</w:t>
      </w:r>
    </w:p>
    <w:p>
      <w:pPr>
        <w:spacing w:after="0" w:line="150" w:lineRule="exact"/>
        <w:rPr>
          <w:rFonts w:ascii="Arial" w:cs="Arial" w:eastAsia="Arial" w:hAnsi="Arial"/>
          <w:sz w:val="17"/>
          <w:szCs w:val="17"/>
          <w:color w:val="auto"/>
        </w:rPr>
      </w:pPr>
    </w:p>
    <w:p>
      <w:pPr>
        <w:jc w:val="both"/>
        <w:ind w:firstLine="1139"/>
        <w:spacing w:after="0" w:line="307" w:lineRule="auto"/>
        <w:tabs>
          <w:tab w:leader="none" w:pos="1604"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Other Financing Statements</w:t>
      </w:r>
      <w:r>
        <w:rPr>
          <w:rFonts w:ascii="Arial" w:cs="Arial" w:eastAsia="Arial" w:hAnsi="Arial"/>
          <w:sz w:val="16"/>
          <w:szCs w:val="16"/>
          <w:color w:val="auto"/>
        </w:rPr>
        <w:t>. Such Grantor will not authorize the filing of any financing statement naming it as debtor covering all or any portion of the Collateral owned by it, except for financing statements as permitted by Section 4.1(e). Other than in connection with the Liens in favour of the Term Loan Agent pursuant to the Term Loan Documents and in accordance with the ABL-Term Loan Intercreditor Agreement, such Grantor acknowledges that it is not authorized to file any financing statement or financing change statement or discharge statement with respect to any financing statement naming the Administrative Agent as secured party without the prior written consent of the Administrative Agent, subject to such Grantor's rights under the PPSA.</w:t>
      </w:r>
    </w:p>
    <w:p>
      <w:pPr>
        <w:spacing w:after="0" w:line="157" w:lineRule="exact"/>
        <w:rPr>
          <w:rFonts w:ascii="Arial" w:cs="Arial" w:eastAsia="Arial" w:hAnsi="Arial"/>
          <w:sz w:val="16"/>
          <w:szCs w:val="16"/>
          <w:color w:val="auto"/>
        </w:rPr>
      </w:pPr>
    </w:p>
    <w:p>
      <w:pPr>
        <w:ind w:left="1620" w:hanging="481"/>
        <w:spacing w:after="0"/>
        <w:tabs>
          <w:tab w:leader="none" w:pos="16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ind w:right="20" w:firstLine="1139"/>
        <w:spacing w:after="0" w:line="310" w:lineRule="auto"/>
        <w:tabs>
          <w:tab w:leader="none" w:pos="1633"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Compliance with Terms</w:t>
      </w:r>
      <w:r>
        <w:rPr>
          <w:rFonts w:ascii="Arial" w:cs="Arial" w:eastAsia="Arial" w:hAnsi="Arial"/>
          <w:sz w:val="17"/>
          <w:szCs w:val="17"/>
          <w:color w:val="auto"/>
        </w:rPr>
        <w:t>. Such Grantor will perform and comply in all material respects with all obligations in respect of the Collateral owned by it and all agreements to which it is a party or by which it is bound relating to such Collateral.</w:t>
      </w:r>
    </w:p>
    <w:p>
      <w:pPr>
        <w:spacing w:after="0" w:line="13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u w:val="single" w:color="auto"/>
          <w:color w:val="auto"/>
        </w:rPr>
        <w:t>Receivables</w:t>
      </w:r>
      <w:r>
        <w:rPr>
          <w:rFonts w:ascii="Arial" w:cs="Arial" w:eastAsia="Arial" w:hAnsi="Arial"/>
          <w:sz w:val="15"/>
          <w:szCs w:val="15"/>
          <w:color w:val="auto"/>
        </w:rPr>
        <w:t>.</w:t>
      </w:r>
    </w:p>
    <w:p>
      <w:pPr>
        <w:spacing w:after="0" w:line="222" w:lineRule="exact"/>
        <w:rPr>
          <w:sz w:val="20"/>
          <w:szCs w:val="20"/>
          <w:color w:val="auto"/>
        </w:rPr>
      </w:pPr>
    </w:p>
    <w:p>
      <w:pPr>
        <w:jc w:val="both"/>
        <w:ind w:firstLine="1139"/>
        <w:spacing w:after="0" w:line="288" w:lineRule="auto"/>
        <w:tabs>
          <w:tab w:leader="none" w:pos="1909"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Certain Agreements on Receivables</w:t>
      </w:r>
      <w:r>
        <w:rPr>
          <w:rFonts w:ascii="Arial" w:cs="Arial" w:eastAsia="Arial" w:hAnsi="Arial"/>
          <w:sz w:val="17"/>
          <w:szCs w:val="17"/>
          <w:color w:val="auto"/>
        </w:rPr>
        <w:t>. Subject to the provisions of the Credit Agreement, such Grantor will not make or agree to make any discount, credit, rebate or other reduction in the original amount owing on a Receivable or accept in satisfaction of a Receivable less than the original amount thereof, except that, prior to the occurrence and during the continuance of an Event of Default, such Grantor may reduce the amount of Accounts arising from the sale of Inventory in accordance with its present policies and in the ordinary course of business.</w:t>
      </w:r>
    </w:p>
    <w:p>
      <w:pPr>
        <w:spacing w:after="0" w:line="169" w:lineRule="exact"/>
        <w:rPr>
          <w:rFonts w:ascii="Arial" w:cs="Arial" w:eastAsia="Arial" w:hAnsi="Arial"/>
          <w:sz w:val="17"/>
          <w:szCs w:val="17"/>
          <w:color w:val="auto"/>
        </w:rPr>
      </w:pPr>
    </w:p>
    <w:p>
      <w:pPr>
        <w:jc w:val="both"/>
        <w:ind w:firstLine="1139"/>
        <w:spacing w:after="0" w:line="293" w:lineRule="auto"/>
        <w:tabs>
          <w:tab w:leader="none" w:pos="1919"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Canadian Security Agreement or the Credit Agreement, such Grantor will use commercially reasonable efforts to collect and enforce in accordance with its present policies, at such Grantor's sole expense, all amounts due or hereafter due to such Grantor under the Receivables owned by it.</w:t>
      </w:r>
    </w:p>
    <w:p>
      <w:pPr>
        <w:sectPr>
          <w:pgSz w:w="11900" w:h="16838" w:orient="portrait"/>
          <w:cols w:equalWidth="0" w:num="1">
            <w:col w:w="11440"/>
          </w:cols>
          <w:pgMar w:left="240" w:top="137" w:right="219" w:bottom="0" w:gutter="0" w:footer="0" w:header="0"/>
        </w:sectPr>
      </w:pPr>
    </w:p>
    <w:bookmarkStart w:id="145" w:name="page146"/>
    <w:bookmarkEnd w:id="145"/>
    <w:p>
      <w:pPr>
        <w:ind w:right="20" w:firstLine="1139"/>
        <w:spacing w:after="0" w:line="344" w:lineRule="auto"/>
        <w:tabs>
          <w:tab w:leader="none" w:pos="1909"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Delivery of Invoice</w:t>
      </w:r>
      <w:r>
        <w:rPr>
          <w:rFonts w:ascii="Arial" w:cs="Arial" w:eastAsia="Arial" w:hAnsi="Arial"/>
          <w:sz w:val="16"/>
          <w:szCs w:val="16"/>
          <w:color w:val="auto"/>
        </w:rPr>
        <w:t>s. Such Grantor will deliver to the Administrative Agent promptly upon its reasonable request duplicate invoices with respect to each Account included in the Collateral owned by it bearing such language of assignment as the Administrative Agent shall specify.</w:t>
      </w:r>
    </w:p>
    <w:p>
      <w:pPr>
        <w:spacing w:after="0" w:line="127" w:lineRule="exact"/>
        <w:rPr>
          <w:rFonts w:ascii="Arial" w:cs="Arial" w:eastAsia="Arial" w:hAnsi="Arial"/>
          <w:sz w:val="16"/>
          <w:szCs w:val="16"/>
          <w:color w:val="auto"/>
        </w:rPr>
      </w:pPr>
    </w:p>
    <w:p>
      <w:pPr>
        <w:ind w:left="1920" w:hanging="781"/>
        <w:spacing w:after="0"/>
        <w:tabs>
          <w:tab w:leader="none" w:pos="19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2"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Inventory and Equipment</w:t>
      </w:r>
      <w:r>
        <w:rPr>
          <w:rFonts w:ascii="Arial" w:cs="Arial" w:eastAsia="Arial" w:hAnsi="Arial"/>
          <w:sz w:val="16"/>
          <w:szCs w:val="16"/>
          <w:color w:val="auto"/>
        </w:rPr>
        <w:t>.</w:t>
      </w:r>
    </w:p>
    <w:p>
      <w:pPr>
        <w:spacing w:after="0" w:line="222" w:lineRule="exact"/>
        <w:rPr>
          <w:sz w:val="20"/>
          <w:szCs w:val="20"/>
          <w:color w:val="auto"/>
        </w:rPr>
      </w:pPr>
    </w:p>
    <w:p>
      <w:pPr>
        <w:jc w:val="both"/>
        <w:ind w:right="20" w:firstLine="1139"/>
        <w:spacing w:after="0" w:line="288" w:lineRule="auto"/>
        <w:tabs>
          <w:tab w:leader="none" w:pos="1909"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Maintenance of Goods</w:t>
      </w:r>
      <w:r>
        <w:rPr>
          <w:rFonts w:ascii="Arial" w:cs="Arial" w:eastAsia="Arial" w:hAnsi="Arial"/>
          <w:sz w:val="17"/>
          <w:szCs w:val="17"/>
          <w:color w:val="auto"/>
        </w:rPr>
        <w:t>. Such Grantor will do all things necessary to maintain, preserve, protect and keep its Inventory and the Equipment necessary to the business in good repair and working and saleable condition, except for (i) damaged or defective goods arising in the ordinary course of such Grantor’s business, (ii) ordinary wear and tear in respect of the Equipment and (iii) Equipment which such Grantor determines in good faith is not material to its business.</w:t>
      </w:r>
    </w:p>
    <w:p>
      <w:pPr>
        <w:spacing w:after="0" w:line="169" w:lineRule="exact"/>
        <w:rPr>
          <w:rFonts w:ascii="Arial" w:cs="Arial" w:eastAsia="Arial" w:hAnsi="Arial"/>
          <w:sz w:val="17"/>
          <w:szCs w:val="17"/>
          <w:color w:val="auto"/>
        </w:rPr>
      </w:pPr>
    </w:p>
    <w:p>
      <w:pPr>
        <w:ind w:left="1920" w:hanging="781"/>
        <w:spacing w:after="0"/>
        <w:tabs>
          <w:tab w:leader="none" w:pos="19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jc w:val="both"/>
        <w:ind w:right="20" w:firstLine="1139"/>
        <w:spacing w:after="0" w:line="256" w:lineRule="auto"/>
        <w:tabs>
          <w:tab w:leader="none" w:pos="1584"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Inventory Count; Perpetual Inventory System</w:t>
      </w:r>
      <w:r>
        <w:rPr>
          <w:rFonts w:ascii="Arial" w:cs="Arial" w:eastAsia="Arial" w:hAnsi="Arial"/>
          <w:sz w:val="17"/>
          <w:szCs w:val="17"/>
          <w:color w:val="auto"/>
        </w:rPr>
        <w:t>. Such Grantor will conduct a verification, including without limitation, a physical count if required under GAAP, of its Inventory at least once per fiscal year in a manner consistent with past practices, and after and during the continuation of an Event of Default, at such other times as the Administrative Agent requests. Such Grantor, at its own expense, shall deliver to the Administrative Agent the results of each physical verification, which such Grantor has made, or has caused any other Person to make on its behalf, of all or any portion of its Inventory. Such Grantor will maintain a perpetual inventory reporting system at all times.</w:t>
      </w:r>
    </w:p>
    <w:p>
      <w:pPr>
        <w:spacing w:after="0" w:line="363"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Delivery of Instruments, Securities, Chattel Paper and Documents</w:t>
      </w:r>
      <w:r>
        <w:rPr>
          <w:rFonts w:ascii="Arial" w:cs="Arial" w:eastAsia="Arial" w:hAnsi="Arial"/>
          <w:sz w:val="16"/>
          <w:szCs w:val="16"/>
          <w:color w:val="auto"/>
        </w:rPr>
        <w:t xml:space="preserve">. Subject to the terms of the ABL-Term Loan Intercreditor Agreement, such Grantor will (a) deliver to the Administrative Agent promptly upon execution of this Canadian Security Agreement the originals of all Chattel Paper, Securities, and Instruments constituting Collateral owned by it (if any then exist) and with a value in excess of $250,000, (b) hold in trust for the Administrative Agent upon receipt and promptly, but in no event more than ten (10) Business Days following receipt (or such later date as agreed to by the Administrative Agent), thereafter deliver to the Administrative Agent any such Chattel Paper, Securities, and Instruments constituting Collateral, (c) upon the Administrative Agent's request, deliver to the Administrative Agent (and thereafter hold in trust for the Administrative Agent upon receipt and promptly, but in no event more than ten (10) Business Days following receipt (or such later date as agreed to by the Administrative Agent), deliver to the Administrative Agent) any Document evidencing or constituting Collateral and (d) promptly upon the Administrative Agent's request, deliver to the Administrative Agent a duly executed amendment to this Canadian Security Agreement,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Amendment</w:t>
      </w:r>
      <w:r>
        <w:rPr>
          <w:rFonts w:ascii="Arial" w:cs="Arial" w:eastAsia="Arial" w:hAnsi="Arial"/>
          <w:sz w:val="16"/>
          <w:szCs w:val="16"/>
          <w:color w:val="auto"/>
        </w:rPr>
        <w:t>”), pursuant to which such Grantor will pledge such additional Collateral. Such Grantor hereby authorizes the Administrative Agent to attach each Amendment to this Canadian Security Agreement and agrees that all additional Collateral owned by it set forth in such Amendments shall be considered to be part of the Collateral.</w:t>
      </w:r>
    </w:p>
    <w:p>
      <w:pPr>
        <w:spacing w:after="0" w:line="162"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Uncertificated Pledged Collateral</w:t>
      </w:r>
      <w:r>
        <w:rPr>
          <w:rFonts w:ascii="Arial" w:cs="Arial" w:eastAsia="Arial" w:hAnsi="Arial"/>
          <w:sz w:val="16"/>
          <w:szCs w:val="16"/>
          <w:color w:val="auto"/>
        </w:rPr>
        <w:t>. Subject to the terms of the ABL-Term Loan Intercreditor Agreement, such Grantor will permit the Administrative Agent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Canadian Security Agreement. With respect to any Pledged Collateral owned by it, such Grantor will take any necessary actions requested by the Administrative Agent to cause (a) the issuers of uncertificated securities which are Pledged Collateral and (b) any securities intermediary which is the holder of any such Pledged Collateral, to cause the Administrative Agent to have and retain Control over such Pledged Collateral (or until the Term Loan Obligation Payment Date, to cause the Term Loan Agent to have and retain Control over such Pledged Collateral, in accordance with the terms of the ABL-Term Loan Intercreditor Agreement in the case of any Pledged Collateral constituting Term Loan Priority Collateral). Without limiting the foregoing, such Grantor will, with respect to any such Pledged Collateral held with a securities intermediary, cause such securities intermediary to enter into a Control Agreement with the Administrative Agent, in form and substance reasonably satisfactory to the Administrative Agent, giving the Administrative Agent Control (or until the Term Loan Obligation Payment Date, to enter into a Control Agreement with the Term Loan Agent in accordance with the terms of the ABL-Term Loan Intercreditor Agreement in the case of any Pledged Collateral constituting Term Loan Priority Collateral).To the extent that any issuer of uncertificated securities that constitute Pledged Collateral shall issue certificates for such Pledged Collateral, such Grantor will promptly notify the Administrative Agent and comply with the provisions of Section 4.4 with respect to such Pledged Collateral.</w:t>
      </w:r>
    </w:p>
    <w:p>
      <w:pPr>
        <w:spacing w:after="0" w:line="1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10" w:lineRule="exact"/>
        <w:rPr>
          <w:sz w:val="20"/>
          <w:szCs w:val="20"/>
          <w:color w:val="auto"/>
        </w:rPr>
      </w:pPr>
    </w:p>
    <w:p>
      <w:pPr>
        <w:ind w:left="1720" w:hanging="581"/>
        <w:spacing w:after="0"/>
        <w:tabs>
          <w:tab w:leader="none" w:pos="17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1" w:lineRule="exact"/>
        <w:rPr>
          <w:rFonts w:ascii="Arial" w:cs="Arial" w:eastAsia="Arial" w:hAnsi="Arial"/>
          <w:sz w:val="17"/>
          <w:szCs w:val="17"/>
          <w:color w:val="auto"/>
        </w:rPr>
      </w:pPr>
    </w:p>
    <w:p>
      <w:pPr>
        <w:jc w:val="both"/>
        <w:ind w:firstLine="1139"/>
        <w:spacing w:after="0" w:line="293" w:lineRule="auto"/>
        <w:tabs>
          <w:tab w:leader="none" w:pos="1919"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Issuance of Additional Securities</w:t>
      </w:r>
      <w:r>
        <w:rPr>
          <w:rFonts w:ascii="Arial" w:cs="Arial" w:eastAsia="Arial" w:hAnsi="Arial"/>
          <w:sz w:val="17"/>
          <w:szCs w:val="17"/>
          <w:color w:val="auto"/>
        </w:rPr>
        <w:t>. Except as permitted under the Credit Agreement, such Grantor will not permit or suffer the issuer of an Equity Interest constituting Pledged Collateral owned by it to issue additional Equity Interests, any right to receive the same or any right to receive earnings, except to such Grantor.</w:t>
      </w:r>
    </w:p>
    <w:p>
      <w:pPr>
        <w:spacing w:after="0" w:line="165" w:lineRule="exact"/>
        <w:rPr>
          <w:rFonts w:ascii="Arial" w:cs="Arial" w:eastAsia="Arial" w:hAnsi="Arial"/>
          <w:sz w:val="17"/>
          <w:szCs w:val="17"/>
          <w:color w:val="auto"/>
        </w:rPr>
      </w:pPr>
    </w:p>
    <w:p>
      <w:pPr>
        <w:jc w:val="both"/>
        <w:ind w:right="20" w:firstLine="1139"/>
        <w:spacing w:after="0" w:line="307" w:lineRule="auto"/>
        <w:tabs>
          <w:tab w:leader="none" w:pos="1909"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Registration of Pledged Collateral</w:t>
      </w:r>
      <w:r>
        <w:rPr>
          <w:rFonts w:ascii="Arial" w:cs="Arial" w:eastAsia="Arial" w:hAnsi="Arial"/>
          <w:sz w:val="16"/>
          <w:szCs w:val="16"/>
          <w:color w:val="auto"/>
        </w:rPr>
        <w:t>. Subject to the terms of the ABL-Term Loan Intercreditor Agreement and to Section 3.13(d) with respect to the Pledged ULC Shares, such Grantor will permit any registerable Pledged Collateral owned by it to be registered in the name of the Administrative Agent or its nominee at any time after the occurrence and during the continuation of an Event of Default at the option of the Required Secured Parties (or until the Term Loan Obligation Payment Date, to be registered in the name of the Term Loan Agent or its nominee at such time, in accordance with the terms of the ABL-Term Loan Intercreditor Agreement in the case of any Pledged Collateral constituting Term Loan Priority Collateral).</w:t>
      </w:r>
    </w:p>
    <w:p>
      <w:pPr>
        <w:spacing w:after="0" w:line="157" w:lineRule="exact"/>
        <w:rPr>
          <w:rFonts w:ascii="Arial" w:cs="Arial" w:eastAsia="Arial" w:hAnsi="Arial"/>
          <w:sz w:val="16"/>
          <w:szCs w:val="16"/>
          <w:color w:val="auto"/>
        </w:rPr>
      </w:pPr>
    </w:p>
    <w:p>
      <w:pPr>
        <w:ind w:left="1920" w:hanging="781"/>
        <w:spacing w:after="0"/>
        <w:tabs>
          <w:tab w:leader="none" w:pos="192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Exercise of Rights in Pledged Collateral</w:t>
      </w:r>
      <w:r>
        <w:rPr>
          <w:rFonts w:ascii="Arial" w:cs="Arial" w:eastAsia="Arial" w:hAnsi="Arial"/>
          <w:sz w:val="17"/>
          <w:szCs w:val="17"/>
          <w:color w:val="auto"/>
        </w:rPr>
        <w:t>.</w:t>
      </w:r>
    </w:p>
    <w:p>
      <w:pPr>
        <w:spacing w:after="0" w:line="233" w:lineRule="exact"/>
        <w:rPr>
          <w:rFonts w:ascii="Arial" w:cs="Arial" w:eastAsia="Arial" w:hAnsi="Arial"/>
          <w:sz w:val="17"/>
          <w:szCs w:val="17"/>
          <w:color w:val="auto"/>
        </w:rPr>
      </w:pPr>
    </w:p>
    <w:p>
      <w:pPr>
        <w:jc w:val="both"/>
        <w:ind w:left="560" w:firstLine="1151"/>
        <w:spacing w:after="0" w:line="285" w:lineRule="auto"/>
        <w:tabs>
          <w:tab w:leader="none" w:pos="24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Without in any way limiting the foregoing and subject to clause (ii) below and subject to the ABL-Term Loan Intercreditor Agreement in the case of any such Pledged Collateral constituting Term Loan Priority Collateral, such Grantor shall have the right to exercise all voting rights or other rights relating to the Pledged Collateral owned by it for all purposes not inconsistent with this Canadian Security Agreement, the Credit Agreement or any other Loan Document; provided however, that no vote or other right shall be exercised or action taken which would have the effect of impairing the rights of the Administrative Agent in respect of such Pledged Collateral.</w:t>
      </w:r>
    </w:p>
    <w:p>
      <w:pPr>
        <w:spacing w:after="0" w:line="173" w:lineRule="exact"/>
        <w:rPr>
          <w:rFonts w:ascii="Arial" w:cs="Arial" w:eastAsia="Arial" w:hAnsi="Arial"/>
          <w:sz w:val="17"/>
          <w:szCs w:val="17"/>
          <w:color w:val="auto"/>
        </w:rPr>
      </w:pPr>
    </w:p>
    <w:p>
      <w:pPr>
        <w:jc w:val="both"/>
        <w:ind w:left="560" w:right="20" w:firstLine="1151"/>
        <w:spacing w:after="0" w:line="307" w:lineRule="auto"/>
        <w:tabs>
          <w:tab w:leader="none" w:pos="248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Such Grantor will permit the Administrative Agent or its nominee at any time after the occurrence and during the continuance of an Event of Default, subject to Section 3.13(d) with respect to the Pledged ULC Shares, and subject to the ABL-Term Loan Intercreditor Agreement in the case of any such Pledged Collateral constituting Term Loan Priority Collateral, without notice, to exercise all voting rights or other rights relating to the Pledged Collateral owned by it, including, without limitation, exchange, subscription or any other rights, privileges, or options pertaining to any Equity Interest or Investment Property constituting such Pledged Collateral as if it were the absolute owner thereof.</w:t>
      </w:r>
    </w:p>
    <w:p>
      <w:pPr>
        <w:sectPr>
          <w:pgSz w:w="11900" w:h="16838" w:orient="portrait"/>
          <w:cols w:equalWidth="0" w:num="1">
            <w:col w:w="11440"/>
          </w:cols>
          <w:pgMar w:left="240" w:top="136" w:right="219" w:bottom="0" w:gutter="0" w:footer="0" w:header="0"/>
        </w:sectPr>
      </w:pPr>
    </w:p>
    <w:bookmarkStart w:id="146" w:name="page147"/>
    <w:bookmarkEnd w:id="146"/>
    <w:p>
      <w:pPr>
        <w:jc w:val="both"/>
        <w:ind w:left="560" w:firstLine="1151"/>
        <w:spacing w:after="0" w:line="282" w:lineRule="auto"/>
        <w:tabs>
          <w:tab w:leader="none" w:pos="253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Subject to the ABL-Term Loan Intercreditor Agreement in the case of any such Pledged Collateral constituting Term Loan Priority Collateral, such Grantor shall be entitled to collect and receive for its own use all cash dividends and interest paid in respect of the Pledged Collateral owned by it to the extent not in violation of the Credit Agreement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any of the following distributions and payments (collectively referred to as the “</w:t>
      </w:r>
      <w:r>
        <w:rPr>
          <w:rFonts w:ascii="Arial" w:cs="Arial" w:eastAsia="Arial" w:hAnsi="Arial"/>
          <w:sz w:val="17"/>
          <w:szCs w:val="17"/>
          <w:u w:val="single" w:color="auto"/>
          <w:color w:val="auto"/>
        </w:rPr>
        <w:t>Excluded Payments</w:t>
      </w:r>
      <w:r>
        <w:rPr>
          <w:rFonts w:ascii="Arial" w:cs="Arial" w:eastAsia="Arial" w:hAnsi="Arial"/>
          <w:sz w:val="17"/>
          <w:szCs w:val="17"/>
          <w:color w:val="auto"/>
        </w:rPr>
        <w:t>”): (A) dividends and interest paid or payable other than in cash in respect of such Pledged Collateral, and instruments and other non-cash property received, receivable or otherwise distributed in respect of, or in exchange for, any Pledged Collateral, in each case, to the extent constituting Collateral; and (B) dividends and other distributions paid or payable in cash in respect of such Pledged Collateral not prohibited to be paid pursuant to the Credit Agreement; provided however, that until actually paid, all rights to such distributions shall remain subject to the Lien created by this Canadian Security Agreement; and</w:t>
      </w:r>
    </w:p>
    <w:p>
      <w:pPr>
        <w:spacing w:after="0" w:line="176" w:lineRule="exact"/>
        <w:rPr>
          <w:rFonts w:ascii="Arial" w:cs="Arial" w:eastAsia="Arial" w:hAnsi="Arial"/>
          <w:sz w:val="17"/>
          <w:szCs w:val="17"/>
          <w:color w:val="auto"/>
        </w:rPr>
      </w:pPr>
    </w:p>
    <w:p>
      <w:pPr>
        <w:jc w:val="both"/>
        <w:ind w:left="560" w:firstLine="1151"/>
        <w:spacing w:after="0" w:line="282" w:lineRule="auto"/>
        <w:tabs>
          <w:tab w:leader="none" w:pos="252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All Excluded Payments (subject to Section 3.13(d) with respect to the Pledged ULC Shares) whenever paid or made, shall be delivered to the Administrative Agent (or until the Term Loan Obligation Payment Date, to the Term Loan Agent in accordance with the terms of the ABL-Term Loan Intercreditor Agreement in the case of any Excluded Payments constituting Term Loan Priority Collateral) to hold as Pledged Collateral and shall, if received by such Grantor, be received in trust for the benefit of the Administrative Agent (and, until the Term Loan Obligations Payment Date, the Term Loan Agent), be segregated from the other property or funds of such Grantor, and be forthwith delivered to the Administrative Agent (or until the Term Loan Obligation Payment Date, to the Term Loan Agent in accordance with the terms of the ABL-Term Loan Intercreditor Agreement in the case of any Excluded Payments constituting Term Loan Priority Collateral) as Pledged Collateral in the same form as so received (with any necessary endorsement).</w:t>
      </w:r>
    </w:p>
    <w:p>
      <w:pPr>
        <w:spacing w:after="0" w:line="17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15" w:lineRule="exact"/>
        <w:rPr>
          <w:sz w:val="20"/>
          <w:szCs w:val="20"/>
          <w:color w:val="auto"/>
        </w:rPr>
      </w:pPr>
    </w:p>
    <w:p>
      <w:pPr>
        <w:jc w:val="both"/>
        <w:ind w:right="20" w:firstLine="1163"/>
        <w:spacing w:after="0" w:line="293" w:lineRule="auto"/>
        <w:tabs>
          <w:tab w:leader="none" w:pos="1933" w:val="left"/>
        </w:tabs>
        <w:numPr>
          <w:ilvl w:val="1"/>
          <w:numId w:val="205"/>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subject to the terms of the ABL-Term Loan Intercreditor Agreement, such Grantor will use its commercially reasonable efforts to secure all consents and approvals necessary or appropriate for the assignment to or benefit of the Administrative Agent of any License held by such Grantor and to enforce the security interests granted hereunder.</w:t>
      </w:r>
    </w:p>
    <w:p>
      <w:pPr>
        <w:spacing w:after="0" w:line="165" w:lineRule="exact"/>
        <w:rPr>
          <w:rFonts w:ascii="Arial" w:cs="Arial" w:eastAsia="Arial" w:hAnsi="Arial"/>
          <w:sz w:val="17"/>
          <w:szCs w:val="17"/>
          <w:color w:val="auto"/>
        </w:rPr>
      </w:pPr>
    </w:p>
    <w:p>
      <w:pPr>
        <w:jc w:val="both"/>
        <w:ind w:firstLine="1139"/>
        <w:spacing w:after="0" w:line="305" w:lineRule="auto"/>
        <w:tabs>
          <w:tab w:leader="none" w:pos="191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Such Grantor shall notify the Administrative Agent promptly if it knows or has reason to know that any application or registration relating to any Patent, Trademark or Copyright (now or hereafter existing) that is material to the conduct of the business of Holdings, the Borrowers and their Subsidiaries, taken as a whole, becomes abandoned or dedicated, or of any material adverse determination or development (including the institution of, or any such determination or development in, any proceeding in the Canadian Intellectual Property Office, United States Patent and Trademark Office, the United States Copyright Office or any court) regarding such Grantor’s ownership of any Patent, Trademark or Copyright material to the business of Holdings, the Borrowers and their Subsidiaries, taken as a whole, its right to register the same, or to keep and maintain the same.</w:t>
      </w:r>
    </w:p>
    <w:p>
      <w:pPr>
        <w:spacing w:after="0" w:line="157" w:lineRule="exact"/>
        <w:rPr>
          <w:rFonts w:ascii="Arial" w:cs="Arial" w:eastAsia="Arial" w:hAnsi="Arial"/>
          <w:sz w:val="16"/>
          <w:szCs w:val="16"/>
          <w:color w:val="auto"/>
        </w:rPr>
      </w:pPr>
    </w:p>
    <w:p>
      <w:pPr>
        <w:ind w:right="40" w:firstLine="1139"/>
        <w:spacing w:after="0" w:line="300" w:lineRule="auto"/>
        <w:tabs>
          <w:tab w:leader="none" w:pos="190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any Grantor, either itself or through any agent, employee, licensee or designee, acquires ownership of any Patent, Trademark or Copyright registration or application, in each case, material to the Grantors' business, taken as a whole, or files any application for any Patent, Trademark or Copyright with the Canadian Intellectual Property Office, United States Patent and Trademark Office, United States Copyright Office or any office or agency in any political subdivision of the United States or in any other country or any political subdivision thereof, in each case, material to the Grantors' business, taken as a whole, such Grantor shall notify the Administrative Agent with written notice of such acquisition, registration or application (concurrently with the delivery of the financial statements with respect to the end of the fiscal quarter in which such Grantor acquires such ownership interest or such later date as agreed to by the Administrative Agent in its Permitted Discretion), and, upon request of the Administrative Agent, such Grantor shall execute and deliver any and all security agreements to be filed with the Canadian Intellectual Property Office, United States Patent and Trademark Office, or United States Copyright Office, as applicable, as the Administrative Agent may reasonably request to evidence the Administrative Agent's security interest on such Patent, Trademark or Copyright, and the General Intangibles of such Grantor relating thereto or represented thereby.</w:t>
      </w:r>
    </w:p>
    <w:p>
      <w:pPr>
        <w:spacing w:after="0" w:line="166" w:lineRule="exact"/>
        <w:rPr>
          <w:rFonts w:ascii="Arial" w:cs="Arial" w:eastAsia="Arial" w:hAnsi="Arial"/>
          <w:sz w:val="16"/>
          <w:szCs w:val="16"/>
          <w:color w:val="auto"/>
        </w:rPr>
      </w:pPr>
    </w:p>
    <w:p>
      <w:pPr>
        <w:jc w:val="both"/>
        <w:ind w:right="20" w:firstLine="1139"/>
        <w:spacing w:after="0" w:line="307" w:lineRule="auto"/>
        <w:tabs>
          <w:tab w:leader="none" w:pos="191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Such Grantor shall take all actions necessary to maintain and pursue each application, to obtain the relevant registration and to maintain the registration of each of its Patents, Trademarks and Copyrights (now or hereafter existing) that are material to the conduct of the business of Holdings, the Borrowers and their Subsidiaries, taken as a whole, including the filing of applications for renewal, affidavits of use, affidavits of noncontestability and opposition and interference and cancellation proceedings or if such Grantor determines in its commercial reasonable business judgment exercised in good faith that the maintenance or pursuit of any such Patent, Trademark or Copyright is no longer necessary to the conduct of such Grantor’s business.</w:t>
      </w:r>
    </w:p>
    <w:p>
      <w:pPr>
        <w:spacing w:after="0" w:line="157" w:lineRule="exact"/>
        <w:rPr>
          <w:rFonts w:ascii="Arial" w:cs="Arial" w:eastAsia="Arial" w:hAnsi="Arial"/>
          <w:sz w:val="16"/>
          <w:szCs w:val="16"/>
          <w:color w:val="auto"/>
        </w:rPr>
      </w:pPr>
    </w:p>
    <w:p>
      <w:pPr>
        <w:jc w:val="both"/>
        <w:ind w:right="20" w:firstLine="1163"/>
        <w:spacing w:after="0" w:line="285" w:lineRule="auto"/>
        <w:tabs>
          <w:tab w:leader="none" w:pos="1933"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In the event that any Grantor knows or has reason to believe that any Collateral consisting of a Patent, Trademark or Copyright that is material to the conduct of the business of Holdings, the Borrowers and their Subsidiaries, taken as a whole, has been or is being infringed, misappropriated, diluted or otherwise violated by a third person, such Grantor shall, if consistent with good business judgment, promptly sue for infringement, misappropriation, dilution or other violation and to recover any and all damages for such infringement, misappropriation, dilution or other violation, and take such other actions as are appropriate under the circumstances to protect such Collateral.</w:t>
      </w:r>
    </w:p>
    <w:p>
      <w:pPr>
        <w:spacing w:after="0" w:line="169"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firstLine="572"/>
        <w:spacing w:after="0" w:line="275"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If such Grantor is or becomes the beneficiary of a letter of credit with a stated value in excess of $5,000,000, such Grantor</w:t>
      </w:r>
      <w:r>
        <w:rPr>
          <w:rFonts w:ascii="Arial" w:cs="Arial" w:eastAsia="Arial" w:hAnsi="Arial"/>
          <w:sz w:val="19"/>
          <w:szCs w:val="19"/>
          <w:color w:val="auto"/>
        </w:rPr>
        <w:t xml:space="preserve"> </w:t>
      </w:r>
      <w:r>
        <w:rPr>
          <w:rFonts w:ascii="Arial" w:cs="Arial" w:eastAsia="Arial" w:hAnsi="Arial"/>
          <w:sz w:val="17"/>
          <w:szCs w:val="17"/>
          <w:color w:val="auto"/>
        </w:rPr>
        <w:t>shall promptly notify the Administrative Agent thereof and, subject to the terms of the ABL-Term Loan Intercreditor Agreement, use commercially reasonable efforts to cause the issuer and/or confirmation bank to (i) consent to the assignment of any rights of such Grantor under such letter of credit (the “</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w:t>
      </w:r>
      <w:r>
        <w:rPr>
          <w:rFonts w:ascii="Arial" w:cs="Arial" w:eastAsia="Arial" w:hAnsi="Arial"/>
          <w:sz w:val="17"/>
          <w:szCs w:val="17"/>
          <w:color w:val="auto"/>
        </w:rPr>
        <w:t>”) to the Administrative Agent and (ii) during a Cash Dominion Period, agree to direct all payments thereunder to a Deposit Account subject to a Control Agreement for application to the Canadian Secured Obligations, in accordance with Section 2.18 of the Credit Agreement, all in form and substance reasonably satisfactory to the Administrative Agent.</w:t>
      </w:r>
    </w:p>
    <w:p>
      <w:pPr>
        <w:spacing w:after="0" w:line="17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7"/>
          <w:szCs w:val="17"/>
          <w:u w:val="single" w:color="auto"/>
          <w:color w:val="auto"/>
        </w:rPr>
        <w:t>No Interference</w:t>
      </w:r>
      <w:r>
        <w:rPr>
          <w:rFonts w:ascii="Arial" w:cs="Arial" w:eastAsia="Arial" w:hAnsi="Arial"/>
          <w:sz w:val="17"/>
          <w:szCs w:val="17"/>
          <w:color w:val="auto"/>
        </w:rPr>
        <w:t>. Such Grantor agrees that it will not interfere with any right, power and remedy of the Administrative Agent provided for in this</w:t>
      </w:r>
      <w:r>
        <w:rPr>
          <w:rFonts w:ascii="Arial" w:cs="Arial" w:eastAsia="Arial" w:hAnsi="Arial"/>
          <w:sz w:val="19"/>
          <w:szCs w:val="19"/>
          <w:color w:val="auto"/>
        </w:rPr>
        <w:t xml:space="preserve"> </w:t>
      </w:r>
      <w:r>
        <w:rPr>
          <w:rFonts w:ascii="Arial" w:cs="Arial" w:eastAsia="Arial" w:hAnsi="Arial"/>
          <w:sz w:val="17"/>
          <w:szCs w:val="17"/>
          <w:color w:val="auto"/>
        </w:rPr>
        <w:t>Canadian Security Agreement or now or hereafter existing at law or in equity or by statute or otherwise, or the exercise or beginning of the exercise by the Administrative Agent of any one or more of such rights, powers or remedies.</w:t>
      </w:r>
    </w:p>
    <w:p>
      <w:pPr>
        <w:spacing w:after="0" w:line="17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15" w:lineRule="exact"/>
        <w:rPr>
          <w:sz w:val="20"/>
          <w:szCs w:val="20"/>
          <w:color w:val="auto"/>
        </w:rPr>
      </w:pPr>
    </w:p>
    <w:p>
      <w:pPr>
        <w:jc w:val="both"/>
        <w:ind w:firstLine="567"/>
        <w:spacing w:after="0" w:line="264" w:lineRule="auto"/>
        <w:tabs>
          <w:tab w:leader="none" w:pos="98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All insurance policies required hereunder and under Section 5.09 of the Credit Agreement shall name the Administrative Agent (for the benefit of itself, the Canadian Administrative Agent and the Canadian Lenders) as an additional insured or as lender loss payee, as applicable, and shall contain loss payable clauses or mortgagee clauses, through endorsements in form and substance reasonably satisfactory to the Administrative Agent.</w:t>
      </w:r>
    </w:p>
    <w:p>
      <w:pPr>
        <w:sectPr>
          <w:pgSz w:w="11900" w:h="16838" w:orient="portrait"/>
          <w:cols w:equalWidth="0" w:num="1">
            <w:col w:w="11440"/>
          </w:cols>
          <w:pgMar w:left="240" w:top="137" w:right="219" w:bottom="0" w:gutter="0" w:footer="0" w:header="0"/>
        </w:sectPr>
      </w:pPr>
    </w:p>
    <w:bookmarkStart w:id="147" w:name="page148"/>
    <w:bookmarkEnd w:id="147"/>
    <w:p>
      <w:pPr>
        <w:jc w:val="both"/>
        <w:ind w:firstLine="567"/>
        <w:spacing w:after="0" w:line="259" w:lineRule="auto"/>
        <w:tabs>
          <w:tab w:leader="none" w:pos="94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All premiums on any such insurance shall be paid when due by such Grantor, and copies of the policies delivered to the Administrative Agent. If such Grantor fails to obtain any insurance as required by this Section, the Administrative Agent may obtain such insurance at the Canadian Borrowers’ expense. By purchasing such insurance, the Administrative Agent shall not be deemed to have waived any Default arising from any Grantor's failure to maintain such insurance or pay any premiums therefor.</w:t>
      </w:r>
    </w:p>
    <w:p>
      <w:pPr>
        <w:spacing w:after="0" w:line="176" w:lineRule="exact"/>
        <w:rPr>
          <w:sz w:val="20"/>
          <w:szCs w:val="20"/>
          <w:color w:val="auto"/>
        </w:rPr>
      </w:pPr>
    </w:p>
    <w:p>
      <w:pPr>
        <w:jc w:val="both"/>
        <w:ind w:firstLine="572"/>
        <w:spacing w:after="0" w:line="29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6"/>
          <w:szCs w:val="16"/>
          <w:u w:val="single" w:color="auto"/>
          <w:color w:val="auto"/>
        </w:rPr>
        <w:t>Collateral Access Agreements</w:t>
      </w:r>
      <w:r>
        <w:rPr>
          <w:rFonts w:ascii="Arial" w:cs="Arial" w:eastAsia="Arial" w:hAnsi="Arial"/>
          <w:sz w:val="16"/>
          <w:szCs w:val="16"/>
          <w:color w:val="auto"/>
        </w:rPr>
        <w:t>. Such Grantor shall use commercially reasonable efforts to obtain a Collateral Access Agreement, from the lessor of</w:t>
      </w:r>
      <w:r>
        <w:rPr>
          <w:rFonts w:ascii="Arial" w:cs="Arial" w:eastAsia="Arial" w:hAnsi="Arial"/>
          <w:sz w:val="18"/>
          <w:szCs w:val="18"/>
          <w:color w:val="auto"/>
        </w:rPr>
        <w:t xml:space="preserve"> </w:t>
      </w:r>
      <w:r>
        <w:rPr>
          <w:rFonts w:ascii="Arial" w:cs="Arial" w:eastAsia="Arial" w:hAnsi="Arial"/>
          <w:sz w:val="16"/>
          <w:szCs w:val="16"/>
          <w:color w:val="auto"/>
        </w:rPr>
        <w:t>each leased property, mortgagee of owned property or bailee or consignee with respect to any warehouse, processor or converter facility or other location where Inventory having a fair market value in excess of $1,000,000 is stored or located,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After the Second Restatement Date, if any Grantor leases any additional real property or warehouse space (other than a Distribution Center), such Grantor shall use commercially reasonably efforts to obtain a Collateral Access Agreement with respect to such location (unless the Inventory located at such location has an aggregate value of less than $1,000,000), and with respect to any additional leased real property or warehouse space (other than a Distribution Center), if the Administrative Agent has not received a Collateral Access Agreement within ninety (90) days after the date such location was leased, Eligible Inventory at any such location shall be subject to the establishment of Reserves acceptable to the Administrative Agent to the extent provided in the Credit Agreement.</w:t>
      </w:r>
    </w:p>
    <w:p>
      <w:pPr>
        <w:spacing w:after="0" w:line="16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4.14.</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firstLine="572"/>
        <w:spacing w:after="0" w:line="275"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7"/>
          <w:szCs w:val="17"/>
          <w:u w:val="single" w:color="auto"/>
          <w:color w:val="auto"/>
        </w:rPr>
        <w:t>Change of Name or Location</w:t>
      </w:r>
      <w:r>
        <w:rPr>
          <w:rFonts w:ascii="Arial" w:cs="Arial" w:eastAsia="Arial" w:hAnsi="Arial"/>
          <w:sz w:val="17"/>
          <w:szCs w:val="17"/>
          <w:color w:val="auto"/>
        </w:rPr>
        <w:t>. Except as provided in the Credit Agreement, such Grantor shall not (a) change its name as it appears in official</w:t>
      </w:r>
      <w:r>
        <w:rPr>
          <w:rFonts w:ascii="Arial" w:cs="Arial" w:eastAsia="Arial" w:hAnsi="Arial"/>
          <w:sz w:val="19"/>
          <w:szCs w:val="19"/>
          <w:color w:val="auto"/>
        </w:rPr>
        <w:t xml:space="preserve"> </w:t>
      </w:r>
      <w:r>
        <w:rPr>
          <w:rFonts w:ascii="Arial" w:cs="Arial" w:eastAsia="Arial" w:hAnsi="Arial"/>
          <w:sz w:val="17"/>
          <w:szCs w:val="17"/>
          <w:color w:val="auto"/>
        </w:rPr>
        <w:t>filings in the province of its incorporation, formation or other organization, (b) change its chief executive office, principal place of business, mailing address or the location of its records concerning the ABL Priority Collateral as set forth in this Canadian Security Agreement, (c) change the type of entity that it is, (d) change its organization identification number, if any, issued by its province of incorporation, formation or other organization, or (e) change its jurisdiction of incorporation, formation or other organization, in each case, unless the Administrative Agent shall have received at least ten (10) days (or such shorter period of time as agreed to by the Administrative Agent) prior written notice of such change.</w:t>
      </w:r>
    </w:p>
    <w:p>
      <w:pPr>
        <w:spacing w:after="0" w:line="17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4.16.</w:t>
      </w:r>
      <w:r>
        <w:rPr>
          <w:sz w:val="20"/>
          <w:szCs w:val="20"/>
          <w:color w:val="auto"/>
        </w:rPr>
        <w:tab/>
      </w:r>
      <w:r>
        <w:rPr>
          <w:rFonts w:ascii="Arial" w:cs="Arial" w:eastAsia="Arial" w:hAnsi="Arial"/>
          <w:sz w:val="16"/>
          <w:szCs w:val="16"/>
          <w:color w:val="auto"/>
        </w:rPr>
        <w:t>[intentionally omitted].</w:t>
      </w:r>
    </w:p>
    <w:p>
      <w:pPr>
        <w:spacing w:after="0" w:line="209"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EVENTS OF DEFAULT AND REMEDIES</w:t>
      </w:r>
    </w:p>
    <w:p>
      <w:pPr>
        <w:spacing w:after="0" w:line="19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[intentionally omitted].</w:t>
      </w:r>
    </w:p>
    <w:p>
      <w:pPr>
        <w:spacing w:after="0" w:line="217"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15" w:lineRule="exact"/>
        <w:rPr>
          <w:sz w:val="20"/>
          <w:szCs w:val="20"/>
          <w:color w:val="auto"/>
        </w:rPr>
      </w:pPr>
    </w:p>
    <w:p>
      <w:pPr>
        <w:ind w:right="20" w:firstLine="1139"/>
        <w:spacing w:after="0" w:line="344" w:lineRule="auto"/>
        <w:tabs>
          <w:tab w:leader="none" w:pos="190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the Administrative Agent may, or at the direction of the Required Secured Parties shall, exercise any or all of the following rights and remedies, subject to the terms of the ABL-Term Loan Intercreditor Agreement:</w:t>
      </w:r>
    </w:p>
    <w:p>
      <w:pPr>
        <w:spacing w:after="0" w:line="127" w:lineRule="exact"/>
        <w:rPr>
          <w:rFonts w:ascii="Arial" w:cs="Arial" w:eastAsia="Arial" w:hAnsi="Arial"/>
          <w:sz w:val="16"/>
          <w:szCs w:val="16"/>
          <w:color w:val="auto"/>
        </w:rPr>
      </w:pPr>
    </w:p>
    <w:p>
      <w:pPr>
        <w:jc w:val="both"/>
        <w:ind w:left="560" w:firstLine="1151"/>
        <w:spacing w:after="0" w:line="293" w:lineRule="auto"/>
        <w:tabs>
          <w:tab w:leader="none" w:pos="2726"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subject to Section 3.13(d) with respect to Pledged ULC Shares, those rights and remedies provided in this Canadian Security Agreement, the Credit Agreement, or any other Loan Document;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Section 5.2(a) shall not be understood to limit any rights or remedies available to the Administrative Agent and the Canadian Lenders prior to an Event of Default;</w:t>
      </w:r>
    </w:p>
    <w:p>
      <w:pPr>
        <w:spacing w:after="0" w:line="165" w:lineRule="exact"/>
        <w:rPr>
          <w:rFonts w:ascii="Arial" w:cs="Arial" w:eastAsia="Arial" w:hAnsi="Arial"/>
          <w:sz w:val="17"/>
          <w:szCs w:val="17"/>
          <w:color w:val="auto"/>
        </w:rPr>
      </w:pPr>
    </w:p>
    <w:p>
      <w:pPr>
        <w:jc w:val="both"/>
        <w:ind w:left="560" w:firstLine="1151"/>
        <w:spacing w:after="0" w:line="293" w:lineRule="auto"/>
        <w:tabs>
          <w:tab w:leader="none" w:pos="277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those rights and remedies available to a secured party under the PPSA (whether or not the PPSA applies to the affected Collateral) or under any other applicable law (including, without limitation, any law governing the exercise of a bank's right of setoff or bankers' lien) when a debtor is in default under a security agreement;</w:t>
      </w:r>
    </w:p>
    <w:p>
      <w:pPr>
        <w:spacing w:after="0" w:line="165" w:lineRule="exact"/>
        <w:rPr>
          <w:rFonts w:ascii="Arial" w:cs="Arial" w:eastAsia="Arial" w:hAnsi="Arial"/>
          <w:sz w:val="17"/>
          <w:szCs w:val="17"/>
          <w:color w:val="auto"/>
        </w:rPr>
      </w:pPr>
    </w:p>
    <w:p>
      <w:pPr>
        <w:jc w:val="both"/>
        <w:ind w:left="560" w:firstLine="1151"/>
        <w:spacing w:after="0" w:line="283" w:lineRule="auto"/>
        <w:tabs>
          <w:tab w:leader="none" w:pos="2823" w:val="left"/>
        </w:tabs>
        <w:numPr>
          <w:ilvl w:val="1"/>
          <w:numId w:val="209"/>
        </w:numPr>
        <w:rPr>
          <w:rFonts w:ascii="Arial" w:cs="Arial" w:eastAsia="Arial" w:hAnsi="Arial"/>
          <w:sz w:val="17"/>
          <w:szCs w:val="17"/>
          <w:color w:val="auto"/>
        </w:rPr>
      </w:pPr>
      <w:r>
        <w:rPr>
          <w:rFonts w:ascii="Arial" w:cs="Arial" w:eastAsia="Arial" w:hAnsi="Arial"/>
          <w:sz w:val="17"/>
          <w:szCs w:val="17"/>
          <w:color w:val="auto"/>
        </w:rPr>
        <w:t>without notice (except where written notice may be required pursuant to Section 3.13(d) in the case of Pledged ULC Shares, or as specifically provided in Section 9.1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 and</w:t>
      </w:r>
    </w:p>
    <w:p>
      <w:pPr>
        <w:spacing w:after="0" w:line="173" w:lineRule="exact"/>
        <w:rPr>
          <w:rFonts w:ascii="Arial" w:cs="Arial" w:eastAsia="Arial" w:hAnsi="Arial"/>
          <w:sz w:val="17"/>
          <w:szCs w:val="17"/>
          <w:color w:val="auto"/>
        </w:rPr>
      </w:pPr>
    </w:p>
    <w:p>
      <w:pPr>
        <w:jc w:val="both"/>
        <w:ind w:left="560" w:firstLine="1151"/>
        <w:spacing w:after="0" w:line="307" w:lineRule="auto"/>
        <w:tabs>
          <w:tab w:leader="none" w:pos="281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concurrently with written notice to the applicable Grantor, or written notice in accordance with Section 3.13(d) in the case of Pledged ULC Shares, transfer and register in its name or in the name of its nominee the whole or any part of the Pledged Collateral, to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Administrative Agent was the outright owner thereof.</w:t>
      </w:r>
    </w:p>
    <w:p>
      <w:pPr>
        <w:spacing w:after="0" w:line="157" w:lineRule="exact"/>
        <w:rPr>
          <w:rFonts w:ascii="Arial" w:cs="Arial" w:eastAsia="Arial" w:hAnsi="Arial"/>
          <w:sz w:val="16"/>
          <w:szCs w:val="16"/>
          <w:color w:val="auto"/>
        </w:rPr>
      </w:pPr>
    </w:p>
    <w:p>
      <w:pPr>
        <w:ind w:right="20" w:firstLine="1139"/>
        <w:spacing w:after="0" w:line="310" w:lineRule="auto"/>
        <w:tabs>
          <w:tab w:leader="none" w:pos="19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 addition to (and without limitation of) all of the rights of the Administrative Agent set forth herein, during a Cash Dominion Period, the Administrative Agent shall have all of the rights set forth in Section 7.2.</w:t>
      </w:r>
    </w:p>
    <w:p>
      <w:pPr>
        <w:spacing w:after="0" w:line="150" w:lineRule="exact"/>
        <w:rPr>
          <w:rFonts w:ascii="Arial" w:cs="Arial" w:eastAsia="Arial" w:hAnsi="Arial"/>
          <w:sz w:val="17"/>
          <w:szCs w:val="17"/>
          <w:color w:val="auto"/>
        </w:rPr>
      </w:pPr>
    </w:p>
    <w:p>
      <w:pPr>
        <w:jc w:val="both"/>
        <w:ind w:right="20" w:firstLine="1139"/>
        <w:spacing w:after="0" w:line="293" w:lineRule="auto"/>
        <w:tabs>
          <w:tab w:leader="none" w:pos="190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Administrative Agent, on behalf of itself, the Canadian Administrative Agent and the Canadian Lenders, may comply with any applicable provincial or federal law requirements in connection with a disposition of the Collateral and compliance will not be considered to adversely affect the commercial reasonableness of any sale of the Collateral.</w:t>
      </w:r>
    </w:p>
    <w:p>
      <w:pPr>
        <w:spacing w:after="0" w:line="165" w:lineRule="exact"/>
        <w:rPr>
          <w:rFonts w:ascii="Arial" w:cs="Arial" w:eastAsia="Arial" w:hAnsi="Arial"/>
          <w:sz w:val="17"/>
          <w:szCs w:val="17"/>
          <w:color w:val="auto"/>
        </w:rPr>
      </w:pPr>
    </w:p>
    <w:p>
      <w:pPr>
        <w:jc w:val="both"/>
        <w:ind w:right="20" w:firstLine="1139"/>
        <w:spacing w:after="0" w:line="293" w:lineRule="auto"/>
        <w:tabs>
          <w:tab w:leader="none" w:pos="19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Administrative Agent shall have the right upon any such public sale or sales and, to the extent permitted by law, upon any such private sale or sales, to purchase for the benefit of itself, the Canadian Administrative Agent and the Canadian Lenders, the whole or any part of the Collateral so sold, free of any right of equity redemption, which equity redemption the Grantor hereby expressly releases.</w:t>
      </w:r>
    </w:p>
    <w:p>
      <w:pPr>
        <w:spacing w:after="0" w:line="165" w:lineRule="exact"/>
        <w:rPr>
          <w:rFonts w:ascii="Arial" w:cs="Arial" w:eastAsia="Arial" w:hAnsi="Arial"/>
          <w:sz w:val="17"/>
          <w:szCs w:val="17"/>
          <w:color w:val="auto"/>
        </w:rPr>
      </w:pPr>
    </w:p>
    <w:p>
      <w:pPr>
        <w:jc w:val="both"/>
        <w:ind w:firstLine="1139"/>
        <w:spacing w:after="0" w:line="311" w:lineRule="auto"/>
        <w:tabs>
          <w:tab w:leader="none" w:pos="190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Until the Administrative Agent is able to effect a sale, lease, or other disposition of Collateral, subject to the terms of the ABL-Term Loan Intercreditor Agreement,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subject to the terms of the ABL-Term Loan Intercreditor Agreement, if it so elects, seek the appointment of a receiver or keeper to take possession of Collateral and to</w:t>
      </w:r>
    </w:p>
    <w:p>
      <w:pPr>
        <w:sectPr>
          <w:pgSz w:w="11900" w:h="16838" w:orient="portrait"/>
          <w:cols w:equalWidth="0" w:num="1">
            <w:col w:w="11440"/>
          </w:cols>
          <w:pgMar w:left="240" w:top="327" w:right="219" w:bottom="0" w:gutter="0" w:footer="0" w:header="0"/>
        </w:sectPr>
      </w:pPr>
    </w:p>
    <w:bookmarkStart w:id="148" w:name="page149"/>
    <w:bookmarkEnd w:id="148"/>
    <w:p>
      <w:pPr>
        <w:spacing w:after="0" w:line="63"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color w:val="auto"/>
        </w:rPr>
        <w:t>enforce any of the Administrative Agent’s remedies (for the benefit of itself, the Canadian Administrative Agent and the Canadian Lenders), with respect to such appointment without prior notice or hearing as to such appointment.</w:t>
      </w:r>
    </w:p>
    <w:p>
      <w:pPr>
        <w:spacing w:after="0" w:line="150" w:lineRule="exact"/>
        <w:rPr>
          <w:sz w:val="20"/>
          <w:szCs w:val="20"/>
          <w:color w:val="auto"/>
        </w:rPr>
      </w:pPr>
    </w:p>
    <w:p>
      <w:pPr>
        <w:jc w:val="both"/>
        <w:ind w:right="20" w:firstLine="1139"/>
        <w:spacing w:after="0" w:line="288" w:lineRule="auto"/>
        <w:tabs>
          <w:tab w:leader="none" w:pos="189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after the Credit Agreement has terminated by its terms and all of the Obligations have been paid in full (other than contingent obligations for which no claim has been asserted), there remain Swap Obligations outstanding, the Required Secured Parties may exercise the remedies provided in this Section 5.2 upon the occurrence of any event which would allow or require the termination or acceleration of any Swap Obligations pursuant to the terms of the Swap Agreement.</w:t>
      </w:r>
    </w:p>
    <w:p>
      <w:pPr>
        <w:spacing w:after="0" w:line="169" w:lineRule="exact"/>
        <w:rPr>
          <w:rFonts w:ascii="Arial" w:cs="Arial" w:eastAsia="Arial" w:hAnsi="Arial"/>
          <w:sz w:val="17"/>
          <w:szCs w:val="17"/>
          <w:color w:val="auto"/>
        </w:rPr>
      </w:pPr>
    </w:p>
    <w:p>
      <w:pPr>
        <w:jc w:val="both"/>
        <w:ind w:firstLine="1139"/>
        <w:spacing w:after="0" w:line="285" w:lineRule="auto"/>
        <w:tabs>
          <w:tab w:leader="none" w:pos="191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Notwithstanding the foregoing, neither the Administrative Agent, the Canadian Administrative Agent nor the Canadian Lenders shall be required to (i) make any demand upon, or pursue or exhaust any of its rights or remedies against, any Grantor, any other obligor, guarantor, pledgor or any other Person with respect to the payment of the Canadian Secured Obligations or to pursue or exhaust any of its rights or remedies with respect to any Collateral therefor or any direct or indirect guarantee thereof, (ii) marshal the Collateral or any guarantee of the Canadian Secured Obligations or to resort to the Collateral or any such guarantee in any particular order, or (iii) effect a public sale of any Collateral.</w:t>
      </w:r>
    </w:p>
    <w:p>
      <w:pPr>
        <w:spacing w:after="0" w:line="173" w:lineRule="exact"/>
        <w:rPr>
          <w:rFonts w:ascii="Arial" w:cs="Arial" w:eastAsia="Arial" w:hAnsi="Arial"/>
          <w:sz w:val="17"/>
          <w:szCs w:val="17"/>
          <w:color w:val="auto"/>
        </w:rPr>
      </w:pPr>
    </w:p>
    <w:p>
      <w:pPr>
        <w:jc w:val="both"/>
        <w:ind w:firstLine="1139"/>
        <w:spacing w:after="0" w:line="305" w:lineRule="auto"/>
        <w:tabs>
          <w:tab w:leader="none" w:pos="19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Each Grantor also acknowledges that any private sale may result in prices and other terms less favourable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 register such securities for public sale under applicable securities laws, even if the applicable Grantor and the issuer would agree to do so.</w:t>
      </w:r>
    </w:p>
    <w:p>
      <w:pPr>
        <w:spacing w:after="0" w:line="14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Grantor's Obligations Upon Default</w:t>
      </w:r>
      <w:r>
        <w:rPr>
          <w:rFonts w:ascii="Arial" w:cs="Arial" w:eastAsia="Arial" w:hAnsi="Arial"/>
          <w:sz w:val="16"/>
          <w:szCs w:val="16"/>
          <w:color w:val="auto"/>
        </w:rPr>
        <w:t>. Upon the request of the Administrative Agent after the occurrence of and during the continuance of an Event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Default, subject to the terms of the ABL-Term Loan Intercreditor Agreement, each Grantor will:</w:t>
      </w:r>
    </w:p>
    <w:p>
      <w:pPr>
        <w:spacing w:after="0" w:line="208" w:lineRule="exact"/>
        <w:rPr>
          <w:sz w:val="20"/>
          <w:szCs w:val="20"/>
          <w:color w:val="auto"/>
        </w:rPr>
      </w:pPr>
    </w:p>
    <w:p>
      <w:pPr>
        <w:ind w:right="20" w:firstLine="1139"/>
        <w:spacing w:after="0" w:line="310" w:lineRule="auto"/>
        <w:tabs>
          <w:tab w:leader="none" w:pos="190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assemble and make available to the Administrative Agent the Collateral and all books and records relating thereto at any place or places reasonably specified by the Administrative Agent, whether at a Grantor's premises or elsewhere;</w:t>
      </w:r>
    </w:p>
    <w:p>
      <w:pPr>
        <w:spacing w:after="0" w:line="150" w:lineRule="exact"/>
        <w:rPr>
          <w:rFonts w:ascii="Arial" w:cs="Arial" w:eastAsia="Arial" w:hAnsi="Arial"/>
          <w:sz w:val="17"/>
          <w:szCs w:val="17"/>
          <w:color w:val="auto"/>
        </w:rPr>
      </w:pPr>
    </w:p>
    <w:p>
      <w:pPr>
        <w:jc w:val="both"/>
        <w:ind w:firstLine="1139"/>
        <w:spacing w:after="0" w:line="288" w:lineRule="auto"/>
        <w:tabs>
          <w:tab w:leader="none" w:pos="191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69" w:lineRule="exact"/>
        <w:rPr>
          <w:rFonts w:ascii="Arial" w:cs="Arial" w:eastAsia="Arial" w:hAnsi="Arial"/>
          <w:sz w:val="17"/>
          <w:szCs w:val="17"/>
          <w:color w:val="auto"/>
        </w:rPr>
      </w:pPr>
    </w:p>
    <w:p>
      <w:pPr>
        <w:jc w:val="both"/>
        <w:ind w:firstLine="1139"/>
        <w:spacing w:after="0" w:line="311" w:lineRule="auto"/>
        <w:tabs>
          <w:tab w:leader="none" w:pos="190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prepare and file, or cause an issuer of Pledged Collateral to prepare and file, with the applicable government agency, registration statements, a prospectus and such other documentation in connection with the Pledged Collateral as the Administrative Agent may request, all in form and substance reasonably satisfactory to the Administrative Agent, and furnish to the Administrative Agent, or cause an issuer of Pledged Collateral to furnish to the Administrative Agent, any information regarding the Pledged Collateral in such detail as the Administrative Agent may reasonably specify;</w:t>
      </w:r>
    </w:p>
    <w:p>
      <w:pPr>
        <w:spacing w:after="0" w:line="154" w:lineRule="exact"/>
        <w:rPr>
          <w:rFonts w:ascii="Arial" w:cs="Arial" w:eastAsia="Arial" w:hAnsi="Arial"/>
          <w:sz w:val="16"/>
          <w:szCs w:val="16"/>
          <w:color w:val="auto"/>
        </w:rPr>
      </w:pPr>
    </w:p>
    <w:p>
      <w:pPr>
        <w:ind w:firstLine="1139"/>
        <w:spacing w:after="0" w:line="310" w:lineRule="auto"/>
        <w:tabs>
          <w:tab w:leader="none" w:pos="191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take, or cause an issuer of Pledged Collateral to take, any and all actions necessary to register or qualify the Pledged Collateral to enable the Administrative Agent to consummate a public sale or other disposition of the Pledged Collateral; and</w:t>
      </w:r>
    </w:p>
    <w:p>
      <w:pPr>
        <w:spacing w:after="0" w:line="150" w:lineRule="exact"/>
        <w:rPr>
          <w:rFonts w:ascii="Arial" w:cs="Arial" w:eastAsia="Arial" w:hAnsi="Arial"/>
          <w:sz w:val="17"/>
          <w:szCs w:val="17"/>
          <w:color w:val="auto"/>
        </w:rPr>
      </w:pPr>
    </w:p>
    <w:p>
      <w:pPr>
        <w:jc w:val="both"/>
        <w:ind w:right="20" w:firstLine="1139"/>
        <w:spacing w:after="0" w:line="288" w:lineRule="auto"/>
        <w:tabs>
          <w:tab w:leader="none" w:pos="190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at its own expense, use commercially reasonable efforts to cause the independent certified public accountants then engaged by each Grantor to prepare and deliver to the Administrative Agent, the Canadian Administrative Agent and each Canadian Lender, at any time, and from time to time, promptly upon the Administrative Agent’s request, the following reports with respect to the applicable Grantor: (i) a reconciliation of all Accounts; (ii) an aging of all Accounts; (iii) trial balances; and (iv) a test verification of such Accounts.</w:t>
      </w:r>
    </w:p>
    <w:p>
      <w:pPr>
        <w:spacing w:after="0" w:line="158"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Grant of Intellectual Property License</w:t>
      </w:r>
      <w:r>
        <w:rPr>
          <w:rFonts w:ascii="Arial" w:cs="Arial" w:eastAsia="Arial" w:hAnsi="Arial"/>
          <w:sz w:val="16"/>
          <w:szCs w:val="16"/>
          <w:color w:val="auto"/>
        </w:rPr>
        <w:t xml:space="preserve">. For the purpose of enabling the Administrative Agent to exercise the rights and remedies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at such time as the Administrative Agent shall be lawfully entitled to exercise such rights and remedies and subject to the terms of the ABL-Term Loan Intercreditor Agreement, each Grantor hereby (a) grants to the Administrative Agent, for the benefit of itself, the Canadian Administrative Agent and the Canadian Lenders, an irrevocable, nonexclusive license (exercisable without payment of royalty or other compensation to any Grantor) to use, license or sublicense any intellectual property rights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and (b) irrevocably agrees that the Administrative Agent may sell any of such Grantor's Inventory directly to any person, including without limitation persons who have previously purchased the Grantor's Inventory from such Grantor and in connection with any such sale or other enforcement of the Administrative Agent's rights under this Canadian Security Agreement, may sell Inventory which bears any Trademark owned by or licensed to such Grantor and any Inventory that is covered by any Copyright owned by or licensed to such Grantor and the Administrative Agent may finish any work in process and affix any Trademark owned by or licensed to such Grantor and sell such Inventory as provided herein.</w:t>
      </w:r>
    </w:p>
    <w:p>
      <w:pPr>
        <w:spacing w:after="0" w:line="15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ACCOUNT VERIFICATION; ATTORNEY IN FACT; PROXY</w:t>
      </w:r>
    </w:p>
    <w:p>
      <w:pPr>
        <w:spacing w:after="0" w:line="203" w:lineRule="exact"/>
        <w:rPr>
          <w:sz w:val="20"/>
          <w:szCs w:val="20"/>
          <w:color w:val="auto"/>
        </w:rPr>
      </w:pPr>
    </w:p>
    <w:p>
      <w:pPr>
        <w:jc w:val="both"/>
        <w:ind w:right="20" w:firstLine="572"/>
        <w:spacing w:after="0" w:line="33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5"/>
          <w:szCs w:val="15"/>
          <w:u w:val="single" w:color="auto"/>
          <w:color w:val="auto"/>
        </w:rPr>
        <w:t>Account Verification</w:t>
      </w:r>
      <w:r>
        <w:rPr>
          <w:rFonts w:ascii="Arial" w:cs="Arial" w:eastAsia="Arial" w:hAnsi="Arial"/>
          <w:sz w:val="15"/>
          <w:szCs w:val="15"/>
          <w:color w:val="auto"/>
        </w:rPr>
        <w:t>. The Administrative Agent may at any time, in the Administrative Agent’s own name, in the name of a nominee of the</w:t>
      </w:r>
      <w:r>
        <w:rPr>
          <w:rFonts w:ascii="Arial" w:cs="Arial" w:eastAsia="Arial" w:hAnsi="Arial"/>
          <w:sz w:val="17"/>
          <w:szCs w:val="17"/>
          <w:color w:val="auto"/>
        </w:rPr>
        <w:t xml:space="preserve"> </w:t>
      </w:r>
      <w:r>
        <w:rPr>
          <w:rFonts w:ascii="Arial" w:cs="Arial" w:eastAsia="Arial" w:hAnsi="Arial"/>
          <w:sz w:val="15"/>
          <w:szCs w:val="15"/>
          <w:color w:val="auto"/>
        </w:rPr>
        <w:t>Administrative Agent, or in the name of any Grantor communicate (by mail, telephone, facsimile or otherwise) with the Account Debtors of any such Grantor, parties to contracts with any such Grantor and obligors in respect of Instruments of any such Grantor to verify with such Persons, to the Administrative Agent’s satisfaction, the existence, amount, terms of, and any other matter relating to, Accounts, Instruments, Chattel Paper, payment intangibles and/or other Receivables.</w:t>
      </w:r>
    </w:p>
    <w:p>
      <w:pPr>
        <w:spacing w:after="0" w:line="140"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6"/>
          <w:szCs w:val="16"/>
          <w:u w:val="single" w:color="auto"/>
          <w:color w:val="auto"/>
        </w:rPr>
        <w:t>Authorization for Administrative Agent to Take Certain Action</w:t>
      </w:r>
      <w:r>
        <w:rPr>
          <w:rFonts w:ascii="Arial" w:cs="Arial" w:eastAsia="Arial" w:hAnsi="Arial"/>
          <w:sz w:val="16"/>
          <w:szCs w:val="16"/>
          <w:color w:val="auto"/>
        </w:rPr>
        <w:t>.</w:t>
      </w:r>
    </w:p>
    <w:p>
      <w:pPr>
        <w:spacing w:after="0" w:line="215" w:lineRule="exact"/>
        <w:rPr>
          <w:sz w:val="20"/>
          <w:szCs w:val="20"/>
          <w:color w:val="auto"/>
        </w:rPr>
      </w:pPr>
    </w:p>
    <w:p>
      <w:pPr>
        <w:jc w:val="both"/>
        <w:ind w:firstLine="1139"/>
        <w:spacing w:after="0" w:line="289" w:lineRule="auto"/>
        <w:tabs>
          <w:tab w:leader="none" w:pos="1514" w:val="left"/>
        </w:tabs>
        <w:numPr>
          <w:ilvl w:val="0"/>
          <w:numId w:val="212"/>
        </w:numPr>
        <w:rPr>
          <w:rFonts w:ascii="Arial" w:cs="Arial" w:eastAsia="Arial" w:hAnsi="Arial"/>
          <w:sz w:val="15"/>
          <w:szCs w:val="15"/>
          <w:color w:val="auto"/>
        </w:rPr>
      </w:pPr>
      <w:r>
        <w:rPr>
          <w:rFonts w:ascii="Arial" w:cs="Arial" w:eastAsia="Arial" w:hAnsi="Arial"/>
          <w:sz w:val="15"/>
          <w:szCs w:val="15"/>
          <w:color w:val="auto"/>
        </w:rPr>
        <w:t>Subject to Section 6.2(b) below and subject to the terms of the ABL-Term Loan Intercreditor Agreement, each Grantor irrevocably authorizes the Administrative Agent at any time and from time to time in the Permitted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to endorse and collect any cash proceeds of the Collateral, (iii) to file a carbon, photographic or other reproduction of this Canadian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(iv)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 to apply the proceeds of any Collateral received by the Administrative Agent to the Canadian Secured Obligations as provided in</w:t>
      </w:r>
    </w:p>
    <w:p>
      <w:pPr>
        <w:sectPr>
          <w:pgSz w:w="11900" w:h="16901" w:orient="portrait"/>
          <w:cols w:equalWidth="0" w:num="1">
            <w:col w:w="11440"/>
          </w:cols>
          <w:pgMar w:left="240" w:top="136" w:right="219" w:bottom="0" w:gutter="0" w:footer="0" w:header="0"/>
        </w:sectPr>
      </w:pPr>
    </w:p>
    <w:bookmarkStart w:id="149" w:name="page150"/>
    <w:bookmarkEnd w:id="149"/>
    <w:p>
      <w:pPr>
        <w:jc w:val="both"/>
        <w:ind w:left="5"/>
        <w:spacing w:after="0" w:line="283" w:lineRule="auto"/>
        <w:rPr>
          <w:sz w:val="20"/>
          <w:szCs w:val="20"/>
          <w:color w:val="auto"/>
        </w:rPr>
      </w:pPr>
      <w:r>
        <w:rPr>
          <w:rFonts w:ascii="Arial" w:cs="Arial" w:eastAsia="Arial" w:hAnsi="Arial"/>
          <w:sz w:val="15"/>
          <w:szCs w:val="15"/>
          <w:color w:val="auto"/>
        </w:rPr>
        <w:t>Section 7.4, (vi) to discharge past due taxes, assessments, charges, fees or Liens on the Collateral (except for (A) taxes, assessments, charges or fees which are permitted to be past due in accordance with the Credit Agreement, or (B) such Liens that are permitted under Section 6.02 of the Credit Agreement), (vii) to contact Account Debtors for any reason, (viii) to demand payment or enforce payment of the Receivables in the name of the Administrative Agent or such Grantor and to endorse any and all checks, drafts, and other instruments for the payment of money relating to the Receivables, (ix) to sign such Grantor's name on any invoice or bill of lading relating to the Receivables, drafts against any Account Debtor of the Grantor, assignments and verifications of Receivables, (x) to exercise all of such Grantor's rights and remedies with respect to the collection of the Receivables and any other Collateral, (xi) to settle, adjust, compromise, extend or renew the Receivables, (xii) to settle, adjust or compromise any legal proceedings brought to collect Receivables, (xiii) to prepare, file and sign such Grantor's name on a proof of claim in bankruptcy or similar document against any Account Debtor of such Grantor, (xiv) to prepare, file and sign such Grantor's name on any notice of Lien, assignment or satisfaction of Lien or similar document in connection with the Receivables, (xv) to change the address for delivery of mail addressed to such Grantor to such address as the Administrative Agent may designate and to receive, open and dispose of all mail addressed to such Grantor, and</w:t>
      </w:r>
    </w:p>
    <w:p>
      <w:pPr>
        <w:spacing w:after="0" w:line="7" w:lineRule="exact"/>
        <w:rPr>
          <w:sz w:val="20"/>
          <w:szCs w:val="20"/>
          <w:color w:val="auto"/>
        </w:rPr>
      </w:pPr>
    </w:p>
    <w:p>
      <w:pPr>
        <w:jc w:val="both"/>
        <w:ind w:left="5" w:hanging="5"/>
        <w:spacing w:after="0" w:line="253" w:lineRule="auto"/>
        <w:tabs>
          <w:tab w:leader="none" w:pos="39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to do all other acts and things necessary to carry out this Canadian Security Agreement; and such Grantor agrees to reimburse the Administrative Agent on demand for any payment made or any reasonable and documented out-of-pocket expense incurred by the Administrative Agent in connection with any of the foregoing;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authorization shall not relieve such Grantor of any of its obligations under this Canadian Security Agreement or under the Credit Agreement.</w:t>
      </w:r>
    </w:p>
    <w:p>
      <w:pPr>
        <w:spacing w:after="0" w:line="174" w:lineRule="exact"/>
        <w:rPr>
          <w:rFonts w:ascii="Arial" w:cs="Arial" w:eastAsia="Arial" w:hAnsi="Arial"/>
          <w:sz w:val="17"/>
          <w:szCs w:val="17"/>
          <w:color w:val="auto"/>
        </w:rPr>
      </w:pPr>
    </w:p>
    <w:p>
      <w:pPr>
        <w:jc w:val="both"/>
        <w:ind w:left="5" w:firstLine="1139"/>
        <w:spacing w:after="0" w:line="254" w:lineRule="auto"/>
        <w:tabs>
          <w:tab w:leader="none" w:pos="1544"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All acts of said attorney or designee are hereby ratified and approved. The powers conferred on the Administrative Agent, for the benefit of itself, the Canadian Administrative Agent and the Canadian Lenders, under this Section 6.2 are solely to protect the Administrative Agent’s interests in the Collateral and shall not impose any duty upon the Administrative Agent or any Canadian Lender to exercise any such powers. The Administrative Agent agrees that, (i) except for the powers granted in Sections 6.2(a)(i)-(vi), the Administrative Agent shall not exercise any power or authority granted to it unless an Event of Default has occurred and is continuing, (ii) the Administrative Agent shall not exercise any power or authority granted to it under Sections 6.2(a)(ii) or 6.2(a)(v) unless a Cash Dominion Period shall be in effect and (iii) the Administrative Agent shall not exercise any power of attorney granted to it under Section 6.2(a) in a manner that would violate the terms of the ABL-Term Loan Intercreditor Agreement.</w:t>
      </w:r>
    </w:p>
    <w:p>
      <w:pPr>
        <w:spacing w:after="0" w:line="180" w:lineRule="exact"/>
        <w:rPr>
          <w:sz w:val="20"/>
          <w:szCs w:val="20"/>
          <w:color w:val="auto"/>
        </w:rPr>
      </w:pPr>
    </w:p>
    <w:p>
      <w:pPr>
        <w:jc w:val="both"/>
        <w:ind w:left="5" w:firstLine="572"/>
        <w:spacing w:after="0" w:line="228" w:lineRule="exact"/>
        <w:rPr>
          <w:sz w:val="20"/>
          <w:szCs w:val="20"/>
          <w:color w:val="auto"/>
        </w:rPr>
      </w:pPr>
      <w:r>
        <w:rPr>
          <w:rFonts w:ascii="Arial" w:cs="Arial" w:eastAsia="Arial" w:hAnsi="Arial"/>
          <w:sz w:val="19"/>
          <w:szCs w:val="19"/>
          <w:color w:val="auto"/>
        </w:rPr>
        <w:t xml:space="preserve">6.3. </w:t>
      </w:r>
      <w:r>
        <w:rPr>
          <w:rFonts w:ascii="Arial" w:cs="Arial" w:eastAsia="Arial" w:hAnsi="Arial"/>
          <w:sz w:val="17"/>
          <w:szCs w:val="17"/>
          <w:u w:val="single" w:color="auto"/>
          <w:color w:val="auto"/>
        </w:rPr>
        <w:t>Proxy</w:t>
      </w:r>
      <w:r>
        <w:rPr>
          <w:rFonts w:ascii="Arial" w:cs="Arial" w:eastAsia="Arial" w:hAnsi="Arial"/>
          <w:sz w:val="17"/>
          <w:szCs w:val="17"/>
          <w:color w:val="auto"/>
        </w:rPr>
        <w:t>. EACH GRANTOR HEREBY IRREVOCABLY CONSTITUTES AND APPOINTS THE ADMINISTRATIVE AGENT AS ITS PROXY</w:t>
      </w:r>
      <w:r>
        <w:rPr>
          <w:rFonts w:ascii="Arial" w:cs="Arial" w:eastAsia="Arial" w:hAnsi="Arial"/>
          <w:sz w:val="19"/>
          <w:szCs w:val="19"/>
          <w:color w:val="auto"/>
        </w:rPr>
        <w:t xml:space="preserve"> </w:t>
      </w:r>
      <w:r>
        <w:rPr>
          <w:rFonts w:ascii="Arial" w:cs="Arial" w:eastAsia="Arial" w:hAnsi="Arial"/>
          <w:sz w:val="17"/>
          <w:szCs w:val="17"/>
          <w:color w:val="auto"/>
        </w:rPr>
        <w:t>AND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(AS SET FORTH IN AND SUBJECT TO THE PROVISIONS OF SECTION 6.2 ABOVE) WITH RESPECT TO ITS PLEDGED COLLATERAL, INCLUDING THE RIGHT TO VOTE SUCH PLEDGED COLLATERAL EXCEPT FOR THE PLEDGED ULC SHARES, IN RESPECT OF WHICH SUCH RIGHTS DO NOT ARISE UNTIL AFTER THE GIVING OF NOTICE PROVIDED FOR IN SECTION 3.13(d), WITH FULL POWER OF SUBSTITUTION TO DO SO AFTER THE OCCURRENCE AND DURING THE CONTINUANCE OF AN EVENT OF DEFAULT. IN ADDITION TO THE RIGHT TO VOTE SUCH PLEDGED COLLATERAL AFTER THE OCCURRENCE AND DURING THE CONTINUANCE OF AN EVENT OF DEFAULT, THE APPOINTMENT OF THE ADMINISTRATIVE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SUCH PLEDGED COLLATERAL ON THE RECORD BOOKS OF THE ISSUER THEREOF) BY ANY PERSON (INCLUDING THE ISSUER OF THE PLEDGED COLLATERAL OR ANY OFFICER OR AGENT THEREOF), UPON THE OCCURRENCE OF AND DURING THE CONTINUANCE OF AN EVENT OF DEFAULT.</w:t>
      </w:r>
    </w:p>
    <w:p>
      <w:pPr>
        <w:spacing w:after="0" w:line="203" w:lineRule="exact"/>
        <w:rPr>
          <w:sz w:val="20"/>
          <w:szCs w:val="20"/>
          <w:color w:val="auto"/>
        </w:rPr>
      </w:pPr>
    </w:p>
    <w:p>
      <w:pPr>
        <w:jc w:val="both"/>
        <w:ind w:left="5" w:firstLine="572"/>
        <w:spacing w:after="0" w:line="27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7"/>
          <w:szCs w:val="17"/>
          <w:u w:val="single" w:color="auto"/>
          <w:color w:val="auto"/>
        </w:rPr>
        <w:t>Nature of Appointment; Limitation of Duty</w:t>
      </w:r>
      <w:r>
        <w:rPr>
          <w:rFonts w:ascii="Arial" w:cs="Arial" w:eastAsia="Arial" w:hAnsi="Arial"/>
          <w:sz w:val="17"/>
          <w:szCs w:val="17"/>
          <w:color w:val="auto"/>
        </w:rPr>
        <w:t>. THE APPOINTMENT OF THE ADMINISTRATIVE AGENT AS PROXY AND ATTORNEY-IN-FACT WITH RESPECT TO EACH GRANTOR IN THIS ARTICLE VI IS COUPLED WITH AN INTEREST AND SHALL BE IRREVOCABLE UNTIL THE DATE ON WHICH THIS CANADIAN SECURITY AGREEMENT IS TERMINATED IN ACCORDANCE WITH SECTION 8.16 OR SUCH GRANTOR IS RELEASED FROM ITS OBLIGATIONS HEREUNDER IN ACCORDANCE WITH SECTION 8.16. NOTWITHSTANDING ANYTHING CONTAINED HEREIN, NEITHER THE ADMINISTRATIVE AGENT, NOR ANY CANADIAN LENDER, NOR ANY OF THEIR AFFILIATES, NOR ANY OF THEIR OR THEIR AFFILIATES' RESPECTIVE OFFICERS, DIRECTORS, EMPLOYEES, AGENTS OR REPRESENTATIVES SHALL HAVE ANY DUTY TO EXERCISE ANY RIGHT OR POWER GRANTED HEREUNDER OR OTHERWISE OR TO PRESERVE THE SAME AND SHALL NOT BE LIABLE FOR ANY FAILURE TO DO SO OR FOR ANY DELAY IN DOING SO, EXCEPT TO THE EXTENT ARISING OUT OF ITS BAD FAITH, OWN BAD FAITH, GROSS NEGLIGENCE OR WILLFUL MISCONDUCT AS FINALLY DETERMINED BY A COURT OF COMPETENT JURISDICTION; PROVIDED THAT, IN NO EVENT SHALL THEY BE LIABLE FOR ANY PUNITIVE, EXEMPLARY, INDIRECT OR CONSEQUENTIAL DAMAGES.</w:t>
      </w:r>
    </w:p>
    <w:p>
      <w:pPr>
        <w:spacing w:after="0" w:line="164"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ARTICLE VII</w:t>
      </w:r>
    </w:p>
    <w:p>
      <w:pPr>
        <w:spacing w:after="0" w:line="27" w:lineRule="exact"/>
        <w:rPr>
          <w:sz w:val="20"/>
          <w:szCs w:val="20"/>
          <w:color w:val="auto"/>
        </w:rPr>
      </w:pPr>
    </w:p>
    <w:p>
      <w:pPr>
        <w:ind w:left="2105"/>
        <w:spacing w:after="0"/>
        <w:rPr>
          <w:sz w:val="20"/>
          <w:szCs w:val="20"/>
          <w:color w:val="auto"/>
        </w:rPr>
      </w:pPr>
      <w:r>
        <w:rPr>
          <w:rFonts w:ascii="Arial" w:cs="Arial" w:eastAsia="Arial" w:hAnsi="Arial"/>
          <w:sz w:val="17"/>
          <w:szCs w:val="17"/>
          <w:b w:val="1"/>
          <w:bCs w:val="1"/>
          <w:color w:val="auto"/>
        </w:rPr>
        <w:t>COLLECTION AND APPLICATION OF COLLATERAL PROCEEDS; DEPOSIT ACCOUNTS</w:t>
      </w:r>
    </w:p>
    <w:p>
      <w:pPr>
        <w:spacing w:after="0" w:line="386" w:lineRule="exact"/>
        <w:rPr>
          <w:sz w:val="20"/>
          <w:szCs w:val="20"/>
          <w:color w:val="auto"/>
        </w:rPr>
      </w:pPr>
    </w:p>
    <w:p>
      <w:pPr>
        <w:jc w:val="both"/>
        <w:ind w:left="5" w:right="20" w:firstLine="619"/>
        <w:spacing w:after="0" w:line="25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xml:space="preserve">. As of the date of this Canadian Security Agreement, all Deposit Accounts and Securities Accounts established by the Grantors with any banking institution, securities broker, securities intermediary or other financial institution are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Each Grantor has and will continue to direct its Account Debtors to remit cash, checks, electronic funds transfers and other similar payments relating to or constituting payments made in respect of Receivables directly to such accounts. If any Grantor should refuse or neglect to notify any Account Debtor to forward payments directly to a Deposit Account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after notice from the Administrative Agent, the Administrative Agent shall be entitled to make such notification directly to such Account Debtor.</w:t>
      </w:r>
    </w:p>
    <w:p>
      <w:pPr>
        <w:spacing w:after="0" w:line="172" w:lineRule="exact"/>
        <w:rPr>
          <w:sz w:val="20"/>
          <w:szCs w:val="20"/>
          <w:color w:val="auto"/>
        </w:rPr>
      </w:pPr>
    </w:p>
    <w:p>
      <w:pPr>
        <w:jc w:val="both"/>
        <w:ind w:left="5" w:firstLine="572"/>
        <w:spacing w:after="0" w:line="26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Application of Funds During a Cash Dominion Period</w:t>
      </w:r>
      <w:r>
        <w:rPr>
          <w:rFonts w:ascii="Arial" w:cs="Arial" w:eastAsia="Arial" w:hAnsi="Arial"/>
          <w:sz w:val="16"/>
          <w:szCs w:val="16"/>
          <w:color w:val="auto"/>
        </w:rPr>
        <w:t>. At all times during a Cash Dominion Period, the Grantors shall comply and shall cause the Canadian Cash Management Bank to comply with the provisions of Section 5.12(d) of the Credit Agreement. At all times during a Cash Dominion Period, the Administrative Agent shall have the right (i) to declare that full cash dominion is in effect, (ii) to give a notice of sole control or other instruction under any Control Agreement, (iii) to notify each banking institution, securities broker or securities intermediary (including the Canadian Cash Management Bank) at which any Grantor maintains any Deposit Account or Securities Accounts (in each case, other than Excluded Accounts), that (A) the Administrative Agent has taken full dominion and control over all Deposit Accounts and Securities Accounts (in each case, other than Excluded Accounts) and all funds from time to time on deposit therein, (B) such banking institutions, securities brokers and securities intermediaries shall follow all instructions given by the Administrative Agent with respect to such Deposit Accounts and Securities Accounts, and (C) such banking institutions shall remit directly to the Canadian Collection Account (or to such other account as the Administrative Agent may direct), on a daily basis (or on such other basis as the Administrative Agent shall direct) all funds from time to time deposited into such Deposit Accounts and Securities Accounts, and (iv) to automatically apply, on a daily basis, all funds remitted to the Canadian Collection Account (or to such other account as the Administrative Agent shall so direct), from all such Deposit Accounts and Securities Accounts, and all other proceeds of the Collateral, to repay the Loans and other Obligations in accordance with Sections 2.11 and 2.18 of the Credit Agreement.</w:t>
      </w:r>
    </w:p>
    <w:p>
      <w:pPr>
        <w:spacing w:after="0" w:line="168"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Covenant Regarding New Deposit Accounts</w:t>
      </w:r>
      <w:r>
        <w:rPr>
          <w:rFonts w:ascii="Arial" w:cs="Arial" w:eastAsia="Arial" w:hAnsi="Arial"/>
          <w:sz w:val="17"/>
          <w:szCs w:val="17"/>
          <w:color w:val="auto"/>
        </w:rPr>
        <w:t>. Before opening or replacing any Deposit Account or Securities Account (other than an Excluded Account), each Grantor shall cause each bank or financial institution in which it seeks to open (i) a Deposit Account or Securities Account (other than an Excluded Account) to enter into a Control Agreement with the Administrative Agent in order to give the Administrative Agent Control of such Deposit Account or Securities Account. In the case of any Deposit Account or Securities Account maintained with any Lender, the terms of such letter shall be subject to the provisions of the Credit Agreement regarding setoffs.</w:t>
      </w:r>
    </w:p>
    <w:p>
      <w:pPr>
        <w:sectPr>
          <w:pgSz w:w="11900" w:h="16838" w:orient="portrait"/>
          <w:cols w:equalWidth="0" w:num="1">
            <w:col w:w="11445"/>
          </w:cols>
          <w:pgMar w:left="235" w:top="124" w:right="219" w:bottom="0" w:gutter="0" w:footer="0" w:header="0"/>
        </w:sectPr>
      </w:pPr>
    </w:p>
    <w:bookmarkStart w:id="150" w:name="page151"/>
    <w:bookmarkEnd w:id="150"/>
    <w:p>
      <w:pPr>
        <w:jc w:val="both"/>
        <w:ind w:left="5" w:right="20" w:firstLine="572"/>
        <w:spacing w:after="0" w:line="25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Application of Proceeds; Deficiency</w:t>
      </w:r>
      <w:r>
        <w:rPr>
          <w:rFonts w:ascii="Arial" w:cs="Arial" w:eastAsia="Arial" w:hAnsi="Arial"/>
          <w:sz w:val="17"/>
          <w:szCs w:val="17"/>
          <w:color w:val="auto"/>
        </w:rPr>
        <w:t>. In the case of any sale or other disposition of Collateral by the Administrative Agent in the exercise of its remedies provided herein or in any other Loan Document, the proceeds of such sale shall be applied (and allocated) by the Administrative Agent in accordance with Section 2.18 of the Credit Agreement. In the event that the proceeds from any sale or other disposition of Collateral are insufficient to pay all Canadian Secured Obligations in full, the Grantors shall remain liable for any deficiency, including any attorneys’ fees and other expenses incurred by the Agents or any Canadian Lender to collect such deficiency.</w:t>
      </w:r>
    </w:p>
    <w:p>
      <w:pPr>
        <w:spacing w:after="0" w:line="164" w:lineRule="exact"/>
        <w:rPr>
          <w:sz w:val="20"/>
          <w:szCs w:val="20"/>
          <w:color w:val="auto"/>
        </w:rPr>
      </w:pPr>
    </w:p>
    <w:p>
      <w:pPr>
        <w:ind w:left="3725"/>
        <w:spacing w:after="0"/>
        <w:rPr>
          <w:sz w:val="20"/>
          <w:szCs w:val="20"/>
          <w:color w:val="auto"/>
        </w:rPr>
      </w:pPr>
      <w:r>
        <w:rPr>
          <w:rFonts w:ascii="Arial" w:cs="Arial" w:eastAsia="Arial" w:hAnsi="Arial"/>
          <w:sz w:val="17"/>
          <w:szCs w:val="17"/>
          <w:b w:val="1"/>
          <w:bCs w:val="1"/>
          <w:color w:val="auto"/>
        </w:rPr>
        <w:t>ARTICLE VIII</w:t>
      </w:r>
    </w:p>
    <w:p>
      <w:pPr>
        <w:spacing w:after="0" w:line="27" w:lineRule="exact"/>
        <w:rPr>
          <w:sz w:val="20"/>
          <w:szCs w:val="20"/>
          <w:color w:val="auto"/>
        </w:rPr>
      </w:pPr>
    </w:p>
    <w:p>
      <w:pPr>
        <w:ind w:left="3725"/>
        <w:spacing w:after="0"/>
        <w:rPr>
          <w:sz w:val="20"/>
          <w:szCs w:val="20"/>
          <w:color w:val="auto"/>
        </w:rPr>
      </w:pPr>
      <w:r>
        <w:rPr>
          <w:rFonts w:ascii="Arial" w:cs="Arial" w:eastAsia="Arial" w:hAnsi="Arial"/>
          <w:sz w:val="17"/>
          <w:szCs w:val="17"/>
          <w:b w:val="1"/>
          <w:bCs w:val="1"/>
          <w:color w:val="auto"/>
        </w:rPr>
        <w:t>GENERAL PROVISIONS</w:t>
      </w:r>
    </w:p>
    <w:p>
      <w:pPr>
        <w:spacing w:after="0" w:line="196" w:lineRule="exact"/>
        <w:rPr>
          <w:sz w:val="20"/>
          <w:szCs w:val="20"/>
          <w:color w:val="auto"/>
        </w:rPr>
      </w:pPr>
    </w:p>
    <w:p>
      <w:pPr>
        <w:jc w:val="both"/>
        <w:ind w:left="5" w:firstLine="619"/>
        <w:spacing w:after="0" w:line="26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at least ten (10) days prior to (i) the date of any such public sale or (ii) the time after which any such private sale or other disposition may be made. To the maximum extent permitted by applicable law, each Grantor waives all claims, damages, and demands against the Administrative Agent or any Canadian Lender arising out of the repossession, retention or sale of the Collateral, except to the extent arising out of the bad faith, gross negligence or willful misconduct of the Administrative Agent or such Canadian Lender as finally determined by a court of competent jurisdiction. To the extent it may lawfully do so, each Grantor absolutely and irrevocably waives and relinquishes the benefit and advantage of, and covenants not to assert against the Administrative Agent or any Canadian Lender,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Canadian Security Agreement, or otherwise. Except as otherwise specifically provided herein, each Grantor hereby waives presentment, demand, protest or any notice (to the maximum extent permitted by applicable law) of any kind in connection with this Canadian Security Agreement or any Collateral.</w:t>
      </w:r>
    </w:p>
    <w:p>
      <w:pPr>
        <w:spacing w:after="0" w:line="168" w:lineRule="exact"/>
        <w:rPr>
          <w:sz w:val="20"/>
          <w:szCs w:val="20"/>
          <w:color w:val="auto"/>
        </w:rPr>
      </w:pPr>
    </w:p>
    <w:p>
      <w:pPr>
        <w:jc w:val="both"/>
        <w:ind w:left="5" w:firstLine="572"/>
        <w:spacing w:after="0" w:line="26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Limitation on Administrative Agent's and Canadian Lenders’ Duty with Respect to the Collateral</w:t>
      </w:r>
      <w:r>
        <w:rPr>
          <w:rFonts w:ascii="Arial" w:cs="Arial" w:eastAsia="Arial" w:hAnsi="Arial"/>
          <w:sz w:val="16"/>
          <w:szCs w:val="16"/>
          <w:color w:val="auto"/>
        </w:rPr>
        <w:t>. The Administrative Agent shall have no obligation to clean-up or otherwise prepare the Collateral for sale. The Administrative Agent and each Canadian Lender shall use reasonable care with respect to the Collateral in its possession or under its control. Neither the Administrative Agent nor any Lender shall have any other duty as to any Collateral in its possession or control or in the possession or control of any agent or nominee of the Administrative Agent or such Canadian Lender,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w:t>
      </w:r>
    </w:p>
    <w:p>
      <w:pPr>
        <w:spacing w:after="0" w:line="2" w:lineRule="exact"/>
        <w:rPr>
          <w:sz w:val="20"/>
          <w:szCs w:val="20"/>
          <w:color w:val="auto"/>
        </w:rPr>
      </w:pPr>
    </w:p>
    <w:p>
      <w:pPr>
        <w:jc w:val="both"/>
        <w:ind w:left="5" w:right="20" w:hanging="5"/>
        <w:spacing w:after="0" w:line="281" w:lineRule="auto"/>
        <w:tabs>
          <w:tab w:leader="none" w:pos="3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the Collateral, (vii) to hire one or more professional auctioneers to assist in the disposition of Collateral, whether or not the Collateral is of a specialized nature,</w:t>
      </w:r>
    </w:p>
    <w:p>
      <w:pPr>
        <w:spacing w:after="0" w:line="2" w:lineRule="exact"/>
        <w:rPr>
          <w:rFonts w:ascii="Arial" w:cs="Arial" w:eastAsia="Arial" w:hAnsi="Arial"/>
          <w:sz w:val="15"/>
          <w:szCs w:val="15"/>
          <w:color w:val="auto"/>
        </w:rPr>
      </w:pPr>
    </w:p>
    <w:p>
      <w:pPr>
        <w:jc w:val="both"/>
        <w:ind w:left="5" w:hanging="5"/>
        <w:spacing w:after="0" w:line="267" w:lineRule="auto"/>
        <w:tabs>
          <w:tab w:leader="none" w:pos="41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Section 8.2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8.2. Without limitation upon the foregoing, nothing contained in this Section 8.2 shall be construed to grant any rights to any Grantor or to impose any duties on the Administrative Agent that would not have been granted or imposed by this Canadian Security Agreement or by applicable law in the absence of this Section 8.2.</w:t>
      </w:r>
    </w:p>
    <w:p>
      <w:pPr>
        <w:spacing w:after="0" w:line="165" w:lineRule="exact"/>
        <w:rPr>
          <w:sz w:val="20"/>
          <w:szCs w:val="20"/>
          <w:color w:val="auto"/>
        </w:rPr>
      </w:pPr>
    </w:p>
    <w:p>
      <w:pPr>
        <w:jc w:val="both"/>
        <w:ind w:left="5" w:firstLine="572"/>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subject to the terms of the ABL-Term Loan Intercreditor Agreement, at any time and from time to time, if an Event of Default has occurred and is continuing, compromise with the obligor on any Receivable, accept in full payment of any Receivable such amount as the Administrative Agent in its Permitted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74"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Secured Party Performance of Debtor Obligations</w:t>
      </w:r>
      <w:r>
        <w:rPr>
          <w:rFonts w:ascii="Arial" w:cs="Arial" w:eastAsia="Arial" w:hAnsi="Arial"/>
          <w:sz w:val="16"/>
          <w:szCs w:val="16"/>
          <w:color w:val="auto"/>
        </w:rPr>
        <w:t>. Without having any obligation to do so, subject to the terms of the ABL-Term Loan Intercreditor Agreement, the Administrative Agent may perform or pay any obligation which any Grantor has agreed to perform or pay in this Canadian Security Agreement and the Grantors shall reimburse the Administrative Agent for any amounts paid by the Administrative Agent pursuant to this Section 8.4. The Grantors’ obligation to reimburse the Administrative Agent pursuant to the preceding sentence shall be a Canadian Secured Obligation payable on demand.</w:t>
      </w:r>
    </w:p>
    <w:p>
      <w:pPr>
        <w:spacing w:after="0" w:line="154" w:lineRule="exact"/>
        <w:rPr>
          <w:sz w:val="20"/>
          <w:szCs w:val="20"/>
          <w:color w:val="auto"/>
        </w:rPr>
      </w:pPr>
    </w:p>
    <w:p>
      <w:pPr>
        <w:jc w:val="both"/>
        <w:ind w:left="5" w:right="20" w:firstLine="572"/>
        <w:spacing w:after="0" w:line="255"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Specific Performance of Certain Covenants</w:t>
      </w:r>
      <w:r>
        <w:rPr>
          <w:rFonts w:ascii="Arial" w:cs="Arial" w:eastAsia="Arial" w:hAnsi="Arial"/>
          <w:sz w:val="17"/>
          <w:szCs w:val="17"/>
          <w:color w:val="auto"/>
        </w:rPr>
        <w:t xml:space="preserve">. Each Grantor acknowledges and agrees that a breach of any of the covenants contained in Sections 4.1(d), 4.1(e), 4.4, 4.5, 4.6, 4.7, 4.9, 4.12, 4.13, 4.15, 5.3, or 8.7 or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cause irreparable injury to the Administrative Agent and the Canadian Lenders, that the Administrative Agent and Canadian Lenders have no adequate remedy at law in respect of such breaches and therefore agrees, without limiting the right of the Administrative Agent or the Canadian Lenders to seek and obtain specific performance of other obligations of the Grantors contained in this Canadian Security Agreement, that, subject to the terms of the ABL-Term Loan Intercreditor Agreement, the covenants of the Grantors contained in the Sections referred to in this Section 8.5 shall be specifically enforceable against the Grantors.</w:t>
      </w:r>
    </w:p>
    <w:p>
      <w:pPr>
        <w:spacing w:after="0" w:line="172" w:lineRule="exact"/>
        <w:rPr>
          <w:sz w:val="20"/>
          <w:szCs w:val="20"/>
          <w:color w:val="auto"/>
        </w:rPr>
      </w:pPr>
    </w:p>
    <w:p>
      <w:pPr>
        <w:jc w:val="both"/>
        <w:ind w:left="5" w:firstLine="572"/>
        <w:spacing w:after="0" w:line="25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Dispositions Not Authorized</w:t>
      </w:r>
      <w:r>
        <w:rPr>
          <w:rFonts w:ascii="Arial" w:cs="Arial" w:eastAsia="Arial" w:hAnsi="Arial"/>
          <w:sz w:val="17"/>
          <w:szCs w:val="17"/>
          <w:color w:val="auto"/>
        </w:rPr>
        <w:t>. No Grantor is authorized to sell or otherwise dispose of the Collateral except as set forth in Section 4.1(d) and notwithstanding any course of dealing between any Grantor and the Administrative Agent or other conduct of the Administrative Agent, no authorization to sell or otherwise dispose of the Collateral (except as set forth in Section 4.1(d) or as otherwise permitted under the Credit Agreement) shall be binding upon the Administrative Agent or the Canadian Lenders unless such authorization is in writing signed by the Administrative Agent with the consent or at the direction of the Required Secured Parties.</w:t>
      </w:r>
    </w:p>
    <w:p>
      <w:pPr>
        <w:spacing w:after="0" w:line="173" w:lineRule="exact"/>
        <w:rPr>
          <w:sz w:val="20"/>
          <w:szCs w:val="20"/>
          <w:color w:val="auto"/>
        </w:rPr>
      </w:pPr>
    </w:p>
    <w:p>
      <w:pPr>
        <w:jc w:val="both"/>
        <w:ind w:left="5" w:firstLine="679"/>
        <w:spacing w:after="0" w:line="274"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No Waiver; Amendments; Cumulative Remedies</w:t>
      </w:r>
      <w:r>
        <w:rPr>
          <w:rFonts w:ascii="Arial" w:cs="Arial" w:eastAsia="Arial" w:hAnsi="Arial"/>
          <w:sz w:val="16"/>
          <w:szCs w:val="16"/>
          <w:color w:val="auto"/>
        </w:rPr>
        <w:t>. No delay or omission of the Administrative Agent or any Canadian Lender to exercise any right or remedy granted under this Canadian Security Agreement shall impair such right or remedy or be construed to be a waiver of any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Canadian Security Agreement whatsoever shall be valid unless in writing signed by the Administrative Agent with the concurrence or at the direction of the Lenders required under Section 9.02 of the Credit Agreement and then only to the extent in such writing specifically set forth. All rights and remedies contained in this Canadian Security Agreement or by law afforded shall be</w:t>
      </w:r>
    </w:p>
    <w:p>
      <w:pPr>
        <w:sectPr>
          <w:pgSz w:w="11900" w:h="16838" w:orient="portrait"/>
          <w:cols w:equalWidth="0" w:num="1">
            <w:col w:w="11445"/>
          </w:cols>
          <w:pgMar w:left="235" w:top="124" w:right="219" w:bottom="0" w:gutter="0" w:footer="0" w:header="0"/>
        </w:sectPr>
      </w:pPr>
    </w:p>
    <w:bookmarkStart w:id="151" w:name="page152"/>
    <w:bookmarkEnd w:id="151"/>
    <w:p>
      <w:pPr>
        <w:jc w:val="both"/>
        <w:ind w:right="20"/>
        <w:spacing w:after="0" w:line="281" w:lineRule="auto"/>
        <w:rPr>
          <w:sz w:val="20"/>
          <w:szCs w:val="20"/>
          <w:color w:val="auto"/>
        </w:rPr>
      </w:pPr>
      <w:r>
        <w:rPr>
          <w:rFonts w:ascii="Arial" w:cs="Arial" w:eastAsia="Arial" w:hAnsi="Arial"/>
          <w:sz w:val="17"/>
          <w:szCs w:val="17"/>
          <w:color w:val="auto"/>
        </w:rPr>
        <w:t>cumulative and all shall be available to the Administrative Agent and the Canadian Lenders until the termination of this Canadian Security Agreement in accordance with Section 8.16.</w:t>
      </w:r>
    </w:p>
    <w:p>
      <w:pPr>
        <w:spacing w:after="0" w:line="151"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Limitation by Law; Severability of Provisions</w:t>
      </w:r>
      <w:r>
        <w:rPr>
          <w:rFonts w:ascii="Arial" w:cs="Arial" w:eastAsia="Arial" w:hAnsi="Arial"/>
          <w:sz w:val="17"/>
          <w:szCs w:val="17"/>
          <w:color w:val="auto"/>
        </w:rPr>
        <w:t>. All rights, remedies and powers provided in this Canadian Security Agreement may be exercised only to the extent that the exercise thereof does not violate any applicable provision of law, and all the provisions of this Canadian Security Agreement are intended to be subject to all applicable mandatory provisions of law that may be controlling and to be limited to the extent necessary so that they shall not render this Canadian Security Agreement invalid, unenforceable or not entitled to be recorded or registered, in whole or in part. Any provision in this Canadian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Canadian Security Agreement are declared to be severable.</w:t>
      </w:r>
    </w:p>
    <w:p>
      <w:pPr>
        <w:spacing w:after="0" w:line="172" w:lineRule="exact"/>
        <w:rPr>
          <w:sz w:val="20"/>
          <w:szCs w:val="20"/>
          <w:color w:val="auto"/>
        </w:rPr>
      </w:pPr>
    </w:p>
    <w:p>
      <w:pPr>
        <w:jc w:val="both"/>
        <w:ind w:right="20" w:firstLine="679"/>
        <w:spacing w:after="0" w:line="253"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Reinstatement</w:t>
      </w:r>
      <w:r>
        <w:rPr>
          <w:rFonts w:ascii="Arial" w:cs="Arial" w:eastAsia="Arial" w:hAnsi="Arial"/>
          <w:sz w:val="17"/>
          <w:szCs w:val="17"/>
          <w:color w:val="auto"/>
        </w:rPr>
        <w:t>. This Canadian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Canadian Secured Obligations, or any part thereof, is, pursuant to applicable law, rescinded or reduced in amount, or must otherwise be restored or returned by any obligee of the Canadian Secured Obligations all as though such payment or performance had not been made. In the event that any payment, or any part thereof, is rescinded, reduced, restored or returned, the Canadian Secured Obligations shall be reinstated to the extent of the payment so rescinded, reduced, restored or returned and shall be reduced only by such amount paid and not so rescinded, reduced, restored or returned.</w:t>
      </w:r>
    </w:p>
    <w:p>
      <w:pPr>
        <w:spacing w:after="0" w:line="174"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Benefit of Agreement</w:t>
      </w:r>
      <w:r>
        <w:rPr>
          <w:rFonts w:ascii="Arial" w:cs="Arial" w:eastAsia="Arial" w:hAnsi="Arial"/>
          <w:sz w:val="16"/>
          <w:szCs w:val="16"/>
          <w:color w:val="auto"/>
        </w:rPr>
        <w:t>. The terms and provisions of this Canadian Security Agreement shall be binding upon and inure to the benefit of the Grantors, the Agents and the Canadian Lenders and their respective successors and assigns (including all persons who become bound as a debtor to this Canadian Security Agreement), except that no Grantor shall have the right to assign its rights or delegate its obligations under this Canadian Security Agreement or any interest herein, without the prior written consent of the Administrative Agent. No sales of participations, assignments, transfers, or other dispositions of any agreement governing the Canadian Secured Obligations or any portion thereof or interest therein shall in any manner impair the Lien granted to the Administrative Agent, for the benefit of itself, the Canadian Administrative Agent and the Canadian Lenders, hereunder.</w:t>
      </w:r>
    </w:p>
    <w:p>
      <w:pPr>
        <w:spacing w:after="0" w:line="157"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Survival of Representations</w:t>
      </w:r>
      <w:r>
        <w:rPr>
          <w:rFonts w:ascii="Arial" w:cs="Arial" w:eastAsia="Arial" w:hAnsi="Arial"/>
          <w:sz w:val="17"/>
          <w:szCs w:val="17"/>
          <w:color w:val="auto"/>
        </w:rPr>
        <w:t>. All representations and warranties of the Grantors contained in this Canadian Security Agreement shall survive the execution and delivery of this Canadian Security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Taxes and Expenses</w:t>
      </w:r>
      <w:r>
        <w:rPr>
          <w:rFonts w:ascii="Arial" w:cs="Arial" w:eastAsia="Arial" w:hAnsi="Arial"/>
          <w:sz w:val="17"/>
          <w:szCs w:val="17"/>
          <w:color w:val="auto"/>
        </w:rPr>
        <w:t>. The Grantors shall be jointly and severally obligated to reimburse the Administrative Agent and the Lenders for any amounts due by a Loan Party under Section 2.17 and Section 9.03 of the Credit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Headings</w:t>
      </w:r>
      <w:r>
        <w:rPr>
          <w:rFonts w:ascii="Arial" w:cs="Arial" w:eastAsia="Arial" w:hAnsi="Arial"/>
          <w:sz w:val="17"/>
          <w:szCs w:val="17"/>
          <w:color w:val="auto"/>
        </w:rPr>
        <w:t>. The title of and section headings in this Canadian Security Agreement are for convenience of reference only, and shall not govern the interpretation of any of the terms and provisions of this Canadian Security Agreement.</w:t>
      </w:r>
    </w:p>
    <w:p>
      <w:pPr>
        <w:spacing w:after="0" w:line="152"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7"/>
          <w:szCs w:val="17"/>
          <w:color w:val="auto"/>
        </w:rPr>
        <w:t>8.14.</w:t>
      </w:r>
      <w:r>
        <w:rPr>
          <w:sz w:val="20"/>
          <w:szCs w:val="20"/>
          <w:color w:val="auto"/>
        </w:rPr>
        <w:tab/>
      </w:r>
      <w:r>
        <w:rPr>
          <w:rFonts w:ascii="Arial" w:cs="Arial" w:eastAsia="Arial" w:hAnsi="Arial"/>
          <w:sz w:val="16"/>
          <w:szCs w:val="16"/>
          <w:u w:val="single" w:color="auto"/>
          <w:color w:val="auto"/>
        </w:rPr>
        <w:t>Other Pledge Agreements</w:t>
      </w:r>
      <w:r>
        <w:rPr>
          <w:rFonts w:ascii="Arial" w:cs="Arial" w:eastAsia="Arial" w:hAnsi="Arial"/>
          <w:sz w:val="16"/>
          <w:szCs w:val="16"/>
          <w:color w:val="auto"/>
        </w:rPr>
        <w:t>. The parties acknowledge and agree that certain of the Equity Interests constituting Pledged Collateral under this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Canadian Security Agreement (the “</w:t>
      </w:r>
      <w:r>
        <w:rPr>
          <w:rFonts w:ascii="Arial" w:cs="Arial" w:eastAsia="Arial" w:hAnsi="Arial"/>
          <w:sz w:val="17"/>
          <w:szCs w:val="17"/>
          <w:u w:val="single" w:color="auto"/>
          <w:color w:val="auto"/>
        </w:rPr>
        <w:t>Applicable Equity Interests</w:t>
      </w:r>
      <w:r>
        <w:rPr>
          <w:rFonts w:ascii="Arial" w:cs="Arial" w:eastAsia="Arial" w:hAnsi="Arial"/>
          <w:sz w:val="17"/>
          <w:szCs w:val="17"/>
          <w:color w:val="auto"/>
        </w:rPr>
        <w:t>”) may also be pledged to the Administrative Agent under a pledge agreement governed by the laws of the State of New York or the Netherlands (collectively, the “</w:t>
      </w:r>
      <w:r>
        <w:rPr>
          <w:rFonts w:ascii="Arial" w:cs="Arial" w:eastAsia="Arial" w:hAnsi="Arial"/>
          <w:sz w:val="17"/>
          <w:szCs w:val="17"/>
          <w:u w:val="single" w:color="auto"/>
          <w:color w:val="auto"/>
        </w:rPr>
        <w:t>Foreign Pledge Agreements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Foreign Pledge Agreement</w:t>
      </w:r>
      <w:r>
        <w:rPr>
          <w:rFonts w:ascii="Arial" w:cs="Arial" w:eastAsia="Arial" w:hAnsi="Arial"/>
          <w:sz w:val="17"/>
          <w:szCs w:val="17"/>
          <w:color w:val="auto"/>
        </w:rPr>
        <w:t>”). If, in connection with any exercise of remedies by the Administrative Agent under any Foreign Pledge Agreement, a court of competent jurisdiction in the State of New York or the Netherlands, as applicable, determines that the pledge of the Applicable Equity Interests is governed by such Foreign Pledge Agreement, then such Foreign Pledge Agreement (and not this Canadian Security Agreement) shall control and shall supersede this Canadian Security Agreement, in each case, solely with respect to the pledge of such Applicable Equity Interests.</w:t>
      </w:r>
    </w:p>
    <w:p>
      <w:pPr>
        <w:spacing w:after="0" w:line="172"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Credit Agreement; ABL-Term Intercreditor Agreement</w:t>
      </w:r>
      <w:r>
        <w:rPr>
          <w:rFonts w:ascii="Arial" w:cs="Arial" w:eastAsia="Arial" w:hAnsi="Arial"/>
          <w:sz w:val="16"/>
          <w:szCs w:val="16"/>
          <w:color w:val="auto"/>
        </w:rPr>
        <w:t>. Notwithstanding any other provision of this Canadian Security Agreement, the rights of the parties hereunder are subject to the provisions of the Credit Agreement, including the provisions thereof pertaining to the rights and responsibilities of the Administrative Agent. In the event that any provision of this Canadian Security Agreement is in conflict with the terms of the Credit Agreement, the Credit Agreement shall control. Notwithstanding anything herein to the contrary, the rights of the parties hereunder and the priority of the Lien and security interest granted to the Administrative Agent pursuant hereto or pursuant to any other Loan Document and the exercise of any right or remedy in respect of the Collateral by the Administrative Agent hereunder or under any other Loan Document are subject to the provisions of the ABL-Term Loan Intercreditor Agreement. To the extent any provision of this Canadian Security Agreement (other than Article II hereof) is in conflict with the terms of the ABL-Term Loan Intercreditor Agreement, the ABL-Term Loan Intercreditor Agreement shall control. The delivery of any Collateral to the Collateral Agent (as defined in the Term Loan Agreement) under the Term Loan Agreement pursuant to the Term Loan Documents shall satisfy any delivery requirement hereunder or under any other Loan Document to the extent that such delivery is consistent with the terms of the ABL-Term Loan Intercreditor Agreement.</w:t>
      </w:r>
    </w:p>
    <w:p>
      <w:pPr>
        <w:spacing w:after="0" w:line="166"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7"/>
          <w:szCs w:val="17"/>
          <w:color w:val="auto"/>
        </w:rPr>
        <w:t>8.16.</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233" w:lineRule="exact"/>
        <w:rPr>
          <w:sz w:val="20"/>
          <w:szCs w:val="20"/>
          <w:color w:val="auto"/>
        </w:rPr>
      </w:pPr>
    </w:p>
    <w:p>
      <w:pPr>
        <w:jc w:val="both"/>
        <w:ind w:firstLine="1211"/>
        <w:spacing w:after="0" w:line="277" w:lineRule="auto"/>
        <w:tabs>
          <w:tab w:leader="none" w:pos="1669" w:val="left"/>
        </w:tabs>
        <w:numPr>
          <w:ilvl w:val="0"/>
          <w:numId w:val="216"/>
        </w:numPr>
        <w:rPr>
          <w:rFonts w:ascii="Arial" w:cs="Arial" w:eastAsia="Arial" w:hAnsi="Arial"/>
          <w:sz w:val="19"/>
          <w:szCs w:val="19"/>
          <w:color w:val="auto"/>
        </w:rPr>
      </w:pPr>
      <w:r>
        <w:rPr>
          <w:rFonts w:ascii="Arial" w:cs="Arial" w:eastAsia="Arial" w:hAnsi="Arial"/>
          <w:sz w:val="17"/>
          <w:szCs w:val="17"/>
          <w:color w:val="auto"/>
        </w:rPr>
        <w:t>This Canadian Security Agreement shall continue in effect (notwithstanding the fact that from time to time there may be no Canadian Secured Obligations outstanding) until (i) the Credit Agreement has terminated pursuant to its express terms and (ii) all of the Canadian Secured Obligations (other than unasserted contingent obligations) have been paid in full (or with respect to any outstanding Letters of Credit, a cash deposit or a supporting Letter of Credit has been delivered to the Administrative Agent as required by the Credit Agreement) and no commitments of the Administrative Agent or the Canadian Lenders which would give rise to any Canadian Secured Obligations are outstanding (notwithstanding the fact that there may be other Canadian Secured Obligations outstanding) (such date, the “Termination Date”).</w:t>
      </w:r>
    </w:p>
    <w:p>
      <w:pPr>
        <w:spacing w:after="0" w:line="180" w:lineRule="exact"/>
        <w:rPr>
          <w:rFonts w:ascii="Arial" w:cs="Arial" w:eastAsia="Arial" w:hAnsi="Arial"/>
          <w:sz w:val="19"/>
          <w:szCs w:val="19"/>
          <w:color w:val="auto"/>
        </w:rPr>
      </w:pPr>
    </w:p>
    <w:p>
      <w:pPr>
        <w:jc w:val="both"/>
        <w:ind w:firstLine="1211"/>
        <w:spacing w:after="0" w:line="297" w:lineRule="auto"/>
        <w:tabs>
          <w:tab w:leader="none" w:pos="1632" w:val="left"/>
        </w:tabs>
        <w:numPr>
          <w:ilvl w:val="0"/>
          <w:numId w:val="216"/>
        </w:numPr>
        <w:rPr>
          <w:rFonts w:ascii="Arial" w:cs="Arial" w:eastAsia="Arial" w:hAnsi="Arial"/>
          <w:sz w:val="18"/>
          <w:szCs w:val="18"/>
          <w:color w:val="auto"/>
        </w:rPr>
      </w:pPr>
      <w:r>
        <w:rPr>
          <w:rFonts w:ascii="Arial" w:cs="Arial" w:eastAsia="Arial" w:hAnsi="Arial"/>
          <w:sz w:val="16"/>
          <w:szCs w:val="16"/>
          <w:color w:val="auto"/>
        </w:rPr>
        <w:t>If (i) any Grantor ceases to be a Canadian Borrower or a Canadian Loan Guarantor in a transaction permitted by the Credit Agreement or becomes an Excluded Subsidiary or (ii) any property of a Grantor is sold or otherwise disposed of pursuant to a transaction permitted by the terms of the Credit Agreement or otherwise constitutes Excluded Collateral (each a “Release Transaction”), at the request of the Grantors, the Administrative Agent will (A) in connection with a Release Transaction under subclause (i) above, promptly release such Grantor from its obligations hereunder and (B) in connection with a Release Transaction under subclause (ii) above, promptly release such property from the security interest created hereunder, in each case, concurrently with the consummation of such Release Transaction. Upon such release or on or after the Termination Date, the Administrative Agent will, at the reasonable request of the Grantors and at the Grantor’s sole cost and expense, will promptly execute and deliver such releases to evidence the foregoing.</w:t>
      </w:r>
    </w:p>
    <w:p>
      <w:pPr>
        <w:spacing w:after="0" w:line="141"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Canadian Security Agreement embodies the entire agreement and understanding between the Grantors and the Administrative Agent relating to the Collateral and supersedes all prior agreements and understandings between the Grantors and the Administrative Agent relating to the Collateral.</w:t>
      </w:r>
    </w:p>
    <w:p>
      <w:pPr>
        <w:spacing w:after="0" w:line="159"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b w:val="1"/>
          <w:bCs w:val="1"/>
          <w:u w:val="single" w:color="auto"/>
          <w:color w:val="auto"/>
        </w:rPr>
        <w:t>CHOICE OF LAW.</w:t>
      </w:r>
      <w:r>
        <w:rPr>
          <w:rFonts w:ascii="Arial" w:cs="Arial" w:eastAsia="Arial" w:hAnsi="Arial"/>
          <w:sz w:val="17"/>
          <w:szCs w:val="17"/>
          <w:color w:val="auto"/>
        </w:rPr>
        <w:t xml:space="preserve"> </w:t>
      </w:r>
      <w:r>
        <w:rPr>
          <w:rFonts w:ascii="Arial" w:cs="Arial" w:eastAsia="Arial" w:hAnsi="Arial"/>
          <w:sz w:val="17"/>
          <w:szCs w:val="17"/>
          <w:b w:val="1"/>
          <w:bCs w:val="1"/>
          <w:color w:val="auto"/>
        </w:rPr>
        <w:t>THIS SECURITY AGREEMENT SHALL BE GOVERNED BY, AND CONSTRUED IN ACCORDANCE WITH,</w:t>
      </w:r>
      <w:r>
        <w:rPr>
          <w:rFonts w:ascii="Arial" w:cs="Arial" w:eastAsia="Arial" w:hAnsi="Arial"/>
          <w:sz w:val="17"/>
          <w:szCs w:val="17"/>
          <w:color w:val="auto"/>
        </w:rPr>
        <w:t xml:space="preserve"> </w:t>
      </w:r>
      <w:r>
        <w:rPr>
          <w:rFonts w:ascii="Arial" w:cs="Arial" w:eastAsia="Arial" w:hAnsi="Arial"/>
          <w:sz w:val="17"/>
          <w:szCs w:val="17"/>
          <w:b w:val="1"/>
          <w:bCs w:val="1"/>
          <w:color w:val="auto"/>
        </w:rPr>
        <w:t>THE LAWS OF THE PROVINCE OF ONTARIO AND THE LAWS OF CANADA APPLICABLE THEREIN, EXCEPT AS REQUIRED BY MANDATORY PROVISIONS OF LAW AND EXCEPT TO THE EXTENT THAT THE VALIDITY OR PERFECTION OF THE SECURITY</w:t>
      </w:r>
    </w:p>
    <w:p>
      <w:pPr>
        <w:sectPr>
          <w:pgSz w:w="11900" w:h="16838" w:orient="portrait"/>
          <w:cols w:equalWidth="0" w:num="1">
            <w:col w:w="11440"/>
          </w:cols>
          <w:pgMar w:left="240" w:top="124" w:right="219" w:bottom="0" w:gutter="0" w:footer="0" w:header="0"/>
        </w:sectPr>
      </w:pPr>
    </w:p>
    <w:bookmarkStart w:id="152" w:name="page153"/>
    <w:bookmarkEnd w:id="152"/>
    <w:p>
      <w:pPr>
        <w:jc w:val="both"/>
        <w:spacing w:after="0" w:line="287" w:lineRule="auto"/>
        <w:rPr>
          <w:sz w:val="20"/>
          <w:szCs w:val="20"/>
          <w:color w:val="auto"/>
        </w:rPr>
      </w:pPr>
      <w:r>
        <w:rPr>
          <w:rFonts w:ascii="Arial" w:cs="Arial" w:eastAsia="Arial" w:hAnsi="Arial"/>
          <w:sz w:val="17"/>
          <w:szCs w:val="17"/>
          <w:b w:val="1"/>
          <w:bCs w:val="1"/>
          <w:color w:val="auto"/>
        </w:rPr>
        <w:t>INTERESTS HEREUNDER, OR REMEDIES HEREUNDER, IN RESPECT OF ANY PARTICULAR COLLATERAL ARE GOVERNED BY THE LAWS OF A JURISDICTION OTHER THAN THE PROVINCE OF ONTARIO.</w:t>
      </w:r>
    </w:p>
    <w:p>
      <w:pPr>
        <w:spacing w:after="0" w:line="139" w:lineRule="exact"/>
        <w:rPr>
          <w:sz w:val="20"/>
          <w:szCs w:val="20"/>
          <w:color w:val="auto"/>
        </w:rPr>
      </w:pPr>
    </w:p>
    <w:p>
      <w:pPr>
        <w:jc w:val="both"/>
        <w:ind w:firstLine="572"/>
        <w:spacing w:after="0" w:line="205" w:lineRule="exact"/>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b w:val="1"/>
          <w:bCs w:val="1"/>
          <w:u w:val="single" w:color="auto"/>
          <w:color w:val="auto"/>
        </w:rPr>
        <w:t>CONSENT TO JURISDICTION.</w:t>
      </w:r>
      <w:r>
        <w:rPr>
          <w:rFonts w:ascii="Arial" w:cs="Arial" w:eastAsia="Arial" w:hAnsi="Arial"/>
          <w:sz w:val="17"/>
          <w:szCs w:val="17"/>
          <w:color w:val="auto"/>
        </w:rPr>
        <w:t xml:space="preserve"> </w:t>
      </w:r>
      <w:r>
        <w:rPr>
          <w:rFonts w:ascii="Arial" w:cs="Arial" w:eastAsia="Arial" w:hAnsi="Arial"/>
          <w:sz w:val="17"/>
          <w:szCs w:val="17"/>
          <w:b w:val="1"/>
          <w:bCs w:val="1"/>
          <w:color w:val="auto"/>
        </w:rPr>
        <w:t>EACH PARTY HERETO HEREBY IRREVOCABLY SUBMITS TO THE 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EXCLUSIVE</w:t>
      </w:r>
      <w:r>
        <w:rPr>
          <w:rFonts w:ascii="Arial" w:cs="Arial" w:eastAsia="Arial" w:hAnsi="Arial"/>
          <w:sz w:val="17"/>
          <w:szCs w:val="17"/>
          <w:color w:val="auto"/>
        </w:rPr>
        <w:t xml:space="preserve"> </w:t>
      </w:r>
      <w:r>
        <w:rPr>
          <w:rFonts w:ascii="Arial" w:cs="Arial" w:eastAsia="Arial" w:hAnsi="Arial"/>
          <w:sz w:val="17"/>
          <w:szCs w:val="17"/>
          <w:b w:val="1"/>
          <w:bCs w:val="1"/>
          <w:color w:val="auto"/>
        </w:rPr>
        <w:t>JURISDICTION OF THE COURTS OF THE PROVINCE OF ONTARIO OR OF THE FEDERAL COURTS OF CANADA THEREIN IN ANY ACTION OR PROCEEDING ARISING OUT OF OR RELATING TO THIS CANADIAN SECURITY AGREEMENT OR ANY OTHER LOAN DOCUMENT AND EACH PARTY HERETO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OR ANY CANADIAN LENDER TO BRING PROCEEDINGS AGAINST ANY GRANTOR IN THE COURTS OF ANY OTHER JURISDICTION. ANY JUDICIAL PROCEEDING BY ANY GRANTOR AGAINST THE ADMINISTRATIVE AGENT OR ANY CANADIAN LENDER OR ANY AFFILIATE OF THE ADMINISTRATIVE AGENT OR ANY CANADIAN LENDER INVOLVING, DIRECTLY OR INDIRECTLY, ANY MATTER IN ANY WAY ARISING OUT OF, RELATED TO, OR CONNECTED WITH THIS CANADIAN SECURITY AGREEMENT OR ANY OTHER LOAN DOCUMENT SHALL BE BROUGHT ONLY IN A COURT IN THE PROVINCE OF ONTARIO.</w:t>
      </w:r>
    </w:p>
    <w:p>
      <w:pPr>
        <w:spacing w:after="0" w:line="180"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7"/>
          <w:szCs w:val="17"/>
          <w:color w:val="auto"/>
        </w:rPr>
        <w:t xml:space="preserve">8.20.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xml:space="preserve"> </w:t>
      </w:r>
      <w:r>
        <w:rPr>
          <w:rFonts w:ascii="Arial" w:cs="Arial" w:eastAsia="Arial" w:hAnsi="Arial"/>
          <w:sz w:val="17"/>
          <w:szCs w:val="17"/>
          <w:b w:val="1"/>
          <w:bCs w:val="1"/>
          <w:color w:val="auto"/>
        </w:rPr>
        <w:t>EACH GRANTOR, THE ADMINISTRATIVE AGENT AND EACH LENDER HEREBY WAIVE TRIAL</w:t>
      </w:r>
      <w:r>
        <w:rPr>
          <w:rFonts w:ascii="Arial" w:cs="Arial" w:eastAsia="Arial" w:hAnsi="Arial"/>
          <w:sz w:val="17"/>
          <w:szCs w:val="17"/>
          <w:color w:val="auto"/>
        </w:rPr>
        <w:t xml:space="preserve"> </w:t>
      </w:r>
      <w:r>
        <w:rPr>
          <w:rFonts w:ascii="Arial" w:cs="Arial" w:eastAsia="Arial" w:hAnsi="Arial"/>
          <w:sz w:val="17"/>
          <w:szCs w:val="17"/>
          <w:b w:val="1"/>
          <w:bCs w:val="1"/>
          <w:color w:val="auto"/>
        </w:rPr>
        <w:t>BY JURY IN ANY JUDICIAL PROCEEDING INVOLVING, DIRECTLY OR INDIRECTLY, ANY MATTER (WHETHER SOUNDING IN TORT, CONTRACT OR OTHERWISE) IN ANY WAY ARISING OUT OF, RELATED TO, OR CONNECTED WITH THIS CANADIAN SECURITY AGREEMENT OR ANY OTHER LOAN DOCUMENT OR THE RELATIONSHIP ESTABLISHED THEREUNDER.</w:t>
      </w:r>
    </w:p>
    <w:p>
      <w:pPr>
        <w:spacing w:after="0" w:line="168"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The Grantors hereby agree that the provisions of Section 9.03(b) of the Credit Agreement shall apply, mutatis mutandis, with respect to any and all losses, claims, damages, liabilities and related expenses incurred or asserted against any Indemnitee arising out of, in connection with, or as a result of this Canadian Security Agreement, or the manufacture, purchase, acceptance, rejection, ownership, delivery, lease, possession, use, operation, condition, sale, return or other disposition of any Collateral (including, without limitation, latent and other defects, whether or not discoverable by the Administrative Agent, the Canadian Lenders or the Grantors, and any claim for Patent, Trademark or Copyright infringement), in each case, subject to the limitations set forth in Section 9.03(b) of the Credit Agreement.</w:t>
      </w:r>
    </w:p>
    <w:p>
      <w:pPr>
        <w:spacing w:after="0" w:line="172"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Canadian Security Agreement may be executed in any number of counterparts, all of which taken together shall constitute one agreement, and any of the parties hereto may execute this Canadian Security Agreement by signing any such counterpart. Delivery of an executed counterpart of a signature page of this Canadian Security Agreement by facsimile or other electronic transmission shall be effective as delivery of a manually executed counterpart of this Canadian Security Agreement.</w:t>
      </w:r>
    </w:p>
    <w:p>
      <w:pPr>
        <w:spacing w:after="0" w:line="16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IX</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NOTICES</w:t>
      </w:r>
    </w:p>
    <w:p>
      <w:pPr>
        <w:spacing w:after="0" w:line="19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Sending Notices</w:t>
      </w:r>
      <w:r>
        <w:rPr>
          <w:rFonts w:ascii="Arial" w:cs="Arial" w:eastAsia="Arial" w:hAnsi="Arial"/>
          <w:sz w:val="17"/>
          <w:szCs w:val="17"/>
          <w:color w:val="auto"/>
        </w:rPr>
        <w:t>. Any notice required or permitted to be given under this Canadian Security Agreement shall be sent in accordance with Section 9.01 of the Credit Agreement.</w:t>
      </w:r>
    </w:p>
    <w:p>
      <w:pPr>
        <w:spacing w:after="0" w:line="152"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Change in Address for Notices</w:t>
      </w:r>
      <w:r>
        <w:rPr>
          <w:rFonts w:ascii="Arial" w:cs="Arial" w:eastAsia="Arial" w:hAnsi="Arial"/>
          <w:sz w:val="17"/>
          <w:szCs w:val="17"/>
          <w:color w:val="auto"/>
        </w:rPr>
        <w:t>. Each of the Grantors, the Administrative Agent and the Canadian Lenders may change the address for service of notice upon it by a notice in writing to the other parties.</w:t>
      </w:r>
    </w:p>
    <w:p>
      <w:pPr>
        <w:spacing w:after="0" w:line="14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X</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THE ADMINISTRATIVE AGENT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JPMorgan Chase Bank, N.A. has been appointed Administrative Agent for the Canadian Lenders hereunder pursuant to Article VIII of the Credit Agreement. It is expressly understood and agreed by the parties to this Canadian Security Agreement that any authority conferred upon the Administrative Agent hereunder is subject to the terms of the delegation of authority made by the Canadian Lenders to the Administrative Agent pursuant to the Credit Agreement, and that the Administrative Agent has agreed to act (and any successor Administrative Agent shall act) as such hereunder only on the express conditions contained in such Article VIII. Any successor Administrative Agent appointed pursuant to Article VIII of the Credit Agreement shall be entitled to all the rights, interests and benefits of the Administrative Agent hereunder.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IN WITNESS WHEREOF, the Grantors and the Administrative Agent have executed this Canadian Pledge and Security Agreement as of the date first above written.</w:t>
      </w:r>
    </w:p>
    <w:p>
      <w:pPr>
        <w:spacing w:after="0" w:line="354"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auto"/>
        </w:rPr>
        <w:t>GRANTORS:</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WESCO DISTRIBUTION CANADA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WESCO DISTRIBUTION CANADA GP INC.</w:t>
      </w:r>
    </w:p>
    <w:p>
      <w:pPr>
        <w:spacing w:after="0" w:line="231" w:lineRule="exact"/>
        <w:rPr>
          <w:sz w:val="20"/>
          <w:szCs w:val="20"/>
          <w:color w:val="auto"/>
        </w:rPr>
      </w:pPr>
    </w:p>
    <w:tbl>
      <w:tblPr>
        <w:tblLayout w:type="fixed"/>
        <w:tblInd w:w="564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WDCC ENTERPRISES INC.</w:t>
            </w:r>
          </w:p>
        </w:tc>
        <w:tc>
          <w:tcPr>
            <w:tcW w:w="0" w:type="dxa"/>
            <w:vAlign w:val="bottom"/>
          </w:tcPr>
          <w:p>
            <w:pPr>
              <w:spacing w:after="0"/>
              <w:rPr>
                <w:sz w:val="1"/>
                <w:szCs w:val="1"/>
                <w:color w:val="auto"/>
              </w:rPr>
            </w:pPr>
          </w:p>
        </w:tc>
      </w:tr>
      <w:tr>
        <w:trPr>
          <w:trHeight w:val="608"/>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0" w:gutter="0" w:footer="0" w:header="0"/>
        </w:sectPr>
      </w:pPr>
    </w:p>
    <w:bookmarkStart w:id="153" w:name="page154"/>
    <w:bookmarkEnd w:id="153"/>
    <w:p>
      <w:pPr>
        <w:ind w:left="4440"/>
        <w:spacing w:after="0"/>
        <w:rPr>
          <w:sz w:val="20"/>
          <w:szCs w:val="20"/>
          <w:color w:val="auto"/>
        </w:rPr>
      </w:pPr>
      <w:r>
        <w:rPr>
          <w:rFonts w:ascii="Arial" w:cs="Arial" w:eastAsia="Arial" w:hAnsi="Arial"/>
          <w:sz w:val="17"/>
          <w:szCs w:val="17"/>
          <w:b w:val="1"/>
          <w:bCs w:val="1"/>
          <w:color w:val="auto"/>
        </w:rPr>
        <w:t>WESCO DISTRIBUTION CANADA GP INC.</w:t>
      </w:r>
    </w:p>
    <w:p>
      <w:pPr>
        <w:spacing w:after="0" w:line="200" w:lineRule="exact"/>
        <w:rPr>
          <w:sz w:val="20"/>
          <w:szCs w:val="20"/>
          <w:color w:val="auto"/>
        </w:rPr>
      </w:pPr>
    </w:p>
    <w:p>
      <w:pPr>
        <w:spacing w:after="0" w:line="218"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CANADA I, LP</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HOLDINGS, LLC</w:t>
      </w:r>
    </w:p>
    <w:p>
      <w:pPr>
        <w:spacing w:after="0" w:line="23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CANADA II, LP</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EECOL ELECTRIC ULC</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43815</wp:posOffset>
            </wp:positionV>
            <wp:extent cx="30486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4440"/>
        <w:spacing w:after="0"/>
        <w:tabs>
          <w:tab w:leader="none" w:pos="5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4440"/>
        <w:spacing w:after="0"/>
        <w:tabs>
          <w:tab w:leader="none" w:pos="54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394" w:lineRule="exact"/>
        <w:rPr>
          <w:sz w:val="20"/>
          <w:szCs w:val="20"/>
          <w:color w:val="auto"/>
        </w:rPr>
      </w:pPr>
    </w:p>
    <w:p>
      <w:pPr>
        <w:jc w:val="center"/>
        <w:ind w:left="1480"/>
        <w:spacing w:after="0"/>
        <w:rPr>
          <w:sz w:val="20"/>
          <w:szCs w:val="20"/>
          <w:color w:val="auto"/>
        </w:rPr>
      </w:pPr>
      <w:r>
        <w:rPr>
          <w:rFonts w:ascii="Arial" w:cs="Arial" w:eastAsia="Arial" w:hAnsi="Arial"/>
          <w:sz w:val="17"/>
          <w:szCs w:val="17"/>
          <w:b w:val="1"/>
          <w:bCs w:val="1"/>
          <w:color w:val="auto"/>
        </w:rPr>
        <w:t>HAZMASTERS INC.</w:t>
      </w:r>
    </w:p>
    <w:p>
      <w:pPr>
        <w:spacing w:after="0" w:line="200" w:lineRule="exact"/>
        <w:rPr>
          <w:sz w:val="20"/>
          <w:szCs w:val="20"/>
          <w:color w:val="auto"/>
        </w:rPr>
      </w:pPr>
    </w:p>
    <w:p>
      <w:pPr>
        <w:spacing w:after="0" w:line="218"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HAZMASTERS QUEBEC INC.</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Treasurer and 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WDINESCO C.V.</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12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r>
        <w:trPr>
          <w:trHeight w:val="596"/>
        </w:trPr>
        <w:tc>
          <w:tcPr>
            <w:tcW w:w="5800" w:type="dxa"/>
            <w:vAlign w:val="bottom"/>
            <w:gridSpan w:val="3"/>
          </w:tcPr>
          <w:p>
            <w:pPr>
              <w:spacing w:after="0"/>
              <w:rPr>
                <w:sz w:val="20"/>
                <w:szCs w:val="20"/>
                <w:color w:val="auto"/>
              </w:rPr>
            </w:pPr>
            <w:r>
              <w:rPr>
                <w:rFonts w:ascii="Arial" w:cs="Arial" w:eastAsia="Arial" w:hAnsi="Arial"/>
                <w:sz w:val="17"/>
                <w:szCs w:val="17"/>
                <w:b w:val="1"/>
                <w:bCs w:val="1"/>
                <w:color w:val="auto"/>
              </w:rPr>
              <w:t>WDINESCO III B.V.</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1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1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Managing Director A</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and by its Managing Director B</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TMF NETHERLANDS B.V.</w:t>
      </w:r>
    </w:p>
    <w:p>
      <w:pPr>
        <w:spacing w:after="0" w:line="31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43815</wp:posOffset>
            </wp:positionV>
            <wp:extent cx="29730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240"/>
          </w:cols>
          <w:pgMar w:left="1440" w:top="238" w:right="219" w:bottom="0" w:gutter="0" w:footer="0" w:header="0"/>
        </w:sectPr>
      </w:pPr>
    </w:p>
    <w:bookmarkStart w:id="154" w:name="page155"/>
    <w:bookmarkEnd w:id="154"/>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43815</wp:posOffset>
            </wp:positionV>
            <wp:extent cx="29730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Title:</w:t>
      </w: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WESCO HOLDINGS, LLC</w:t>
      </w: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43815</wp:posOffset>
            </wp:positionV>
            <wp:extent cx="29730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5640"/>
        <w:spacing w:after="0"/>
        <w:tabs>
          <w:tab w:leader="none" w:pos="67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5640"/>
        <w:spacing w:after="0"/>
        <w:tabs>
          <w:tab w:leader="none" w:pos="6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WECOL HOLDINGS ULC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43815</wp:posOffset>
            </wp:positionV>
            <wp:extent cx="29730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73070" cy="7620"/>
                    </a:xfrm>
                    <a:prstGeom prst="rect">
                      <a:avLst/>
                    </a:prstGeom>
                    <a:noFill/>
                  </pic:spPr>
                </pic:pic>
              </a:graphicData>
            </a:graphic>
          </wp:anchor>
        </w:drawing>
      </w:r>
    </w:p>
    <w:p>
      <w:pPr>
        <w:spacing w:after="0" w:line="59" w:lineRule="exact"/>
        <w:rPr>
          <w:sz w:val="20"/>
          <w:szCs w:val="20"/>
          <w:color w:val="auto"/>
        </w:rPr>
      </w:pPr>
    </w:p>
    <w:p>
      <w:pPr>
        <w:ind w:left="5740"/>
        <w:spacing w:after="0"/>
        <w:tabs>
          <w:tab w:leader="none" w:pos="67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Brian Begg</w:t>
      </w:r>
    </w:p>
    <w:p>
      <w:pPr>
        <w:spacing w:after="0" w:line="90" w:lineRule="exact"/>
        <w:rPr>
          <w:sz w:val="20"/>
          <w:szCs w:val="20"/>
          <w:color w:val="auto"/>
        </w:rPr>
      </w:pPr>
    </w:p>
    <w:p>
      <w:pPr>
        <w:ind w:left="5740"/>
        <w:spacing w:after="0"/>
        <w:tabs>
          <w:tab w:leader="none" w:pos="6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Treasurer</w:t>
      </w: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EECOL PROPERTIES CORP.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43815</wp:posOffset>
            </wp:positionV>
            <wp:extent cx="31172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7215" cy="7620"/>
                    </a:xfrm>
                    <a:prstGeom prst="rect">
                      <a:avLst/>
                    </a:prstGeom>
                    <a:noFill/>
                  </pic:spPr>
                </pic:pic>
              </a:graphicData>
            </a:graphic>
          </wp:anchor>
        </w:drawing>
      </w:r>
    </w:p>
    <w:p>
      <w:pPr>
        <w:spacing w:after="0" w:line="70"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Name: Brian Begg</w:t>
      </w:r>
    </w:p>
    <w:p>
      <w:pPr>
        <w:spacing w:after="0" w:line="7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WDINESCO II C.V.</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WDINESCO III C.V.</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by its general partner</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WESCO DISTRIBUTION II ULC</w:t>
      </w:r>
    </w:p>
    <w:p>
      <w:pPr>
        <w:spacing w:after="0" w:line="23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2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JPMORGAN CHASE BANK, N.A.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as Administrative Agent</w:t>
      </w: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43815</wp:posOffset>
            </wp:positionV>
            <wp:extent cx="30486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EXHIBIT 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(See Section 4.4 and 4.8 of Canadian Security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dated ________________, ___ is delivered pursuant to Section 4.4 of the Canadian Security Agreement referred to below. All defined terms</w:t>
      </w:r>
    </w:p>
    <w:p>
      <w:pPr>
        <w:spacing w:after="0" w:line="33" w:lineRule="exact"/>
        <w:rPr>
          <w:sz w:val="20"/>
          <w:szCs w:val="20"/>
          <w:color w:val="auto"/>
        </w:rPr>
      </w:pPr>
    </w:p>
    <w:p>
      <w:pPr>
        <w:jc w:val="both"/>
        <w:ind w:right="20"/>
        <w:spacing w:after="0" w:line="294" w:lineRule="auto"/>
        <w:rPr>
          <w:sz w:val="20"/>
          <w:szCs w:val="20"/>
          <w:color w:val="auto"/>
        </w:rPr>
      </w:pPr>
      <w:r>
        <w:rPr>
          <w:rFonts w:ascii="Arial" w:cs="Arial" w:eastAsia="Arial" w:hAnsi="Arial"/>
          <w:sz w:val="15"/>
          <w:szCs w:val="15"/>
          <w:color w:val="auto"/>
        </w:rPr>
        <w:t>herein shall have the meanings ascribed thereto or incorporated by reference in the Canadian Security Agreement. The undersigned hereby certifies that the representations and warranties in Article III of the Canadian Security Agreement, as amended by any updates to the schedules referred to therein, are and continue to be true and correct in all material respects. The undersigned further agrees that this Amendment may be attached to that certain Second Amended and Restated Canadian Pledge and Security Agreement, dated as of September __, 2015, between the undersigned, as the Grantors, and JPMorgan Chase Bank, N.A., as the Administrative Agent (as amended, restated, supplemented or otherwise modified from time to time prior to the date hereof, the “</w:t>
      </w:r>
      <w:r>
        <w:rPr>
          <w:rFonts w:ascii="Arial" w:cs="Arial" w:eastAsia="Arial" w:hAnsi="Arial"/>
          <w:sz w:val="15"/>
          <w:szCs w:val="15"/>
          <w:u w:val="single" w:color="auto"/>
          <w:color w:val="auto"/>
        </w:rPr>
        <w:t>Canadian Security Agreement</w:t>
      </w:r>
      <w:r>
        <w:rPr>
          <w:rFonts w:ascii="Arial" w:cs="Arial" w:eastAsia="Arial" w:hAnsi="Arial"/>
          <w:sz w:val="15"/>
          <w:szCs w:val="15"/>
          <w:color w:val="auto"/>
        </w:rPr>
        <w:t>”)</w:t>
      </w:r>
    </w:p>
    <w:p>
      <w:pPr>
        <w:sectPr>
          <w:pgSz w:w="11900" w:h="16838" w:orient="portrait"/>
          <w:cols w:equalWidth="0" w:num="1">
            <w:col w:w="11440"/>
          </w:cols>
          <w:pgMar w:left="240" w:top="172" w:right="219" w:bottom="0" w:gutter="0" w:footer="0" w:header="0"/>
        </w:sectPr>
      </w:pPr>
    </w:p>
    <w:bookmarkStart w:id="155" w:name="page156"/>
    <w:bookmarkEnd w:id="155"/>
    <w:p>
      <w:pPr>
        <w:jc w:val="both"/>
        <w:ind w:right="20"/>
        <w:spacing w:after="0" w:line="282" w:lineRule="auto"/>
        <w:rPr>
          <w:sz w:val="20"/>
          <w:szCs w:val="20"/>
          <w:color w:val="auto"/>
        </w:rPr>
      </w:pPr>
      <w:r>
        <w:rPr>
          <w:rFonts w:ascii="Arial" w:cs="Arial" w:eastAsia="Arial" w:hAnsi="Arial"/>
          <w:sz w:val="17"/>
          <w:szCs w:val="17"/>
          <w:color w:val="auto"/>
        </w:rPr>
        <w:t xml:space="preserve">and that the Collateral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shall be and become a part of the Collateral referred to in said US Security Agreement and shall secure all Secured Obligations referred to in the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452120</wp:posOffset>
            </wp:positionV>
            <wp:extent cx="6654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-17145</wp:posOffset>
            </wp:positionV>
            <wp:extent cx="6654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-17145</wp:posOffset>
            </wp:positionV>
            <wp:extent cx="6654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SCHEDULE I TO AMENDMENT</w:t>
      </w:r>
    </w:p>
    <w:p>
      <w:pPr>
        <w:spacing w:after="0" w:line="210"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STOCKS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740" w:type="dxa"/>
            <w:vAlign w:val="bottom"/>
            <w:tcBorders>
              <w:top w:val="single" w:sz="8" w:color="00000A"/>
              <w:left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6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1"/>
              </w:rPr>
              <w:t>Percentage of Outstanding</w:t>
            </w:r>
          </w:p>
        </w:tc>
        <w:tc>
          <w:tcPr>
            <w:tcW w:w="0" w:type="dxa"/>
            <w:vAlign w:val="bottom"/>
          </w:tcPr>
          <w:p>
            <w:pPr>
              <w:spacing w:after="0"/>
              <w:rPr>
                <w:sz w:val="1"/>
                <w:szCs w:val="1"/>
                <w:color w:val="auto"/>
              </w:rPr>
            </w:pPr>
          </w:p>
        </w:tc>
      </w:tr>
      <w:tr>
        <w:trPr>
          <w:trHeight w:val="222"/>
        </w:trPr>
        <w:tc>
          <w:tcPr>
            <w:tcW w:w="174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right w:val="single" w:sz="8" w:color="00000A"/>
            </w:tcBorders>
            <w:vMerge w:val="restart"/>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right w:val="single" w:sz="8" w:color="00000A"/>
            </w:tcBorders>
          </w:tcPr>
          <w:p>
            <w:pPr>
              <w:ind w:left="200"/>
              <w:spacing w:after="0"/>
              <w:rPr>
                <w:sz w:val="20"/>
                <w:szCs w:val="20"/>
                <w:color w:val="auto"/>
              </w:rPr>
            </w:pPr>
            <w:r>
              <w:rPr>
                <w:rFonts w:ascii="Arial" w:cs="Arial" w:eastAsia="Arial" w:hAnsi="Arial"/>
                <w:sz w:val="17"/>
                <w:szCs w:val="17"/>
                <w:color w:val="auto"/>
              </w:rPr>
              <w:t>Certificate Number(s)</w:t>
            </w:r>
          </w:p>
        </w:tc>
        <w:tc>
          <w:tcPr>
            <w:tcW w:w="194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rPr>
              <w:t>Number of Shares</w:t>
            </w:r>
          </w:p>
        </w:tc>
        <w:tc>
          <w:tcPr>
            <w:tcW w:w="1960" w:type="dxa"/>
            <w:vAlign w:val="bottom"/>
            <w:tcBorders>
              <w:right w:val="single" w:sz="8" w:color="00000A"/>
            </w:tcBorders>
            <w:vMerge w:val="restart"/>
          </w:tcPr>
          <w:p>
            <w:pPr>
              <w:ind w:left="460"/>
              <w:spacing w:after="0"/>
              <w:rPr>
                <w:sz w:val="20"/>
                <w:szCs w:val="20"/>
                <w:color w:val="auto"/>
              </w:rPr>
            </w:pPr>
            <w:r>
              <w:rPr>
                <w:rFonts w:ascii="Arial" w:cs="Arial" w:eastAsia="Arial" w:hAnsi="Arial"/>
                <w:sz w:val="17"/>
                <w:szCs w:val="17"/>
                <w:color w:val="auto"/>
              </w:rPr>
              <w:t>Class of Stock</w:t>
            </w:r>
          </w:p>
        </w:tc>
        <w:tc>
          <w:tcPr>
            <w:tcW w:w="194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85"/>
              </w:rPr>
              <w:t>Shares</w:t>
            </w:r>
          </w:p>
        </w:tc>
        <w:tc>
          <w:tcPr>
            <w:tcW w:w="0" w:type="dxa"/>
            <w:vAlign w:val="bottom"/>
          </w:tcPr>
          <w:p>
            <w:pPr>
              <w:spacing w:after="0"/>
              <w:rPr>
                <w:sz w:val="1"/>
                <w:szCs w:val="1"/>
                <w:color w:val="auto"/>
              </w:rPr>
            </w:pPr>
          </w:p>
        </w:tc>
      </w:tr>
      <w:tr>
        <w:trPr>
          <w:trHeight w:val="214"/>
        </w:trPr>
        <w:tc>
          <w:tcPr>
            <w:tcW w:w="1740" w:type="dxa"/>
            <w:vAlign w:val="bottom"/>
            <w:tcBorders>
              <w:left w:val="single" w:sz="8" w:color="00000A"/>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6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BONDS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740" w:type="dxa"/>
            <w:vAlign w:val="bottom"/>
            <w:tcBorders>
              <w:top w:val="single" w:sz="8" w:color="00000A"/>
              <w:left w:val="single" w:sz="8" w:color="00000A"/>
              <w:bottom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top w:val="single" w:sz="8" w:color="00000A"/>
              <w:bottom w:val="single" w:sz="8" w:color="00000A"/>
              <w:right w:val="single" w:sz="8" w:color="00000A"/>
            </w:tcBorders>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top w:val="single" w:sz="8" w:color="00000A"/>
              <w:bottom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Number</w:t>
            </w:r>
          </w:p>
        </w:tc>
        <w:tc>
          <w:tcPr>
            <w:tcW w:w="194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Face Amount</w:t>
            </w:r>
          </w:p>
        </w:tc>
        <w:tc>
          <w:tcPr>
            <w:tcW w:w="196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Coupon Rate</w:t>
            </w:r>
          </w:p>
        </w:tc>
        <w:tc>
          <w:tcPr>
            <w:tcW w:w="1940" w:type="dxa"/>
            <w:vAlign w:val="bottom"/>
            <w:tcBorders>
              <w:top w:val="single" w:sz="8" w:color="00000A"/>
              <w:bottom w:val="single" w:sz="8" w:color="00000A"/>
              <w:right w:val="single" w:sz="8" w:color="00000A"/>
            </w:tcBorders>
          </w:tcPr>
          <w:p>
            <w:pPr>
              <w:ind w:left="640"/>
              <w:spacing w:after="0"/>
              <w:rPr>
                <w:sz w:val="20"/>
                <w:szCs w:val="20"/>
                <w:color w:val="auto"/>
              </w:rPr>
            </w:pPr>
            <w:r>
              <w:rPr>
                <w:rFonts w:ascii="Arial" w:cs="Arial" w:eastAsia="Arial" w:hAnsi="Arial"/>
                <w:sz w:val="17"/>
                <w:szCs w:val="17"/>
                <w:color w:val="auto"/>
              </w:rPr>
              <w:t>Maturity</w:t>
            </w: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GOVERNMENT SECURITIES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860" w:type="dxa"/>
            <w:vAlign w:val="bottom"/>
            <w:tcBorders>
              <w:top w:val="single" w:sz="8" w:color="00000A"/>
              <w:left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Name of Grantor</w:t>
            </w:r>
          </w:p>
        </w:tc>
        <w:tc>
          <w:tcPr>
            <w:tcW w:w="1600" w:type="dxa"/>
            <w:vAlign w:val="bottom"/>
            <w:tcBorders>
              <w:top w:val="single" w:sz="8" w:color="00000A"/>
              <w:bottom w:val="single" w:sz="8" w:color="00000A"/>
              <w:right w:val="single" w:sz="8" w:color="00000A"/>
            </w:tcBorders>
          </w:tcPr>
          <w:p>
            <w:pPr>
              <w:ind w:left="580"/>
              <w:spacing w:after="0"/>
              <w:rPr>
                <w:sz w:val="20"/>
                <w:szCs w:val="20"/>
                <w:color w:val="auto"/>
              </w:rPr>
            </w:pPr>
            <w:r>
              <w:rPr>
                <w:rFonts w:ascii="Arial" w:cs="Arial" w:eastAsia="Arial" w:hAnsi="Arial"/>
                <w:sz w:val="17"/>
                <w:szCs w:val="17"/>
                <w:color w:val="auto"/>
              </w:rPr>
              <w:t>Issuer</w:t>
            </w:r>
          </w:p>
        </w:tc>
        <w:tc>
          <w:tcPr>
            <w:tcW w:w="160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Number</w:t>
            </w:r>
          </w:p>
        </w:tc>
        <w:tc>
          <w:tcPr>
            <w:tcW w:w="1600" w:type="dxa"/>
            <w:vAlign w:val="bottom"/>
            <w:tcBorders>
              <w:top w:val="single" w:sz="8" w:color="00000A"/>
              <w:bottom w:val="single" w:sz="8" w:color="00000A"/>
              <w:right w:val="single" w:sz="8" w:color="00000A"/>
            </w:tcBorders>
          </w:tcPr>
          <w:p>
            <w:pPr>
              <w:ind w:left="620"/>
              <w:spacing w:after="0"/>
              <w:rPr>
                <w:sz w:val="20"/>
                <w:szCs w:val="20"/>
                <w:color w:val="auto"/>
              </w:rPr>
            </w:pPr>
            <w:r>
              <w:rPr>
                <w:rFonts w:ascii="Arial" w:cs="Arial" w:eastAsia="Arial" w:hAnsi="Arial"/>
                <w:sz w:val="17"/>
                <w:szCs w:val="17"/>
                <w:color w:val="auto"/>
              </w:rPr>
              <w:t>Type</w:t>
            </w:r>
          </w:p>
        </w:tc>
        <w:tc>
          <w:tcPr>
            <w:tcW w:w="16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Face Amount</w:t>
            </w:r>
          </w:p>
        </w:tc>
        <w:tc>
          <w:tcPr>
            <w:tcW w:w="16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Coupon Rate</w:t>
            </w:r>
          </w:p>
        </w:tc>
        <w:tc>
          <w:tcPr>
            <w:tcW w:w="1600" w:type="dxa"/>
            <w:vAlign w:val="bottom"/>
            <w:tcBorders>
              <w:top w:val="single" w:sz="8" w:color="00000A"/>
              <w:bottom w:val="single" w:sz="8" w:color="00000A"/>
              <w:right w:val="single" w:sz="8" w:color="00000A"/>
            </w:tcBorders>
          </w:tcPr>
          <w:p>
            <w:pPr>
              <w:ind w:left="480"/>
              <w:spacing w:after="0"/>
              <w:rPr>
                <w:sz w:val="20"/>
                <w:szCs w:val="20"/>
                <w:color w:val="auto"/>
              </w:rPr>
            </w:pPr>
            <w:r>
              <w:rPr>
                <w:rFonts w:ascii="Arial" w:cs="Arial" w:eastAsia="Arial" w:hAnsi="Arial"/>
                <w:sz w:val="17"/>
                <w:szCs w:val="17"/>
                <w:color w:val="auto"/>
              </w:rPr>
              <w:t>Maturity</w:t>
            </w:r>
          </w:p>
        </w:tc>
      </w:tr>
      <w:tr>
        <w:trPr>
          <w:trHeight w:val="262"/>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OTHER SECURITIES OR OTHER INVESTMENT PROPERTY</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(CERTIFICATED AND UNCERTIFICATED)</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880" w:type="dxa"/>
            <w:vAlign w:val="bottom"/>
            <w:tcBorders>
              <w:top w:val="single" w:sz="8" w:color="00000A"/>
              <w:left w:val="single" w:sz="8" w:color="00000A"/>
              <w:bottom w:val="single" w:sz="8" w:color="00000A"/>
              <w:right w:val="single" w:sz="8" w:color="00000A"/>
            </w:tcBorders>
          </w:tcPr>
          <w:p>
            <w:pPr>
              <w:ind w:left="840"/>
              <w:spacing w:after="0"/>
              <w:rPr>
                <w:sz w:val="20"/>
                <w:szCs w:val="20"/>
                <w:color w:val="auto"/>
              </w:rPr>
            </w:pPr>
            <w:r>
              <w:rPr>
                <w:rFonts w:ascii="Arial" w:cs="Arial" w:eastAsia="Arial" w:hAnsi="Arial"/>
                <w:sz w:val="17"/>
                <w:szCs w:val="17"/>
                <w:color w:val="auto"/>
              </w:rPr>
              <w:t>Name of Grantor</w:t>
            </w:r>
          </w:p>
        </w:tc>
        <w:tc>
          <w:tcPr>
            <w:tcW w:w="2860" w:type="dxa"/>
            <w:vAlign w:val="bottom"/>
            <w:tcBorders>
              <w:top w:val="single" w:sz="8" w:color="00000A"/>
              <w:bottom w:val="single" w:sz="8" w:color="00000A"/>
              <w:right w:val="single" w:sz="8" w:color="00000A"/>
            </w:tcBorders>
          </w:tcPr>
          <w:p>
            <w:pPr>
              <w:ind w:left="1200"/>
              <w:spacing w:after="0"/>
              <w:rPr>
                <w:sz w:val="20"/>
                <w:szCs w:val="20"/>
                <w:color w:val="auto"/>
              </w:rPr>
            </w:pPr>
            <w:r>
              <w:rPr>
                <w:rFonts w:ascii="Arial" w:cs="Arial" w:eastAsia="Arial" w:hAnsi="Arial"/>
                <w:sz w:val="17"/>
                <w:szCs w:val="17"/>
                <w:color w:val="auto"/>
              </w:rPr>
              <w:t>Issuer</w:t>
            </w:r>
          </w:p>
        </w:tc>
        <w:tc>
          <w:tcPr>
            <w:tcW w:w="2860" w:type="dxa"/>
            <w:vAlign w:val="bottom"/>
            <w:tcBorders>
              <w:top w:val="single" w:sz="8" w:color="00000A"/>
              <w:bottom w:val="single" w:sz="8" w:color="00000A"/>
              <w:right w:val="single" w:sz="8" w:color="00000A"/>
            </w:tcBorders>
          </w:tcPr>
          <w:p>
            <w:pPr>
              <w:ind w:left="540"/>
              <w:spacing w:after="0"/>
              <w:rPr>
                <w:sz w:val="20"/>
                <w:szCs w:val="20"/>
                <w:color w:val="auto"/>
              </w:rPr>
            </w:pPr>
            <w:r>
              <w:rPr>
                <w:rFonts w:ascii="Arial" w:cs="Arial" w:eastAsia="Arial" w:hAnsi="Arial"/>
                <w:sz w:val="17"/>
                <w:szCs w:val="17"/>
                <w:color w:val="auto"/>
              </w:rPr>
              <w:t>Description of Collateral</w:t>
            </w:r>
          </w:p>
        </w:tc>
        <w:tc>
          <w:tcPr>
            <w:tcW w:w="286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7"/>
                <w:szCs w:val="17"/>
                <w:color w:val="auto"/>
              </w:rPr>
              <w:t>Percentage Ownership Interest</w:t>
            </w:r>
          </w:p>
        </w:tc>
      </w:tr>
      <w:tr>
        <w:trPr>
          <w:trHeight w:val="262"/>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Add description of custody accounts or arrangements with securities intermediary, if applicable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G-2</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u w:val="single" w:color="auto"/>
          <w:color w:val="auto"/>
        </w:rPr>
        <w:t>FORM OF SECOND AMENDED AND RESTATED CANADIAN CROSS- BORDER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PLEDGE AND SECURITY AGREEMENT</w:t>
      </w:r>
    </w:p>
    <w:p>
      <w:pPr>
        <w:spacing w:after="0" w:line="38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THIS SECOND AMENDED AND RESTATED CANADIAN CROSS-BORDER PLEDGE AND SECURITY AGREEMENT (as it may be amended, restated, supplemented or otherwise modified from time to time, this “</w:t>
      </w:r>
      <w:r>
        <w:rPr>
          <w:rFonts w:ascii="Arial" w:cs="Arial" w:eastAsia="Arial" w:hAnsi="Arial"/>
          <w:sz w:val="17"/>
          <w:szCs w:val="17"/>
          <w:u w:val="single" w:color="auto"/>
          <w:color w:val="auto"/>
        </w:rPr>
        <w:t>Canadian Cross-Border Security Agreement</w:t>
      </w:r>
      <w:r>
        <w:rPr>
          <w:rFonts w:ascii="Arial" w:cs="Arial" w:eastAsia="Arial" w:hAnsi="Arial"/>
          <w:sz w:val="17"/>
          <w:szCs w:val="17"/>
          <w:color w:val="auto"/>
        </w:rPr>
        <w:t>”) is entered into as of September 24, 2015 by and between WESCO Distribution Canada Co., an unlimited company amalgamated under the laws of the Province of Nova Scotia, TVC Canada Corp., an unlimited company incorporated under the laws of the Province of Nova Scotia and WESCO Distribution II ULC, an unlimited company incorporated under the laws of the Province of Nova Scotia (collectively, the “</w:t>
      </w:r>
      <w:r>
        <w:rPr>
          <w:rFonts w:ascii="Arial" w:cs="Arial" w:eastAsia="Arial" w:hAnsi="Arial"/>
          <w:sz w:val="17"/>
          <w:szCs w:val="17"/>
          <w:u w:val="single" w:color="auto"/>
          <w:color w:val="auto"/>
        </w:rPr>
        <w:t>Grantors</w:t>
      </w:r>
      <w:r>
        <w:rPr>
          <w:rFonts w:ascii="Arial" w:cs="Arial" w:eastAsia="Arial" w:hAnsi="Arial"/>
          <w:sz w:val="17"/>
          <w:szCs w:val="17"/>
          <w:color w:val="auto"/>
        </w:rPr>
        <w:t>”, and each a “</w:t>
      </w:r>
      <w:r>
        <w:rPr>
          <w:rFonts w:ascii="Arial" w:cs="Arial" w:eastAsia="Arial" w:hAnsi="Arial"/>
          <w:sz w:val="17"/>
          <w:szCs w:val="17"/>
          <w:u w:val="single" w:color="auto"/>
          <w:color w:val="auto"/>
        </w:rPr>
        <w:t>Grantor</w:t>
      </w:r>
      <w:r>
        <w:rPr>
          <w:rFonts w:ascii="Arial" w:cs="Arial" w:eastAsia="Arial" w:hAnsi="Arial"/>
          <w:sz w:val="17"/>
          <w:szCs w:val="17"/>
          <w:color w:val="auto"/>
        </w:rPr>
        <w:t>”), and JPMorgan Chase Bank, N.A., in its capacity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 Parties (as defined in the hereinafter defined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PRELIMINARY STATEMENT</w:t>
      </w:r>
    </w:p>
    <w:p>
      <w:pPr>
        <w:spacing w:after="0" w:line="210"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6"/>
          <w:szCs w:val="16"/>
          <w:color w:val="auto"/>
        </w:rPr>
        <w:t>WHEREAS, certain of the Grantors (the “</w:t>
      </w:r>
      <w:r>
        <w:rPr>
          <w:rFonts w:ascii="Arial" w:cs="Arial" w:eastAsia="Arial" w:hAnsi="Arial"/>
          <w:sz w:val="16"/>
          <w:szCs w:val="16"/>
          <w:u w:val="single" w:color="auto"/>
          <w:color w:val="auto"/>
        </w:rPr>
        <w:t>Original Grantors</w:t>
      </w:r>
      <w:r>
        <w:rPr>
          <w:rFonts w:ascii="Arial" w:cs="Arial" w:eastAsia="Arial" w:hAnsi="Arial"/>
          <w:sz w:val="16"/>
          <w:szCs w:val="16"/>
          <w:color w:val="auto"/>
        </w:rPr>
        <w:t>”) are parties to that certain credit agreement dated August 22, 2011, as amended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Loan Parties (as defined in the Original Credit Agreement) party thereto, the Lenders (as defined in the Original Credit Agreement) party thereto (the “</w:t>
      </w:r>
      <w:r>
        <w:rPr>
          <w:rFonts w:ascii="Arial" w:cs="Arial" w:eastAsia="Arial" w:hAnsi="Arial"/>
          <w:sz w:val="16"/>
          <w:szCs w:val="16"/>
          <w:u w:val="single" w:color="auto"/>
          <w:color w:val="auto"/>
        </w:rPr>
        <w:t>Original Lenders</w:t>
      </w:r>
      <w:r>
        <w:rPr>
          <w:rFonts w:ascii="Arial" w:cs="Arial" w:eastAsia="Arial" w:hAnsi="Arial"/>
          <w:sz w:val="16"/>
          <w:szCs w:val="16"/>
          <w:color w:val="auto"/>
        </w:rPr>
        <w:t>”), the Administrative Agent, and JPMorgan Chase Bank, N.A., Toronto Branch (the “</w:t>
      </w:r>
      <w:r>
        <w:rPr>
          <w:rFonts w:ascii="Arial" w:cs="Arial" w:eastAsia="Arial" w:hAnsi="Arial"/>
          <w:sz w:val="16"/>
          <w:szCs w:val="16"/>
          <w:u w:val="single" w:color="auto"/>
          <w:color w:val="auto"/>
        </w:rPr>
        <w:t>Canadian Administrative</w:t>
      </w:r>
    </w:p>
    <w:p>
      <w:pPr>
        <w:sectPr>
          <w:pgSz w:w="11900" w:h="16838" w:orient="portrait"/>
          <w:cols w:equalWidth="0" w:num="1">
            <w:col w:w="11440"/>
          </w:cols>
          <w:pgMar w:left="240" w:top="124" w:right="219" w:bottom="0" w:gutter="0" w:footer="0" w:header="0"/>
        </w:sectPr>
      </w:pPr>
    </w:p>
    <w:bookmarkStart w:id="156" w:name="page157"/>
    <w:bookmarkEnd w:id="156"/>
    <w:p>
      <w:pPr>
        <w:jc w:val="both"/>
        <w:ind w:right="20"/>
        <w:spacing w:after="0" w:line="282" w:lineRule="auto"/>
        <w:rPr>
          <w:sz w:val="20"/>
          <w:szCs w:val="20"/>
          <w:color w:val="auto"/>
        </w:rPr>
      </w:pPr>
      <w:r>
        <w:rPr>
          <w:rFonts w:ascii="Arial" w:cs="Arial" w:eastAsia="Arial" w:hAnsi="Arial"/>
          <w:sz w:val="17"/>
          <w:szCs w:val="17"/>
          <w:u w:val="single" w:color="auto"/>
          <w:color w:val="auto"/>
        </w:rPr>
        <w:t>Agent</w:t>
      </w:r>
      <w:r>
        <w:rPr>
          <w:rFonts w:ascii="Arial" w:cs="Arial" w:eastAsia="Arial" w:hAnsi="Arial"/>
          <w:sz w:val="17"/>
          <w:szCs w:val="17"/>
          <w:color w:val="auto"/>
        </w:rPr>
        <w:t>”, and together with the Administrative Agent, the “</w:t>
      </w:r>
      <w:r>
        <w:rPr>
          <w:rFonts w:ascii="Arial" w:cs="Arial" w:eastAsia="Arial" w:hAnsi="Arial"/>
          <w:sz w:val="17"/>
          <w:szCs w:val="17"/>
          <w:u w:val="single" w:color="auto"/>
          <w:color w:val="auto"/>
        </w:rPr>
        <w:t>Agents</w:t>
      </w:r>
      <w:r>
        <w:rPr>
          <w:rFonts w:ascii="Arial" w:cs="Arial" w:eastAsia="Arial" w:hAnsi="Arial"/>
          <w:sz w:val="17"/>
          <w:szCs w:val="17"/>
          <w:color w:val="auto"/>
        </w:rPr>
        <w:t>”), pursuant to which the Original Lenders agreed to make certain loans and provide certain other credit accommodations to the Borrowers (as defined in the Original Credit Agreement) thereunder from time to time;</w:t>
      </w:r>
    </w:p>
    <w:p>
      <w:pPr>
        <w:spacing w:after="0" w:line="149"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AND WHEREAS, in connection with the Original Credit Agreement, the Original Grantors and the Administrative Agent entered into that certain Canadian cross-border pledge and security agreement, as amended (the “</w:t>
      </w:r>
      <w:r>
        <w:rPr>
          <w:rFonts w:ascii="Arial" w:cs="Arial" w:eastAsia="Arial" w:hAnsi="Arial"/>
          <w:sz w:val="16"/>
          <w:szCs w:val="16"/>
          <w:u w:val="single" w:color="auto"/>
          <w:color w:val="auto"/>
        </w:rPr>
        <w:t>Original Canadian Cross-Border Security Agreement</w:t>
      </w:r>
      <w:r>
        <w:rPr>
          <w:rFonts w:ascii="Arial" w:cs="Arial" w:eastAsia="Arial" w:hAnsi="Arial"/>
          <w:sz w:val="16"/>
          <w:szCs w:val="16"/>
          <w:color w:val="auto"/>
        </w:rPr>
        <w:t>”), pursuant to which the Original Grantors granted to the Administrative Agent security interests in the Collateral (as defined in the Original Canadian Cross-Border Security Agreement) to secure the obligations of the Original Grantors under the Original Credit Agreement and the other Loan Documents (as defined in the Original Credit Agreement);</w:t>
      </w:r>
    </w:p>
    <w:p>
      <w:pPr>
        <w:spacing w:after="0" w:line="154"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AND WHEREAS, certain of the Grantors (the “</w:t>
      </w:r>
      <w:r>
        <w:rPr>
          <w:rFonts w:ascii="Arial" w:cs="Arial" w:eastAsia="Arial" w:hAnsi="Arial"/>
          <w:sz w:val="17"/>
          <w:szCs w:val="17"/>
          <w:u w:val="single" w:color="auto"/>
          <w:color w:val="auto"/>
        </w:rPr>
        <w:t>First ARCA Grantors</w:t>
      </w:r>
      <w:r>
        <w:rPr>
          <w:rFonts w:ascii="Arial" w:cs="Arial" w:eastAsia="Arial" w:hAnsi="Arial"/>
          <w:sz w:val="17"/>
          <w:szCs w:val="17"/>
          <w:color w:val="auto"/>
        </w:rPr>
        <w:t>”) are parties to that certain amended and restated credit agreement dated December 12, 2012 (as amended, restated, supplemented or otherwise modified prior to the date hereof, the “</w:t>
      </w:r>
      <w:r>
        <w:rPr>
          <w:rFonts w:ascii="Arial" w:cs="Arial" w:eastAsia="Arial" w:hAnsi="Arial"/>
          <w:sz w:val="17"/>
          <w:szCs w:val="17"/>
          <w:u w:val="single" w:color="auto"/>
          <w:color w:val="auto"/>
        </w:rPr>
        <w:t>First ARCA</w:t>
      </w:r>
      <w:r>
        <w:rPr>
          <w:rFonts w:ascii="Arial" w:cs="Arial" w:eastAsia="Arial" w:hAnsi="Arial"/>
          <w:sz w:val="17"/>
          <w:szCs w:val="17"/>
          <w:color w:val="auto"/>
        </w:rPr>
        <w:t>”), among the Loan Parties (as defined in the First ARCA) party thereto, the Lender Parties (as defined in the First ARCA) party thereto (the “</w:t>
      </w:r>
      <w:r>
        <w:rPr>
          <w:rFonts w:ascii="Arial" w:cs="Arial" w:eastAsia="Arial" w:hAnsi="Arial"/>
          <w:sz w:val="17"/>
          <w:szCs w:val="17"/>
          <w:u w:val="single" w:color="auto"/>
          <w:color w:val="auto"/>
        </w:rPr>
        <w:t>First ARCA Lenders</w:t>
      </w:r>
      <w:r>
        <w:rPr>
          <w:rFonts w:ascii="Arial" w:cs="Arial" w:eastAsia="Arial" w:hAnsi="Arial"/>
          <w:sz w:val="17"/>
          <w:szCs w:val="17"/>
          <w:color w:val="auto"/>
        </w:rPr>
        <w:t>”) and the Agents, pursuant to which the First ARCA Lenders agreed to make certain loans and provide certain other credit accommodations to the Borrowers (as defined in the First ARCA) thereunder from time to time, which First ARCA amends and restates the Original Credit Agreement in its entirety;</w:t>
      </w:r>
    </w:p>
    <w:p>
      <w:pPr>
        <w:spacing w:after="0" w:line="173"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6"/>
          <w:szCs w:val="16"/>
          <w:color w:val="auto"/>
        </w:rPr>
        <w:t>AND WHEREAS, in connection with the First ARCA, the First ARCA Grantors and the Administrative Agent entered into that certain amended and restated Canadian cross-border pledge and security agreement (as amended, restated, supplemented or otherwise modified prior to the date hereof,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ARCA Canadian Cross-Border Security Agreement</w:t>
      </w:r>
      <w:r>
        <w:rPr>
          <w:rFonts w:ascii="Arial" w:cs="Arial" w:eastAsia="Arial" w:hAnsi="Arial"/>
          <w:sz w:val="16"/>
          <w:szCs w:val="16"/>
          <w:color w:val="auto"/>
        </w:rPr>
        <w:t>”), pursuant to which the First ARCA Grantors granted to the Administrative Agent security interests in the Collateral (as defined in the First ARCA Canadian Cross-Border Security Agreement) to secure the Secured Obligations (as defined in the First ARCA Canadian Cross-Border Security Agreement) of the First ARCA Grantors under the First ARCA and the other Loan Documents (as defined in the First ARCA) which First ARCA Canadian Cross-Border Security Agreement amended and restated the Original Canadian Cross-Border Security Agreement in its entirety;</w:t>
      </w:r>
    </w:p>
    <w:p>
      <w:pPr>
        <w:spacing w:after="0" w:line="157"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AND WHEREAS, concurrently herewith, the Agents, the Loan Parties (as defined in the hereinafter defined Credit Agreement) and the Lenders (as defined in the hereinafter defined Credit Agreement) are entering into that certain second amended and restated credit agreement dated as of the date hereof (as it may be further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Credit Agreement amends and restates the First ARCA in its entirety;</w:t>
      </w:r>
    </w:p>
    <w:p>
      <w:pPr>
        <w:spacing w:after="0" w:line="169"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AND WHEREAS, each Grantor is entering into this Canadian Cross-Border Security Agreement in order to induce the Lender Parties (as defined in the Credit Agreement) to enter into and extend credit to the Borrowers (as defined in the Credit Agreement) under the Credit Agreement and to secure the Secured Obligations it has agreed to guarantee pursuant to a second amended and restated Canadian cross-border guarantee dated as of the date hereof by the Grantors, as Canadian Cross-Border Loan Guarantors (as defined in the Credit Agreement), in favour of the Administrative Agent.</w:t>
      </w:r>
    </w:p>
    <w:p>
      <w:pPr>
        <w:spacing w:after="0" w:line="154"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the Grantors and the Administrative Agent, on behalf of the Lender Parties, hereby agree that the First ARCA Canadian Cross-Border Security Agreement be, and hereby is, amended and restated in its entirety by this Canadian Cross-Border Security Agreement, and the parties hereto hereby further agree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96"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Terms Defined in Credit Agreement</w:t>
      </w:r>
      <w:r>
        <w:rPr>
          <w:rFonts w:ascii="Arial" w:cs="Arial" w:eastAsia="Arial" w:hAnsi="Arial"/>
          <w:sz w:val="17"/>
          <w:szCs w:val="17"/>
          <w:color w:val="auto"/>
        </w:rPr>
        <w:t>. All capitalized terms used herein and not otherwise defined shall have the meanings assigned to such terms in the Credit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Defined in PPSA</w:t>
      </w:r>
      <w:r>
        <w:rPr>
          <w:rFonts w:ascii="Arial" w:cs="Arial" w:eastAsia="Arial" w:hAnsi="Arial"/>
          <w:sz w:val="17"/>
          <w:szCs w:val="17"/>
          <w:color w:val="auto"/>
        </w:rPr>
        <w:t>. Terms defined in the PPSA which are not otherwise defined in this Canadian Cross-Border Security Agreement or the Credit Agreement are used herein as defined in the PPSA or the STA.</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Definitions of Certain Terms Used Herein</w:t>
      </w:r>
      <w:r>
        <w:rPr>
          <w:rFonts w:ascii="Arial" w:cs="Arial" w:eastAsia="Arial" w:hAnsi="Arial"/>
          <w:sz w:val="17"/>
          <w:szCs w:val="17"/>
          <w:color w:val="auto"/>
        </w:rPr>
        <w:t>. As used in this Canadian Cross-Border Security Agreement, in addition to the terms defined in the first paragraph hereof and the Preliminary Statement, the following terms shall have the following meanings: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w:t>
      </w:r>
      <w:r>
        <w:rPr>
          <w:rFonts w:ascii="Arial" w:cs="Arial" w:eastAsia="Arial" w:hAnsi="Arial"/>
          <w:sz w:val="17"/>
          <w:szCs w:val="17"/>
          <w:color w:val="auto"/>
        </w:rPr>
        <w:t>” means a numbered article of this Canadian Cross-Border Security Agreement, unless another document is specifically referenced.</w:t>
      </w:r>
    </w:p>
    <w:p>
      <w:pPr>
        <w:spacing w:after="0" w:line="210"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Assigned Contracts</w:t>
      </w:r>
      <w:r>
        <w:rPr>
          <w:rFonts w:ascii="Arial" w:cs="Arial" w:eastAsia="Arial" w:hAnsi="Arial"/>
          <w:sz w:val="16"/>
          <w:szCs w:val="16"/>
          <w:color w:val="auto"/>
        </w:rPr>
        <w:t>” means, with respect to any Grantor, collectively, all of such Grantor’s rights and remedies under, and all moneys and claims for money due or to become due to such Grantor under those contracts and other agreements relating to the purchase and sale of Inventory and all Accounts related thereto and any and all other material contracts between such Grantor and any party other than the Agents or any Lender and any and all amendments, supplements, extensions, and renewals thereof, including all rights and claims of such Grantor now or hereafter existing: (a) 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Chattel Paper</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shall have the meaning set forth in Article II.</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Loan Party for any real property where any Collateral is located, as such landlord waiver or other agreement may be amended, restated, or otherwise modified from time to time.</w:t>
      </w:r>
    </w:p>
    <w:p>
      <w:pPr>
        <w:spacing w:after="0" w:line="169"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Report</w:t>
      </w:r>
      <w:r>
        <w:rPr>
          <w:rFonts w:ascii="Arial" w:cs="Arial" w:eastAsia="Arial" w:hAnsi="Arial"/>
          <w:sz w:val="17"/>
          <w:szCs w:val="17"/>
          <w:color w:val="auto"/>
        </w:rPr>
        <w:t>” means any certificate (including any Borrowing Base Certificate), report or other document delivered by any Grantor to the Administrative Agent with respect to the Collateral pursuant to any Loan Document.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have the meaning set forth in the STA or the PPSA, as applicable.</w:t>
      </w:r>
    </w:p>
    <w:p>
      <w:pPr>
        <w:spacing w:after="0" w:line="21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an agreement, in form and substance reasonably satisfactory to the Administrative Agent, among any Loan Party, a banking institution, securities broker, securities intermediary or other financial institution holding such Loan Party's funds, and the Administrative Agent with respect to collection and control of all deposits and balances held in a Deposit Account or Securities Account maintained by any Loan Party with such banking institution, securities broker or securities intermediary.</w:t>
      </w:r>
    </w:p>
    <w:p>
      <w:pPr>
        <w:spacing w:after="0" w:line="169" w:lineRule="exact"/>
        <w:rPr>
          <w:sz w:val="20"/>
          <w:szCs w:val="20"/>
          <w:color w:val="auto"/>
        </w:rPr>
      </w:pPr>
    </w:p>
    <w:p>
      <w:pPr>
        <w:jc w:val="both"/>
        <w:ind w:firstLine="572"/>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w:t>
      </w:r>
    </w:p>
    <w:p>
      <w:pPr>
        <w:sectPr>
          <w:pgSz w:w="11900" w:h="16838" w:orient="portrait"/>
          <w:cols w:equalWidth="0" w:num="1">
            <w:col w:w="11440"/>
          </w:cols>
          <w:pgMar w:left="240" w:top="124" w:right="219" w:bottom="0" w:gutter="0" w:footer="0" w:header="0"/>
        </w:sectPr>
      </w:pPr>
    </w:p>
    <w:bookmarkStart w:id="157" w:name="page158"/>
    <w:bookmarkEnd w:id="157"/>
    <w:p>
      <w:pPr>
        <w:jc w:val="both"/>
        <w:ind w:right="20"/>
        <w:spacing w:after="0" w:line="265" w:lineRule="auto"/>
        <w:rPr>
          <w:sz w:val="20"/>
          <w:szCs w:val="20"/>
          <w:color w:val="auto"/>
        </w:rPr>
      </w:pPr>
      <w:r>
        <w:rPr>
          <w:rFonts w:ascii="Arial" w:cs="Arial" w:eastAsia="Arial" w:hAnsi="Arial"/>
          <w:sz w:val="17"/>
          <w:szCs w:val="17"/>
          <w:color w:val="auto"/>
        </w:rPr>
        <w:t>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Accounts</w:t>
      </w:r>
      <w:r>
        <w:rPr>
          <w:rFonts w:ascii="Arial" w:cs="Arial" w:eastAsia="Arial" w:hAnsi="Arial"/>
          <w:sz w:val="17"/>
          <w:szCs w:val="17"/>
          <w:color w:val="auto"/>
        </w:rPr>
        <w:t>” means all bank accounts having a depository function and domiciled in Canada.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Center</w:t>
      </w:r>
      <w:r>
        <w:rPr>
          <w:rFonts w:ascii="Arial" w:cs="Arial" w:eastAsia="Arial" w:hAnsi="Arial"/>
          <w:sz w:val="17"/>
          <w:szCs w:val="17"/>
          <w:color w:val="auto"/>
        </w:rPr>
        <w:t>” means a location leased by a Grantor where such Grantor operates a distribution facility of inventory.</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Documents</w:t>
      </w:r>
      <w:r>
        <w:rPr>
          <w:rFonts w:ascii="Arial" w:cs="Arial" w:eastAsia="Arial" w:hAnsi="Arial"/>
          <w:sz w:val="17"/>
          <w:szCs w:val="17"/>
          <w:color w:val="auto"/>
        </w:rPr>
        <w:t>” means “documents of title” as defined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Equipment</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Collateral</w:t>
      </w:r>
      <w:r>
        <w:rPr>
          <w:rFonts w:ascii="Arial" w:cs="Arial" w:eastAsia="Arial" w:hAnsi="Arial"/>
          <w:sz w:val="17"/>
          <w:szCs w:val="17"/>
          <w:color w:val="auto"/>
        </w:rPr>
        <w:t>” have the meaning set forth in Article II hereof.</w:t>
      </w:r>
    </w:p>
    <w:p>
      <w:pPr>
        <w:spacing w:after="0" w:line="210" w:lineRule="exact"/>
        <w:rPr>
          <w:sz w:val="20"/>
          <w:szCs w:val="20"/>
          <w:color w:val="auto"/>
        </w:rPr>
      </w:pPr>
    </w:p>
    <w:p>
      <w:pPr>
        <w:jc w:val="both"/>
        <w:ind w:firstLine="57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Equity Interests</w:t>
      </w:r>
      <w:r>
        <w:rPr>
          <w:rFonts w:ascii="Arial" w:cs="Arial" w:eastAsia="Arial" w:hAnsi="Arial"/>
          <w:sz w:val="15"/>
          <w:szCs w:val="15"/>
          <w:color w:val="auto"/>
        </w:rPr>
        <w:t>” means (a) the Equity Interests of any Grantor in the Real Estate Subsidiaries or in any other special purpose entity that is formed or acquired after the Second Restatement Date which has no assets other than real property, (b) Equity Interests in entities where such Grantor holds 50% or less of the outstanding Equity Interests of such entity, to the extent a pledge of such Equity Interests is prohibited by the organizational documents or agreements with the other equity holders of such entity after the exercise of commercially reasonable efforts to remove or avoid such prohibition, (c) more than 65% of the issued and outstanding Equity Interests of any CFC Subsidiary or CFC Subsidiary Holding Company entitled to vote (within the meaning of United States Treasury Regulations Section 1.956-2(c)(2)) and (d) Equity Interests of any Excluded Subsidiary described in clause (b) and clause (c) of the definition thereof.</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Exhibit</w:t>
      </w:r>
      <w:r>
        <w:rPr>
          <w:rFonts w:ascii="Arial" w:cs="Arial" w:eastAsia="Arial" w:hAnsi="Arial"/>
          <w:sz w:val="17"/>
          <w:szCs w:val="17"/>
          <w:color w:val="auto"/>
        </w:rPr>
        <w:t>” refers to a specific exhibit to this Canadian Cross-Border Security Agreement, unless another document is specifically referenced.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means “intangibles” as defined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Instruments</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and similar property of every kind and nature, including inventions, designs, Patents, Copyrights, Trademarks, industrial designs,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Property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shall have the meaning set forth in Section 4.8.</w:t>
      </w:r>
    </w:p>
    <w:p>
      <w:pPr>
        <w:spacing w:after="0" w:line="210"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69"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73" w:lineRule="exact"/>
        <w:rPr>
          <w:sz w:val="20"/>
          <w:szCs w:val="20"/>
          <w:color w:val="auto"/>
        </w:rPr>
      </w:pPr>
    </w:p>
    <w:p>
      <w:pPr>
        <w:jc w:val="both"/>
        <w:ind w:right="20" w:firstLine="57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Instruments, Securities and other Investment Property of the Grantors included within the definition of Collateral herein, whether or not physically delivered to the Administrative Agent pursuant to this Canadian Cross-Border Security Agreement, excluding, for the avoidance of doubt, any Excluded Collateral.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ULC Shares</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PPSA</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Personal Property Security Act</w:t>
      </w:r>
      <w:r>
        <w:rPr>
          <w:rFonts w:ascii="Arial" w:cs="Arial" w:eastAsia="Arial" w:hAnsi="Arial"/>
          <w:sz w:val="17"/>
          <w:szCs w:val="17"/>
          <w:color w:val="auto"/>
        </w:rPr>
        <w:t xml:space="preserve"> (Ontario), or to the extent applicable, similar legislation of any other jurisdiction, as amended from time to time, and includes the Civil Code of Quebec, where applicable.</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the Accounts, Chattel Paper, Documents, Investment Property, Instruments and any other rights or claims to receive money which are General Intangibles or which are otherwise included as Collateral.</w:t>
      </w:r>
    </w:p>
    <w:p>
      <w:pPr>
        <w:spacing w:after="0" w:line="152" w:lineRule="exact"/>
        <w:rPr>
          <w:sz w:val="20"/>
          <w:szCs w:val="20"/>
          <w:color w:val="auto"/>
        </w:rPr>
      </w:pPr>
    </w:p>
    <w:p>
      <w:pPr>
        <w:jc w:val="both"/>
        <w:ind w:right="20" w:firstLine="57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Secured Parties</w:t>
      </w:r>
      <w:r>
        <w:rPr>
          <w:rFonts w:ascii="Arial" w:cs="Arial" w:eastAsia="Arial" w:hAnsi="Arial"/>
          <w:sz w:val="16"/>
          <w:szCs w:val="16"/>
          <w:color w:val="auto"/>
        </w:rPr>
        <w:t>” means (a) prior to an acceleration of the Obligations under the Credit Agreement, the Required Lenders, (b) after an acceleration of the Obligations under the Credit Agreement but prior to the date upon which the Credit Agreement has terminated by its terms and all of the obligations thereunder have been paid in full (other than contingent obligations for which no claim has been asserted), Lenders holding in the aggregate at least a majority of the total of the Aggregate Credit Exposure, and (c) after the Credit Agreement has terminated by its terms and all of the Obligations thereunder have been paid in full (whether or not the Obligations under the Credit Agreement were ever accelerated) (other than contingent obligations for which no claim has been asserted), Lenders holding in the aggregate at least a majority of the aggregate net early termination payments and all other amounts then due and unpaid from any Grantor to the Lenders under Swap Agreement, as determined by the Administrative Agent in its reasonable discretion.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Restatement Date</w:t>
      </w:r>
      <w:r>
        <w:rPr>
          <w:rFonts w:ascii="Arial" w:cs="Arial" w:eastAsia="Arial" w:hAnsi="Arial"/>
          <w:sz w:val="17"/>
          <w:szCs w:val="17"/>
          <w:color w:val="auto"/>
        </w:rPr>
        <w:t>” means the date of the Credit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w:t>
      </w:r>
      <w:r>
        <w:rPr>
          <w:rFonts w:ascii="Arial" w:cs="Arial" w:eastAsia="Arial" w:hAnsi="Arial"/>
          <w:sz w:val="17"/>
          <w:szCs w:val="17"/>
          <w:color w:val="auto"/>
        </w:rPr>
        <w:t>” means a numbered section of this Canadian Cross-Border Security Agreement, unless another document is specifically referenced.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w:t>
      </w:r>
      <w:r>
        <w:rPr>
          <w:rFonts w:ascii="Arial" w:cs="Arial" w:eastAsia="Arial" w:hAnsi="Arial"/>
          <w:sz w:val="17"/>
          <w:szCs w:val="17"/>
          <w:color w:val="auto"/>
        </w:rPr>
        <w:t>” shall have the meaning set forth in the PPSA.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Securities Transfer Act, 2006</w:t>
      </w:r>
      <w:r>
        <w:rPr>
          <w:rFonts w:ascii="Arial" w:cs="Arial" w:eastAsia="Arial" w:hAnsi="Arial"/>
          <w:sz w:val="16"/>
          <w:szCs w:val="16"/>
          <w:color w:val="auto"/>
        </w:rPr>
        <w:t xml:space="preserve"> (Ontario), or to the extent applicable, similar legislation of any other jurisdiction, as amended from time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ectPr>
          <w:pgSz w:w="11900" w:h="16838" w:orient="portrait"/>
          <w:cols w:equalWidth="0" w:num="1">
            <w:col w:w="11440"/>
          </w:cols>
          <w:pgMar w:left="240" w:top="124" w:right="219" w:bottom="141" w:gutter="0" w:footer="0" w:header="0"/>
        </w:sectPr>
      </w:pPr>
    </w:p>
    <w:bookmarkStart w:id="158" w:name="page159"/>
    <w:bookmarkEnd w:id="158"/>
    <w:p>
      <w:pPr>
        <w:spacing w:after="0" w:line="107"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 excluding for the avoidance of doubt, any Excluded Collateral.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Obligation Payment Date</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Priority Collateral</w:t>
      </w:r>
      <w:r>
        <w:rPr>
          <w:rFonts w:ascii="Arial" w:cs="Arial" w:eastAsia="Arial" w:hAnsi="Arial"/>
          <w:sz w:val="17"/>
          <w:szCs w:val="17"/>
          <w:color w:val="auto"/>
        </w:rPr>
        <w:t>” shall have the meaning set forth in the ABL-Term Loan Intercreditor Agreement.</w:t>
      </w:r>
    </w:p>
    <w:p>
      <w:pPr>
        <w:spacing w:after="0" w:line="21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2" w:lineRule="exact"/>
        <w:rPr>
          <w:sz w:val="20"/>
          <w:szCs w:val="20"/>
          <w:color w:val="auto"/>
        </w:rPr>
      </w:pPr>
    </w:p>
    <w:p>
      <w:pPr>
        <w:jc w:val="both"/>
        <w:ind w:right="20" w:firstLine="572"/>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Update Date</w:t>
      </w:r>
      <w:r>
        <w:rPr>
          <w:rFonts w:ascii="Arial" w:cs="Arial" w:eastAsia="Arial" w:hAnsi="Arial"/>
          <w:sz w:val="17"/>
          <w:szCs w:val="17"/>
          <w:color w:val="auto"/>
        </w:rPr>
        <w:t>” means the date on which any Grantor provides notice to the Administrative Agent of any updates to the representations and warranties contained in Article III hereof, as permitted by Article IV hereof, which shall occur within 30 days from June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ULC</w:t>
      </w:r>
      <w:r>
        <w:rPr>
          <w:rFonts w:ascii="Arial" w:cs="Arial" w:eastAsia="Arial" w:hAnsi="Arial"/>
          <w:sz w:val="17"/>
          <w:szCs w:val="17"/>
          <w:color w:val="auto"/>
        </w:rPr>
        <w:t>” shall have the meaning set forth in Section 3.13(d).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foregoing definitions shall be equally applicable to both the singular and plural forms of the defined terms.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 OF SECURITY INTEREST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To secure the prompt and complete payment and performance of the Secured Obligations, each Grantor hereby pledges, assigns and grants to the Administrative Agent, on behalf of and for the ratable benefit of itself, the Canadian Administrative Agent, the Lenders and each other holder of Secured Obligations (as set forth in the definition thereof), a security interest in all of its right, title and interest in, to and under all personal property and other assets, whether now owned by or owing to, or hereafter acquired by or arising in favour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17"/>
          <w:szCs w:val="17"/>
          <w:u w:val="single" w:color="auto"/>
          <w:color w:val="auto"/>
        </w:rPr>
        <w:t>Collateral</w:t>
      </w:r>
      <w:r>
        <w:rPr>
          <w:rFonts w:ascii="Arial" w:cs="Arial" w:eastAsia="Arial" w:hAnsi="Arial"/>
          <w:sz w:val="17"/>
          <w:szCs w:val="17"/>
          <w:color w:val="auto"/>
        </w:rPr>
        <w:t>”), including:</w:t>
      </w:r>
    </w:p>
    <w:p>
      <w:pPr>
        <w:spacing w:after="0" w:line="243" w:lineRule="exact"/>
        <w:rPr>
          <w:sz w:val="20"/>
          <w:szCs w:val="20"/>
          <w:color w:val="auto"/>
        </w:rPr>
      </w:pPr>
    </w:p>
    <w:p>
      <w:pPr>
        <w:ind w:left="2440" w:hanging="729"/>
        <w:spacing w:after="0"/>
        <w:tabs>
          <w:tab w:leader="none" w:pos="24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Accounts;</w:t>
      </w:r>
    </w:p>
    <w:p>
      <w:pPr>
        <w:spacing w:after="0" w:line="138" w:lineRule="exact"/>
        <w:rPr>
          <w:rFonts w:ascii="Arial" w:cs="Arial" w:eastAsia="Arial" w:hAnsi="Arial"/>
          <w:sz w:val="17"/>
          <w:szCs w:val="17"/>
          <w:color w:val="auto"/>
        </w:rPr>
      </w:pPr>
    </w:p>
    <w:p>
      <w:pPr>
        <w:ind w:left="2500" w:hanging="789"/>
        <w:spacing w:after="0"/>
        <w:tabs>
          <w:tab w:leader="none" w:pos="25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Chattel Paper;</w:t>
      </w:r>
    </w:p>
    <w:p>
      <w:pPr>
        <w:spacing w:after="0" w:line="138" w:lineRule="exact"/>
        <w:rPr>
          <w:rFonts w:ascii="Arial" w:cs="Arial" w:eastAsia="Arial" w:hAnsi="Arial"/>
          <w:sz w:val="17"/>
          <w:szCs w:val="17"/>
          <w:color w:val="auto"/>
        </w:rPr>
      </w:pPr>
    </w:p>
    <w:p>
      <w:pPr>
        <w:ind w:left="2540" w:hanging="829"/>
        <w:spacing w:after="0"/>
        <w:tabs>
          <w:tab w:leader="none" w:pos="25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Copyrights, Patents and Trademarks;</w:t>
      </w:r>
    </w:p>
    <w:p>
      <w:pPr>
        <w:spacing w:after="0" w:line="126"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Documents;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General Intangibles;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Goods;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Instruments;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Inventory;</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Investment Property;</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cash or cash equivalents;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letters of credit and Letter-of-Credit Rights;</w:t>
      </w:r>
    </w:p>
    <w:p>
      <w:pPr>
        <w:spacing w:after="0" w:line="114" w:lineRule="exact"/>
        <w:rPr>
          <w:rFonts w:ascii="Arial" w:cs="Arial" w:eastAsia="Arial" w:hAnsi="Arial"/>
          <w:sz w:val="17"/>
          <w:szCs w:val="17"/>
          <w:color w:val="auto"/>
        </w:rPr>
      </w:pPr>
    </w:p>
    <w:p>
      <w:pPr>
        <w:ind w:left="2280" w:hanging="569"/>
        <w:spacing w:after="0"/>
        <w:tabs>
          <w:tab w:leader="none" w:pos="2280"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all Deposit Accounts and Securities Accounts;</w:t>
      </w:r>
    </w:p>
    <w:p>
      <w:pPr>
        <w:spacing w:after="0" w:line="114" w:lineRule="exact"/>
        <w:rPr>
          <w:rFonts w:ascii="Arial" w:cs="Arial" w:eastAsia="Arial" w:hAnsi="Arial"/>
          <w:sz w:val="17"/>
          <w:szCs w:val="17"/>
          <w:b w:val="1"/>
          <w:bCs w:val="1"/>
          <w:color w:val="auto"/>
        </w:rPr>
      </w:pPr>
    </w:p>
    <w:p>
      <w:pPr>
        <w:ind w:left="2280" w:hanging="569"/>
        <w:spacing w:after="0"/>
        <w:tabs>
          <w:tab w:leader="none" w:pos="2280"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all Assigned Contracts; and</w:t>
      </w:r>
    </w:p>
    <w:p>
      <w:pPr>
        <w:spacing w:after="0" w:line="54" w:lineRule="exact"/>
        <w:rPr>
          <w:rFonts w:ascii="Arial" w:cs="Arial" w:eastAsia="Arial" w:hAnsi="Arial"/>
          <w:sz w:val="17"/>
          <w:szCs w:val="17"/>
          <w:b w:val="1"/>
          <w:bCs w:val="1"/>
          <w:color w:val="auto"/>
        </w:rPr>
      </w:pPr>
    </w:p>
    <w:p>
      <w:pPr>
        <w:jc w:val="both"/>
        <w:ind w:left="2280" w:hanging="569"/>
        <w:spacing w:after="0" w:line="288" w:lineRule="auto"/>
        <w:tabs>
          <w:tab w:leader="none" w:pos="22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Notwithstanding anything herein to the contrary, in no event shall the Collateral include, and no Grantor shall be deemed to have granted a security interest in, the following (collectively, the “</w:t>
      </w:r>
      <w:r>
        <w:rPr>
          <w:rFonts w:ascii="Arial" w:cs="Arial" w:eastAsia="Arial" w:hAnsi="Arial"/>
          <w:sz w:val="17"/>
          <w:szCs w:val="17"/>
          <w:b w:val="1"/>
          <w:bCs w:val="1"/>
          <w:color w:val="auto"/>
        </w:rPr>
        <w:t>Excluded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w:t>
      </w:r>
      <w:r>
        <w:rPr>
          <w:rFonts w:ascii="Arial" w:cs="Arial" w:eastAsia="Arial" w:hAnsi="Arial"/>
          <w:sz w:val="17"/>
          <w:szCs w:val="17"/>
          <w:color w:val="auto"/>
        </w:rPr>
        <w:t>”): (A) Excluded Equity Interests, (B) any property of any Loan Party or any other Restricted Subsidiary with respect to which the Administrative Agent reasonably determines that the costs or burdens of obtaining such security interests are excessive in relation to the benefits to the Lenders afforded thereby, or (C) any rights or property acquired under a lease, contract, property rights agreement or license, the grant of a security interest in which shall constitute or result in (x) the abandonment, invalidation or unenforceability of any right, title or interest of such Grantor therein or (y) a breach or termination pursuant to the terms of, or a default under, any lease, contract, property rights agreement or license, provided that the foregoing security interest shall attach to any and all (I) monies due or to become due in respect of such asset or property right or (II) proceeds from the sale, transfer, assignment, license, lease or other disposition of such asset or property right. For greater certainty, each Grantor’s grant of a security interest in Canadian Trademarks under this Canadian Cross-Border Security Agreement shall be limited to a grant by such Grantor of a security interest in all of such Grantor’s right, title and interest in such Canadian Trademarks, but does not constitute an absolute assignment of title of such Canadian Trademarks to the Administrative Agent until such time as the security hereunder becomes enforceable.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Grantor represents and warrants to the Administrative Agent and the Lenders that:</w:t>
      </w:r>
    </w:p>
    <w:p>
      <w:pPr>
        <w:spacing w:after="0" w:line="217" w:lineRule="exact"/>
        <w:rPr>
          <w:sz w:val="20"/>
          <w:szCs w:val="20"/>
          <w:color w:val="auto"/>
        </w:rPr>
      </w:pPr>
    </w:p>
    <w:p>
      <w:pPr>
        <w:jc w:val="both"/>
        <w:ind w:firstLine="572"/>
        <w:spacing w:after="0" w:line="29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6"/>
          <w:szCs w:val="16"/>
          <w:u w:val="single" w:color="auto"/>
          <w:color w:val="auto"/>
        </w:rPr>
        <w:t>Title, Perfection and Priority</w:t>
      </w:r>
      <w:r>
        <w:rPr>
          <w:rFonts w:ascii="Arial" w:cs="Arial" w:eastAsia="Arial" w:hAnsi="Arial"/>
          <w:sz w:val="16"/>
          <w:szCs w:val="16"/>
          <w:color w:val="auto"/>
        </w:rPr>
        <w:t>. Such Grantor has good and valid rights in or the power to transfer the Collateral and title to the Collateral with respect</w:t>
      </w:r>
      <w:r>
        <w:rPr>
          <w:rFonts w:ascii="Arial" w:cs="Arial" w:eastAsia="Arial" w:hAnsi="Arial"/>
          <w:sz w:val="18"/>
          <w:szCs w:val="18"/>
          <w:color w:val="auto"/>
        </w:rPr>
        <w:t xml:space="preserve"> </w:t>
      </w:r>
      <w:r>
        <w:rPr>
          <w:rFonts w:ascii="Arial" w:cs="Arial" w:eastAsia="Arial" w:hAnsi="Arial"/>
          <w:sz w:val="16"/>
          <w:szCs w:val="16"/>
          <w:color w:val="auto"/>
        </w:rPr>
        <w:t>to which it has purported to grant a security interest hereunder, free and clear of all Liens except for Liens permitted under Section 4.1(e), and has full power and authority to grant to the Administrative Agent the security interest in such Collateral pursuant hereto. When financing statements naming such Grantor as debtor and the Administrative Agent as secured party and providing a description of the Collateral (which may, for the avoidance of doubt, describe the Collateral as “all</w:t>
      </w:r>
    </w:p>
    <w:p>
      <w:pPr>
        <w:sectPr>
          <w:pgSz w:w="11900" w:h="16946" w:orient="portrait"/>
          <w:cols w:equalWidth="0" w:num="1">
            <w:col w:w="11440"/>
          </w:cols>
          <w:pgMar w:left="240" w:top="124" w:right="219" w:bottom="0" w:gutter="0" w:footer="0" w:header="0"/>
        </w:sectPr>
      </w:pPr>
    </w:p>
    <w:bookmarkStart w:id="159" w:name="page160"/>
    <w:bookmarkEnd w:id="159"/>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assets of the debtor” or on similar terms) with respect to which such Grantor has purported to grant a security interest hereunder have been filed in the appropriate offices against such Grantor in the locations listed on </w:t>
      </w:r>
      <w:r>
        <w:rPr>
          <w:rFonts w:ascii="Arial" w:cs="Arial" w:eastAsia="Arial" w:hAnsi="Arial"/>
          <w:sz w:val="17"/>
          <w:szCs w:val="17"/>
          <w:u w:val="single" w:color="auto"/>
          <w:color w:val="auto"/>
        </w:rPr>
        <w:t>Exhibit G</w:t>
      </w:r>
      <w:r>
        <w:rPr>
          <w:rFonts w:ascii="Arial" w:cs="Arial" w:eastAsia="Arial" w:hAnsi="Arial"/>
          <w:sz w:val="17"/>
          <w:szCs w:val="17"/>
          <w:color w:val="auto"/>
        </w:rPr>
        <w:t>, the Administrative Agent will have a fully perfected security interest in that Collateral of the Grantor in which a security interest may be perfected by filing a financing statement under the PPSA,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favour of the Term Loan Agent to the extent provided in the ABL-Term Loan Intercreditor Agreement.</w:t>
      </w:r>
    </w:p>
    <w:p>
      <w:pPr>
        <w:spacing w:after="0" w:line="169"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7"/>
          <w:szCs w:val="17"/>
          <w:u w:val="single" w:color="auto"/>
          <w:color w:val="auto"/>
        </w:rPr>
        <w:t>Type and Jurisdiction of Organization, Organizational and Identification Numbers</w:t>
      </w:r>
      <w:r>
        <w:rPr>
          <w:rFonts w:ascii="Arial" w:cs="Arial" w:eastAsia="Arial" w:hAnsi="Arial"/>
          <w:sz w:val="17"/>
          <w:szCs w:val="17"/>
          <w:color w:val="auto"/>
        </w:rPr>
        <w:t>. As of the date hereof and as of the last Update Date, the type of</w:t>
      </w:r>
      <w:r>
        <w:rPr>
          <w:rFonts w:ascii="Arial" w:cs="Arial" w:eastAsia="Arial" w:hAnsi="Arial"/>
          <w:sz w:val="19"/>
          <w:szCs w:val="19"/>
          <w:color w:val="auto"/>
        </w:rPr>
        <w:t xml:space="preserve"> </w:t>
      </w:r>
      <w:r>
        <w:rPr>
          <w:rFonts w:ascii="Arial" w:cs="Arial" w:eastAsia="Arial" w:hAnsi="Arial"/>
          <w:sz w:val="17"/>
          <w:szCs w:val="17"/>
          <w:color w:val="auto"/>
        </w:rPr>
        <w:t xml:space="preserve">entity of such Grantor, its province or other jurisdiction of organization and the organizational number issued to it by its province or other jurisdiction of organization are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4" w:lineRule="exact"/>
        <w:rPr>
          <w:sz w:val="20"/>
          <w:szCs w:val="20"/>
          <w:color w:val="auto"/>
        </w:rPr>
      </w:pPr>
    </w:p>
    <w:p>
      <w:pPr>
        <w:jc w:val="both"/>
        <w:ind w:right="20" w:firstLine="572"/>
        <w:spacing w:after="0" w:line="26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7"/>
          <w:szCs w:val="17"/>
          <w:u w:val="single" w:color="auto"/>
          <w:color w:val="auto"/>
        </w:rPr>
        <w:t>Principal Location</w:t>
      </w:r>
      <w:r>
        <w:rPr>
          <w:rFonts w:ascii="Arial" w:cs="Arial" w:eastAsia="Arial" w:hAnsi="Arial"/>
          <w:sz w:val="17"/>
          <w:szCs w:val="17"/>
          <w:color w:val="auto"/>
        </w:rPr>
        <w:t>. As of the date hereof and as of the last Update Date, such Grantor's mailing address, the location of its principal place of</w:t>
      </w:r>
      <w:r>
        <w:rPr>
          <w:rFonts w:ascii="Arial" w:cs="Arial" w:eastAsia="Arial" w:hAnsi="Arial"/>
          <w:sz w:val="19"/>
          <w:szCs w:val="19"/>
          <w:color w:val="auto"/>
        </w:rPr>
        <w:t xml:space="preserve"> </w:t>
      </w:r>
      <w:r>
        <w:rPr>
          <w:rFonts w:ascii="Arial" w:cs="Arial" w:eastAsia="Arial" w:hAnsi="Arial"/>
          <w:sz w:val="17"/>
          <w:szCs w:val="17"/>
          <w:color w:val="auto"/>
        </w:rPr>
        <w:t xml:space="preserve">business or its chief executive office and the location of its records concerning the Collateral are disclosed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7" w:lineRule="exact"/>
        <w:rPr>
          <w:sz w:val="20"/>
          <w:szCs w:val="20"/>
          <w:color w:val="auto"/>
        </w:rPr>
      </w:pPr>
    </w:p>
    <w:p>
      <w:pPr>
        <w:jc w:val="both"/>
        <w:ind w:firstLine="572"/>
        <w:spacing w:after="0" w:line="29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6"/>
          <w:szCs w:val="16"/>
          <w:u w:val="single" w:color="auto"/>
          <w:color w:val="auto"/>
        </w:rPr>
        <w:t>Collateral Locations</w:t>
      </w:r>
      <w:r>
        <w:rPr>
          <w:rFonts w:ascii="Arial" w:cs="Arial" w:eastAsia="Arial" w:hAnsi="Arial"/>
          <w:sz w:val="16"/>
          <w:szCs w:val="16"/>
          <w:color w:val="auto"/>
        </w:rPr>
        <w:t>. As of the date hereof and as of the last Update Date, all of the locations where one or more Grantor’s Collateral is stored or</w:t>
      </w:r>
      <w:r>
        <w:rPr>
          <w:rFonts w:ascii="Arial" w:cs="Arial" w:eastAsia="Arial" w:hAnsi="Arial"/>
          <w:sz w:val="18"/>
          <w:szCs w:val="18"/>
          <w:color w:val="auto"/>
        </w:rPr>
        <w:t xml:space="preserve"> </w:t>
      </w:r>
      <w:r>
        <w:rPr>
          <w:rFonts w:ascii="Arial" w:cs="Arial" w:eastAsia="Arial" w:hAnsi="Arial"/>
          <w:sz w:val="16"/>
          <w:szCs w:val="16"/>
          <w:color w:val="auto"/>
        </w:rPr>
        <w:t xml:space="preserve">located (other than locations holding Collateral with an aggregate value (per location) of less than $500,000) are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except for (i) Inventory in transit (ii) Inventory located at the locations described in clauses (k) and (q) of the definition of Eligible Inventory, or (iii) any additional locations which were not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most recent Update Date, but shall be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next Update Date. Except as otherwise disclosed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said locations are owned by such Grantor except for locations (i) which are leased by the Grantor as lessee and designated in </w:t>
      </w:r>
      <w:r>
        <w:rPr>
          <w:rFonts w:ascii="Arial" w:cs="Arial" w:eastAsia="Arial" w:hAnsi="Arial"/>
          <w:sz w:val="16"/>
          <w:szCs w:val="16"/>
          <w:u w:val="single" w:color="auto"/>
          <w:color w:val="auto"/>
        </w:rPr>
        <w:t>Part VII(b)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(ii) at which Inventory is held in a public warehouse or is otherwise held by a bailee or on consignment as designated in </w:t>
      </w:r>
      <w:r>
        <w:rPr>
          <w:rFonts w:ascii="Arial" w:cs="Arial" w:eastAsia="Arial" w:hAnsi="Arial"/>
          <w:sz w:val="16"/>
          <w:szCs w:val="16"/>
          <w:u w:val="single" w:color="auto"/>
          <w:color w:val="auto"/>
        </w:rPr>
        <w:t>Part VII(c)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4"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7"/>
          <w:szCs w:val="17"/>
          <w:u w:val="single" w:color="auto"/>
          <w:color w:val="auto"/>
        </w:rPr>
        <w:t>Deposit Accounts and Securities Accounts</w:t>
      </w:r>
      <w:r>
        <w:rPr>
          <w:rFonts w:ascii="Arial" w:cs="Arial" w:eastAsia="Arial" w:hAnsi="Arial"/>
          <w:sz w:val="17"/>
          <w:szCs w:val="17"/>
          <w:color w:val="auto"/>
        </w:rPr>
        <w:t>. As of the date hereof and as of the last Update Date, all of such Grantor’s Deposit Accounts and</w:t>
      </w:r>
      <w:r>
        <w:rPr>
          <w:rFonts w:ascii="Arial" w:cs="Arial" w:eastAsia="Arial" w:hAnsi="Arial"/>
          <w:sz w:val="19"/>
          <w:szCs w:val="19"/>
          <w:color w:val="auto"/>
        </w:rPr>
        <w:t xml:space="preserve"> </w:t>
      </w:r>
      <w:r>
        <w:rPr>
          <w:rFonts w:ascii="Arial" w:cs="Arial" w:eastAsia="Arial" w:hAnsi="Arial"/>
          <w:sz w:val="17"/>
          <w:szCs w:val="17"/>
          <w:color w:val="auto"/>
        </w:rPr>
        <w:t xml:space="preserve">Securities Accounts are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Any Deposit Account or Securities Account that is designated as an Excluded Account as of such date is noted by an asterisk “*” on such exhibit.</w:t>
      </w:r>
    </w:p>
    <w:p>
      <w:pPr>
        <w:spacing w:after="0" w:line="174" w:lineRule="exact"/>
        <w:rPr>
          <w:sz w:val="20"/>
          <w:szCs w:val="20"/>
          <w:color w:val="auto"/>
        </w:rPr>
      </w:pPr>
    </w:p>
    <w:p>
      <w:pPr>
        <w:jc w:val="both"/>
        <w:ind w:firstLine="572"/>
        <w:spacing w:after="0" w:line="29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6"/>
          <w:szCs w:val="16"/>
          <w:u w:val="single" w:color="auto"/>
          <w:color w:val="auto"/>
        </w:rPr>
        <w:t>Exact Names</w:t>
      </w:r>
      <w:r>
        <w:rPr>
          <w:rFonts w:ascii="Arial" w:cs="Arial" w:eastAsia="Arial" w:hAnsi="Arial"/>
          <w:sz w:val="16"/>
          <w:szCs w:val="16"/>
          <w:color w:val="auto"/>
        </w:rPr>
        <w:t>. As of the date hereof and as of the last Update Date, such Grantor’s name as it appears in such Grantor’s organizational documents, as</w:t>
      </w:r>
      <w:r>
        <w:rPr>
          <w:rFonts w:ascii="Arial" w:cs="Arial" w:eastAsia="Arial" w:hAnsi="Arial"/>
          <w:sz w:val="18"/>
          <w:szCs w:val="18"/>
          <w:color w:val="auto"/>
        </w:rPr>
        <w:t xml:space="preserve"> </w:t>
      </w:r>
      <w:r>
        <w:rPr>
          <w:rFonts w:ascii="Arial" w:cs="Arial" w:eastAsia="Arial" w:hAnsi="Arial"/>
          <w:sz w:val="16"/>
          <w:szCs w:val="16"/>
          <w:color w:val="auto"/>
        </w:rPr>
        <w:t xml:space="preserve">amended, as filed with such Grantor’s jurisdiction of organization is listed in Part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with respect to such Grantor. Except as listed on Part 2 of Exhibit A with respect to such Grantor as of the date hereof, such Grantor has not, during the past five years, been known by or used any other corporate or fictitious name, or been a party to any merger, consolidation or amalgamation, or been a party to any acquisition except as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2" w:lineRule="exact"/>
        <w:rPr>
          <w:sz w:val="20"/>
          <w:szCs w:val="20"/>
          <w:color w:val="auto"/>
        </w:rPr>
      </w:pPr>
    </w:p>
    <w:p>
      <w:pPr>
        <w:jc w:val="both"/>
        <w:ind w:firstLine="572"/>
        <w:spacing w:after="0" w:line="30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6"/>
          <w:szCs w:val="16"/>
          <w:u w:val="single" w:color="auto"/>
          <w:color w:val="auto"/>
        </w:rPr>
        <w:t>Letter-of-Credit Rights and Chattel Paper</w:t>
      </w:r>
      <w:r>
        <w:rPr>
          <w:rFonts w:ascii="Arial" w:cs="Arial" w:eastAsia="Arial" w:hAnsi="Arial"/>
          <w:sz w:val="16"/>
          <w:szCs w:val="16"/>
          <w:color w:val="auto"/>
        </w:rPr>
        <w:t>. As of the date hereof and as of the last Update Date,</w:t>
      </w:r>
      <w:r>
        <w:rPr>
          <w:rFonts w:ascii="Arial" w:cs="Arial" w:eastAsia="Arial" w:hAnsi="Arial"/>
          <w:sz w:val="18"/>
          <w:szCs w:val="18"/>
          <w:color w:val="auto"/>
        </w:rPr>
        <w:t xml:space="preserve"> </w:t>
      </w:r>
      <w:r>
        <w:rPr>
          <w:rFonts w:ascii="Arial" w:cs="Arial" w:eastAsia="Arial" w:hAnsi="Arial"/>
          <w:sz w:val="16"/>
          <w:szCs w:val="16"/>
          <w:u w:val="single" w:color="auto"/>
          <w:color w:val="auto"/>
        </w:rPr>
        <w:t>Exhibit C</w:t>
      </w:r>
      <w:r>
        <w:rPr>
          <w:rFonts w:ascii="Arial" w:cs="Arial" w:eastAsia="Arial" w:hAnsi="Arial"/>
          <w:sz w:val="18"/>
          <w:szCs w:val="18"/>
          <w:color w:val="auto"/>
        </w:rPr>
        <w:t xml:space="preserve"> </w:t>
      </w:r>
      <w:r>
        <w:rPr>
          <w:rFonts w:ascii="Arial" w:cs="Arial" w:eastAsia="Arial" w:hAnsi="Arial"/>
          <w:sz w:val="16"/>
          <w:szCs w:val="16"/>
          <w:color w:val="auto"/>
        </w:rPr>
        <w:t>lists all Letter-of-Credit Rights in which</w:t>
      </w:r>
      <w:r>
        <w:rPr>
          <w:rFonts w:ascii="Arial" w:cs="Arial" w:eastAsia="Arial" w:hAnsi="Arial"/>
          <w:sz w:val="18"/>
          <w:szCs w:val="18"/>
          <w:color w:val="auto"/>
        </w:rPr>
        <w:t xml:space="preserve"> </w:t>
      </w:r>
      <w:r>
        <w:rPr>
          <w:rFonts w:ascii="Arial" w:cs="Arial" w:eastAsia="Arial" w:hAnsi="Arial"/>
          <w:sz w:val="16"/>
          <w:szCs w:val="16"/>
          <w:color w:val="auto"/>
        </w:rPr>
        <w:t xml:space="preserve">the underlying letter of credit is in an amount exceeding $5,000,000 and Chattel Paper of such Grantor. Subject to the ABL-Term Loan Intercreditor Agreement, all action by such Grantor necessary or desirable to protect and perfect the Administrative Agent's Lien on each item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(including the delivery of all originals and the placement of a legend on all Chattel Paper as required hereunder) has been duly taken. The Administrative Agent will have a fully perfected security interest in the Collateral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which security interest shall be senior in priority to all other Liens on such Collateral other than (a) Liens permitted under Section 4.1(e) which are expressly permitted to have priority over the security interest of the Administrative Agent under the Credit Agreement and (b) Liens on Term Loan Priority Collateral in favour of the Term Loan Agent to the extent provided in the ABL-Term Loan Intercreditor Agreement.</w:t>
      </w:r>
    </w:p>
    <w:p>
      <w:pPr>
        <w:spacing w:after="0" w:line="160"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5"/>
          <w:szCs w:val="15"/>
          <w:u w:val="single" w:color="auto"/>
          <w:color w:val="auto"/>
        </w:rPr>
        <w:t>Accounts and Chattel Paper</w:t>
      </w:r>
      <w:r>
        <w:rPr>
          <w:rFonts w:ascii="Arial" w:cs="Arial" w:eastAsia="Arial" w:hAnsi="Arial"/>
          <w:sz w:val="15"/>
          <w:szCs w:val="15"/>
          <w:color w:val="auto"/>
        </w:rPr>
        <w:t>.</w:t>
      </w:r>
    </w:p>
    <w:p>
      <w:pPr>
        <w:spacing w:after="0" w:line="227" w:lineRule="exact"/>
        <w:rPr>
          <w:sz w:val="20"/>
          <w:szCs w:val="20"/>
          <w:color w:val="auto"/>
        </w:rPr>
      </w:pPr>
    </w:p>
    <w:p>
      <w:pPr>
        <w:jc w:val="both"/>
        <w:ind w:right="20" w:firstLine="1139"/>
        <w:spacing w:after="0" w:line="285" w:lineRule="auto"/>
        <w:tabs>
          <w:tab w:leader="none" w:pos="190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names of the obligors, amounts owing, due dates and other information with respect to its Accounts and Chattel Paper are and will be correctly stated in all material respects in all records of such Grantor relating thereto and in all invoices and Collateral Reports with respect thereto furnished to the Administrative Agent by such Grantor from time to time. As of the time when each Account or each item of Chattel Paper arises, such Grantor shall be deemed to have represented and warranted that such Account or Chattel Paper, as the case may be, and all records relating thereto, are genuine and in all material respects what they purport to be.</w:t>
      </w:r>
    </w:p>
    <w:p>
      <w:pPr>
        <w:spacing w:after="0" w:line="173" w:lineRule="exact"/>
        <w:rPr>
          <w:rFonts w:ascii="Arial" w:cs="Arial" w:eastAsia="Arial" w:hAnsi="Arial"/>
          <w:sz w:val="17"/>
          <w:szCs w:val="17"/>
          <w:color w:val="auto"/>
        </w:rPr>
      </w:pPr>
    </w:p>
    <w:p>
      <w:pPr>
        <w:jc w:val="both"/>
        <w:ind w:right="20" w:firstLine="1139"/>
        <w:spacing w:after="0" w:line="293" w:lineRule="auto"/>
        <w:tabs>
          <w:tab w:leader="none" w:pos="191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With respect to any of such Grantor’s Accounts scheduled or listed on the most recent Collateral Report furnished to the Administrative Agent, the information set forth in such Collateral Report regarding such Grantor’s Accounts is true and correct in all material respects and the Accounts listed therein as “Eligible Accounts” satisfy the eligibility requirements set forth in the Credit Agreement.</w:t>
      </w:r>
    </w:p>
    <w:p>
      <w:pPr>
        <w:spacing w:after="0" w:line="161" w:lineRule="exact"/>
        <w:rPr>
          <w:sz w:val="20"/>
          <w:szCs w:val="20"/>
          <w:color w:val="auto"/>
        </w:rPr>
      </w:pPr>
    </w:p>
    <w:p>
      <w:pPr>
        <w:jc w:val="both"/>
        <w:ind w:firstLine="572"/>
        <w:spacing w:after="0" w:line="273"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7"/>
          <w:szCs w:val="17"/>
          <w:u w:val="single" w:color="auto"/>
          <w:color w:val="auto"/>
        </w:rPr>
        <w:t>Inventory</w:t>
      </w:r>
      <w:r>
        <w:rPr>
          <w:rFonts w:ascii="Arial" w:cs="Arial" w:eastAsia="Arial" w:hAnsi="Arial"/>
          <w:sz w:val="17"/>
          <w:szCs w:val="17"/>
          <w:color w:val="auto"/>
        </w:rPr>
        <w:t>. With respect to any of such Grantor’s Inventory scheduled or listed on the most recent Collateral Report furnished to the Administrative</w:t>
      </w:r>
      <w:r>
        <w:rPr>
          <w:rFonts w:ascii="Arial" w:cs="Arial" w:eastAsia="Arial" w:hAnsi="Arial"/>
          <w:sz w:val="19"/>
          <w:szCs w:val="19"/>
          <w:color w:val="auto"/>
        </w:rPr>
        <w:t xml:space="preserve"> </w:t>
      </w:r>
      <w:r>
        <w:rPr>
          <w:rFonts w:ascii="Arial" w:cs="Arial" w:eastAsia="Arial" w:hAnsi="Arial"/>
          <w:sz w:val="17"/>
          <w:szCs w:val="17"/>
          <w:color w:val="auto"/>
        </w:rPr>
        <w:t>Agent, the information set forth in such Collateral Report is true and correct in all material respects and the Inventory listed therein as “Eligible Inventory” satisfy the eligibility requirements set forth in the Credit Agreement.</w:t>
      </w:r>
    </w:p>
    <w:p>
      <w:pPr>
        <w:spacing w:after="0" w:line="174"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7"/>
          <w:szCs w:val="17"/>
          <w:u w:val="single" w:color="auto"/>
          <w:color w:val="auto"/>
        </w:rPr>
        <w:t>Intellectual Property. Exhibit D</w:t>
      </w:r>
      <w:r>
        <w:rPr>
          <w:rFonts w:ascii="Arial" w:cs="Arial" w:eastAsia="Arial" w:hAnsi="Arial"/>
          <w:sz w:val="19"/>
          <w:szCs w:val="19"/>
          <w:color w:val="auto"/>
        </w:rPr>
        <w:t xml:space="preserve"> </w:t>
      </w:r>
      <w:r>
        <w:rPr>
          <w:rFonts w:ascii="Arial" w:cs="Arial" w:eastAsia="Arial" w:hAnsi="Arial"/>
          <w:sz w:val="17"/>
          <w:szCs w:val="17"/>
          <w:color w:val="auto"/>
        </w:rPr>
        <w:t>sets forth a correct and complete list as of the Second Restatement Date of all (i) Intellectual Property owned by</w:t>
      </w:r>
      <w:r>
        <w:rPr>
          <w:rFonts w:ascii="Arial" w:cs="Arial" w:eastAsia="Arial" w:hAnsi="Arial"/>
          <w:sz w:val="19"/>
          <w:szCs w:val="19"/>
          <w:color w:val="auto"/>
        </w:rPr>
        <w:t xml:space="preserve"> </w:t>
      </w:r>
      <w:r>
        <w:rPr>
          <w:rFonts w:ascii="Arial" w:cs="Arial" w:eastAsia="Arial" w:hAnsi="Arial"/>
          <w:sz w:val="17"/>
          <w:szCs w:val="17"/>
          <w:color w:val="auto"/>
        </w:rPr>
        <w:t xml:space="preserve">any Grantor as of the Second Restatement Date which is federally registered with the Canadian Intellectual Property Office and (ii) Licenses to which any Grantor is a party or otherwise bound (whether as licensor or licensee) and which is material to the business of the Grantors as currently conducted. This Canadian Cross-Border Security Agreement is effective to create a valid and continuing Lien and, upon filing of appropriate financing statements in the offices listed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of this Canadian Cross-Border Security Agreement with the Canadian Intellectual Property Office and the United States Patent and Trademark Office, fully perfected security interests in favour of the Administrative Agent on such Grantor’s Patents, Trademarks and Copyrights, such perfected security interests are senior to all other Liens on such Patents, Trademarks and Copyrights (other than the Liens in favour of the Term Loan Agent pursuant to the Term Loan Documents to the extent provided in the ABL-Term Loan Intercreditor Agreement) and are enforceable as such as against any and all creditors of and purchasers from such Grantor; and all action necessary to protect and perfect the Administrative Agent’s Lien on such Grantor’s Patents, Trademarks or Copyrights shall have been duly taken.</w:t>
      </w:r>
    </w:p>
    <w:p>
      <w:pPr>
        <w:spacing w:after="0" w:line="17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6"/>
          <w:szCs w:val="16"/>
          <w:u w:val="single" w:color="auto"/>
          <w:color w:val="auto"/>
        </w:rPr>
        <w:t>[Reserved]</w:t>
      </w:r>
    </w:p>
    <w:p>
      <w:pPr>
        <w:spacing w:after="0" w:line="22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27" w:lineRule="exact"/>
        <w:rPr>
          <w:sz w:val="20"/>
          <w:szCs w:val="20"/>
          <w:color w:val="auto"/>
        </w:rPr>
      </w:pPr>
    </w:p>
    <w:p>
      <w:pPr>
        <w:jc w:val="both"/>
        <w:ind w:right="20" w:firstLine="1139"/>
        <w:spacing w:after="0" w:line="319" w:lineRule="auto"/>
        <w:tabs>
          <w:tab w:leader="none" w:pos="190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As of the date hereof and as of the last Update Date, </w:t>
      </w:r>
      <w:r>
        <w:rPr>
          <w:rFonts w:ascii="Arial" w:cs="Arial" w:eastAsia="Arial" w:hAnsi="Arial"/>
          <w:sz w:val="16"/>
          <w:szCs w:val="16"/>
          <w:u w:val="single" w:color="auto"/>
          <w:color w:val="auto"/>
        </w:rPr>
        <w:t>Exhibits E and F</w:t>
      </w:r>
      <w:r>
        <w:rPr>
          <w:rFonts w:ascii="Arial" w:cs="Arial" w:eastAsia="Arial" w:hAnsi="Arial"/>
          <w:sz w:val="16"/>
          <w:szCs w:val="16"/>
          <w:color w:val="auto"/>
        </w:rPr>
        <w:t xml:space="preserve"> set forth complete and accurate lists of all Pledged Collateral owned by such Grantor. Such Grantor is, as of the date hereof or as of the last Update Date, as applicable, the direct, sole beneficial owner and sole holder of record of the Pledged Collateral listed on </w:t>
      </w:r>
      <w:r>
        <w:rPr>
          <w:rFonts w:ascii="Arial" w:cs="Arial" w:eastAsia="Arial" w:hAnsi="Arial"/>
          <w:sz w:val="16"/>
          <w:szCs w:val="16"/>
          <w:u w:val="single" w:color="auto"/>
          <w:color w:val="auto"/>
        </w:rPr>
        <w:t>Exhibits E and F</w:t>
      </w:r>
      <w:r>
        <w:rPr>
          <w:rFonts w:ascii="Arial" w:cs="Arial" w:eastAsia="Arial" w:hAnsi="Arial"/>
          <w:sz w:val="16"/>
          <w:szCs w:val="16"/>
          <w:color w:val="auto"/>
        </w:rPr>
        <w:t xml:space="preserve"> as being owned by it, free and clear of any Liens, except for (i) the security interest granted to the</w:t>
      </w:r>
    </w:p>
    <w:p>
      <w:pPr>
        <w:sectPr>
          <w:pgSz w:w="11900" w:h="16928" w:orient="portrait"/>
          <w:cols w:equalWidth="0" w:num="1">
            <w:col w:w="11440"/>
          </w:cols>
          <w:pgMar w:left="240" w:top="137" w:right="219" w:bottom="0" w:gutter="0" w:footer="0" w:header="0"/>
        </w:sectPr>
      </w:pPr>
    </w:p>
    <w:bookmarkStart w:id="160" w:name="page161"/>
    <w:bookmarkEnd w:id="160"/>
    <w:p>
      <w:pPr>
        <w:spacing w:after="0" w:line="38" w:lineRule="exact"/>
        <w:rPr>
          <w:sz w:val="20"/>
          <w:szCs w:val="20"/>
          <w:color w:val="auto"/>
        </w:rPr>
      </w:pPr>
    </w:p>
    <w:p>
      <w:pPr>
        <w:jc w:val="both"/>
        <w:spacing w:after="0" w:line="226" w:lineRule="exact"/>
        <w:rPr>
          <w:sz w:val="20"/>
          <w:szCs w:val="20"/>
          <w:color w:val="auto"/>
        </w:rPr>
      </w:pPr>
      <w:r>
        <w:rPr>
          <w:rFonts w:ascii="Arial" w:cs="Arial" w:eastAsia="Arial" w:hAnsi="Arial"/>
          <w:sz w:val="16"/>
          <w:szCs w:val="16"/>
          <w:color w:val="auto"/>
        </w:rPr>
        <w:t>Administrative Agent for the benefit of itself, the Canadian Administrative Agent and the Lenders hereunder, (ii) the security interest granted to the Term Loan Agent for the benefit of the Term Loan Lenders pursuant to the Term Loan Security Documents, and (iii) Liens permitted by Section 6.02 of the Credit Agreement. Such Grantor further represents and warrants that (i) all Pledged Collateral owned by it constituting an Equity Interest (other than Equity Interests of any Excluded Subsidiary) has been (to the extent such concepts are relevant with respect to such Pledged Collateral) duly authorized, validly issued, are fully paid and, apart from Pledged ULC Shares, non</w:t>
      </w:r>
      <w:r>
        <w:rPr>
          <w:rFonts w:ascii="MS PGothic" w:cs="MS PGothic" w:eastAsia="MS PGothic" w:hAnsi="MS PGothic"/>
          <w:sz w:val="16"/>
          <w:szCs w:val="16"/>
          <w:color w:val="auto"/>
        </w:rPr>
        <w:t>‑</w:t>
      </w:r>
      <w:r>
        <w:rPr>
          <w:rFonts w:ascii="Arial" w:cs="Arial" w:eastAsia="Arial" w:hAnsi="Arial"/>
          <w:sz w:val="16"/>
          <w:szCs w:val="16"/>
          <w:color w:val="auto"/>
        </w:rPr>
        <w:t>assessable, (ii) with respect to any certificates delivered to the Administrative Agent representing an Equity Interest (or until the Term Loan Obligation Payment Date, to the Term Loan Agent in accordance with the terms of the ABL-Term Loan Intercreditor Agreement in the case of any Pledged Collateral constituting Term Loan Priority Collateral), either such certificates are Securities as defined in the PPSA as a result of actions by the issuer or otherwise, or, if such certificates are not Securities, such Grantor has so informed the Administrative Agent so that the Administrative Agent may take steps to perfect its security interest therein as a General Intangible, (iii) subject to the terms of the ABL-Term Loan Intercreditor Agreement, all such Pledged Collateral held by a securities intermediary (other than Collateral consisting of Investment Property held in an Excluded Account) is covered by a control agreement among such Grantor, the securities intermediary and the Administrative Agent pursuant to which the Administrative Agent has Control and (iv) subject to the terms of the ABL-Term Loan Intercreditor Agreement, all Pledged Collateral which represents Indebtedness owed to such Grantor has been duly authorized, authenticated or issued and delivered by the issuer of such Indebtedness, to the knowledge of the Grantors, is a legal, valid and binding obligation of such issuer (subject to applicable bankruptcy, insolvency, reorganization, moratorium or other laws affecting creditors’ rights generally and subject to general principles of equity, regardless of whether considered in a proceeding in equity or at law) and, as of the date hereof, such issuer is not in default thereunder.</w:t>
      </w:r>
    </w:p>
    <w:p>
      <w:pPr>
        <w:spacing w:after="0" w:line="217" w:lineRule="exact"/>
        <w:rPr>
          <w:sz w:val="20"/>
          <w:szCs w:val="20"/>
          <w:color w:val="auto"/>
        </w:rPr>
      </w:pPr>
    </w:p>
    <w:p>
      <w:pPr>
        <w:jc w:val="both"/>
        <w:ind w:firstLine="1139"/>
        <w:spacing w:after="0" w:line="300" w:lineRule="auto"/>
        <w:tabs>
          <w:tab w:leader="none" w:pos="191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addition, (i) none of the Pledged Collateral owned by such Grantor has been issued or transferred in violation of the securities registration, securities disclosure or similar laws of any jurisdiction to which such issuance or transfer may be subject, (ii)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Canadian Cross-Border Security Agreement or for the execution, delivery and performance of this Canadian Cross-Border Security Agreement by such Grantor, or, except in the case of the Pledged ULC Shares, for the exercise by the Administrative Agent of the voting or other rights provided for in this Canadian Cross-Border Security Agreement or for the remedies in respect of the Pledged Collateral pursuant to this Canadian Cross-Border Security Agreement, except (i) as may be required in connection with such disposition by laws affecting the offering and sale of securities generally, or (ii) until the Term Loan Obligation Payment Date, in accordance with the terms of the ABL-Term Loan Intercreditor Agreement in the case of any such Pledged Collateral constituting Term Loan Priority Collateral.</w:t>
      </w:r>
    </w:p>
    <w:p>
      <w:pPr>
        <w:spacing w:after="0" w:line="166" w:lineRule="exact"/>
        <w:rPr>
          <w:rFonts w:ascii="Arial" w:cs="Arial" w:eastAsia="Arial" w:hAnsi="Arial"/>
          <w:sz w:val="16"/>
          <w:szCs w:val="16"/>
          <w:color w:val="auto"/>
        </w:rPr>
      </w:pPr>
    </w:p>
    <w:p>
      <w:pPr>
        <w:ind w:left="1900" w:hanging="761"/>
        <w:spacing w:after="0"/>
        <w:tabs>
          <w:tab w:leader="none" w:pos="1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jc w:val="both"/>
        <w:ind w:firstLine="1139"/>
        <w:spacing w:after="0" w:line="317" w:lineRule="auto"/>
        <w:tabs>
          <w:tab w:leader="none" w:pos="1919" w:val="left"/>
        </w:tabs>
        <w:numPr>
          <w:ilvl w:val="0"/>
          <w:numId w:val="220"/>
        </w:numPr>
        <w:rPr>
          <w:rFonts w:ascii="Arial" w:cs="Arial" w:eastAsia="Arial" w:hAnsi="Arial"/>
          <w:sz w:val="15"/>
          <w:szCs w:val="15"/>
          <w:color w:val="auto"/>
        </w:rPr>
      </w:pPr>
      <w:r>
        <w:rPr>
          <w:rFonts w:ascii="Arial" w:cs="Arial" w:eastAsia="Arial" w:hAnsi="Arial"/>
          <w:sz w:val="15"/>
          <w:szCs w:val="15"/>
          <w:color w:val="auto"/>
        </w:rPr>
        <w:t>Notwithstanding any provisions to the contrary contained in this Canadian Cross-Border Security Agreement, the Credit Agreement, any other Loan Document or any other document or agreement among all or some of the parties hereto, with regard to any Collateral which is shares or membership interests in an unlimited company incorporated or otherwise formed under the laws of the Province of Nova Scotia (the “</w:t>
      </w:r>
      <w:r>
        <w:rPr>
          <w:rFonts w:ascii="Arial" w:cs="Arial" w:eastAsia="Arial" w:hAnsi="Arial"/>
          <w:sz w:val="15"/>
          <w:szCs w:val="15"/>
          <w:u w:val="single" w:color="auto"/>
          <w:color w:val="auto"/>
        </w:rPr>
        <w:t>Pledged ULC Shares</w:t>
      </w:r>
      <w:r>
        <w:rPr>
          <w:rFonts w:ascii="Arial" w:cs="Arial" w:eastAsia="Arial" w:hAnsi="Arial"/>
          <w:sz w:val="15"/>
          <w:szCs w:val="15"/>
          <w:color w:val="auto"/>
        </w:rPr>
        <w:t>”), any Grantor who has granted a security interest in Pledged ULC Shares or any Grantor that is as of the date of this Canadian Cross-Border Security Agreement the sole registered and beneficial owner of all Pledged ULC Shares will remain so until such time as such Pledged ULC Shares are fully and effectively transferred into the name of the Administrative Agent or any other Person on the books and records of such Nova Scotia unlimited company (“</w:t>
      </w:r>
      <w:r>
        <w:rPr>
          <w:rFonts w:ascii="Arial" w:cs="Arial" w:eastAsia="Arial" w:hAnsi="Arial"/>
          <w:sz w:val="15"/>
          <w:szCs w:val="15"/>
          <w:u w:val="single" w:color="auto"/>
          <w:color w:val="auto"/>
        </w:rPr>
        <w:t>ULC</w:t>
      </w:r>
      <w:r>
        <w:rPr>
          <w:rFonts w:ascii="Arial" w:cs="Arial" w:eastAsia="Arial" w:hAnsi="Arial"/>
          <w:sz w:val="15"/>
          <w:szCs w:val="15"/>
          <w:color w:val="auto"/>
        </w:rPr>
        <w:t xml:space="preserve">”). Nothing in this Canadian Cross-Border Security Agreement, the Credit Agreement, any other Loan Document or any other document or agreement delivered among all or some of the parties hereto is intended to or shall constitute the Administrative Agent or any Person other than such Grantor to be a member or shareholder of any ULC for the purposes of the </w:t>
      </w:r>
      <w:r>
        <w:rPr>
          <w:rFonts w:ascii="Arial" w:cs="Arial" w:eastAsia="Arial" w:hAnsi="Arial"/>
          <w:sz w:val="15"/>
          <w:szCs w:val="15"/>
          <w:i w:val="1"/>
          <w:iCs w:val="1"/>
          <w:color w:val="auto"/>
        </w:rPr>
        <w:t>Companies Act</w:t>
      </w:r>
      <w:r>
        <w:rPr>
          <w:rFonts w:ascii="Arial" w:cs="Arial" w:eastAsia="Arial" w:hAnsi="Arial"/>
          <w:sz w:val="15"/>
          <w:szCs w:val="15"/>
          <w:color w:val="auto"/>
        </w:rPr>
        <w:t xml:space="preserve"> (Nova Scotia) until such time as written notice is given to such Grantor and all further steps are taken so as to register the Administrative Agent or other Person as holder of the Pledged ULC Shares. The granting of the pledge and security interest pursuant to this Canadian Cross-Border Security Agreement does not make the Administrative Agent a successor to such Grantor as a member or shareholder of any ULC, and neither the Administrative Agent nor any of its respective successors or assigns hereunder shall be deemed to become a member or shareholder of any ULC by accepting this Canadian Cross-Border Security Agreement or exercising any right granted herein unless and until such time, if any, when the Administrative Agent or any successor or assign expressly becomes a registered member or shareholder of any ULC. Such Grantor shall be entitled to receive and retain for its own account any dividends or other distributions if any, in respect of the Collateral relating to any such Pledged ULC Shares (except insofar as such Grantor has granted a security interest in such dividend on or other distribution) that is not otherwise permitted under this Canadian Cross-Border Security Agreement or the Credit Agreement and shall have the right to vote such Pledged ULC Shares and to control the direction, management and policies of the ULC issuing such Pledged ULC Shares to the same extent as such Grantor would if such Pledged ULC Shares were not pledged to the Administrative Agent or to any other Person pursuant hereto. To the extent any provision hereof would have the effect of constituting the Administrative Agent to be a member or shareholder of any ULC prior to such time that written notice is delivered to such Grantor, such provision shall be severed herefrom and ineffective with respect to the relevant Pledged ULC Shares without otherwise invalidating or rendering unenforceable this Canadian Cross-Border Security Agreement or invalidating or rendering unenforceable such provision insofar as it relates to Collateral other than Pledged ULC Shares. Notwithstanding anything herein to the contrary (except to the extent, if any, that the Administrative Agent or any of its successors or assigns hereafter expressly becomes a registered member or shareholder of any ULC), neither the Administrative Agent nor any of its respective successors or assigns shall be deemed to have assumed or otherwise become liable for any debts or obligations of any ULC. Except upon the exercise by the Administrative Agent or other Persons of rights to sell or otherwise dispose of Pledged ULC Shares or other remedies following the occurrence and during the continuance of an Event of Default, such Grantor shall not cause or permit, or enable any ULC in which it holds Pledged ULC Shares to cause or permit, the Administrative Agent to: (i) be registered as member or shareholder of such ULC; (ii) have any notation entered in its favour in the share register of such ULC; (iii) be held out as member or shareholder of such ULC; (iv) receive, directly or indirectly, any dividends, property or other distributions from such ULC by reason of the Administrative Agent or other Person holding a security interest in the Pledged ULC Shares; or (v) act as a member or shareholder of such ULC, or exercise any rights of a member or shareholder of such ULC, including the right to attend a meeting of such ULC or vote the shares of such ULC.</w:t>
      </w:r>
    </w:p>
    <w:p>
      <w:pPr>
        <w:spacing w:after="0" w:line="369"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IV</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COVENANTS</w:t>
      </w:r>
    </w:p>
    <w:p>
      <w:pPr>
        <w:spacing w:after="0" w:line="196" w:lineRule="exact"/>
        <w:rPr>
          <w:sz w:val="20"/>
          <w:szCs w:val="20"/>
          <w:color w:val="auto"/>
        </w:rPr>
      </w:pPr>
    </w:p>
    <w:p>
      <w:pPr>
        <w:ind w:right="20" w:firstLine="572"/>
        <w:spacing w:after="0" w:line="313" w:lineRule="auto"/>
        <w:rPr>
          <w:sz w:val="20"/>
          <w:szCs w:val="20"/>
          <w:color w:val="auto"/>
        </w:rPr>
      </w:pPr>
      <w:r>
        <w:rPr>
          <w:rFonts w:ascii="Arial" w:cs="Arial" w:eastAsia="Arial" w:hAnsi="Arial"/>
          <w:sz w:val="16"/>
          <w:szCs w:val="16"/>
          <w:color w:val="auto"/>
        </w:rPr>
        <w:t>From the date of this Canadian Cross-Border Security Agreement, and thereafter until this Canadian Cross-Border Security Agreement is terminated in accordance with Section 8.16 or such Grantor is released from its obligations hereunder in accordance with Section 8.16, each Grantor agrees that:</w:t>
      </w:r>
    </w:p>
    <w:p>
      <w:pPr>
        <w:spacing w:after="0" w:line="12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2" w:lineRule="exact"/>
        <w:rPr>
          <w:sz w:val="20"/>
          <w:szCs w:val="20"/>
          <w:color w:val="auto"/>
        </w:rPr>
      </w:pPr>
    </w:p>
    <w:p>
      <w:pPr>
        <w:jc w:val="both"/>
        <w:ind w:firstLine="1139"/>
        <w:spacing w:after="0" w:line="293" w:lineRule="auto"/>
        <w:tabs>
          <w:tab w:leader="none" w:pos="1633" w:val="left"/>
        </w:tabs>
        <w:numPr>
          <w:ilvl w:val="0"/>
          <w:numId w:val="221"/>
        </w:numPr>
        <w:rPr>
          <w:rFonts w:ascii="Arial" w:cs="Arial" w:eastAsia="Arial" w:hAnsi="Arial"/>
          <w:sz w:val="17"/>
          <w:szCs w:val="17"/>
          <w:b w:val="1"/>
          <w:bCs w:val="1"/>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Records. Such Grantor will maintain complete and accurate, in all material respects books and records with respect to the Collateral owned by it, and furnish to the Administrative Agent, such reports relating to such Collateral as the Administrative Agent shall from time to time request in its Permitted Discretion.</w:t>
      </w:r>
    </w:p>
    <w:p>
      <w:pPr>
        <w:spacing w:after="0" w:line="165" w:lineRule="exact"/>
        <w:rPr>
          <w:rFonts w:ascii="Arial" w:cs="Arial" w:eastAsia="Arial" w:hAnsi="Arial"/>
          <w:sz w:val="17"/>
          <w:szCs w:val="17"/>
          <w:b w:val="1"/>
          <w:bCs w:val="1"/>
          <w:color w:val="auto"/>
        </w:rPr>
      </w:pPr>
    </w:p>
    <w:p>
      <w:pPr>
        <w:jc w:val="both"/>
        <w:ind w:right="20" w:firstLine="1139"/>
        <w:spacing w:after="0" w:line="383" w:lineRule="auto"/>
        <w:tabs>
          <w:tab w:leader="none" w:pos="1643" w:val="left"/>
        </w:tabs>
        <w:numPr>
          <w:ilvl w:val="0"/>
          <w:numId w:val="221"/>
        </w:numPr>
        <w:rPr>
          <w:rFonts w:ascii="Arial" w:cs="Arial" w:eastAsia="Arial" w:hAnsi="Arial"/>
          <w:sz w:val="15"/>
          <w:szCs w:val="15"/>
          <w:b w:val="1"/>
          <w:bCs w:val="1"/>
          <w:color w:val="auto"/>
        </w:rPr>
      </w:pPr>
      <w:r>
        <w:rPr>
          <w:rFonts w:ascii="Arial" w:cs="Arial" w:eastAsia="Arial" w:hAnsi="Arial"/>
          <w:sz w:val="15"/>
          <w:szCs w:val="15"/>
          <w:u w:val="single" w:color="auto"/>
          <w:color w:val="auto"/>
        </w:rPr>
        <w:t>Authorization to File Financing Statements; Ratification</w:t>
      </w:r>
      <w:r>
        <w:rPr>
          <w:rFonts w:ascii="Arial" w:cs="Arial" w:eastAsia="Arial" w:hAnsi="Arial"/>
          <w:sz w:val="15"/>
          <w:szCs w:val="15"/>
          <w:color w:val="auto"/>
        </w:rPr>
        <w:t>. Such Grantor hereby authorizes the Administrative Agent to file, and if requested will deliver to the Administrative Agent, all financing statements, financing change statements, and other documents and take such other actions as may from time</w:t>
      </w:r>
    </w:p>
    <w:p>
      <w:pPr>
        <w:sectPr>
          <w:pgSz w:w="11900" w:h="16876" w:orient="portrait"/>
          <w:cols w:equalWidth="0" w:num="1">
            <w:col w:w="11440"/>
          </w:cols>
          <w:pgMar w:left="240" w:top="137" w:right="219" w:bottom="0" w:gutter="0" w:footer="0" w:header="0"/>
        </w:sectPr>
      </w:pPr>
    </w:p>
    <w:bookmarkStart w:id="161" w:name="page162"/>
    <w:bookmarkEnd w:id="161"/>
    <w:p>
      <w:pPr>
        <w:spacing w:after="0" w:line="107" w:lineRule="exact"/>
        <w:rPr>
          <w:sz w:val="20"/>
          <w:szCs w:val="20"/>
          <w:color w:val="auto"/>
        </w:rPr>
      </w:pPr>
    </w:p>
    <w:p>
      <w:pPr>
        <w:jc w:val="both"/>
        <w:ind w:left="5"/>
        <w:spacing w:after="0" w:line="323" w:lineRule="auto"/>
        <w:rPr>
          <w:sz w:val="20"/>
          <w:szCs w:val="20"/>
          <w:color w:val="auto"/>
        </w:rPr>
      </w:pPr>
      <w:r>
        <w:rPr>
          <w:rFonts w:ascii="Arial" w:cs="Arial" w:eastAsia="Arial" w:hAnsi="Arial"/>
          <w:sz w:val="15"/>
          <w:szCs w:val="15"/>
          <w:color w:val="auto"/>
        </w:rPr>
        <w:t>to time be reasonably requested by the Administrative Agent in order to maintain a first perfected security interest in and, if applicable, Control of, the Collateral owned by such Grantor, subject to the ABL-Term Loan Intercreditor Agreement. Any financing statement or financing change statement filed by the Administrative Agent may be filed in any filing office in any PPSA jurisdiction and may (i) indicate such Grantor’s Collateral (1) as all assets of such Grantor or words of similar effect, regardless of whether any particular asset comprised in the Collateral falls within the scope of the PPSA or such jurisdiction or (2) by any other description which reasonably approximates the description contained in this Canadian Cross-Border Security Agreement, and (ii) contain any other information required for the sufficiency or filing office acceptance of any financing statement or financing change statement, including whether such Grantor is an organization, the type of organization and any organization identification number issued to such Grantor. Such Grantor also agrees to furnish any such information described in the foregoing sentence to the Administrative Agent promptly upon the reasonable request thereof. Such Grantor also ratifies its authorization for the Administrative Agent to have filed in any PPSA jurisdiction any initial financing statements or amendments thereto if filed prior to the date hereof.</w:t>
      </w:r>
    </w:p>
    <w:p>
      <w:pPr>
        <w:spacing w:after="0" w:line="151" w:lineRule="exact"/>
        <w:rPr>
          <w:sz w:val="20"/>
          <w:szCs w:val="20"/>
          <w:color w:val="auto"/>
        </w:rPr>
      </w:pPr>
    </w:p>
    <w:p>
      <w:pPr>
        <w:jc w:val="both"/>
        <w:ind w:left="5" w:firstLine="853"/>
        <w:spacing w:after="0" w:line="284" w:lineRule="auto"/>
        <w:tabs>
          <w:tab w:leader="none" w:pos="1342" w:val="left"/>
        </w:tabs>
        <w:numPr>
          <w:ilvl w:val="0"/>
          <w:numId w:val="222"/>
        </w:numPr>
        <w:rPr>
          <w:rFonts w:ascii="Arial" w:cs="Arial" w:eastAsia="Arial" w:hAnsi="Arial"/>
          <w:sz w:val="17"/>
          <w:szCs w:val="17"/>
          <w:b w:val="1"/>
          <w:bCs w:val="1"/>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Such Grantor will, if so requested by the Administrative Agent, furnish to the Administrative Agent, as often as the Administrative Agent reasonably requests and subject to the limitations set forth in the Credit Agreement, statements and schedules further identifying and describing the Collateral owned by it and such other reports and information in connection with its Collateral as the Administrative Agent may reasonably request, all in such detail as the Administrative Agent may reasonably specify. Such Grantor also agrees to take any and all actions necessary in its commercially reasonable business judgment, exercised in good faith, to defend title to the Collateral against all persons and to defend the security interest of the Administrative Agent in its Collateral and the priority thereof against any Lien not expressly permitted hereunder.</w:t>
      </w:r>
    </w:p>
    <w:p>
      <w:pPr>
        <w:spacing w:after="0" w:line="172" w:lineRule="exact"/>
        <w:rPr>
          <w:rFonts w:ascii="Arial" w:cs="Arial" w:eastAsia="Arial" w:hAnsi="Arial"/>
          <w:sz w:val="17"/>
          <w:szCs w:val="17"/>
          <w:b w:val="1"/>
          <w:bCs w:val="1"/>
          <w:color w:val="auto"/>
        </w:rPr>
      </w:pPr>
    </w:p>
    <w:p>
      <w:pPr>
        <w:ind w:left="5" w:right="20" w:firstLine="1139"/>
        <w:spacing w:after="0" w:line="310" w:lineRule="auto"/>
        <w:tabs>
          <w:tab w:leader="none" w:pos="1638"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Such Grantor will not sell, lease or otherwise dispose of the Collateral owned by it except for dispositions not prohibited pursuant to Section 6.05 of the Credit Agreement.</w:t>
      </w:r>
    </w:p>
    <w:p>
      <w:pPr>
        <w:spacing w:after="0" w:line="150" w:lineRule="exact"/>
        <w:rPr>
          <w:rFonts w:ascii="Arial" w:cs="Arial" w:eastAsia="Arial" w:hAnsi="Arial"/>
          <w:sz w:val="17"/>
          <w:szCs w:val="17"/>
          <w:color w:val="auto"/>
        </w:rPr>
      </w:pPr>
    </w:p>
    <w:p>
      <w:pPr>
        <w:ind w:left="5" w:right="20" w:firstLine="1139"/>
        <w:spacing w:after="0" w:line="310" w:lineRule="auto"/>
        <w:tabs>
          <w:tab w:leader="none" w:pos="1628"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Such Grantor will not create, incur, or suffer to exist any Lien on the Collateral owned by it except (i) the security interest created by this Canadian Cross-Border Security Agreement, and (ii) other Liens permitted by Section 6.02 of the Credit Agreement.</w:t>
      </w:r>
    </w:p>
    <w:p>
      <w:pPr>
        <w:spacing w:after="0" w:line="150" w:lineRule="exact"/>
        <w:rPr>
          <w:rFonts w:ascii="Arial" w:cs="Arial" w:eastAsia="Arial" w:hAnsi="Arial"/>
          <w:sz w:val="17"/>
          <w:szCs w:val="17"/>
          <w:color w:val="auto"/>
        </w:rPr>
      </w:pPr>
    </w:p>
    <w:p>
      <w:pPr>
        <w:jc w:val="both"/>
        <w:ind w:left="5" w:firstLine="1139"/>
        <w:spacing w:after="0" w:line="307" w:lineRule="auto"/>
        <w:tabs>
          <w:tab w:leader="none" w:pos="1609"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Other Financing Statements</w:t>
      </w:r>
      <w:r>
        <w:rPr>
          <w:rFonts w:ascii="Arial" w:cs="Arial" w:eastAsia="Arial" w:hAnsi="Arial"/>
          <w:sz w:val="16"/>
          <w:szCs w:val="16"/>
          <w:color w:val="auto"/>
        </w:rPr>
        <w:t>. Such Grantor will not authorize the filing of any financing statement naming it as debtor covering all or any portion of the Collateral owned by it, except for financing statements as permitted by Section 4.1(e). Other than in connection with the Liens in favour of the Term Loan Agent pursuant to the Term Loan Documents and in accordance with the ABL-Term Loan Intercreditor Agreement, such Grantor acknowledges that it is not authorized to file any financing statement or financing change statement or discharge statement with respect to any financing statement naming the Administrative Agent as secured party without the prior written consent of the Administrative Agent, subject to such Grantor's rights under the PPSA.</w:t>
      </w:r>
    </w:p>
    <w:p>
      <w:pPr>
        <w:spacing w:after="0" w:line="157" w:lineRule="exact"/>
        <w:rPr>
          <w:rFonts w:ascii="Arial" w:cs="Arial" w:eastAsia="Arial" w:hAnsi="Arial"/>
          <w:sz w:val="16"/>
          <w:szCs w:val="16"/>
          <w:color w:val="auto"/>
        </w:rPr>
      </w:pPr>
    </w:p>
    <w:p>
      <w:pPr>
        <w:ind w:left="1625" w:hanging="481"/>
        <w:spacing w:after="0"/>
        <w:tabs>
          <w:tab w:leader="none" w:pos="1625" w:val="left"/>
        </w:tabs>
        <w:numPr>
          <w:ilvl w:val="1"/>
          <w:numId w:val="222"/>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33" w:lineRule="exact"/>
        <w:rPr>
          <w:rFonts w:ascii="Arial" w:cs="Arial" w:eastAsia="Arial" w:hAnsi="Arial"/>
          <w:sz w:val="17"/>
          <w:szCs w:val="17"/>
          <w:color w:val="auto"/>
        </w:rPr>
      </w:pPr>
    </w:p>
    <w:p>
      <w:pPr>
        <w:ind w:left="5" w:right="20" w:firstLine="1139"/>
        <w:spacing w:after="0" w:line="310" w:lineRule="auto"/>
        <w:tabs>
          <w:tab w:leader="none" w:pos="1638"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Compliance with Terms</w:t>
      </w:r>
      <w:r>
        <w:rPr>
          <w:rFonts w:ascii="Arial" w:cs="Arial" w:eastAsia="Arial" w:hAnsi="Arial"/>
          <w:sz w:val="17"/>
          <w:szCs w:val="17"/>
          <w:color w:val="auto"/>
        </w:rPr>
        <w:t>. Such Grantor will perform and comply in all material respects with all obligations in respect of the Collateral owned by it and all agreements to which it is a party or by which it is bound relating to such Collateral.</w:t>
      </w:r>
    </w:p>
    <w:p>
      <w:pPr>
        <w:spacing w:after="0" w:line="138" w:lineRule="exact"/>
        <w:rPr>
          <w:sz w:val="20"/>
          <w:szCs w:val="20"/>
          <w:color w:val="auto"/>
        </w:rPr>
      </w:pPr>
    </w:p>
    <w:p>
      <w:pPr>
        <w:ind w:left="565"/>
        <w:spacing w:after="0"/>
        <w:tabs>
          <w:tab w:leader="none" w:pos="984"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u w:val="single" w:color="auto"/>
          <w:color w:val="auto"/>
        </w:rPr>
        <w:t>Receivables</w:t>
      </w:r>
      <w:r>
        <w:rPr>
          <w:rFonts w:ascii="Arial" w:cs="Arial" w:eastAsia="Arial" w:hAnsi="Arial"/>
          <w:sz w:val="15"/>
          <w:szCs w:val="15"/>
          <w:color w:val="auto"/>
        </w:rPr>
        <w:t>.</w:t>
      </w:r>
    </w:p>
    <w:p>
      <w:pPr>
        <w:spacing w:after="0" w:line="222" w:lineRule="exact"/>
        <w:rPr>
          <w:sz w:val="20"/>
          <w:szCs w:val="20"/>
          <w:color w:val="auto"/>
        </w:rPr>
      </w:pPr>
    </w:p>
    <w:p>
      <w:pPr>
        <w:jc w:val="both"/>
        <w:ind w:left="5" w:firstLine="1139"/>
        <w:spacing w:after="0" w:line="288" w:lineRule="auto"/>
        <w:tabs>
          <w:tab w:leader="none" w:pos="1914"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Certain Agreements on Receivables</w:t>
      </w:r>
      <w:r>
        <w:rPr>
          <w:rFonts w:ascii="Arial" w:cs="Arial" w:eastAsia="Arial" w:hAnsi="Arial"/>
          <w:sz w:val="17"/>
          <w:szCs w:val="17"/>
          <w:color w:val="auto"/>
        </w:rPr>
        <w:t>. Subject to the provisions of the Credit Agreement, such Grantor will not make or agree to make any discount, credit, rebate or other reduction in the original amount owing on a Receivable or accept in satisfaction of a Receivable less than the original amount thereof, except that, prior to the occurrence and during the continuance of an Event of Default, such Grantor may reduce the amount of Accounts arising from the sale of Inventory in accordance with its present policies and in the ordinary course of business.</w:t>
      </w:r>
    </w:p>
    <w:p>
      <w:pPr>
        <w:spacing w:after="0" w:line="169" w:lineRule="exact"/>
        <w:rPr>
          <w:rFonts w:ascii="Arial" w:cs="Arial" w:eastAsia="Arial" w:hAnsi="Arial"/>
          <w:sz w:val="17"/>
          <w:szCs w:val="17"/>
          <w:color w:val="auto"/>
        </w:rPr>
      </w:pPr>
    </w:p>
    <w:p>
      <w:pPr>
        <w:jc w:val="both"/>
        <w:ind w:left="5" w:firstLine="1139"/>
        <w:spacing w:after="0" w:line="293" w:lineRule="auto"/>
        <w:tabs>
          <w:tab w:leader="none" w:pos="1924"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Canadian Cross-Border Security Agreement or the Credit Agreement, such Grantor will use commercially reasonable efforts to collect and enforce in accordance with its present policies, at such Grantor's sole expense, all amounts due or hereafter due to such Grantor under the Receivables owned by it.</w:t>
      </w:r>
    </w:p>
    <w:p>
      <w:pPr>
        <w:spacing w:after="0" w:line="165" w:lineRule="exact"/>
        <w:rPr>
          <w:rFonts w:ascii="Arial" w:cs="Arial" w:eastAsia="Arial" w:hAnsi="Arial"/>
          <w:sz w:val="17"/>
          <w:szCs w:val="17"/>
          <w:color w:val="auto"/>
        </w:rPr>
      </w:pPr>
    </w:p>
    <w:p>
      <w:pPr>
        <w:ind w:left="5" w:right="20" w:firstLine="1139"/>
        <w:spacing w:after="0" w:line="344" w:lineRule="auto"/>
        <w:tabs>
          <w:tab w:leader="none" w:pos="1914"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Delivery of Invoice</w:t>
      </w:r>
      <w:r>
        <w:rPr>
          <w:rFonts w:ascii="Arial" w:cs="Arial" w:eastAsia="Arial" w:hAnsi="Arial"/>
          <w:sz w:val="16"/>
          <w:szCs w:val="16"/>
          <w:color w:val="auto"/>
        </w:rPr>
        <w:t>s. Such Grantor will deliver to the Administrative Agent promptly upon its reasonable request duplicate invoices with respect to each Account included in the Collateral owned by it bearing such language of assignment as the Administrative Agent shall specify.</w:t>
      </w:r>
    </w:p>
    <w:p>
      <w:pPr>
        <w:spacing w:after="0" w:line="127" w:lineRule="exact"/>
        <w:rPr>
          <w:rFonts w:ascii="Arial" w:cs="Arial" w:eastAsia="Arial" w:hAnsi="Arial"/>
          <w:sz w:val="16"/>
          <w:szCs w:val="16"/>
          <w:color w:val="auto"/>
        </w:rPr>
      </w:pPr>
    </w:p>
    <w:p>
      <w:pPr>
        <w:ind w:left="1925" w:hanging="781"/>
        <w:spacing w:after="0"/>
        <w:tabs>
          <w:tab w:leader="none" w:pos="192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2" w:lineRule="exact"/>
        <w:rPr>
          <w:sz w:val="20"/>
          <w:szCs w:val="20"/>
          <w:color w:val="auto"/>
        </w:rPr>
      </w:pPr>
    </w:p>
    <w:p>
      <w:pPr>
        <w:ind w:left="565"/>
        <w:spacing w:after="0"/>
        <w:tabs>
          <w:tab w:leader="none" w:pos="984"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Inventory and Equipment</w:t>
      </w:r>
      <w:r>
        <w:rPr>
          <w:rFonts w:ascii="Arial" w:cs="Arial" w:eastAsia="Arial" w:hAnsi="Arial"/>
          <w:sz w:val="16"/>
          <w:szCs w:val="16"/>
          <w:color w:val="auto"/>
        </w:rPr>
        <w:t>.</w:t>
      </w:r>
    </w:p>
    <w:p>
      <w:pPr>
        <w:spacing w:after="0" w:line="222" w:lineRule="exact"/>
        <w:rPr>
          <w:sz w:val="20"/>
          <w:szCs w:val="20"/>
          <w:color w:val="auto"/>
        </w:rPr>
      </w:pPr>
    </w:p>
    <w:p>
      <w:pPr>
        <w:jc w:val="both"/>
        <w:ind w:left="5" w:right="20" w:firstLine="1711"/>
        <w:spacing w:after="0" w:line="288" w:lineRule="auto"/>
        <w:tabs>
          <w:tab w:leader="none" w:pos="2486"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Maintenance of Goods</w:t>
      </w:r>
      <w:r>
        <w:rPr>
          <w:rFonts w:ascii="Arial" w:cs="Arial" w:eastAsia="Arial" w:hAnsi="Arial"/>
          <w:sz w:val="17"/>
          <w:szCs w:val="17"/>
          <w:color w:val="auto"/>
        </w:rPr>
        <w:t>. Such Grantor will do all things necessary to maintain, preserve, protect and keep its Inventory and the Equipment necessary to the business in good repair and working and saleable condition, except for (i) damaged or defective goods arising in the ordinary course of such Grantor’s business, (ii) ordinary wear and tear in respect of the Equipment and (iii) Equipment which such Grantor determines in good faith is not material to its business.</w:t>
      </w:r>
    </w:p>
    <w:p>
      <w:pPr>
        <w:spacing w:after="0" w:line="169" w:lineRule="exact"/>
        <w:rPr>
          <w:rFonts w:ascii="Arial" w:cs="Arial" w:eastAsia="Arial" w:hAnsi="Arial"/>
          <w:sz w:val="17"/>
          <w:szCs w:val="17"/>
          <w:color w:val="auto"/>
        </w:rPr>
      </w:pPr>
    </w:p>
    <w:p>
      <w:pPr>
        <w:ind w:left="2485" w:hanging="769"/>
        <w:spacing w:after="0"/>
        <w:tabs>
          <w:tab w:leader="none" w:pos="2485" w:val="left"/>
        </w:tabs>
        <w:numPr>
          <w:ilvl w:val="1"/>
          <w:numId w:val="224"/>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jc w:val="both"/>
        <w:ind w:left="5" w:right="20" w:firstLine="1139"/>
        <w:spacing w:after="0" w:line="256" w:lineRule="auto"/>
        <w:tabs>
          <w:tab w:leader="none" w:pos="1588"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Inventory Count; Perpetual Inventory System</w:t>
      </w:r>
      <w:r>
        <w:rPr>
          <w:rFonts w:ascii="Arial" w:cs="Arial" w:eastAsia="Arial" w:hAnsi="Arial"/>
          <w:sz w:val="17"/>
          <w:szCs w:val="17"/>
          <w:color w:val="auto"/>
        </w:rPr>
        <w:t>. Such Grantor will conduct a verification, including without limitation, a physical count if required under GAAP, of its Inventory at least once per fiscal year in a manner consistent with past practices, and after and during the continuation of an Event of Default, at such other times as the Administrative Agent requests. Such Grantor, at its own expense, shall deliver to the Administrative Agent the results of each physical verification, which such Grantor has made, or has caused any other Person to make on its behalf, of all or any portion of its Inventory. Such Grantor will maintain a perpetual inventory reporting system at all times.</w:t>
      </w:r>
    </w:p>
    <w:p>
      <w:pPr>
        <w:spacing w:after="0" w:line="363" w:lineRule="exact"/>
        <w:rPr>
          <w:sz w:val="20"/>
          <w:szCs w:val="20"/>
          <w:color w:val="auto"/>
        </w:rPr>
      </w:pPr>
    </w:p>
    <w:p>
      <w:pPr>
        <w:jc w:val="both"/>
        <w:ind w:left="5" w:right="20" w:firstLine="572"/>
        <w:spacing w:after="0" w:line="285"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Delivery of Instruments, Securities, Chattel Paper and Documents</w:t>
      </w:r>
      <w:r>
        <w:rPr>
          <w:rFonts w:ascii="Arial" w:cs="Arial" w:eastAsia="Arial" w:hAnsi="Arial"/>
          <w:sz w:val="15"/>
          <w:szCs w:val="15"/>
          <w:color w:val="auto"/>
        </w:rPr>
        <w:t>. Subject to the terms of the ABL-Term Loan Intercreditor Agreement, such Grantor will (a) deliver to the Administrative Agent promptly upon execution of this Canadian Cross-Border Security Agreement the originals of all Chattel Paper, Securities, and Instruments constituting Collateral owned by it (if any then exist) and with a value in excess of $250,000, (b) hold in trust for the Administrative Agent upon receipt and promptly, but in no event more than ten (10) Business Days following receipt (or such later date as agreed to by the Administrative Agent), thereafter deliver to the Administrative Agent any such Chattel Paper, Securities, and Instruments constituting Collateral, (c) upon the Administrative Agent's request, deliver to the Administrative Agent (and thereafter hold in trust for the Administrative Agent upon receipt and promptly, but in no event more than ten</w:t>
      </w:r>
    </w:p>
    <w:p>
      <w:pPr>
        <w:jc w:val="both"/>
        <w:ind w:left="5" w:hanging="5"/>
        <w:spacing w:after="0" w:line="279" w:lineRule="auto"/>
        <w:tabs>
          <w:tab w:leader="none" w:pos="34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Business Days following receipt (or such later date as agreed to by the Administrative Agent), deliver to the Administrative Agent) any Document evidencing or constituting Collateral and (d) promptly upon the Administrative Agent's request, deliver to the Administrative Agent a duly executed amendment to this Canadian Cross- Border Security Agreement,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Amendment</w:t>
      </w:r>
      <w:r>
        <w:rPr>
          <w:rFonts w:ascii="Arial" w:cs="Arial" w:eastAsia="Arial" w:hAnsi="Arial"/>
          <w:sz w:val="16"/>
          <w:szCs w:val="16"/>
          <w:color w:val="auto"/>
        </w:rPr>
        <w:t>”), pursuant to which such Grantor will pledge such additional</w:t>
      </w:r>
    </w:p>
    <w:p>
      <w:pPr>
        <w:sectPr>
          <w:pgSz w:w="11900" w:h="16946" w:orient="portrait"/>
          <w:cols w:equalWidth="0" w:num="1">
            <w:col w:w="11445"/>
          </w:cols>
          <w:pgMar w:left="235" w:top="137" w:right="219" w:bottom="0" w:gutter="0" w:footer="0" w:header="0"/>
        </w:sectPr>
      </w:pPr>
    </w:p>
    <w:bookmarkStart w:id="162" w:name="page163"/>
    <w:bookmarkEnd w:id="162"/>
    <w:p>
      <w:pPr>
        <w:jc w:val="both"/>
        <w:ind w:right="20"/>
        <w:spacing w:after="0" w:line="282" w:lineRule="auto"/>
        <w:rPr>
          <w:sz w:val="20"/>
          <w:szCs w:val="20"/>
          <w:color w:val="auto"/>
        </w:rPr>
      </w:pPr>
      <w:r>
        <w:rPr>
          <w:rFonts w:ascii="Arial" w:cs="Arial" w:eastAsia="Arial" w:hAnsi="Arial"/>
          <w:sz w:val="17"/>
          <w:szCs w:val="17"/>
          <w:color w:val="auto"/>
        </w:rPr>
        <w:t>Collateral. Such Grantor hereby authorizes the Administrative Agent to attach each Amendment to this Canadian Security Agreement and agrees that all additional Collateral owned by it set forth in such Amendments shall be considered to be part of the Collateral.</w:t>
      </w:r>
    </w:p>
    <w:p>
      <w:pPr>
        <w:spacing w:after="0" w:line="150"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Uncertificated Pledged Collateral</w:t>
      </w:r>
      <w:r>
        <w:rPr>
          <w:rFonts w:ascii="Arial" w:cs="Arial" w:eastAsia="Arial" w:hAnsi="Arial"/>
          <w:sz w:val="16"/>
          <w:szCs w:val="16"/>
          <w:color w:val="auto"/>
        </w:rPr>
        <w:t>. Subject to the terms of the ABL-Term Loan Intercreditor Agreement, such Grantor will permit the Administrative Agent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Canadian Cross-Border Security Agreement. With respect to any Pledged Collateral owned by it, such Grantor will take any necessary actions requested by the Administrative Agent to cause (a) the issuers of uncertificated securities which are Pledged Collateral and (b) any securities intermediary which is the holder of any such Pledged Collateral, to cause the Administrative Agent to have and retain Control over such Pledged Collateral (or until the Term Loan Obligation Payment Date, to cause the Term Loan Agent to have and retain Control over such Pledged Collateral, in accordance with the terms of the ABL-Term Loan Intercreditor Agreement in the case of any Pledged Collateral constituting Term Loan Priority Collateral). Without limiting the foregoing, such Grantor will, with respect to any such Pledged Collateral held with a securities intermediary, cause such securities intermediary to enter into a Control Agreement with the Administrative Agent, in form and substance reasonably satisfactory to the Administrative Agent, giving the Administrative Agent Control (or until the Term Loan Obligation Payment Date, to enter into a Control Agreement with the Term Loan Agent in accordance with the terms of the ABL-Term Loan Intercreditor Agreement in the case of any Pledged Collateral constituting Term Loan Priority Collateral).To the extent that any issuer of uncertificated securities that constitute Pledged Collateral shall issue certificates for such Pledged Collateral, such Grantor will promptly notify the Administrative Agent and comply with the provisions of Section 4.4 with respect to such Pledged Collateral.</w:t>
      </w:r>
    </w:p>
    <w:p>
      <w:pPr>
        <w:spacing w:after="0" w:line="1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u w:val="single" w:color="auto"/>
          <w:color w:val="auto"/>
        </w:rPr>
        <w:t>Pledged Collateral</w:t>
      </w:r>
      <w:r>
        <w:rPr>
          <w:rFonts w:ascii="Arial" w:cs="Arial" w:eastAsia="Arial" w:hAnsi="Arial"/>
          <w:sz w:val="15"/>
          <w:szCs w:val="15"/>
          <w:color w:val="auto"/>
        </w:rPr>
        <w:t>.</w:t>
      </w:r>
    </w:p>
    <w:p>
      <w:pPr>
        <w:spacing w:after="0" w:line="210" w:lineRule="exact"/>
        <w:rPr>
          <w:sz w:val="20"/>
          <w:szCs w:val="20"/>
          <w:color w:val="auto"/>
        </w:rPr>
      </w:pPr>
    </w:p>
    <w:p>
      <w:pPr>
        <w:ind w:left="1720" w:hanging="581"/>
        <w:spacing w:after="0"/>
        <w:tabs>
          <w:tab w:leader="none" w:pos="17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1" w:lineRule="exact"/>
        <w:rPr>
          <w:rFonts w:ascii="Arial" w:cs="Arial" w:eastAsia="Arial" w:hAnsi="Arial"/>
          <w:sz w:val="17"/>
          <w:szCs w:val="17"/>
          <w:color w:val="auto"/>
        </w:rPr>
      </w:pPr>
    </w:p>
    <w:p>
      <w:pPr>
        <w:jc w:val="both"/>
        <w:ind w:firstLine="1139"/>
        <w:spacing w:after="0" w:line="293" w:lineRule="auto"/>
        <w:tabs>
          <w:tab w:leader="none" w:pos="1919"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Issuance of Additional Securities</w:t>
      </w:r>
      <w:r>
        <w:rPr>
          <w:rFonts w:ascii="Arial" w:cs="Arial" w:eastAsia="Arial" w:hAnsi="Arial"/>
          <w:sz w:val="17"/>
          <w:szCs w:val="17"/>
          <w:color w:val="auto"/>
        </w:rPr>
        <w:t>. Except as permitted under the Credit Agreement, such Grantor will not permit or suffer the issuer of an Equity Interest constituting Pledged Collateral owned by it to issue additional Equity Interests, any right to receive the same or any right to receive earnings, except to such Grantor.</w:t>
      </w:r>
    </w:p>
    <w:p>
      <w:pPr>
        <w:spacing w:after="0" w:line="165" w:lineRule="exact"/>
        <w:rPr>
          <w:rFonts w:ascii="Arial" w:cs="Arial" w:eastAsia="Arial" w:hAnsi="Arial"/>
          <w:sz w:val="17"/>
          <w:szCs w:val="17"/>
          <w:color w:val="auto"/>
        </w:rPr>
      </w:pPr>
    </w:p>
    <w:p>
      <w:pPr>
        <w:jc w:val="both"/>
        <w:ind w:right="20" w:firstLine="1139"/>
        <w:spacing w:after="0" w:line="307" w:lineRule="auto"/>
        <w:tabs>
          <w:tab w:leader="none" w:pos="1909"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Registration of Pledged Collateral</w:t>
      </w:r>
      <w:r>
        <w:rPr>
          <w:rFonts w:ascii="Arial" w:cs="Arial" w:eastAsia="Arial" w:hAnsi="Arial"/>
          <w:sz w:val="16"/>
          <w:szCs w:val="16"/>
          <w:color w:val="auto"/>
        </w:rPr>
        <w:t>. Subject to the terms of the ABL-Term Loan Intercreditor Agreement and to Section 3.13(d) with respect to the Pledged ULC Shares, such Grantor will permit any registerable Pledged Collateral owned by it to be registered in the name of the Administrative Agent or its nominee at any time after the occurrence and during the continuation of an Event of Default at the option of the Required Secured Parties (or until the Term Loan Obligation Payment Date, to be registered in the name of the Term Loan Agent or its nominee at such time, in accordance with the terms of the ABL-Term Loan Intercreditor Agreement in the case of any Pledged Collateral constituting Term Loan Priority Collateral).</w:t>
      </w:r>
    </w:p>
    <w:p>
      <w:pPr>
        <w:spacing w:after="0" w:line="157" w:lineRule="exact"/>
        <w:rPr>
          <w:rFonts w:ascii="Arial" w:cs="Arial" w:eastAsia="Arial" w:hAnsi="Arial"/>
          <w:sz w:val="16"/>
          <w:szCs w:val="16"/>
          <w:color w:val="auto"/>
        </w:rPr>
      </w:pPr>
    </w:p>
    <w:p>
      <w:pPr>
        <w:ind w:left="1920" w:hanging="781"/>
        <w:spacing w:after="0"/>
        <w:tabs>
          <w:tab w:leader="none" w:pos="1920"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Exercise of Rights in Pledged Collateral</w:t>
      </w:r>
      <w:r>
        <w:rPr>
          <w:rFonts w:ascii="Arial" w:cs="Arial" w:eastAsia="Arial" w:hAnsi="Arial"/>
          <w:sz w:val="17"/>
          <w:szCs w:val="17"/>
          <w:color w:val="auto"/>
        </w:rPr>
        <w:t>.</w:t>
      </w:r>
    </w:p>
    <w:p>
      <w:pPr>
        <w:spacing w:after="0" w:line="233" w:lineRule="exact"/>
        <w:rPr>
          <w:rFonts w:ascii="Arial" w:cs="Arial" w:eastAsia="Arial" w:hAnsi="Arial"/>
          <w:sz w:val="17"/>
          <w:szCs w:val="17"/>
          <w:color w:val="auto"/>
        </w:rPr>
      </w:pPr>
    </w:p>
    <w:p>
      <w:pPr>
        <w:jc w:val="both"/>
        <w:ind w:left="420" w:firstLine="1291"/>
        <w:spacing w:after="0" w:line="285" w:lineRule="auto"/>
        <w:tabs>
          <w:tab w:leader="none" w:pos="215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Without in any way limiting the foregoing and subject to clause (ii) below and subject to the ABL-Term Loan Intercreditor Agreement in the case of any such Pledged Collateral constituting Term Loan Priority Collateral, such Grantor shall have the right to exercise all voting rights or other rights relating to the Pledged Collateral owned by it for all purposes not inconsistent with this Canadian Cross-Border Security Agreement, the Credit Agreement or any other Loan Document; provided however,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vote or other right shall be exercised or action taken which would have the effect of impairing the rights of the Administrative Agent in respect of such Pledged Collateral.</w:t>
      </w:r>
    </w:p>
    <w:p>
      <w:pPr>
        <w:spacing w:after="0" w:line="173" w:lineRule="exact"/>
        <w:rPr>
          <w:rFonts w:ascii="Arial" w:cs="Arial" w:eastAsia="Arial" w:hAnsi="Arial"/>
          <w:sz w:val="17"/>
          <w:szCs w:val="17"/>
          <w:color w:val="auto"/>
        </w:rPr>
      </w:pPr>
    </w:p>
    <w:p>
      <w:pPr>
        <w:jc w:val="both"/>
        <w:ind w:left="420" w:firstLine="1291"/>
        <w:spacing w:after="0" w:line="307" w:lineRule="auto"/>
        <w:tabs>
          <w:tab w:leader="none" w:pos="249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Such Grantor will permit the Administrative Agent or its nominee at any time after the occurrence and during the continuance of an Event of Default, subject to Section 3.13(d) with respect to the Pledged ULC Shares, and subject to the ABL-Term Loan Intercreditor Agreement in the case of any such Pledged Collateral constituting Term Loan Priority Collateral, without notice, to exercise all voting rights or other rights relating to the Pledged Collateral owned by it, including, without limitation, exchange, subscription or any other rights, privileges, or options pertaining to any Equity Interest or Investment Property constituting such Pledged Collateral as if it were the absolute owner thereof.</w:t>
      </w:r>
    </w:p>
    <w:p>
      <w:pPr>
        <w:spacing w:after="0" w:line="157" w:lineRule="exact"/>
        <w:rPr>
          <w:rFonts w:ascii="Arial" w:cs="Arial" w:eastAsia="Arial" w:hAnsi="Arial"/>
          <w:sz w:val="16"/>
          <w:szCs w:val="16"/>
          <w:color w:val="auto"/>
        </w:rPr>
      </w:pPr>
    </w:p>
    <w:p>
      <w:pPr>
        <w:jc w:val="both"/>
        <w:ind w:left="420" w:firstLine="1291"/>
        <w:spacing w:after="0" w:line="282" w:lineRule="auto"/>
        <w:tabs>
          <w:tab w:leader="none" w:pos="254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Subject to the ABL-Term Loan Intercreditor Agreement in the case of any such Pledged Collateral constituting Term Loan Priority Collateral, such Grantor shall be entitled to collect and receive for its own use all cash dividends and interest paid in respect of the Pledged Collateral owned by it to the extent not in violation of the Credit Agreement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any of the following distributions and payments (collectively referred to as the “</w:t>
      </w:r>
      <w:r>
        <w:rPr>
          <w:rFonts w:ascii="Arial" w:cs="Arial" w:eastAsia="Arial" w:hAnsi="Arial"/>
          <w:sz w:val="17"/>
          <w:szCs w:val="17"/>
          <w:u w:val="single" w:color="auto"/>
          <w:color w:val="auto"/>
        </w:rPr>
        <w:t>Excluded Payments</w:t>
      </w:r>
      <w:r>
        <w:rPr>
          <w:rFonts w:ascii="Arial" w:cs="Arial" w:eastAsia="Arial" w:hAnsi="Arial"/>
          <w:sz w:val="17"/>
          <w:szCs w:val="17"/>
          <w:color w:val="auto"/>
        </w:rPr>
        <w:t xml:space="preserve">”): (A) dividends and interest paid or payable other than in cash in respect of such Pledged Collateral, and instruments and other non-cash property received, receivable or otherwise distributed in respect of, or in exchange for, any Pledged Collateral, in each case, to the extent constituting Collateral; and (B) dividends and other distributions paid or payable in cash in respect of such Pledged Collateral not prohibited to be paid pursuant to the Credit Agreement;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until actually paid, all rights to such distributions shall remain subject to the Lien created by this Canadian Cross-Border Security Agreement; and</w:t>
      </w:r>
    </w:p>
    <w:p>
      <w:pPr>
        <w:spacing w:after="0" w:line="176" w:lineRule="exact"/>
        <w:rPr>
          <w:rFonts w:ascii="Arial" w:cs="Arial" w:eastAsia="Arial" w:hAnsi="Arial"/>
          <w:sz w:val="17"/>
          <w:szCs w:val="17"/>
          <w:color w:val="auto"/>
        </w:rPr>
      </w:pPr>
    </w:p>
    <w:p>
      <w:pPr>
        <w:jc w:val="both"/>
        <w:ind w:left="420" w:firstLine="1291"/>
        <w:spacing w:after="0" w:line="303" w:lineRule="auto"/>
        <w:tabs>
          <w:tab w:leader="none" w:pos="253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All Excluded Payments (subject to Section 3.13(d) with respect to the Pledged ULC Shares) whenever paid or made, shall be delivered to the Administrative Agent (or until the Term Loan Obligation Payment Date, to the Term Loan Agent in accordance with the terms of the ABL-Term Loan Intercreditor Agreement in the case of any Excluded Payments constituting Term Loan Priority Collateral) to hold as Pledged Collateral and shall, if received by such Grantor, be received in trust for the benefit of the Administrative Agent (and, until the Term Loan Obligations Payment Date, the Term Loan Agent), be segregated from the other property or funds of such Grantor, and be forthwith delivered to the Administrative Agent (or until the Term Loan Obligation Payment Date, to the Term Loan Agent in accordance with the terms of the ABL-Term Loan Intercreditor Agreement in the case of any Excluded Payments constituting Term Loan Priority Collateral) as Pledged Collateral in the same form as so received (with any necessary endorsement).</w:t>
      </w:r>
    </w:p>
    <w:p>
      <w:pPr>
        <w:spacing w:after="0" w:line="157"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15" w:lineRule="exact"/>
        <w:rPr>
          <w:sz w:val="20"/>
          <w:szCs w:val="20"/>
          <w:color w:val="auto"/>
        </w:rPr>
      </w:pPr>
    </w:p>
    <w:p>
      <w:pPr>
        <w:jc w:val="both"/>
        <w:ind w:right="20" w:firstLine="1163"/>
        <w:spacing w:after="0" w:line="293" w:lineRule="auto"/>
        <w:tabs>
          <w:tab w:leader="none" w:pos="193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subject to the terms of the ABL-Term Loan Intercreditor Agreement, such Grantor will use its commercially reasonable efforts to secure all consents and approvals necessary or appropriate for the assignment to or benefit of the Administrative Agent of any License held by such Grantor and to enforce the security interests granted hereunder.</w:t>
      </w:r>
    </w:p>
    <w:p>
      <w:pPr>
        <w:spacing w:after="0" w:line="165" w:lineRule="exact"/>
        <w:rPr>
          <w:rFonts w:ascii="Arial" w:cs="Arial" w:eastAsia="Arial" w:hAnsi="Arial"/>
          <w:sz w:val="17"/>
          <w:szCs w:val="17"/>
          <w:color w:val="auto"/>
        </w:rPr>
      </w:pPr>
    </w:p>
    <w:p>
      <w:pPr>
        <w:jc w:val="both"/>
        <w:ind w:firstLine="1163"/>
        <w:spacing w:after="0" w:line="305" w:lineRule="auto"/>
        <w:tabs>
          <w:tab w:leader="none" w:pos="194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Such Grantor shall notify the Administrative Agent promptly if it knows or has reason to know that any application or registration relating to any Patent, Trademark or Copyright (now or hereafter existing) that is material to the conduct of the business of Holdings, the Borrowers and their Subsidiaries, taken as a whole, becomes abandoned or dedicated, or of any material adverse determination or development (including the institution of, or any such determination or development in, any proceeding in the Canadian Intellectual Property Office, United States Patent and Trademark Office, the United States Copyright Office or any court) regarding such Grantor’s ownership of any Patent, Trademark or Copyright material to the business of Holdings, the Borrowers and their Subsidiaries, taken as a whole, its right to register the same, or to keep and maintain the same.</w:t>
      </w:r>
    </w:p>
    <w:p>
      <w:pPr>
        <w:sectPr>
          <w:pgSz w:w="11900" w:h="16838" w:orient="portrait"/>
          <w:cols w:equalWidth="0" w:num="1">
            <w:col w:w="11440"/>
          </w:cols>
          <w:pgMar w:left="240" w:top="124" w:right="219" w:bottom="0" w:gutter="0" w:footer="0" w:header="0"/>
        </w:sectPr>
      </w:pPr>
    </w:p>
    <w:bookmarkStart w:id="163" w:name="page164"/>
    <w:bookmarkEnd w:id="163"/>
    <w:p>
      <w:pPr>
        <w:jc w:val="both"/>
        <w:ind w:left="5" w:firstLine="1139"/>
        <w:spacing w:after="0" w:line="300" w:lineRule="auto"/>
        <w:tabs>
          <w:tab w:leader="none" w:pos="191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If any Grantor, either itself or through any agent, employee, licensee or designee, acquires ownership of any Patent, Trademark or Copyright registration or application, in each case, material to the Grantors’ business, taken as a whole, or files any application for any Patent, Trademark or Copyright with the Canadian Intellectual Property Office, United States Patent and Trademark Office, United States Copyright Office or any office or agency in any political subdivision of the United States or in any other country or any political subdivision thereof, in each case, material to the Grantors’ business, taken as a whole, such Grantor shall notify the Administrative Agent with written notice of such acquisition, registration or application (concurrently with the delivery of the financial statements with respect to the end of the fiscal quarter in which such Grantor acquires such ownership interest or such later date as agreed to by the Administrative Agent in its Permitted Discretion), and, upon request of the Administrative Agent, such Grantor shall execute and deliver any and all security agreements to be filed with the Canadian Intellectual Property Office, United States Patent and Trademark Office or United States Copyright Office, as applicable, as the Administrative Agent may reasonably request to evidence the Administrative Agent’s security interest on such Patent, Trademark or Copyright, and the General Intangibles of such Grantor relating thereto or represented thereby.</w:t>
      </w:r>
    </w:p>
    <w:p>
      <w:pPr>
        <w:spacing w:after="0" w:line="166" w:lineRule="exact"/>
        <w:rPr>
          <w:rFonts w:ascii="Arial" w:cs="Arial" w:eastAsia="Arial" w:hAnsi="Arial"/>
          <w:sz w:val="16"/>
          <w:szCs w:val="16"/>
          <w:color w:val="auto"/>
        </w:rPr>
      </w:pPr>
    </w:p>
    <w:p>
      <w:pPr>
        <w:jc w:val="both"/>
        <w:ind w:left="5" w:right="20" w:firstLine="1139"/>
        <w:spacing w:after="0" w:line="307" w:lineRule="auto"/>
        <w:tabs>
          <w:tab w:leader="none" w:pos="192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Such Grantor shall take all actions necessary to maintain and pursue each application, to obtain the relevant registration and to maintain the registration of each of its Patents, Trademarks and Copyrights (now or hereafter existing) that are material to the conduct of the business of Holdings, the Borrowers and their Subsidiaries, taken as a whole, including the filing of applications for renewal, affidavits of use, affidavits of noncontestability and opposition and interference and cancellation proceedings or if such Grantor determines in its commercial reasonable business judgment exercised in good faith that the maintenance or pursuit of any such Patent, Trademark or Copyright is no longer necessary to the conduct of such Grantor’s business.</w:t>
      </w:r>
    </w:p>
    <w:p>
      <w:pPr>
        <w:spacing w:after="0" w:line="157" w:lineRule="exact"/>
        <w:rPr>
          <w:rFonts w:ascii="Arial" w:cs="Arial" w:eastAsia="Arial" w:hAnsi="Arial"/>
          <w:sz w:val="16"/>
          <w:szCs w:val="16"/>
          <w:color w:val="auto"/>
        </w:rPr>
      </w:pPr>
    </w:p>
    <w:p>
      <w:pPr>
        <w:jc w:val="both"/>
        <w:ind w:left="5" w:firstLine="1163"/>
        <w:spacing w:after="0" w:line="285" w:lineRule="auto"/>
        <w:tabs>
          <w:tab w:leader="none" w:pos="193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In the event that any Grantor knows or has reason to believe that any Collateral consisting of a Patent, Trademark or Copyright that is material to the conduct of the business of Holdings, the Borrowers and their Subsidiaries, taken as a whole, has been or is being infringed, misappropriated, diluted or otherwise violated by a third person, such Grantor, if consistent with good business judgment, promptly sue for infringement, misappropriation, dilution or other violation and to recover any and all damages for such infringement, misappropriation, dilution or other violation, and take such other actions as are appropriate under the circumstances to protect such Collateral.</w:t>
      </w:r>
    </w:p>
    <w:p>
      <w:pPr>
        <w:spacing w:after="0" w:line="169" w:lineRule="exact"/>
        <w:rPr>
          <w:sz w:val="20"/>
          <w:szCs w:val="20"/>
          <w:color w:val="auto"/>
        </w:rPr>
      </w:pPr>
    </w:p>
    <w:p>
      <w:pPr>
        <w:ind w:left="565"/>
        <w:spacing w:after="0"/>
        <w:tabs>
          <w:tab w:leader="none" w:pos="1004"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left="5" w:firstLine="572"/>
        <w:spacing w:after="0" w:line="275"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7"/>
          <w:szCs w:val="17"/>
          <w:u w:val="single" w:color="auto"/>
          <w:color w:val="auto"/>
        </w:rPr>
        <w:t>Letter-of-Credit Rights</w:t>
      </w:r>
      <w:r>
        <w:rPr>
          <w:rFonts w:ascii="Arial" w:cs="Arial" w:eastAsia="Arial" w:hAnsi="Arial"/>
          <w:sz w:val="17"/>
          <w:szCs w:val="17"/>
          <w:color w:val="auto"/>
        </w:rPr>
        <w:t>. If such Grantor is or becomes the beneficiary of a letter of credit with a stated value in excess of $5,000,000, such Grantor</w:t>
      </w:r>
      <w:r>
        <w:rPr>
          <w:rFonts w:ascii="Arial" w:cs="Arial" w:eastAsia="Arial" w:hAnsi="Arial"/>
          <w:sz w:val="19"/>
          <w:szCs w:val="19"/>
          <w:color w:val="auto"/>
        </w:rPr>
        <w:t xml:space="preserve"> </w:t>
      </w:r>
      <w:r>
        <w:rPr>
          <w:rFonts w:ascii="Arial" w:cs="Arial" w:eastAsia="Arial" w:hAnsi="Arial"/>
          <w:sz w:val="17"/>
          <w:szCs w:val="17"/>
          <w:color w:val="auto"/>
        </w:rPr>
        <w:t>shall promptly notify the Administrative Agent thereof and, subject to the terms of the ABL-Term Loan Intercreditor Agreement, use commercially reasonable efforts to cause the issuer and/or confirmation bank to (i) consent to the assignment of any rights of such Grantor under such letter of credit (the “</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w:t>
      </w:r>
      <w:r>
        <w:rPr>
          <w:rFonts w:ascii="Arial" w:cs="Arial" w:eastAsia="Arial" w:hAnsi="Arial"/>
          <w:sz w:val="17"/>
          <w:szCs w:val="17"/>
          <w:color w:val="auto"/>
        </w:rPr>
        <w:t>”) to the Administrative Agent and (ii) during a Cash Dominion Period, agree to direct all payments thereunder to a Deposit Account subject to a Control Agreement for application to the Secured Obligations, in accordance with Section 2.18 of the Credit Agreement, all in form and substance reasonably satisfactory to the Administrative Agent.</w:t>
      </w:r>
    </w:p>
    <w:p>
      <w:pPr>
        <w:spacing w:after="0" w:line="176" w:lineRule="exact"/>
        <w:rPr>
          <w:sz w:val="20"/>
          <w:szCs w:val="20"/>
          <w:color w:val="auto"/>
        </w:rPr>
      </w:pPr>
    </w:p>
    <w:p>
      <w:pPr>
        <w:ind w:left="565"/>
        <w:spacing w:after="0"/>
        <w:tabs>
          <w:tab w:leader="none" w:pos="1084"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left="5" w:firstLine="572"/>
        <w:spacing w:after="0" w:line="273"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7"/>
          <w:szCs w:val="17"/>
          <w:u w:val="single" w:color="auto"/>
          <w:color w:val="auto"/>
        </w:rPr>
        <w:t>No Interference</w:t>
      </w:r>
      <w:r>
        <w:rPr>
          <w:rFonts w:ascii="Arial" w:cs="Arial" w:eastAsia="Arial" w:hAnsi="Arial"/>
          <w:sz w:val="17"/>
          <w:szCs w:val="17"/>
          <w:color w:val="auto"/>
        </w:rPr>
        <w:t>. Such Grantor agrees that it will not interfere with any right, power and remedy of the Administrative Agent provided for in this</w:t>
      </w:r>
      <w:r>
        <w:rPr>
          <w:rFonts w:ascii="Arial" w:cs="Arial" w:eastAsia="Arial" w:hAnsi="Arial"/>
          <w:sz w:val="19"/>
          <w:szCs w:val="19"/>
          <w:color w:val="auto"/>
        </w:rPr>
        <w:t xml:space="preserve"> </w:t>
      </w:r>
      <w:r>
        <w:rPr>
          <w:rFonts w:ascii="Arial" w:cs="Arial" w:eastAsia="Arial" w:hAnsi="Arial"/>
          <w:sz w:val="17"/>
          <w:szCs w:val="17"/>
          <w:color w:val="auto"/>
        </w:rPr>
        <w:t>Canadian Cross-Border Security Agreement or now or hereafter existing at law or in equity or by statute or otherwise, or the exercise or beginning of the exercise by the Administrative Agent of any one or more of such rights, powers or remedies.</w:t>
      </w:r>
    </w:p>
    <w:p>
      <w:pPr>
        <w:spacing w:after="0" w:line="174" w:lineRule="exact"/>
        <w:rPr>
          <w:sz w:val="20"/>
          <w:szCs w:val="20"/>
          <w:color w:val="auto"/>
        </w:rPr>
      </w:pPr>
    </w:p>
    <w:p>
      <w:pPr>
        <w:ind w:left="565"/>
        <w:spacing w:after="0"/>
        <w:tabs>
          <w:tab w:leader="none" w:pos="1264"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15" w:lineRule="exact"/>
        <w:rPr>
          <w:sz w:val="20"/>
          <w:szCs w:val="20"/>
          <w:color w:val="auto"/>
        </w:rPr>
      </w:pPr>
    </w:p>
    <w:p>
      <w:pPr>
        <w:jc w:val="both"/>
        <w:ind w:left="5" w:firstLine="567"/>
        <w:spacing w:after="0" w:line="264" w:lineRule="auto"/>
        <w:tabs>
          <w:tab w:leader="none" w:pos="98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All insurance policies required hereunder and under Section 5.09 of the Credit Agreement shall name the Administrative Agent (for the benefit of itself, the Canadian Administrative Agent and the Lenders) as an additional insured or as lender loss payee, as applicable, and shall contain loss payable clauses or mortgagee clauses, through endorsements in form and substance reasonably satisfactory to the Administrative Agent.</w:t>
      </w:r>
    </w:p>
    <w:p>
      <w:pPr>
        <w:spacing w:after="0" w:line="165" w:lineRule="exact"/>
        <w:rPr>
          <w:rFonts w:ascii="Arial" w:cs="Arial" w:eastAsia="Arial" w:hAnsi="Arial"/>
          <w:sz w:val="17"/>
          <w:szCs w:val="17"/>
          <w:color w:val="auto"/>
        </w:rPr>
      </w:pPr>
    </w:p>
    <w:p>
      <w:pPr>
        <w:jc w:val="both"/>
        <w:ind w:left="5" w:firstLine="567"/>
        <w:spacing w:after="0" w:line="259" w:lineRule="auto"/>
        <w:tabs>
          <w:tab w:leader="none" w:pos="94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All premiums on any such insurance shall be paid when due by such Grantor, and copies of the policies delivered to the Administrative Agent. If such Grantor fails to obtain any insurance as required by this Section, the Administrative Agent may obtain such insurance at the Canadian Borrowers’ expense. By purchasing such insurance, the Administrative Agent shall not be deemed to have waived any Default arising from any Grantor's failure to maintain such insurance or pay any premiums therefor.</w:t>
      </w:r>
    </w:p>
    <w:p>
      <w:pPr>
        <w:spacing w:after="0" w:line="176" w:lineRule="exact"/>
        <w:rPr>
          <w:sz w:val="20"/>
          <w:szCs w:val="20"/>
          <w:color w:val="auto"/>
        </w:rPr>
      </w:pPr>
    </w:p>
    <w:p>
      <w:pPr>
        <w:jc w:val="both"/>
        <w:ind w:left="5" w:firstLine="572"/>
        <w:spacing w:after="0" w:line="29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6"/>
          <w:szCs w:val="16"/>
          <w:u w:val="single" w:color="auto"/>
          <w:color w:val="auto"/>
        </w:rPr>
        <w:t>Collateral Access Agreements</w:t>
      </w:r>
      <w:r>
        <w:rPr>
          <w:rFonts w:ascii="Arial" w:cs="Arial" w:eastAsia="Arial" w:hAnsi="Arial"/>
          <w:sz w:val="16"/>
          <w:szCs w:val="16"/>
          <w:color w:val="auto"/>
        </w:rPr>
        <w:t>. Such Grantor shall use commercially reasonable efforts to obtain a Collateral Access Agreement, from the lessor of</w:t>
      </w:r>
      <w:r>
        <w:rPr>
          <w:rFonts w:ascii="Arial" w:cs="Arial" w:eastAsia="Arial" w:hAnsi="Arial"/>
          <w:sz w:val="18"/>
          <w:szCs w:val="18"/>
          <w:color w:val="auto"/>
        </w:rPr>
        <w:t xml:space="preserve"> </w:t>
      </w:r>
      <w:r>
        <w:rPr>
          <w:rFonts w:ascii="Arial" w:cs="Arial" w:eastAsia="Arial" w:hAnsi="Arial"/>
          <w:sz w:val="16"/>
          <w:szCs w:val="16"/>
          <w:color w:val="auto"/>
        </w:rPr>
        <w:t>each leased property, mortgagee of owned property or bailee or consignee with respect to any warehouse, processor or converter facility or other location where Inventory having a fair market value in excess of $1,000,000 is stored or located,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After the Second Restatement Date, if any Grantor leases any additional real property or warehouse space (other than a Distribution Center), such Grantor shall use commercially reasonably efforts to obtain a Collateral Access Agreement with respect to such location (unless the Inventory located at such location has an aggregate value of less than $1,000,000), and with respect to any additional leased real property or warehouse space (other than a Distribution Center), if the Administrative Agent has not received a Collateral Access Agreement within ninety (90) days after the date such location was leased, Eligible Inventory at any such location shall be subject to the establishment of Reserves acceptable to the Administrative Agent to the extent provided in the Credit Agreement.</w:t>
      </w:r>
    </w:p>
    <w:p>
      <w:pPr>
        <w:spacing w:after="0" w:line="168" w:lineRule="exact"/>
        <w:rPr>
          <w:sz w:val="20"/>
          <w:szCs w:val="20"/>
          <w:color w:val="auto"/>
        </w:rPr>
      </w:pPr>
    </w:p>
    <w:p>
      <w:pPr>
        <w:ind w:left="565"/>
        <w:spacing w:after="0"/>
        <w:tabs>
          <w:tab w:leader="none" w:pos="1084" w:val="left"/>
        </w:tabs>
        <w:rPr>
          <w:sz w:val="20"/>
          <w:szCs w:val="20"/>
          <w:color w:val="auto"/>
        </w:rPr>
      </w:pPr>
      <w:r>
        <w:rPr>
          <w:rFonts w:ascii="Arial" w:cs="Arial" w:eastAsia="Arial" w:hAnsi="Arial"/>
          <w:sz w:val="19"/>
          <w:szCs w:val="19"/>
          <w:color w:val="auto"/>
        </w:rPr>
        <w:t>4.14.</w:t>
      </w:r>
      <w:r>
        <w:rPr>
          <w:sz w:val="20"/>
          <w:szCs w:val="20"/>
          <w:color w:val="auto"/>
        </w:rPr>
        <w:tab/>
      </w:r>
      <w:r>
        <w:rPr>
          <w:rFonts w:ascii="Arial" w:cs="Arial" w:eastAsia="Arial" w:hAnsi="Arial"/>
          <w:sz w:val="16"/>
          <w:szCs w:val="16"/>
          <w:color w:val="auto"/>
        </w:rPr>
        <w:t>[intentionally omitted].</w:t>
      </w:r>
    </w:p>
    <w:p>
      <w:pPr>
        <w:spacing w:after="0" w:line="222" w:lineRule="exact"/>
        <w:rPr>
          <w:sz w:val="20"/>
          <w:szCs w:val="20"/>
          <w:color w:val="auto"/>
        </w:rPr>
      </w:pPr>
    </w:p>
    <w:p>
      <w:pPr>
        <w:jc w:val="both"/>
        <w:ind w:left="5" w:right="20" w:firstLine="572"/>
        <w:spacing w:after="0" w:line="27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6"/>
          <w:szCs w:val="16"/>
          <w:u w:val="single" w:color="auto"/>
          <w:color w:val="auto"/>
        </w:rPr>
        <w:t>Change of Name or Location</w:t>
      </w:r>
      <w:r>
        <w:rPr>
          <w:rFonts w:ascii="Arial" w:cs="Arial" w:eastAsia="Arial" w:hAnsi="Arial"/>
          <w:sz w:val="16"/>
          <w:szCs w:val="16"/>
          <w:color w:val="auto"/>
        </w:rPr>
        <w:t>. Except as provided in the Credit Agreement, such Grantor shall not (a) change its name as it appears in official</w:t>
      </w:r>
      <w:r>
        <w:rPr>
          <w:rFonts w:ascii="Arial" w:cs="Arial" w:eastAsia="Arial" w:hAnsi="Arial"/>
          <w:sz w:val="18"/>
          <w:szCs w:val="18"/>
          <w:color w:val="auto"/>
        </w:rPr>
        <w:t xml:space="preserve"> </w:t>
      </w:r>
      <w:r>
        <w:rPr>
          <w:rFonts w:ascii="Arial" w:cs="Arial" w:eastAsia="Arial" w:hAnsi="Arial"/>
          <w:sz w:val="16"/>
          <w:szCs w:val="16"/>
          <w:color w:val="auto"/>
        </w:rPr>
        <w:t>filings in the province of its incorporation, formation or other organization, (b) change its chief executive office, principal place of business, mailing address or the location of its records concerning the ABL Priority Collateral as set forth in this Canadian Cross-Border Security Agreement, (c) change the type of entity that it is,</w:t>
      </w:r>
    </w:p>
    <w:p>
      <w:pPr>
        <w:jc w:val="both"/>
        <w:ind w:left="5" w:right="20" w:hanging="5"/>
        <w:spacing w:after="0" w:line="293" w:lineRule="auto"/>
        <w:tabs>
          <w:tab w:leader="none" w:pos="26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change its organization identification number, if any, issued by its province of incorporation, formation or other organization, or (e) change its jurisdiction of incorporation, formation or other organization, in each case, unless the Administrative Agent shall have received at least ten (10) days (or such shorter period of time as agreed to by the Administrative Agent) prior written notice of such change.</w:t>
      </w:r>
    </w:p>
    <w:p>
      <w:pPr>
        <w:spacing w:after="0" w:line="161" w:lineRule="exact"/>
        <w:rPr>
          <w:sz w:val="20"/>
          <w:szCs w:val="20"/>
          <w:color w:val="auto"/>
        </w:rPr>
      </w:pPr>
    </w:p>
    <w:p>
      <w:pPr>
        <w:ind w:left="565"/>
        <w:spacing w:after="0"/>
        <w:tabs>
          <w:tab w:leader="none" w:pos="1084" w:val="left"/>
        </w:tabs>
        <w:rPr>
          <w:sz w:val="20"/>
          <w:szCs w:val="20"/>
          <w:color w:val="auto"/>
        </w:rPr>
      </w:pPr>
      <w:r>
        <w:rPr>
          <w:rFonts w:ascii="Arial" w:cs="Arial" w:eastAsia="Arial" w:hAnsi="Arial"/>
          <w:sz w:val="19"/>
          <w:szCs w:val="19"/>
          <w:color w:val="auto"/>
        </w:rPr>
        <w:t>4.16.</w:t>
      </w:r>
      <w:r>
        <w:rPr>
          <w:sz w:val="20"/>
          <w:szCs w:val="20"/>
          <w:color w:val="auto"/>
        </w:rPr>
        <w:tab/>
      </w:r>
      <w:r>
        <w:rPr>
          <w:rFonts w:ascii="Arial" w:cs="Arial" w:eastAsia="Arial" w:hAnsi="Arial"/>
          <w:sz w:val="16"/>
          <w:szCs w:val="16"/>
          <w:color w:val="auto"/>
        </w:rPr>
        <w:t>[intentionally omitted].</w:t>
      </w:r>
    </w:p>
    <w:p>
      <w:pPr>
        <w:spacing w:after="0" w:line="209"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ARTICLE V</w:t>
      </w:r>
    </w:p>
    <w:p>
      <w:pPr>
        <w:spacing w:after="0" w:line="27"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EVENTS OF DEFAULT AND REMEDIES</w:t>
      </w:r>
    </w:p>
    <w:p>
      <w:pPr>
        <w:sectPr>
          <w:pgSz w:w="11900" w:h="16838" w:orient="portrait"/>
          <w:cols w:equalWidth="0" w:num="1">
            <w:col w:w="11445"/>
          </w:cols>
          <w:pgMar w:left="235" w:top="339" w:right="219" w:bottom="0" w:gutter="0" w:footer="0" w:header="0"/>
        </w:sectPr>
      </w:pPr>
    </w:p>
    <w:bookmarkStart w:id="164" w:name="page165"/>
    <w:bookmarkEnd w:id="164"/>
    <w:p>
      <w:pPr>
        <w:spacing w:after="0" w:line="80"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6"/>
          <w:szCs w:val="16"/>
          <w:color w:val="auto"/>
        </w:rPr>
        <w:t>[intentionally omitted].</w:t>
      </w:r>
    </w:p>
    <w:p>
      <w:pPr>
        <w:spacing w:after="0" w:line="210"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15" w:lineRule="exact"/>
        <w:rPr>
          <w:sz w:val="20"/>
          <w:szCs w:val="20"/>
          <w:color w:val="auto"/>
        </w:rPr>
      </w:pPr>
    </w:p>
    <w:p>
      <w:pPr>
        <w:ind w:right="20" w:firstLine="1139"/>
        <w:spacing w:after="0" w:line="344" w:lineRule="auto"/>
        <w:tabs>
          <w:tab w:leader="none" w:pos="190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the Administrative Agent may, or at the direction of the Required Secured Parties shall, exercise any or all of the following rights and remedies, subject to the terms of the ABL-Term Loan Intercreditor Agreement:</w:t>
      </w:r>
    </w:p>
    <w:p>
      <w:pPr>
        <w:spacing w:after="0" w:line="127" w:lineRule="exact"/>
        <w:rPr>
          <w:rFonts w:ascii="Arial" w:cs="Arial" w:eastAsia="Arial" w:hAnsi="Arial"/>
          <w:sz w:val="16"/>
          <w:szCs w:val="16"/>
          <w:color w:val="auto"/>
        </w:rPr>
      </w:pPr>
    </w:p>
    <w:p>
      <w:pPr>
        <w:jc w:val="both"/>
        <w:ind w:left="560" w:right="20" w:firstLine="1151"/>
        <w:spacing w:after="0" w:line="293" w:lineRule="auto"/>
        <w:tabs>
          <w:tab w:leader="none" w:pos="2726"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subject to Section 3.13(d) with respect to Pledged ULC Shares, those rights and remedies provided in this Canadian Cross-Border Security Agreement, the Credit Agreement, or any other Loan Document;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Section 5.2(a) shall not be understood to limit any rights or remedies available to the Administrative Agent and the Lenders prior to an Event of Default;</w:t>
      </w:r>
    </w:p>
    <w:p>
      <w:pPr>
        <w:spacing w:after="0" w:line="165" w:lineRule="exact"/>
        <w:rPr>
          <w:rFonts w:ascii="Arial" w:cs="Arial" w:eastAsia="Arial" w:hAnsi="Arial"/>
          <w:sz w:val="17"/>
          <w:szCs w:val="17"/>
          <w:color w:val="auto"/>
        </w:rPr>
      </w:pPr>
    </w:p>
    <w:p>
      <w:pPr>
        <w:jc w:val="both"/>
        <w:ind w:left="560" w:firstLine="1151"/>
        <w:spacing w:after="0" w:line="293" w:lineRule="auto"/>
        <w:tabs>
          <w:tab w:leader="none" w:pos="277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those rights and remedies available to a secured party under the PPSA (whether or not the PPSA applies to the affected Collateral) or under any other applicable law (including, without limitation, any law governing the exercise of a bank's right of setoff or bankers' lien) when a debtor is in default under a security agreement;</w:t>
      </w:r>
    </w:p>
    <w:p>
      <w:pPr>
        <w:spacing w:after="0" w:line="165" w:lineRule="exact"/>
        <w:rPr>
          <w:rFonts w:ascii="Arial" w:cs="Arial" w:eastAsia="Arial" w:hAnsi="Arial"/>
          <w:sz w:val="17"/>
          <w:szCs w:val="17"/>
          <w:color w:val="auto"/>
        </w:rPr>
      </w:pPr>
    </w:p>
    <w:p>
      <w:pPr>
        <w:jc w:val="both"/>
        <w:ind w:left="560" w:firstLine="1151"/>
        <w:spacing w:after="0" w:line="283" w:lineRule="auto"/>
        <w:tabs>
          <w:tab w:leader="none" w:pos="2823" w:val="left"/>
        </w:tabs>
        <w:numPr>
          <w:ilvl w:val="1"/>
          <w:numId w:val="232"/>
        </w:numPr>
        <w:rPr>
          <w:rFonts w:ascii="Arial" w:cs="Arial" w:eastAsia="Arial" w:hAnsi="Arial"/>
          <w:sz w:val="17"/>
          <w:szCs w:val="17"/>
          <w:color w:val="auto"/>
        </w:rPr>
      </w:pPr>
      <w:r>
        <w:rPr>
          <w:rFonts w:ascii="Arial" w:cs="Arial" w:eastAsia="Arial" w:hAnsi="Arial"/>
          <w:sz w:val="17"/>
          <w:szCs w:val="17"/>
          <w:color w:val="auto"/>
        </w:rPr>
        <w:t>without notice (except where written notice may be required pursuant to Section 3.13(d) in the case of Pledged ULC Shares, or as specifically provided in Section 9.1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 and</w:t>
      </w:r>
    </w:p>
    <w:p>
      <w:pPr>
        <w:spacing w:after="0" w:line="173" w:lineRule="exact"/>
        <w:rPr>
          <w:rFonts w:ascii="Arial" w:cs="Arial" w:eastAsia="Arial" w:hAnsi="Arial"/>
          <w:sz w:val="17"/>
          <w:szCs w:val="17"/>
          <w:color w:val="auto"/>
        </w:rPr>
      </w:pPr>
    </w:p>
    <w:p>
      <w:pPr>
        <w:jc w:val="both"/>
        <w:ind w:left="560" w:firstLine="1151"/>
        <w:spacing w:after="0" w:line="307" w:lineRule="auto"/>
        <w:tabs>
          <w:tab w:leader="none" w:pos="2814" w:val="left"/>
        </w:tabs>
        <w:numPr>
          <w:ilvl w:val="1"/>
          <w:numId w:val="232"/>
        </w:numPr>
        <w:rPr>
          <w:rFonts w:ascii="Arial" w:cs="Arial" w:eastAsia="Arial" w:hAnsi="Arial"/>
          <w:sz w:val="16"/>
          <w:szCs w:val="16"/>
          <w:color w:val="auto"/>
        </w:rPr>
      </w:pPr>
      <w:r>
        <w:rPr>
          <w:rFonts w:ascii="Arial" w:cs="Arial" w:eastAsia="Arial" w:hAnsi="Arial"/>
          <w:sz w:val="16"/>
          <w:szCs w:val="16"/>
          <w:color w:val="auto"/>
        </w:rPr>
        <w:t>concurrently with written notice to the applicable Grantor, or written notice in accordance with Section 3.13(d) in the case of Pledged ULC Shares, transfer and register in its name or in the name of its nominee the whole or any part of the Pledged Collateral, to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Administrative Agent was the outright owner thereof.</w:t>
      </w:r>
    </w:p>
    <w:p>
      <w:pPr>
        <w:spacing w:after="0" w:line="157" w:lineRule="exact"/>
        <w:rPr>
          <w:rFonts w:ascii="Arial" w:cs="Arial" w:eastAsia="Arial" w:hAnsi="Arial"/>
          <w:sz w:val="16"/>
          <w:szCs w:val="16"/>
          <w:color w:val="auto"/>
        </w:rPr>
      </w:pPr>
    </w:p>
    <w:p>
      <w:pPr>
        <w:ind w:right="20" w:firstLine="1139"/>
        <w:spacing w:after="0" w:line="310" w:lineRule="auto"/>
        <w:tabs>
          <w:tab w:leader="none" w:pos="191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addition to (and without limitation of) all of the rights of the Administrative Agent set forth herein, during a Cash Dominion Period, the Administrative Agent shall have all of the rights set forth in Section 7.2.</w:t>
      </w:r>
    </w:p>
    <w:p>
      <w:pPr>
        <w:spacing w:after="0" w:line="150" w:lineRule="exact"/>
        <w:rPr>
          <w:rFonts w:ascii="Arial" w:cs="Arial" w:eastAsia="Arial" w:hAnsi="Arial"/>
          <w:sz w:val="17"/>
          <w:szCs w:val="17"/>
          <w:color w:val="auto"/>
        </w:rPr>
      </w:pPr>
    </w:p>
    <w:p>
      <w:pPr>
        <w:jc w:val="both"/>
        <w:ind w:right="20" w:firstLine="1139"/>
        <w:spacing w:after="0" w:line="293" w:lineRule="auto"/>
        <w:tabs>
          <w:tab w:leader="none" w:pos="190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Administrative Agent, on behalf of itself, the Canadian Administrative Agent and the Lenders, may comply with any applicable provincial or federal law requirements in connection with a disposition of the Collateral and compliance will not be considered to adversely affect the commercial reasonableness of any sale of the Collateral.</w:t>
      </w:r>
    </w:p>
    <w:p>
      <w:pPr>
        <w:spacing w:after="0" w:line="165" w:lineRule="exact"/>
        <w:rPr>
          <w:rFonts w:ascii="Arial" w:cs="Arial" w:eastAsia="Arial" w:hAnsi="Arial"/>
          <w:sz w:val="17"/>
          <w:szCs w:val="17"/>
          <w:color w:val="auto"/>
        </w:rPr>
      </w:pPr>
    </w:p>
    <w:p>
      <w:pPr>
        <w:jc w:val="both"/>
        <w:ind w:right="20" w:firstLine="1139"/>
        <w:spacing w:after="0" w:line="293" w:lineRule="auto"/>
        <w:tabs>
          <w:tab w:leader="none" w:pos="191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Administrative Agent shall have the right upon any such public sale or sales and, to the extent permitted by law, upon any such private sale or sales, to purchase for the benefit of itself, the Canadian Administrative Agent and the Lenders, the whole or any part of the Collateral so sold, free of any right of equity redemption, which equity redemption the Grantor hereby expressly releases.</w:t>
      </w:r>
    </w:p>
    <w:p>
      <w:pPr>
        <w:spacing w:after="0" w:line="165" w:lineRule="exact"/>
        <w:rPr>
          <w:rFonts w:ascii="Arial" w:cs="Arial" w:eastAsia="Arial" w:hAnsi="Arial"/>
          <w:sz w:val="17"/>
          <w:szCs w:val="17"/>
          <w:color w:val="auto"/>
        </w:rPr>
      </w:pPr>
    </w:p>
    <w:p>
      <w:pPr>
        <w:jc w:val="both"/>
        <w:ind w:firstLine="1139"/>
        <w:spacing w:after="0" w:line="284" w:lineRule="auto"/>
        <w:tabs>
          <w:tab w:leader="none" w:pos="190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Until the Administrative Agent is able to effect a sale, lease, or other disposition of Collateral, subject to the terms of the ABL-Term Loan Intercreditor Agreement,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subject to the terms of the ABL-Term Loan Intercreditor Agreement, if it so elects, seek the appointment of a receiver or keeper to take possession of Collateral and to enforce any of the Administrative Agent’s remedies (for the benefit of itself, the Canadian Administrative Agent and the Lenders), with respect to such appointment without prior notice or hearing as to such appointment.</w:t>
      </w:r>
    </w:p>
    <w:p>
      <w:pPr>
        <w:spacing w:after="0" w:line="172" w:lineRule="exact"/>
        <w:rPr>
          <w:rFonts w:ascii="Arial" w:cs="Arial" w:eastAsia="Arial" w:hAnsi="Arial"/>
          <w:sz w:val="17"/>
          <w:szCs w:val="17"/>
          <w:color w:val="auto"/>
        </w:rPr>
      </w:pPr>
    </w:p>
    <w:p>
      <w:pPr>
        <w:jc w:val="both"/>
        <w:ind w:right="20" w:firstLine="1139"/>
        <w:spacing w:after="0" w:line="288" w:lineRule="auto"/>
        <w:tabs>
          <w:tab w:leader="none" w:pos="189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after the Credit Agreement has terminated by its terms and all of the Obligations have been paid in full (other than contingent obligations for which no claim has been asserted), there remain Swap Obligations outstanding, the Required Secured Parties may exercise the remedies provided in this Section 5.2 upon the occurrence of any event which would allow or require the termination or acceleration of any Swap Obligations pursuant to the terms of the Swap Agreement.</w:t>
      </w:r>
    </w:p>
    <w:p>
      <w:pPr>
        <w:spacing w:after="0" w:line="169" w:lineRule="exact"/>
        <w:rPr>
          <w:rFonts w:ascii="Arial" w:cs="Arial" w:eastAsia="Arial" w:hAnsi="Arial"/>
          <w:sz w:val="17"/>
          <w:szCs w:val="17"/>
          <w:color w:val="auto"/>
        </w:rPr>
      </w:pPr>
    </w:p>
    <w:p>
      <w:pPr>
        <w:jc w:val="both"/>
        <w:ind w:firstLine="1139"/>
        <w:spacing w:after="0" w:line="285" w:lineRule="auto"/>
        <w:tabs>
          <w:tab w:leader="none" w:pos="191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Notwithstanding the foregoing, neither the Administrative Agent, the Canadian Administrative Agent nor the Lenders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73" w:lineRule="exact"/>
        <w:rPr>
          <w:rFonts w:ascii="Arial" w:cs="Arial" w:eastAsia="Arial" w:hAnsi="Arial"/>
          <w:sz w:val="17"/>
          <w:szCs w:val="17"/>
          <w:color w:val="auto"/>
        </w:rPr>
      </w:pPr>
    </w:p>
    <w:p>
      <w:pPr>
        <w:jc w:val="both"/>
        <w:ind w:firstLine="1139"/>
        <w:spacing w:after="0" w:line="305" w:lineRule="auto"/>
        <w:tabs>
          <w:tab w:leader="none" w:pos="191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Each Grantor also acknowledges that any private sale may result in prices and other terms less favourable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 register such securities for public sale under applicable securities laws, even if the applicable Grantor and the issuer would agree to do so.</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Grantor's Obligations Upon Default</w:t>
      </w:r>
      <w:r>
        <w:rPr>
          <w:rFonts w:ascii="Arial" w:cs="Arial" w:eastAsia="Arial" w:hAnsi="Arial"/>
          <w:sz w:val="16"/>
          <w:szCs w:val="16"/>
          <w:color w:val="auto"/>
        </w:rPr>
        <w:t>. Upon the request of the Administrative Agent after the occurrence of and during the continuance of an Event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Default, subject to the terms of the ABL-Term Loan Intercreditor Agreement, each Grantor will:</w:t>
      </w:r>
    </w:p>
    <w:p>
      <w:pPr>
        <w:spacing w:after="0" w:line="208" w:lineRule="exact"/>
        <w:rPr>
          <w:sz w:val="20"/>
          <w:szCs w:val="20"/>
          <w:color w:val="auto"/>
        </w:rPr>
      </w:pPr>
    </w:p>
    <w:p>
      <w:pPr>
        <w:ind w:right="20" w:firstLine="1139"/>
        <w:spacing w:after="0" w:line="310" w:lineRule="auto"/>
        <w:tabs>
          <w:tab w:leader="none" w:pos="190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assemble and make available to the Administrative Agent the Collateral and all books and records relating thereto at any place or places reasonably specified by the Administrative Agent, whether at a Grantor's premises or elsewhere;</w:t>
      </w:r>
    </w:p>
    <w:p>
      <w:pPr>
        <w:spacing w:after="0" w:line="150" w:lineRule="exact"/>
        <w:rPr>
          <w:rFonts w:ascii="Arial" w:cs="Arial" w:eastAsia="Arial" w:hAnsi="Arial"/>
          <w:sz w:val="17"/>
          <w:szCs w:val="17"/>
          <w:color w:val="auto"/>
        </w:rPr>
      </w:pPr>
    </w:p>
    <w:p>
      <w:pPr>
        <w:jc w:val="both"/>
        <w:ind w:firstLine="1139"/>
        <w:spacing w:after="0" w:line="288" w:lineRule="auto"/>
        <w:tabs>
          <w:tab w:leader="none" w:pos="191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ectPr>
          <w:pgSz w:w="11900" w:h="16919" w:orient="portrait"/>
          <w:cols w:equalWidth="0" w:num="1">
            <w:col w:w="11440"/>
          </w:cols>
          <w:pgMar w:left="240" w:top="132" w:right="219" w:bottom="0" w:gutter="0" w:footer="0" w:header="0"/>
        </w:sectPr>
      </w:pPr>
    </w:p>
    <w:bookmarkStart w:id="165" w:name="page166"/>
    <w:bookmarkEnd w:id="165"/>
    <w:p>
      <w:pPr>
        <w:jc w:val="both"/>
        <w:ind w:left="5" w:firstLine="1139"/>
        <w:spacing w:after="0" w:line="311" w:lineRule="auto"/>
        <w:tabs>
          <w:tab w:leader="none" w:pos="191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prepare and file, or cause an issuer of Pledged Collateral to prepare and file, with the applicable government agency, registration statements, a prospectus and such other documentation in connection with the Pledged Collateral as the Administrative Agent may request, all in form and substance reasonably satisfactory to the Administrative Agent, and furnish to the Administrative Agent, or cause an issuer of Pledged Collateral to furnish to the Administrative Agent, any information regarding the Pledged Collateral in such detail as the Administrative Agent may reasonably specify;</w:t>
      </w:r>
    </w:p>
    <w:p>
      <w:pPr>
        <w:spacing w:after="0" w:line="154" w:lineRule="exact"/>
        <w:rPr>
          <w:rFonts w:ascii="Arial" w:cs="Arial" w:eastAsia="Arial" w:hAnsi="Arial"/>
          <w:sz w:val="16"/>
          <w:szCs w:val="16"/>
          <w:color w:val="auto"/>
        </w:rPr>
      </w:pPr>
    </w:p>
    <w:p>
      <w:pPr>
        <w:ind w:left="5" w:firstLine="1139"/>
        <w:spacing w:after="0" w:line="310" w:lineRule="auto"/>
        <w:tabs>
          <w:tab w:leader="none" w:pos="192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take, or cause an issuer of Pledged Collateral to take, any and all actions necessary to register or qualify the Pledged Collateral to enable the Administrative Agent to consummate a public sale or other disposition of the Pledged Collateral; and</w:t>
      </w:r>
    </w:p>
    <w:p>
      <w:pPr>
        <w:spacing w:after="0" w:line="150" w:lineRule="exact"/>
        <w:rPr>
          <w:rFonts w:ascii="Arial" w:cs="Arial" w:eastAsia="Arial" w:hAnsi="Arial"/>
          <w:sz w:val="17"/>
          <w:szCs w:val="17"/>
          <w:color w:val="auto"/>
        </w:rPr>
      </w:pPr>
    </w:p>
    <w:p>
      <w:pPr>
        <w:jc w:val="both"/>
        <w:ind w:left="5" w:firstLine="1139"/>
        <w:spacing w:after="0" w:line="288" w:lineRule="auto"/>
        <w:tabs>
          <w:tab w:leader="none" w:pos="191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at its own expense, use commercially reasonable efforts to cause the independent certified public accountants then engaged by each Grantor to prepare and deliver to the Administrative Agent, the Canadian Administrative Agent and each Lender, at any time, and from time to time, promptly upon the Administrative Agent’s request, the following reports with respect to the applicable Grantor: (i) a reconciliation of all Accounts; (ii) an aging of all Accounts; (iii) trial balances; and (iv) a test verification of such Accounts.</w:t>
      </w:r>
    </w:p>
    <w:p>
      <w:pPr>
        <w:spacing w:after="0" w:line="158" w:lineRule="exact"/>
        <w:rPr>
          <w:sz w:val="20"/>
          <w:szCs w:val="20"/>
          <w:color w:val="auto"/>
        </w:rPr>
      </w:pPr>
    </w:p>
    <w:p>
      <w:pPr>
        <w:jc w:val="both"/>
        <w:ind w:left="5" w:firstLine="572"/>
        <w:spacing w:after="0" w:line="26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Grant of Intellectual Property License</w:t>
      </w:r>
      <w:r>
        <w:rPr>
          <w:rFonts w:ascii="Arial" w:cs="Arial" w:eastAsia="Arial" w:hAnsi="Arial"/>
          <w:sz w:val="16"/>
          <w:szCs w:val="16"/>
          <w:color w:val="auto"/>
        </w:rPr>
        <w:t xml:space="preserve">. For the purpose of enabling the Administrative Agent to exercise the rights and remedies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at such time as the Administrative Agent shall be lawfully entitled to exercise such rights and remedies and subject to the terms of the ABL-Term Loan Intercreditor Agreement, each Grantor hereby (a) grants to the Administrative Agent, for the benefit of itself, the Canadian Administrative Agent and the Lenders, an irrevocable, nonexclusive license (exercisable without payment of royalty or other compensation to any Grantor) to use, license or sublicense any intellectual property rights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and (b) irrevocably agrees that the Administrative Agent may sell any of such Grantor's Inventory directly to any person, including without limitation persons who have previously purchased the Grantor's Inventory from such Grantor and in connection with any such sale or other enforcement of the Administrative Agent's rights under this Canadian Cross-Border Security Agreement, may sell Inventory which bears any Trademark owned by or licensed to such Grantor and any Inventory that is covered by any Copyright owned by or licensed to such Grantor and the Administrative Agent may finish any work in process and affix any Trademark owned by or licensed to such Grantor and sell such Inventory as provided herein.</w:t>
      </w:r>
    </w:p>
    <w:p>
      <w:pPr>
        <w:spacing w:after="0" w:line="156" w:lineRule="exact"/>
        <w:rPr>
          <w:sz w:val="20"/>
          <w:szCs w:val="20"/>
          <w:color w:val="auto"/>
        </w:rPr>
      </w:pPr>
    </w:p>
    <w:p>
      <w:pPr>
        <w:ind w:left="3925"/>
        <w:spacing w:after="0"/>
        <w:rPr>
          <w:sz w:val="20"/>
          <w:szCs w:val="20"/>
          <w:color w:val="auto"/>
        </w:rPr>
      </w:pPr>
      <w:r>
        <w:rPr>
          <w:rFonts w:ascii="Arial" w:cs="Arial" w:eastAsia="Arial" w:hAnsi="Arial"/>
          <w:sz w:val="17"/>
          <w:szCs w:val="17"/>
          <w:b w:val="1"/>
          <w:bCs w:val="1"/>
          <w:color w:val="auto"/>
        </w:rPr>
        <w:t>ARTICLE VI</w:t>
      </w:r>
    </w:p>
    <w:p>
      <w:pPr>
        <w:spacing w:after="0" w:line="27" w:lineRule="exact"/>
        <w:rPr>
          <w:sz w:val="20"/>
          <w:szCs w:val="20"/>
          <w:color w:val="auto"/>
        </w:rPr>
      </w:pPr>
    </w:p>
    <w:p>
      <w:pPr>
        <w:ind w:left="3345"/>
        <w:spacing w:after="0"/>
        <w:rPr>
          <w:sz w:val="20"/>
          <w:szCs w:val="20"/>
          <w:color w:val="auto"/>
        </w:rPr>
      </w:pPr>
      <w:r>
        <w:rPr>
          <w:rFonts w:ascii="Arial" w:cs="Arial" w:eastAsia="Arial" w:hAnsi="Arial"/>
          <w:sz w:val="17"/>
          <w:szCs w:val="17"/>
          <w:b w:val="1"/>
          <w:bCs w:val="1"/>
          <w:color w:val="auto"/>
        </w:rPr>
        <w:t>ACCOUNT VERIFICATION; ATTORNEY IN FACT; PROXY</w:t>
      </w:r>
    </w:p>
    <w:p>
      <w:pPr>
        <w:spacing w:after="0" w:line="203" w:lineRule="exact"/>
        <w:rPr>
          <w:sz w:val="20"/>
          <w:szCs w:val="20"/>
          <w:color w:val="auto"/>
        </w:rPr>
      </w:pPr>
    </w:p>
    <w:p>
      <w:pPr>
        <w:jc w:val="both"/>
        <w:ind w:left="5" w:right="20" w:firstLine="572"/>
        <w:spacing w:after="0" w:line="33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5"/>
          <w:szCs w:val="15"/>
          <w:u w:val="single" w:color="auto"/>
          <w:color w:val="auto"/>
        </w:rPr>
        <w:t>Account Verification</w:t>
      </w:r>
      <w:r>
        <w:rPr>
          <w:rFonts w:ascii="Arial" w:cs="Arial" w:eastAsia="Arial" w:hAnsi="Arial"/>
          <w:sz w:val="15"/>
          <w:szCs w:val="15"/>
          <w:color w:val="auto"/>
        </w:rPr>
        <w:t>. The Administrative Agent may at any time, in the Administrative Agent’s own name, in the name of a nominee of the</w:t>
      </w:r>
      <w:r>
        <w:rPr>
          <w:rFonts w:ascii="Arial" w:cs="Arial" w:eastAsia="Arial" w:hAnsi="Arial"/>
          <w:sz w:val="17"/>
          <w:szCs w:val="17"/>
          <w:color w:val="auto"/>
        </w:rPr>
        <w:t xml:space="preserve"> </w:t>
      </w:r>
      <w:r>
        <w:rPr>
          <w:rFonts w:ascii="Arial" w:cs="Arial" w:eastAsia="Arial" w:hAnsi="Arial"/>
          <w:sz w:val="15"/>
          <w:szCs w:val="15"/>
          <w:color w:val="auto"/>
        </w:rPr>
        <w:t>Administrative Agent, or in the name of any Grantor communicate (by mail, telephone, facsimile or otherwise) with the Account Debtors of any such Grantor, parties to contracts with any such Grantor and obligors in respect of Instruments of any such Grantor to verify with such Persons, to the Administrative Agent’s satisfaction, the existence, amount, terms of, and any other matter relating to, Accounts, Instruments, Chattel Paper, payment intangibles and/or other Receivables.</w:t>
      </w:r>
    </w:p>
    <w:p>
      <w:pPr>
        <w:spacing w:after="0" w:line="140" w:lineRule="exact"/>
        <w:rPr>
          <w:sz w:val="20"/>
          <w:szCs w:val="20"/>
          <w:color w:val="auto"/>
        </w:rPr>
      </w:pPr>
    </w:p>
    <w:p>
      <w:pPr>
        <w:ind w:left="565"/>
        <w:spacing w:after="0"/>
        <w:tabs>
          <w:tab w:leader="none" w:pos="1004"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6"/>
          <w:szCs w:val="16"/>
          <w:u w:val="single" w:color="auto"/>
          <w:color w:val="auto"/>
        </w:rPr>
        <w:t>Authorization for Administrative Agent to Take Certain Action</w:t>
      </w:r>
      <w:r>
        <w:rPr>
          <w:rFonts w:ascii="Arial" w:cs="Arial" w:eastAsia="Arial" w:hAnsi="Arial"/>
          <w:sz w:val="16"/>
          <w:szCs w:val="16"/>
          <w:color w:val="auto"/>
        </w:rPr>
        <w:t>.</w:t>
      </w:r>
    </w:p>
    <w:p>
      <w:pPr>
        <w:spacing w:after="0" w:line="215" w:lineRule="exact"/>
        <w:rPr>
          <w:sz w:val="20"/>
          <w:szCs w:val="20"/>
          <w:color w:val="auto"/>
        </w:rPr>
      </w:pPr>
    </w:p>
    <w:p>
      <w:pPr>
        <w:jc w:val="both"/>
        <w:ind w:left="5" w:firstLine="1139"/>
        <w:spacing w:after="0" w:line="283" w:lineRule="auto"/>
        <w:tabs>
          <w:tab w:leader="none" w:pos="1519" w:val="left"/>
        </w:tabs>
        <w:numPr>
          <w:ilvl w:val="1"/>
          <w:numId w:val="235"/>
        </w:numPr>
        <w:rPr>
          <w:rFonts w:ascii="Arial" w:cs="Arial" w:eastAsia="Arial" w:hAnsi="Arial"/>
          <w:sz w:val="15"/>
          <w:szCs w:val="15"/>
          <w:color w:val="auto"/>
        </w:rPr>
      </w:pPr>
      <w:r>
        <w:rPr>
          <w:rFonts w:ascii="Arial" w:cs="Arial" w:eastAsia="Arial" w:hAnsi="Arial"/>
          <w:sz w:val="15"/>
          <w:szCs w:val="15"/>
          <w:color w:val="auto"/>
        </w:rPr>
        <w:t>Subject to Section 6.2(b) below and subject to the terms of the ABL-Term Loan Intercreditor Agreement, each Grantor irrevocably authorizes the Administrative Agent at any time and from time to time in the Permitted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to endorse and collect any cash proceeds of the Collateral, (iii) to file a carbon, photographic or other reproduction of this Canadian Cross-Border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(iv)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 to apply the proceeds of any Collateral received by the Administrative Agent to the Secured Obligations as provided in Section 7.4, (vi) to discharge past due taxes, assessments, charges, fees or Liens on the Collateral (except for (A) taxes, assessments, charges or fees which are permitted to be past due in accordance with the Credit Agreement, or (B) such Liens that are permitted under Section 6.02 of the Credit Agreement),</w:t>
      </w:r>
    </w:p>
    <w:p>
      <w:pPr>
        <w:spacing w:after="0" w:line="3" w:lineRule="exact"/>
        <w:rPr>
          <w:rFonts w:ascii="Arial" w:cs="Arial" w:eastAsia="Arial" w:hAnsi="Arial"/>
          <w:sz w:val="15"/>
          <w:szCs w:val="15"/>
          <w:color w:val="auto"/>
        </w:rPr>
      </w:pPr>
    </w:p>
    <w:p>
      <w:pPr>
        <w:jc w:val="both"/>
        <w:ind w:left="5" w:hanging="5"/>
        <w:spacing w:after="0" w:line="267" w:lineRule="auto"/>
        <w:tabs>
          <w:tab w:leader="none" w:pos="35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to contact Account Debtors for any reason, (viii) to demand payment or enforce payment of the Receivables in the name of the Administrative Agent or such Grantor and to endorse any and all checks, drafts, and other instruments for the payment of money relating to the Receivables, (ix) to sign such Grantor's name on any invoice or bill of lading relating to the Receivables, drafts against any Account Debtor of the Grantor, assignments and verifications of Receivables, (x) to exercise all of such Grantor's rights and remedies with respect to the collection of the Receivables and any other Collateral, (xi) to settle, adjust, compromise, extend or renew the Receivables, (xii) to settle, adjust or compromise any legal proceedings brought to collect Receivables, (xiii) to prepare, file and sign such Grantor's name on a proof of claim in bankruptcy or similar document against any Account Debtor of such Grantor, (xiv) to prepare, file and sign such Grantor's name on any notice of Lien, assignment or satisfaction of Lien or similar document in connection with the Receivables, (xv) to change the address for delivery of mail addressed to such Grantor to such address as the Administrative Agent may designate and to receive, open and dispose of all mail addressed to such Grantor, and (xvi) to do all other acts and things necessary to carry out this Canadian Cross-Border Security Agreement; and such Grantor agrees to reimburse the Administrative Agent on demand for any payment made or any reasonable and documented out-of-pocket expense incurred by the Administrative Agent in connection with any of the foregoing;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this authorization shall not relieve such Grantor of any of its obligations under this Canadian Cross-Border Security Agreement or under the Credit Agreement.</w:t>
      </w:r>
    </w:p>
    <w:p>
      <w:pPr>
        <w:spacing w:after="0" w:line="162" w:lineRule="exact"/>
        <w:rPr>
          <w:rFonts w:ascii="Arial" w:cs="Arial" w:eastAsia="Arial" w:hAnsi="Arial"/>
          <w:sz w:val="16"/>
          <w:szCs w:val="16"/>
          <w:color w:val="auto"/>
        </w:rPr>
      </w:pPr>
    </w:p>
    <w:p>
      <w:pPr>
        <w:jc w:val="both"/>
        <w:ind w:left="5" w:firstLine="1139"/>
        <w:spacing w:after="0" w:line="254" w:lineRule="auto"/>
        <w:tabs>
          <w:tab w:leader="none" w:pos="1544"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All acts of said attorney or designee are hereby ratified and approved. The powers conferred on the Administrative Agent, for the benefit of itself, the Canadian Administrative Agent and the Lenders, under this Section 6.2 are solely to protect the Administrative Agent’s interests in the Collateral and shall not impose any duty upon the Administrative Agent or any Lender to exercise any such powers. The Administrative Agent agrees that, (i) except for the powers granted in Sections 6.2(a)(i)-(vi), the Administrative Agent shall not exercise any power or authority granted to it unless an Event of Default has occurred and is continuing, (ii) the Administrative Agent shall not exercise any power or authority granted to it under Sections 6.2(a)(ii) or 6.2(a)(v) unless a Cash Dominion Period shall be in effect and (iii) the Administrative Agent shall not exercise any power of attorney granted to it under Section 6.2(a) in a manner that would violate the terms of the ABL-Term Loan Intercreditor Agreement.</w:t>
      </w:r>
    </w:p>
    <w:p>
      <w:pPr>
        <w:spacing w:after="0" w:line="180" w:lineRule="exact"/>
        <w:rPr>
          <w:sz w:val="20"/>
          <w:szCs w:val="20"/>
          <w:color w:val="auto"/>
        </w:rPr>
      </w:pPr>
    </w:p>
    <w:p>
      <w:pPr>
        <w:jc w:val="both"/>
        <w:ind w:left="5" w:firstLine="572"/>
        <w:spacing w:after="0" w:line="227" w:lineRule="exact"/>
        <w:rPr>
          <w:sz w:val="20"/>
          <w:szCs w:val="20"/>
          <w:color w:val="auto"/>
        </w:rPr>
      </w:pPr>
      <w:r>
        <w:rPr>
          <w:rFonts w:ascii="Arial" w:cs="Arial" w:eastAsia="Arial" w:hAnsi="Arial"/>
          <w:sz w:val="18"/>
          <w:szCs w:val="18"/>
          <w:color w:val="auto"/>
        </w:rPr>
        <w:t xml:space="preserve">6.3. </w:t>
      </w:r>
      <w:r>
        <w:rPr>
          <w:rFonts w:ascii="Arial" w:cs="Arial" w:eastAsia="Arial" w:hAnsi="Arial"/>
          <w:sz w:val="16"/>
          <w:szCs w:val="16"/>
          <w:u w:val="single" w:color="auto"/>
          <w:color w:val="auto"/>
        </w:rPr>
        <w:t>Proxy</w:t>
      </w:r>
      <w:r>
        <w:rPr>
          <w:rFonts w:ascii="Arial" w:cs="Arial" w:eastAsia="Arial" w:hAnsi="Arial"/>
          <w:sz w:val="16"/>
          <w:szCs w:val="16"/>
          <w:color w:val="auto"/>
        </w:rPr>
        <w:t>. EACH GRANTOR HEREBY IRREVOCABLY CONSTITUTES AND APPOINTS THE ADMINISTRATIVE AGENT AS ITS PROXY</w:t>
      </w:r>
      <w:r>
        <w:rPr>
          <w:rFonts w:ascii="Arial" w:cs="Arial" w:eastAsia="Arial" w:hAnsi="Arial"/>
          <w:sz w:val="18"/>
          <w:szCs w:val="18"/>
          <w:color w:val="auto"/>
        </w:rPr>
        <w:t xml:space="preserve"> </w:t>
      </w:r>
      <w:r>
        <w:rPr>
          <w:rFonts w:ascii="Arial" w:cs="Arial" w:eastAsia="Arial" w:hAnsi="Arial"/>
          <w:sz w:val="16"/>
          <w:szCs w:val="16"/>
          <w:color w:val="auto"/>
        </w:rPr>
        <w:t>AND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(AS SET FORTH IN AND SUBJECT TO THE PROVISIONS OF SECTION 6.2 ABOVE) WITH RESPECT TO ITS PLEDGED COLLATERAL, INCLUDING THE RIGHT TO VOTE SUCH PLEDGED COLLATERAL EXCEPT FOR THE PLEDGED ULC SHARES, IN RESPECT OF WHICH SUCH RIGHTS DO NOT ARISE UNTIL AFTER THE GIVING OF NOTICE PROVIDED FOR IN SECTION 3.13(d), WITH FULL POWER OF SUBSTITUTION TO DO SO AFTER THE OCCURRENCE AND DURING THE CONTINUANCE OF AN EVENT OF DEFAULT. IN ADDITION TO THE RIGHT TO VOTE SUCH PLEDGED COLLATERAL AFTER THE OCCURRENCE AND DURING THE CONTINUANCE OF AN EVENT OF DEFAULT, THE APPOINTMENT OF THE ADMINISTRATIVE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w:t>
      </w:r>
    </w:p>
    <w:p>
      <w:pPr>
        <w:sectPr>
          <w:pgSz w:w="11900" w:h="16838" w:orient="portrait"/>
          <w:cols w:equalWidth="0" w:num="1">
            <w:col w:w="11445"/>
          </w:cols>
          <w:pgMar w:left="235" w:top="339" w:right="219" w:bottom="0" w:gutter="0" w:footer="0" w:header="0"/>
        </w:sectPr>
      </w:pPr>
    </w:p>
    <w:bookmarkStart w:id="166" w:name="page167"/>
    <w:bookmarkEnd w:id="166"/>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VOTING AT SUCH MEETINGS). SUCH PROXY SHALL BE EFFECTIVE, AUTOMATICALLY AND WITHOUT THE NECESSITY OF ANY ACTION (INCLUDING ANY TRANSFER OF SUCH PLEDGED COLLATERAL ON THE RECORD BOOKS OF THE ISSUER THEREOF) BY ANY PERSON (INCLUDING THE ISSUER OF THE PLEDGED COLLATERAL OR ANY OFFICER OR AGENT THEREOF), UPON THE OCCURRENCE OF AND DURING THE CONTINUANCE OF AN EVENT OF DEFAULT.</w:t>
      </w:r>
    </w:p>
    <w:p>
      <w:pPr>
        <w:spacing w:after="0" w:line="165"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7"/>
          <w:szCs w:val="17"/>
          <w:u w:val="single" w:color="auto"/>
          <w:color w:val="auto"/>
        </w:rPr>
        <w:t>Nature of Appointment; Limitation of Duty</w:t>
      </w:r>
      <w:r>
        <w:rPr>
          <w:rFonts w:ascii="Arial" w:cs="Arial" w:eastAsia="Arial" w:hAnsi="Arial"/>
          <w:sz w:val="17"/>
          <w:szCs w:val="17"/>
          <w:color w:val="auto"/>
        </w:rPr>
        <w:t>. THE APPOINTMENT OF THE ADMINISTRATIVE AGENT AS PROXY AND ATTORNEY-IN-FACT WITH RESPECT TO EACH GRANTOR IN THIS ARTICLE VI IS COUPLED WITH AN INTEREST AND SHALL BE IRREVOCABLE UNTIL THE DATE ON WHICH THIS CANADIAN CROSS-BORDER SECURITY AGREEMENT IS TERMINATED IN ACCORDANCE WITH SECTION 8.16 OR SUCH GRANTOR IS RELEASED FROM ITS OBLIGATIONS HEREUNDER IN ACCORDANCE WITH SECTION 8.16. NOTWITHSTANDING ANYTHING CONTAINED HEREIN, NEITHER THE ADMINISTRATIVE AGENT, NOR ANY LENDER, NOR ANY OF THEIR AFFILIATES, NOR ANY OF THEIR OR THEIR AFFILIATES' RESPECTIVE OFFICERS, DIRECTORS, EMPLOYEES, AGENTS OR REPRESENTATIVES SHALL HAVE ANY DUTY TO EXERCISE ANY RIGHT OR POWER GRANTED HEREUNDER OR OTHERWISE OR TO PRESERVE THE SAME AND SHALL NOT BE LIABLE FOR ANY FAILURE TO DO SO OR FOR ANY DELAY IN DOING SO, EXCEPT TO THE EXTENT ARISING OUT OF ITS BAD FAITH, OWN BAD FAITH, GROSS NEGLIGENCE OR WILLFUL MISCONDUCT AS FINALLY DETERMINED BY A COURT OF COMPETENT JURISDICTION; PROVIDED THAT, IN NO EVENT SHALL THEY BE LIABLE FOR ANY PUNITIVE, EXEMPLARY, INDIRECT OR CONSEQUENTIAL DAMAGES.</w:t>
      </w:r>
    </w:p>
    <w:p>
      <w:pPr>
        <w:spacing w:after="0" w:line="164"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COLLECTION AND APPLICATION OF COLLATERAL PROCEEDS; DEPOSIT ACCOUNTS</w:t>
      </w:r>
    </w:p>
    <w:p>
      <w:pPr>
        <w:spacing w:after="0" w:line="38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xml:space="preserve">. As of the date of this Canadian Cross-Border Security Agreement, all Deposit Accounts and Securities Accounts established by the Grantors with any banking institution, securities broker, securities intermediary or other financial institution are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Each Grantor has and will continue to direct its Account Debtors to remit cash, checks, electronic funds transfers and other similar payments relating to or constituting payments made in respect of Receivables directly to such accounts. If any Grantor should refuse or neglect to notify any Account Debtor to forward payments directly to a Deposit Account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after notice from the Administrative Agent, the Administrative Agent shall be entitled to make such notification directly to such Account Debtor.</w:t>
      </w:r>
    </w:p>
    <w:p>
      <w:pPr>
        <w:spacing w:after="0" w:line="172"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Application of Funds During a Cash Dominion Period</w:t>
      </w:r>
      <w:r>
        <w:rPr>
          <w:rFonts w:ascii="Arial" w:cs="Arial" w:eastAsia="Arial" w:hAnsi="Arial"/>
          <w:sz w:val="16"/>
          <w:szCs w:val="16"/>
          <w:color w:val="auto"/>
        </w:rPr>
        <w:t>. At all times during a Cash Dominion Period, the Grantors shall comply and shall cause the Canadian Cash Management Bank to comply with the provisions of Section 5.12(d) of the Credit Agreement. At all times during a Cash Dominion Period, the Administrative Agent shall have the right (i) to declare that full cash dominion is in effect, (ii) to give a notice of sole control or other instruction under any Control Agreement, (iii) to notify each banking institution, securities broker or securities intermediary (including the Canadian Cash Management Bank) at which any Grantor maintains any Deposit Account or Securities Accounts (in each case, other than Excluded Accounts), that (A) the Administrative Agent has taken full dominion and control over all Deposit Accounts and Securities Accounts (in each case, other than Excluded Accounts) and all funds from time to time on deposit therein, (B) such banking institutions, securities brokers and securities intermediaries shall follow all instructions given by the Administrative Agent with respect to such Deposit Accounts and Securities Accounts, and (C) such banking institutions shall remit directly to the Canadian Collection Account (or to such other account as the Administrative Agent may direct), on a daily basis (or on such other basis as the Administrative Agent shall direct) all funds from time to time deposited into such Deposit Accounts and Securities Accounts, and (iv) to automatically apply, on a daily basis, all funds remitted to the Canadian Collection Account (or to such other account as the Administrative Agent shall so direct), from all such Deposit Accounts and Securities Accounts, and all other proceeds of the Collateral, to repay the Loans and other Obligations in accordance with Sections 2.11 and 2.18 of the Credit Agreement.</w:t>
      </w:r>
    </w:p>
    <w:p>
      <w:pPr>
        <w:spacing w:after="0" w:line="168"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Covenant Regarding New Deposit Accounts</w:t>
      </w:r>
      <w:r>
        <w:rPr>
          <w:rFonts w:ascii="Arial" w:cs="Arial" w:eastAsia="Arial" w:hAnsi="Arial"/>
          <w:sz w:val="17"/>
          <w:szCs w:val="17"/>
          <w:color w:val="auto"/>
        </w:rPr>
        <w:t>. Before opening or replacing any Deposit Account or Securities Account (other than an Excluded Account), each Grantor shall cause each bank or financial institution in which it seeks to open (i) a Deposit Account or Securities Account (other than an Excluded Account) to enter into a Control Agreement with the Administrative Agent in order to give the Administrative Agent Control of such Deposit Account or Securities Account. In the case of any Deposit Account or Securities Account maintained with any Lender, the terms of such letter shall be subject to the provisions of the Credit Agreement regarding setoffs.</w:t>
      </w:r>
    </w:p>
    <w:p>
      <w:pPr>
        <w:spacing w:after="0" w:line="173" w:lineRule="exact"/>
        <w:rPr>
          <w:sz w:val="20"/>
          <w:szCs w:val="20"/>
          <w:color w:val="auto"/>
        </w:rPr>
      </w:pPr>
    </w:p>
    <w:p>
      <w:pPr>
        <w:jc w:val="both"/>
        <w:ind w:right="20" w:firstLine="572"/>
        <w:spacing w:after="0" w:line="25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Application of Proceeds; Deficiency</w:t>
      </w:r>
      <w:r>
        <w:rPr>
          <w:rFonts w:ascii="Arial" w:cs="Arial" w:eastAsia="Arial" w:hAnsi="Arial"/>
          <w:sz w:val="17"/>
          <w:szCs w:val="17"/>
          <w:color w:val="auto"/>
        </w:rPr>
        <w:t>. In the case of any sale or other disposition of Collateral by the Administrative Agent in the exercise of its remedies provided herein or in any other Loan Document, the proceeds of such sale shall be applied (and allocated) by the Administrative Agent in accordance with Section 2.18 of the Credit Agreement. In the event that the proceeds from any sale or other disposition of Collateral are insufficient to pay all Secured Obligations in full, the Grantors shall remain liable for any deficiency, including any attorneys’ fees and other expenses incurred by the Agents or any Lender to collect such deficiency.</w:t>
      </w:r>
    </w:p>
    <w:p>
      <w:pPr>
        <w:spacing w:after="0" w:line="16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VIII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GENERAL PROVISIONS</w:t>
      </w:r>
    </w:p>
    <w:p>
      <w:pPr>
        <w:spacing w:after="0" w:line="19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at least ten (10) days prior to (i) the date of any such public sale or (ii) the time after which any such private sale or other disposition may be made. To the maximum extent permitted by applicable law, each Grantor waives all claims, damages, and demands against the Administrative Agent or any Lender arising out of the repossession, retention or sale of the Collateral, except to the extent arising out of the bad faith, gross negligence or willful misconduct of the Administrative Agent or such Lender as finally determined by a court of competent jurisdiction. To the extent it may lawfully do so, each Grantor absolutely and irrevocably waives and relinquishes the benefit and advantage of, and covenants not to assert against the Administrative Agent or any Lender,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Canadian Cross-Border Security Agreement, or otherwise. Except as otherwise specifically provided herein, each Grantor hereby waives presentment, demand, protest or any notice (to the maximum extent permitted by applicable law) of any kind in connection with this Canadian Cross-Border Security Agreement or any Collateral.</w:t>
      </w:r>
    </w:p>
    <w:p>
      <w:pPr>
        <w:spacing w:after="0" w:line="168" w:lineRule="exact"/>
        <w:rPr>
          <w:sz w:val="20"/>
          <w:szCs w:val="20"/>
          <w:color w:val="auto"/>
        </w:rPr>
      </w:pPr>
    </w:p>
    <w:p>
      <w:pPr>
        <w:jc w:val="both"/>
        <w:ind w:firstLine="572"/>
        <w:spacing w:after="0" w:line="288"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Limitation on Administrative Agent's and Lenders’ Duty with Respect to the Collateral</w:t>
      </w:r>
      <w:r>
        <w:rPr>
          <w:rFonts w:ascii="Arial" w:cs="Arial" w:eastAsia="Arial" w:hAnsi="Arial"/>
          <w:sz w:val="15"/>
          <w:szCs w:val="15"/>
          <w:color w:val="auto"/>
        </w:rPr>
        <w:t>. The Administrative Agent shall have no obligation to clean-up or otherwise prepare the Collateral for sale. The Administrative Agent and each Lender shall use reasonable care with respect to the Collateral in its possession or under its control. Neither the Administrative Agent nor any Lender shall have any other duty as to any Collateral in its possession or control or in the possession or control of any agent or nominee of the Administrative Agent or such Lender,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w:t>
      </w:r>
    </w:p>
    <w:p>
      <w:pPr>
        <w:sectPr>
          <w:pgSz w:w="11900" w:h="16939" w:orient="portrait"/>
          <w:cols w:equalWidth="0" w:num="1">
            <w:col w:w="11440"/>
          </w:cols>
          <w:pgMar w:left="240" w:top="137" w:right="219" w:bottom="0" w:gutter="0" w:footer="0" w:header="0"/>
        </w:sectPr>
      </w:pPr>
    </w:p>
    <w:bookmarkStart w:id="167" w:name="page168"/>
    <w:bookmarkEnd w:id="167"/>
    <w:p>
      <w:pPr>
        <w:jc w:val="both"/>
        <w:spacing w:after="0" w:line="268" w:lineRule="auto"/>
        <w:rPr>
          <w:sz w:val="20"/>
          <w:szCs w:val="20"/>
          <w:color w:val="auto"/>
        </w:rPr>
      </w:pPr>
      <w:r>
        <w:rPr>
          <w:rFonts w:ascii="Arial" w:cs="Arial" w:eastAsia="Arial" w:hAnsi="Arial"/>
          <w:sz w:val="16"/>
          <w:szCs w:val="16"/>
          <w:color w:val="auto"/>
        </w:rPr>
        <w:t>other Persons, whether or not in the same business as such Grantor, for expressions of interest in acquiring all or any portion of the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Section 8.2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8.2. Without limitation upon the foregoing, nothing contained in this Section 8.2 shall be construed to grant any rights to any Grantor or to impose any duties on the Administrative Agent that would not have been granted or imposed by this Canadian Cross-Border Security Agreement or by applicable law in the absence of this Section 8.2.</w:t>
      </w:r>
    </w:p>
    <w:p>
      <w:pPr>
        <w:spacing w:after="0" w:line="166"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subject to the terms of the ABL-Term Loan Intercreditor Agreement, at any time and from time to time, if an Event of Default has occurred and is continuing, compromise with the obligor on any Receivable, accept in full payment of any Receivable such amount as the Administrative Agent in its Permitted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74" w:lineRule="exact"/>
        <w:rPr>
          <w:sz w:val="20"/>
          <w:szCs w:val="20"/>
          <w:color w:val="auto"/>
        </w:rPr>
      </w:pPr>
    </w:p>
    <w:p>
      <w:pPr>
        <w:jc w:val="both"/>
        <w:ind w:firstLine="572"/>
        <w:spacing w:after="0" w:line="28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Secured Party Performance of Debtor Obligations</w:t>
      </w:r>
      <w:r>
        <w:rPr>
          <w:rFonts w:ascii="Arial" w:cs="Arial" w:eastAsia="Arial" w:hAnsi="Arial"/>
          <w:sz w:val="16"/>
          <w:szCs w:val="16"/>
          <w:color w:val="auto"/>
        </w:rPr>
        <w:t>. Without having any obligation to do so, subject to the terms of the ABL-Term Loan Intercreditor Agreement, the Administrative Agent may perform or pay any obligation which any Grantor has agreed to perform or pay in this Canadian Cross-Border Security Agreement and the Grantors shall reimburse the Administrative Agent for any amounts paid by the Administrative Agent pursuant to this Section 8.4. The Grantors’ obligation to reimburse the Administrative Agent pursuant to the preceding sentence shall be a Canadian Secured Obligation payable on demand.</w:t>
      </w:r>
    </w:p>
    <w:p>
      <w:pPr>
        <w:spacing w:after="0" w:line="154" w:lineRule="exact"/>
        <w:rPr>
          <w:sz w:val="20"/>
          <w:szCs w:val="20"/>
          <w:color w:val="auto"/>
        </w:rPr>
      </w:pPr>
    </w:p>
    <w:p>
      <w:pPr>
        <w:jc w:val="both"/>
        <w:ind w:right="20" w:firstLine="572"/>
        <w:spacing w:after="0" w:line="255"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Specific Performance of Certain Covenants</w:t>
      </w:r>
      <w:r>
        <w:rPr>
          <w:rFonts w:ascii="Arial" w:cs="Arial" w:eastAsia="Arial" w:hAnsi="Arial"/>
          <w:sz w:val="17"/>
          <w:szCs w:val="17"/>
          <w:color w:val="auto"/>
        </w:rPr>
        <w:t xml:space="preserve">. Each Grantor acknowledges and agrees that a breach of any of the covenants contained in Sections 4.1(d), 4.1(e), 4.4, 4.5, 4.6, 4.7, 4.9, 4.12, 4.13, 4.15, 5.3, or 8.7 or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cause irreparable injury to the Administrative Agent and the Lenders, that the Administrative Agent and Lenders have no adequate remedy at law in respect of such breaches and therefore agrees, without limiting the right of the Administrative Agent or the Lenders to seek and obtain specific performance of other obligations of the Grantors contained in this Canadian Cross-Border Security Agreement, that, subject to the terms of the ABL-Term Loan Intercreditor Agreement, the covenants of the Grantors contained in the Sections referred to in this Section 8.5 shall be specifically enforceable against the Grantors.</w:t>
      </w:r>
    </w:p>
    <w:p>
      <w:pPr>
        <w:spacing w:after="0" w:line="172" w:lineRule="exact"/>
        <w:rPr>
          <w:sz w:val="20"/>
          <w:szCs w:val="20"/>
          <w:color w:val="auto"/>
        </w:rPr>
      </w:pPr>
    </w:p>
    <w:p>
      <w:pPr>
        <w:jc w:val="both"/>
        <w:ind w:firstLine="572"/>
        <w:spacing w:after="0" w:line="25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Dispositions Not Authorized</w:t>
      </w:r>
      <w:r>
        <w:rPr>
          <w:rFonts w:ascii="Arial" w:cs="Arial" w:eastAsia="Arial" w:hAnsi="Arial"/>
          <w:sz w:val="17"/>
          <w:szCs w:val="17"/>
          <w:color w:val="auto"/>
        </w:rPr>
        <w:t>. No Grantor is authorized to sell or otherwise dispose of the Collateral except as set forth in Section 4.1(d) and notwithstanding any course of dealing between any Grantor and the Administrative Agent or other conduct of the Administrative Agent, no authorization to sell or otherwise dispose of the Collateral (except as set forth in Section 4.1(d) or as otherwise permitted under the Credit Agreement) shall be binding upon the Administrative Agent or the Lenders unless such authorization is in writing signed by the Administrative Agent with the consent or at the direction of the Required Secured Parties.</w:t>
      </w:r>
    </w:p>
    <w:p>
      <w:pPr>
        <w:spacing w:after="0" w:line="173"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No Waiver; Amendments; Cumulative Remedies</w:t>
      </w:r>
      <w:r>
        <w:rPr>
          <w:rFonts w:ascii="Arial" w:cs="Arial" w:eastAsia="Arial" w:hAnsi="Arial"/>
          <w:sz w:val="17"/>
          <w:szCs w:val="17"/>
          <w:color w:val="auto"/>
        </w:rPr>
        <w:t>. No delay or omission of the Administrative Agent or any Lender to exercise any right or remedy granted under this Canadian Cross-Border Security Agreement shall impair such right or remedy or be construed to be a waiver of any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Canadian Cross-Border Security Agreement whatsoever shall be valid unless in writing signed by the Administrative Agent with the concurrence or at the direction of the Lenders required under Section 9.02 of the Credit Agreement and then only to the extent in such writing specifically set forth. All rights and remedies contained in this Canadian Cross-Border Security Agreement or by law afforded shall be cumulative and all shall be available to the Administrative Agent and the Lenders until the termination of this Canadian Cross-Border Security Agreement in accordance with Section 8.16.</w:t>
      </w:r>
    </w:p>
    <w:p>
      <w:pPr>
        <w:spacing w:after="0" w:line="174"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Limitation by Law; Severability of Provisions</w:t>
      </w:r>
      <w:r>
        <w:rPr>
          <w:rFonts w:ascii="Arial" w:cs="Arial" w:eastAsia="Arial" w:hAnsi="Arial"/>
          <w:sz w:val="16"/>
          <w:szCs w:val="16"/>
          <w:color w:val="auto"/>
        </w:rPr>
        <w:t>. All rights, remedies and powers provided in this Canadian Cross-Border Security Agreement may be exercised only to the extent that the exercise thereof does not violate any applicable provision of law, and all the provisions of this Canadian Cross-Border Security Agreement are intended to be subject to all applicable mandatory provisions of law that may be controlling and to be limited to the extent necessary so that they shall not render this Canadian Cross-Border Security Agreement invalid, unenforceable or not entitled to be recorded or registered, in whole or in part. Any provision in this Canadian Cross-Border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Canadian Cross-Border Security Agreement are declared to be severable.</w:t>
      </w:r>
    </w:p>
    <w:p>
      <w:pPr>
        <w:spacing w:after="0" w:line="161" w:lineRule="exact"/>
        <w:rPr>
          <w:sz w:val="20"/>
          <w:szCs w:val="20"/>
          <w:color w:val="auto"/>
        </w:rPr>
      </w:pPr>
    </w:p>
    <w:p>
      <w:pPr>
        <w:jc w:val="both"/>
        <w:ind w:firstLine="679"/>
        <w:spacing w:after="0" w:line="272"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Reinstatement</w:t>
      </w:r>
      <w:r>
        <w:rPr>
          <w:rFonts w:ascii="Arial" w:cs="Arial" w:eastAsia="Arial" w:hAnsi="Arial"/>
          <w:sz w:val="16"/>
          <w:szCs w:val="16"/>
          <w:color w:val="auto"/>
        </w:rPr>
        <w:t>. This Canadian Cross-Border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all as though such payment or performance had not been made. In the event that any payment, or any part thereof, is rescinded, reduced, restored or returned, the Secured Obligations shall be reinstated to the extent of the payment so rescinded, reduced, restored or returned and shall be reduced only by such amount paid and not so rescinded, reduced, restored or returned.</w:t>
      </w:r>
    </w:p>
    <w:p>
      <w:pPr>
        <w:spacing w:after="0" w:line="161"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Benefit of Agreement</w:t>
      </w:r>
      <w:r>
        <w:rPr>
          <w:rFonts w:ascii="Arial" w:cs="Arial" w:eastAsia="Arial" w:hAnsi="Arial"/>
          <w:sz w:val="16"/>
          <w:szCs w:val="16"/>
          <w:color w:val="auto"/>
        </w:rPr>
        <w:t>. The terms and provisions of this Canadian Cross-Border Security Agreement shall be binding upon and inure to the benefit of the Grantors, the Agents and the Lenders and their respective successors and assigns (including all persons who become bound as a debtor to this Canadian Cross-Border Security Agreement), except that no Grantor shall have the right to assign its rights or delegate its obligations under this Canadian Cross-Border Security Agreement or any interest herein, without the prior written consent of the Administrative Agent. No sales of participations, assignments, transfers, or other dispositions of any agreement governing the Secured Obligations or any portion thereof or interest therein shall in any manner impair the Lien granted to the Administrative Agent, for the benefit of itself, the Canadian Administrative Agent and the Lenders, hereunder.</w:t>
      </w:r>
    </w:p>
    <w:p>
      <w:pPr>
        <w:spacing w:after="0" w:line="15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Survival of Representations</w:t>
      </w:r>
      <w:r>
        <w:rPr>
          <w:rFonts w:ascii="Arial" w:cs="Arial" w:eastAsia="Arial" w:hAnsi="Arial"/>
          <w:sz w:val="17"/>
          <w:szCs w:val="17"/>
          <w:color w:val="auto"/>
        </w:rPr>
        <w:t>. All representations and warranties of the Grantors contained in this Canadian Cross-Border Security Agreement shall survive the execution and delivery of this Canadian Cross-Border Security Agreement.</w:t>
      </w:r>
    </w:p>
    <w:p>
      <w:pPr>
        <w:spacing w:after="0" w:line="152" w:lineRule="exact"/>
        <w:rPr>
          <w:sz w:val="20"/>
          <w:szCs w:val="20"/>
          <w:color w:val="auto"/>
        </w:rPr>
      </w:pPr>
    </w:p>
    <w:p>
      <w:pPr>
        <w:jc w:val="both"/>
        <w:ind w:right="20" w:firstLine="679"/>
        <w:spacing w:after="0" w:line="280"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Taxes and Expenses</w:t>
      </w:r>
      <w:r>
        <w:rPr>
          <w:rFonts w:ascii="Arial" w:cs="Arial" w:eastAsia="Arial" w:hAnsi="Arial"/>
          <w:sz w:val="17"/>
          <w:szCs w:val="17"/>
          <w:color w:val="auto"/>
        </w:rPr>
        <w:t>. The Grantors shall be jointly and severally obligated to reimburse the Administrative Agent and the Lenders for any amounts due by a Loan Party under Section 2.17 and Section 9.03 of the Credit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Headings</w:t>
      </w:r>
      <w:r>
        <w:rPr>
          <w:rFonts w:ascii="Arial" w:cs="Arial" w:eastAsia="Arial" w:hAnsi="Arial"/>
          <w:sz w:val="17"/>
          <w:szCs w:val="17"/>
          <w:color w:val="auto"/>
        </w:rPr>
        <w:t>. The title of and section headings in this Canadian Cross-Border Security Agreement are for convenience of reference only, and shall not govern the interpretation of any of the terms and provisions of this Canadian Cross-Border Security Agreement.</w:t>
      </w:r>
    </w:p>
    <w:p>
      <w:pPr>
        <w:sectPr>
          <w:pgSz w:w="11900" w:h="16838" w:orient="portrait"/>
          <w:cols w:equalWidth="0" w:num="1">
            <w:col w:w="11440"/>
          </w:cols>
          <w:pgMar w:left="240" w:top="124" w:right="219" w:bottom="0" w:gutter="0" w:footer="0" w:header="0"/>
        </w:sectPr>
      </w:pPr>
    </w:p>
    <w:bookmarkStart w:id="168" w:name="page169"/>
    <w:bookmarkEnd w:id="168"/>
    <w:p>
      <w:pPr>
        <w:ind w:left="560"/>
        <w:spacing w:after="0"/>
        <w:tabs>
          <w:tab w:leader="none" w:pos="1220" w:val="left"/>
        </w:tabs>
        <w:rPr>
          <w:sz w:val="20"/>
          <w:szCs w:val="20"/>
          <w:color w:val="auto"/>
        </w:rPr>
      </w:pPr>
      <w:r>
        <w:rPr>
          <w:rFonts w:ascii="Arial" w:cs="Arial" w:eastAsia="Arial" w:hAnsi="Arial"/>
          <w:sz w:val="17"/>
          <w:szCs w:val="17"/>
          <w:color w:val="auto"/>
        </w:rPr>
        <w:t>8.14.</w:t>
      </w:r>
      <w:r>
        <w:rPr>
          <w:sz w:val="20"/>
          <w:szCs w:val="20"/>
          <w:color w:val="auto"/>
        </w:rPr>
        <w:tab/>
      </w:r>
      <w:r>
        <w:rPr>
          <w:rFonts w:ascii="Arial" w:cs="Arial" w:eastAsia="Arial" w:hAnsi="Arial"/>
          <w:sz w:val="16"/>
          <w:szCs w:val="16"/>
          <w:u w:val="single" w:color="auto"/>
          <w:color w:val="auto"/>
        </w:rPr>
        <w:t>Other Pledge Agreements</w:t>
      </w:r>
      <w:r>
        <w:rPr>
          <w:rFonts w:ascii="Arial" w:cs="Arial" w:eastAsia="Arial" w:hAnsi="Arial"/>
          <w:sz w:val="16"/>
          <w:szCs w:val="16"/>
          <w:color w:val="auto"/>
        </w:rPr>
        <w:t>. The parties acknowledge and agree that certain of the Equity Interests constituting Pledged Collateral under this</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Canadian Cross-Border Security Agreement (the “</w:t>
      </w:r>
      <w:r>
        <w:rPr>
          <w:rFonts w:ascii="Arial" w:cs="Arial" w:eastAsia="Arial" w:hAnsi="Arial"/>
          <w:sz w:val="16"/>
          <w:szCs w:val="16"/>
          <w:u w:val="single" w:color="auto"/>
          <w:color w:val="auto"/>
        </w:rPr>
        <w:t>Applicable Equity Interests</w:t>
      </w:r>
      <w:r>
        <w:rPr>
          <w:rFonts w:ascii="Arial" w:cs="Arial" w:eastAsia="Arial" w:hAnsi="Arial"/>
          <w:sz w:val="16"/>
          <w:szCs w:val="16"/>
          <w:color w:val="auto"/>
        </w:rPr>
        <w:t>”) may also be pledged to the Administrative Agent under a pledge agreement governed by the laws of the State of New York or the Netherlands (collectively, the “</w:t>
      </w:r>
      <w:r>
        <w:rPr>
          <w:rFonts w:ascii="Arial" w:cs="Arial" w:eastAsia="Arial" w:hAnsi="Arial"/>
          <w:sz w:val="16"/>
          <w:szCs w:val="16"/>
          <w:u w:val="single" w:color="auto"/>
          <w:color w:val="auto"/>
        </w:rPr>
        <w:t>Foreign Pledge Agreements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Foreign Pledge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If, in connection with any exercise of remedies by the Administrative Agent under any Foreign Pledge Agreement, a court of competent jurisdiction in the State of New York or the Netherlands, as applicable, determines that the pledge of the Applicable Equity Interests is governed by such Foreign Pledge Agreement, then such Foreign Pledge Agreement (and not this Canadian Cross-Border Security Agreement) shall control and shall supersede this Canadian Cross-Border Security Agreement, in each case, solely with respect to the pledge of such Applicable Equity Interests.</w:t>
      </w:r>
    </w:p>
    <w:p>
      <w:pPr>
        <w:spacing w:after="0" w:line="157"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Credit Agreement; ABL-Term Intercreditor Agreement</w:t>
      </w:r>
      <w:r>
        <w:rPr>
          <w:rFonts w:ascii="Arial" w:cs="Arial" w:eastAsia="Arial" w:hAnsi="Arial"/>
          <w:sz w:val="16"/>
          <w:szCs w:val="16"/>
          <w:color w:val="auto"/>
        </w:rPr>
        <w:t>. Notwithstanding any other provision of this Canadian Cross-Border Security Agreement, the rights of the parties hereunder are subject to the provisions of the Credit Agreement, including the provisions thereof pertaining to the rights and responsibilities of the Administrative Agent. In the event that any provision of this Canadian Cross-Border Security Agreement is in conflict with the terms of the Credit Agreement, the Credit Agreement shall control. Notwithstanding anything herein to the contrary, the rights of the parties hereunder and the priority of the Lien and security interest granted to the Administrative Agent pursuant hereto or pursuant to any other Loan Document and the exercise of any right or remedy in respect of the Collateral by the Administrative Agent hereunder or under any other Loan Document are subject to the provisions of the ABL-Term Loan Intercreditor Agreement. To the extent any provision of this Canadian Cross-Border Security Agreement (other than Article II hereof) is in conflict with the terms of the ABL-Term Loan Intercreditor Agreement, the ABL-Term Loan Intercreditor Agreement shall control. The delivery of any Collateral to the Collateral Agent (as defined in the Term Loan Agreement) under the Term Loan Agreement pursuant to the Term Loan Documents shall satisfy any delivery requirement hereunder or under any other Loan Document to the extent that such delivery is consistent with the terms of the ABL-Term Loan Intercreditor Agreement.</w:t>
      </w:r>
    </w:p>
    <w:p>
      <w:pPr>
        <w:spacing w:after="0" w:line="166"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7"/>
          <w:szCs w:val="17"/>
          <w:color w:val="auto"/>
        </w:rPr>
        <w:t>8.16.</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216" w:lineRule="exact"/>
        <w:rPr>
          <w:sz w:val="20"/>
          <w:szCs w:val="20"/>
          <w:color w:val="auto"/>
        </w:rPr>
      </w:pPr>
    </w:p>
    <w:p>
      <w:pPr>
        <w:jc w:val="both"/>
        <w:ind w:firstLine="1139"/>
        <w:spacing w:after="0" w:line="285" w:lineRule="auto"/>
        <w:tabs>
          <w:tab w:leader="none" w:pos="1633"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This Canadian Cross-Border Security Agreement shall continue in effect (notwithstanding the fact that from time to time there may be no Secured Obligations outstanding) until (i) the Credit Agreement has terminated pursuant to its express terms and (ii) all of the Secured Obligations (other than unasserted contingent obligations) have been paid in full (or with respect to any outstanding Letters of Credit, a cash deposit or a supporting Letter of Credit has been delivered to the Administrative Agent as required by the Credit Agreement) and no commitments of the Administrative Agent or the Lenders which would give rise to any Secured Obligations are outstanding (notwithstanding the fact that there may be other Secured Obligations outstanding) (such date, the “Termination Date”).</w:t>
      </w:r>
    </w:p>
    <w:p>
      <w:pPr>
        <w:spacing w:after="0" w:line="156" w:lineRule="exact"/>
        <w:rPr>
          <w:rFonts w:ascii="Arial" w:cs="Arial" w:eastAsia="Arial" w:hAnsi="Arial"/>
          <w:sz w:val="17"/>
          <w:szCs w:val="17"/>
          <w:b w:val="1"/>
          <w:bCs w:val="1"/>
          <w:color w:val="auto"/>
        </w:rPr>
      </w:pPr>
    </w:p>
    <w:p>
      <w:pPr>
        <w:jc w:val="both"/>
        <w:ind w:firstLine="1139"/>
        <w:spacing w:after="0" w:line="303" w:lineRule="auto"/>
        <w:tabs>
          <w:tab w:leader="none" w:pos="1643"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If (i) any Grantor ceases to be a Canadian Borrower, Canadian Loan Guarantor or a Dutch Loan Guarantor in a transaction permitted by the Credit Agreement or becomes an Excluded Subsidiary or (ii) any property of a Grantor is sold or otherwise disposed of pursuant to a transaction permitted by the terms of the Credit Agreement or otherwise constitutes Excluded Collateral (each a “Release Transaction”), at the request of the Grantors, the Administrative Agent will (A) in connection with a Release Transaction under subclause (i) above, promptly release such Grantor from its obligations hereunder and (B) in connection with a Release Transaction under subclause (ii) above, promptly release such property from the security interest created hereunder, in each case, concurrently with the consummation of such Release Transaction. Upon such release or on or after the Termination Date, the Administrative Agent will, at the reasonable request of the Grantors and at the Grantor’s sole cost and expense, will promptly execute and deliver such releases to evidence the foregoing.</w:t>
      </w:r>
    </w:p>
    <w:p>
      <w:pPr>
        <w:spacing w:after="0" w:line="340" w:lineRule="exact"/>
        <w:rPr>
          <w:sz w:val="20"/>
          <w:szCs w:val="20"/>
          <w:color w:val="auto"/>
        </w:rPr>
      </w:pPr>
    </w:p>
    <w:p>
      <w:pPr>
        <w:jc w:val="both"/>
        <w:ind w:firstLine="572"/>
        <w:spacing w:after="0" w:line="264"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Canadian Cross-Border Security Agreement embodies the entire agreement and understanding between the Grantors and the Administrative Agent relating to the Collateral and supersedes all prior agreements and understandings between the Grantors and the Administrative Agent relating to the Collateral.</w:t>
      </w:r>
    </w:p>
    <w:p>
      <w:pPr>
        <w:spacing w:after="0" w:line="17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7"/>
          <w:szCs w:val="17"/>
          <w:color w:val="auto"/>
        </w:rPr>
        <w:t>8.18.</w:t>
      </w:r>
      <w:r>
        <w:rPr>
          <w:sz w:val="20"/>
          <w:szCs w:val="20"/>
          <w:color w:val="auto"/>
        </w:rPr>
        <w:tab/>
      </w: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THIS SECURITY AGREEMENT SHALL BE GOVERNED BY, AND CONSTRUED IN ACCORDANCE WITH,</w:t>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THE LAWS OF THE PROVINCE OF ONTARIO AND THE LAWS OF CANADA APPLICABLE THEREIN, EXCEPT AS REQUIRED BY MANDATORY PROVISIONS OF LAW AND EXCEPT TO THE EXTENT THAT THE VALIDITY OR PERFECTION OF THE SECURITY INTERESTS HEREUNDER, OR REMEDIES HEREUNDER, IN RESPECT OF ANY PARTICULAR COLLATERAL ARE GOVERNED BY THE LAWS OF A JURISDICTION OTHER THAN THE PROVINCE OF ONTARIO.</w:t>
      </w:r>
    </w:p>
    <w:p>
      <w:pPr>
        <w:spacing w:after="0" w:line="148" w:lineRule="exact"/>
        <w:rPr>
          <w:sz w:val="20"/>
          <w:szCs w:val="20"/>
          <w:color w:val="auto"/>
        </w:rPr>
      </w:pPr>
    </w:p>
    <w:p>
      <w:pPr>
        <w:jc w:val="both"/>
        <w:ind w:right="20" w:firstLine="572"/>
        <w:spacing w:after="0" w:line="205" w:lineRule="exact"/>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b w:val="1"/>
          <w:bCs w:val="1"/>
          <w:u w:val="single" w:color="auto"/>
          <w:color w:val="auto"/>
        </w:rPr>
        <w:t>CONSENT TO JURISDICTION</w:t>
      </w:r>
      <w:r>
        <w:rPr>
          <w:rFonts w:ascii="Arial" w:cs="Arial" w:eastAsia="Arial" w:hAnsi="Arial"/>
          <w:sz w:val="17"/>
          <w:szCs w:val="17"/>
          <w:b w:val="1"/>
          <w:bCs w:val="1"/>
          <w:color w:val="auto"/>
        </w:rPr>
        <w:t>. EACH PARTY HERETO HEREBY IRREVOCABLY SUBMITS TO THE 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EXCLUSIVE</w:t>
      </w:r>
      <w:r>
        <w:rPr>
          <w:rFonts w:ascii="Arial" w:cs="Arial" w:eastAsia="Arial" w:hAnsi="Arial"/>
          <w:sz w:val="17"/>
          <w:szCs w:val="17"/>
          <w:color w:val="auto"/>
        </w:rPr>
        <w:t xml:space="preserve"> </w:t>
      </w:r>
      <w:r>
        <w:rPr>
          <w:rFonts w:ascii="Arial" w:cs="Arial" w:eastAsia="Arial" w:hAnsi="Arial"/>
          <w:sz w:val="17"/>
          <w:szCs w:val="17"/>
          <w:b w:val="1"/>
          <w:bCs w:val="1"/>
          <w:color w:val="auto"/>
        </w:rPr>
        <w:t>JURISDICTION OF THE COURTS OF THE PROVINCE OF ONTARIO OR OF THE FEDERAL COURTS OF CANADA THEREIN IN ANY ACTION OR PROCEEDING ARISING OUT OF OR RELATING TO THIS CANADIAN CROSS-BORDER SECURITY AGREEMENT OR ANY OTHER LOAN DOCUMENT AND EACH PARTY HERETO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OR ANY LENDER TO BRING PROCEEDINGS AGAINST ANY GRANTOR IN THE COURTS OF ANY OTHER JURISDICTION. ANY JUDICIAL PROCEEDING BY ANY GRANTOR AGAINST THE ADMINISTRATIVE AGENT OR ANY LENDER OR ANY AFFILIATE OF THE ADMINISTRATIVE AGENT OR ANY LENDER INVOLVING, DIRECTLY OR INDIRECTLY, ANY MATTER IN ANY WAY ARISING OUT OF, RELATED TO, OR CONNECTED WITH THIS CANADIAN CROSS-BORDER SECURITY AGREEMENT OR ANY OTHER LOAN DOCUMENT SHALL BE BROUGHT ONLY IN A COURT IN THE PROVINCE OF ONTARIO.</w:t>
      </w:r>
    </w:p>
    <w:p>
      <w:pPr>
        <w:spacing w:after="0" w:line="180"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7"/>
          <w:szCs w:val="17"/>
          <w:color w:val="auto"/>
        </w:rPr>
        <w:t xml:space="preserve">8.20.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GRANTOR, THE ADMINISTRATIVE AGENT AND EACH LENDER HEREBY WAIVE TRIAL</w:t>
      </w:r>
      <w:r>
        <w:rPr>
          <w:rFonts w:ascii="Arial" w:cs="Arial" w:eastAsia="Arial" w:hAnsi="Arial"/>
          <w:sz w:val="17"/>
          <w:szCs w:val="17"/>
          <w:color w:val="auto"/>
        </w:rPr>
        <w:t xml:space="preserve"> </w:t>
      </w:r>
      <w:r>
        <w:rPr>
          <w:rFonts w:ascii="Arial" w:cs="Arial" w:eastAsia="Arial" w:hAnsi="Arial"/>
          <w:sz w:val="17"/>
          <w:szCs w:val="17"/>
          <w:b w:val="1"/>
          <w:bCs w:val="1"/>
          <w:color w:val="auto"/>
        </w:rPr>
        <w:t>BY JURY IN ANY JUDICIAL PROCEEDING INVOLVING, DIRECTLY OR INDIRECTLY, ANY MATTER (WHETHER SOUNDING IN TORT, CONTRACT OR OTHERWISE) IN ANY WAY ARISING OUT OF, RELATED TO, OR CONNECTED WITH THIS CANADIAN CROSS-BORDER SECURITY AGREEMENT OR ANY OTHER LOAN DOCUMENT OR THE RELATIONSHIP ESTABLISHED THEREUNDER.</w:t>
      </w:r>
    </w:p>
    <w:p>
      <w:pPr>
        <w:spacing w:after="0" w:line="168" w:lineRule="exact"/>
        <w:rPr>
          <w:sz w:val="20"/>
          <w:szCs w:val="20"/>
          <w:color w:val="auto"/>
        </w:rPr>
      </w:pPr>
    </w:p>
    <w:p>
      <w:pPr>
        <w:jc w:val="both"/>
        <w:ind w:firstLine="691"/>
        <w:spacing w:after="0" w:line="255"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Indemnity</w:t>
      </w:r>
      <w:r>
        <w:rPr>
          <w:rFonts w:ascii="Arial" w:cs="Arial" w:eastAsia="Arial" w:hAnsi="Arial"/>
          <w:sz w:val="17"/>
          <w:szCs w:val="17"/>
          <w:color w:val="auto"/>
        </w:rPr>
        <w:t>. The Grantors hereby agree that the provisions of Section 9.03(b) of the Credit Agreement shall apply, mutatis mutandis, with respect to any and all losses, claims, damages, liabilities and related expenses incurred or asserted against any Indemnitee arising out of, in connection with, or as a result of this Canadian Cross-Border Security Agreement, or the manufacture, purchase, acceptance, rejection, ownership, delivery, lease, possession, use, operation, condition, sale, return or other disposition of any Collateral (including, without limitation, latent and other defects, whether or not discoverable by the Administrative Agent, the Lenders or the Grantors, and any claim for Patent, Trademark or Copyright infringement), in each case, subject to the limitations set forth in Section 9.03(b) of the Credit Agreement.</w:t>
      </w:r>
    </w:p>
    <w:p>
      <w:pPr>
        <w:spacing w:after="0" w:line="172"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Counterparts</w:t>
      </w:r>
      <w:r>
        <w:rPr>
          <w:rFonts w:ascii="Arial" w:cs="Arial" w:eastAsia="Arial" w:hAnsi="Arial"/>
          <w:sz w:val="17"/>
          <w:szCs w:val="17"/>
          <w:color w:val="auto"/>
        </w:rPr>
        <w:t>. This Canadian Cross-Border Security Agreement may be executed in any number of counterparts, all of which taken together shall constitute one agreement, and any of the parties hereto may execute this Canadian Cross-Border Security Agreement by signing any such counterpart. Delivery of an executed counterpart of a signature page of this Canadian Cross-Border Security Agreement by facsimile or other electronic transmission shall be effective as delivery of a manually executed counterpart of this Canadian Cross-Border Security Agreement.</w:t>
      </w:r>
    </w:p>
    <w:p>
      <w:pPr>
        <w:sectPr>
          <w:pgSz w:w="11900" w:h="16838" w:orient="portrait"/>
          <w:cols w:equalWidth="0" w:num="1">
            <w:col w:w="11440"/>
          </w:cols>
          <w:pgMar w:left="240" w:top="327" w:right="219" w:bottom="0" w:gutter="0" w:footer="0" w:header="0"/>
        </w:sectPr>
      </w:pPr>
    </w:p>
    <w:bookmarkStart w:id="169" w:name="page170"/>
    <w:bookmarkEnd w:id="169"/>
    <w:p>
      <w:pPr>
        <w:ind w:left="3920"/>
        <w:spacing w:after="0"/>
        <w:rPr>
          <w:sz w:val="20"/>
          <w:szCs w:val="20"/>
          <w:color w:val="auto"/>
        </w:rPr>
      </w:pPr>
      <w:r>
        <w:rPr>
          <w:rFonts w:ascii="Arial" w:cs="Arial" w:eastAsia="Arial" w:hAnsi="Arial"/>
          <w:sz w:val="17"/>
          <w:szCs w:val="17"/>
          <w:b w:val="1"/>
          <w:bCs w:val="1"/>
          <w:color w:val="auto"/>
        </w:rPr>
        <w:t>ARTICLE IX</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NOTICES</w:t>
      </w:r>
    </w:p>
    <w:p>
      <w:pPr>
        <w:spacing w:after="0" w:line="19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Sending Notices</w:t>
      </w:r>
      <w:r>
        <w:rPr>
          <w:rFonts w:ascii="Arial" w:cs="Arial" w:eastAsia="Arial" w:hAnsi="Arial"/>
          <w:sz w:val="17"/>
          <w:szCs w:val="17"/>
          <w:color w:val="auto"/>
        </w:rPr>
        <w:t>. Any notice required or permitted to be given under this Canadian Cross-Border Security Agreement shall be sent in accordance with Section 9.01 of the Credit Agreement.</w:t>
      </w:r>
    </w:p>
    <w:p>
      <w:pPr>
        <w:spacing w:after="0" w:line="152"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Change in Address for Notices</w:t>
      </w:r>
      <w:r>
        <w:rPr>
          <w:rFonts w:ascii="Arial" w:cs="Arial" w:eastAsia="Arial" w:hAnsi="Arial"/>
          <w:sz w:val="17"/>
          <w:szCs w:val="17"/>
          <w:color w:val="auto"/>
        </w:rPr>
        <w:t>. Each of the Grantors, the Administrative Agent and the Lenders may change the address for service of notice upon it by a notice in writing to the other parties.</w:t>
      </w:r>
    </w:p>
    <w:p>
      <w:pPr>
        <w:spacing w:after="0" w:line="14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ARTICLE X</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THE ADMINISTRATIVE AGENT</w:t>
      </w:r>
    </w:p>
    <w:p>
      <w:pPr>
        <w:spacing w:after="0" w:line="196"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7"/>
          <w:szCs w:val="17"/>
          <w:color w:val="auto"/>
        </w:rPr>
        <w:t>JPMorgan Chase Bank, N.A. has been appointed Administrative Agent for the Lenders hereunder pursuant to Article VIII of the Credit Agreement. It is expressly understood and agreed by the parties to this Canadian Cross-Border Security Agreement that any authority conferred upon the Administrative Agent hereunder is subject to the terms of the delegation of authority made by the Lenders to the Administrative Agent pursuant to the Credit Agreement, and that the Administrative Agent has agreed to act (and any successor Administrative Agent shall act) as such hereunder only on the express conditions contained in such Article VIII. Any successor Administrative Agent appointed pursuant to Article VIII of the Credit Agreement shall be entitled to all the rights, interests and benefits of the Administrative Agent hereunder.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IN WITNESS WHEREOF, the Grantors and the Administrative Agent have executed this Canadian Cross-Border Pledge and Security Agreement as of the date first above written.</w:t>
      </w:r>
    </w:p>
    <w:p>
      <w:pPr>
        <w:spacing w:after="0" w:line="354"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auto"/>
        </w:rPr>
        <w:t>GRANTORS:</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WESCO DISTRIBUTION CANADA CO.</w:t>
      </w:r>
    </w:p>
    <w:p>
      <w:pPr>
        <w:spacing w:after="0" w:line="200" w:lineRule="exact"/>
        <w:rPr>
          <w:sz w:val="20"/>
          <w:szCs w:val="20"/>
          <w:color w:val="auto"/>
        </w:rPr>
      </w:pPr>
    </w:p>
    <w:p>
      <w:pPr>
        <w:spacing w:after="0" w:line="218" w:lineRule="exact"/>
        <w:rPr>
          <w:sz w:val="20"/>
          <w:szCs w:val="20"/>
          <w:color w:val="auto"/>
        </w:rPr>
      </w:pPr>
    </w:p>
    <w:tbl>
      <w:tblPr>
        <w:tblLayout w:type="fixed"/>
        <w:tblInd w:w="56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TVC CANADA CORP.</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r>
        <w:trPr>
          <w:trHeight w:val="596"/>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WESCO DISTRIBUTION II ULC</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Brian Begg</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ind w:left="20"/>
              <w:spacing w:after="0"/>
              <w:rPr>
                <w:sz w:val="20"/>
                <w:szCs w:val="20"/>
                <w:color w:val="auto"/>
              </w:rPr>
            </w:pPr>
            <w:r>
              <w:rPr>
                <w:rFonts w:ascii="Arial" w:cs="Arial" w:eastAsia="Arial" w:hAnsi="Arial"/>
                <w:sz w:val="17"/>
                <w:szCs w:val="17"/>
                <w:color w:val="auto"/>
              </w:rPr>
              <w:t>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JPMORGAN CHASE BANK, N.A.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as Administrative Agent</w:t>
      </w: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43815</wp:posOffset>
            </wp:positionV>
            <wp:extent cx="30486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48635" cy="7620"/>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EXHIBIT 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(See Section 4.4 and 4.8 of Canadian Cross-Border Security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dated ________________, ___ is delivered pursuant to Section 4.4 of the Canadian Cross-Border Security Agreement referred to below. All</w:t>
      </w:r>
    </w:p>
    <w:p>
      <w:pPr>
        <w:spacing w:after="0" w:line="3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defined terms herein shall have the meanings ascribed thereto or incorporated by reference in the Canadian Cross-Border Security Agreement. The undersigned hereby certifies that the representations and warranties in Article III of the Canadian Cross-Border Security Agreement, as amended by any updates to the schedules referred to therein, are and continue to be true and correct in all material respects. The undersigned further agrees that this Amendment may be attached to that certain Second Amended and Restated Canadian Cross-Border Pledge and Security Agreement, dated as of September __, 2015, between the undersigned, as the Grantors, and JPMorgan Chase Bank, N.A., as the Administrative Agent (as amended, restated, supplemented or otherwise modified from time to time prior</w:t>
      </w:r>
    </w:p>
    <w:p>
      <w:pPr>
        <w:sectPr>
          <w:pgSz w:w="11900" w:h="16838" w:orient="portrait"/>
          <w:cols w:equalWidth="0" w:num="1">
            <w:col w:w="11440"/>
          </w:cols>
          <w:pgMar w:left="240" w:top="120" w:right="219" w:bottom="0" w:gutter="0" w:footer="0" w:header="0"/>
        </w:sectPr>
      </w:pPr>
    </w:p>
    <w:bookmarkStart w:id="170" w:name="page171"/>
    <w:bookmarkEnd w:id="170"/>
    <w:p>
      <w:pPr>
        <w:ind w:left="5" w:right="20"/>
        <w:spacing w:after="0" w:line="351" w:lineRule="auto"/>
        <w:rPr>
          <w:sz w:val="20"/>
          <w:szCs w:val="20"/>
          <w:color w:val="auto"/>
        </w:rPr>
      </w:pPr>
      <w:r>
        <w:rPr>
          <w:rFonts w:ascii="Arial" w:cs="Arial" w:eastAsia="Arial" w:hAnsi="Arial"/>
          <w:sz w:val="15"/>
          <w:szCs w:val="15"/>
          <w:color w:val="auto"/>
        </w:rPr>
        <w:t>to the date hereof, the “</w:t>
      </w:r>
      <w:r>
        <w:rPr>
          <w:rFonts w:ascii="Arial" w:cs="Arial" w:eastAsia="Arial" w:hAnsi="Arial"/>
          <w:sz w:val="15"/>
          <w:szCs w:val="15"/>
          <w:u w:val="single" w:color="auto"/>
          <w:color w:val="auto"/>
        </w:rPr>
        <w:t>Canadian Cross-Border Security Agreement</w:t>
      </w:r>
      <w:r>
        <w:rPr>
          <w:rFonts w:ascii="Arial" w:cs="Arial" w:eastAsia="Arial" w:hAnsi="Arial"/>
          <w:sz w:val="15"/>
          <w:szCs w:val="15"/>
          <w:color w:val="auto"/>
        </w:rPr>
        <w:t xml:space="preserve">”) and that the Collateral listed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to this Amendment shall be and become a part of the Collateral referred to in said US Security Agreement and shall secure all Secured Obligations referred to in the Canadian Cross-Border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423545</wp:posOffset>
            </wp:positionV>
            <wp:extent cx="6654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-17145</wp:posOffset>
            </wp:positionV>
            <wp:extent cx="6654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ind w:left="3425"/>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6654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SCHEDULE I TO AMENDMENT</w:t>
      </w:r>
    </w:p>
    <w:p>
      <w:pPr>
        <w:spacing w:after="0" w:line="21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STOCKS</w:t>
      </w:r>
    </w:p>
    <w:p>
      <w:pPr>
        <w:spacing w:after="0" w:line="323" w:lineRule="exact"/>
        <w:rPr>
          <w:sz w:val="20"/>
          <w:szCs w:val="20"/>
          <w:color w:val="auto"/>
        </w:rPr>
      </w:pPr>
    </w:p>
    <w:tbl>
      <w:tblPr>
        <w:tblLayout w:type="fixed"/>
        <w:tblInd w:w="15" w:type="dxa"/>
        <w:tblCellMar>
          <w:top w:w="0" w:type="dxa"/>
          <w:left w:w="0" w:type="dxa"/>
          <w:bottom w:w="0" w:type="dxa"/>
          <w:right w:w="0" w:type="dxa"/>
        </w:tblCellMar>
      </w:tblPr>
      <w:tr>
        <w:trPr>
          <w:trHeight w:val="224"/>
        </w:trPr>
        <w:tc>
          <w:tcPr>
            <w:tcW w:w="1740" w:type="dxa"/>
            <w:vAlign w:val="bottom"/>
            <w:tcBorders>
              <w:top w:val="single" w:sz="8" w:color="00000A"/>
              <w:left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spacing w:after="0"/>
              <w:rPr>
                <w:sz w:val="19"/>
                <w:szCs w:val="19"/>
                <w:color w:val="auto"/>
              </w:rPr>
            </w:pPr>
          </w:p>
        </w:tc>
        <w:tc>
          <w:tcPr>
            <w:tcW w:w="1960" w:type="dxa"/>
            <w:vAlign w:val="bottom"/>
            <w:tcBorders>
              <w:top w:val="single" w:sz="8" w:color="00000A"/>
              <w:right w:val="single" w:sz="8" w:color="00000A"/>
            </w:tcBorders>
          </w:tcPr>
          <w:p>
            <w:pPr>
              <w:spacing w:after="0"/>
              <w:rPr>
                <w:sz w:val="19"/>
                <w:szCs w:val="19"/>
                <w:color w:val="auto"/>
              </w:rPr>
            </w:pP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91"/>
              </w:rPr>
              <w:t>Percentage of Outstanding</w:t>
            </w:r>
          </w:p>
        </w:tc>
        <w:tc>
          <w:tcPr>
            <w:tcW w:w="0" w:type="dxa"/>
            <w:vAlign w:val="bottom"/>
          </w:tcPr>
          <w:p>
            <w:pPr>
              <w:spacing w:after="0"/>
              <w:rPr>
                <w:sz w:val="1"/>
                <w:szCs w:val="1"/>
                <w:color w:val="auto"/>
              </w:rPr>
            </w:pPr>
          </w:p>
        </w:tc>
      </w:tr>
      <w:tr>
        <w:trPr>
          <w:trHeight w:val="222"/>
        </w:trPr>
        <w:tc>
          <w:tcPr>
            <w:tcW w:w="1740" w:type="dxa"/>
            <w:vAlign w:val="bottom"/>
            <w:tcBorders>
              <w:left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right w:val="single" w:sz="8" w:color="00000A"/>
            </w:tcBorders>
            <w:vMerge w:val="restart"/>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right w:val="single" w:sz="8" w:color="00000A"/>
            </w:tcBorders>
          </w:tcPr>
          <w:p>
            <w:pPr>
              <w:ind w:left="200"/>
              <w:spacing w:after="0"/>
              <w:rPr>
                <w:sz w:val="20"/>
                <w:szCs w:val="20"/>
                <w:color w:val="auto"/>
              </w:rPr>
            </w:pPr>
            <w:r>
              <w:rPr>
                <w:rFonts w:ascii="Arial" w:cs="Arial" w:eastAsia="Arial" w:hAnsi="Arial"/>
                <w:sz w:val="17"/>
                <w:szCs w:val="17"/>
                <w:color w:val="auto"/>
              </w:rPr>
              <w:t>Certificate Number(s)</w:t>
            </w:r>
          </w:p>
        </w:tc>
        <w:tc>
          <w:tcPr>
            <w:tcW w:w="194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rPr>
              <w:t>Number of Shares</w:t>
            </w:r>
          </w:p>
        </w:tc>
        <w:tc>
          <w:tcPr>
            <w:tcW w:w="1960" w:type="dxa"/>
            <w:vAlign w:val="bottom"/>
            <w:tcBorders>
              <w:right w:val="single" w:sz="8" w:color="00000A"/>
            </w:tcBorders>
            <w:vMerge w:val="restart"/>
          </w:tcPr>
          <w:p>
            <w:pPr>
              <w:ind w:left="460"/>
              <w:spacing w:after="0"/>
              <w:rPr>
                <w:sz w:val="20"/>
                <w:szCs w:val="20"/>
                <w:color w:val="auto"/>
              </w:rPr>
            </w:pPr>
            <w:r>
              <w:rPr>
                <w:rFonts w:ascii="Arial" w:cs="Arial" w:eastAsia="Arial" w:hAnsi="Arial"/>
                <w:sz w:val="17"/>
                <w:szCs w:val="17"/>
                <w:color w:val="auto"/>
              </w:rPr>
              <w:t>Class of Stock</w:t>
            </w:r>
          </w:p>
        </w:tc>
        <w:tc>
          <w:tcPr>
            <w:tcW w:w="1940" w:type="dxa"/>
            <w:vAlign w:val="bottom"/>
            <w:tcBorders>
              <w:right w:val="single" w:sz="8" w:color="00000A"/>
            </w:tcBorders>
          </w:tcPr>
          <w:p>
            <w:pPr>
              <w:jc w:val="center"/>
              <w:spacing w:after="0"/>
              <w:rPr>
                <w:sz w:val="20"/>
                <w:szCs w:val="20"/>
                <w:color w:val="auto"/>
              </w:rPr>
            </w:pPr>
            <w:r>
              <w:rPr>
                <w:rFonts w:ascii="Arial" w:cs="Arial" w:eastAsia="Arial" w:hAnsi="Arial"/>
                <w:sz w:val="17"/>
                <w:szCs w:val="17"/>
                <w:color w:val="auto"/>
                <w:w w:val="85"/>
              </w:rPr>
              <w:t>Shares</w:t>
            </w:r>
          </w:p>
        </w:tc>
        <w:tc>
          <w:tcPr>
            <w:tcW w:w="0" w:type="dxa"/>
            <w:vAlign w:val="bottom"/>
          </w:tcPr>
          <w:p>
            <w:pPr>
              <w:spacing w:after="0"/>
              <w:rPr>
                <w:sz w:val="1"/>
                <w:szCs w:val="1"/>
                <w:color w:val="auto"/>
              </w:rPr>
            </w:pPr>
          </w:p>
        </w:tc>
      </w:tr>
      <w:tr>
        <w:trPr>
          <w:trHeight w:val="214"/>
        </w:trPr>
        <w:tc>
          <w:tcPr>
            <w:tcW w:w="1740" w:type="dxa"/>
            <w:vAlign w:val="bottom"/>
            <w:tcBorders>
              <w:left w:val="single" w:sz="8" w:color="00000A"/>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1960" w:type="dxa"/>
            <w:vAlign w:val="bottom"/>
            <w:tcBorders>
              <w:bottom w:val="single" w:sz="8" w:color="00000A"/>
              <w:right w:val="single" w:sz="8" w:color="00000A"/>
            </w:tcBorders>
            <w:vMerge w:val="continue"/>
          </w:tcPr>
          <w:p>
            <w:pPr>
              <w:spacing w:after="0"/>
              <w:rPr>
                <w:sz w:val="18"/>
                <w:szCs w:val="18"/>
                <w:color w:val="auto"/>
              </w:rPr>
            </w:pPr>
          </w:p>
        </w:tc>
        <w:tc>
          <w:tcPr>
            <w:tcW w:w="19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BONDS</w:t>
      </w:r>
    </w:p>
    <w:p>
      <w:pPr>
        <w:spacing w:after="0" w:line="323" w:lineRule="exact"/>
        <w:rPr>
          <w:sz w:val="20"/>
          <w:szCs w:val="20"/>
          <w:color w:val="auto"/>
        </w:rPr>
      </w:pPr>
    </w:p>
    <w:tbl>
      <w:tblPr>
        <w:tblLayout w:type="fixed"/>
        <w:tblInd w:w="15" w:type="dxa"/>
        <w:tblCellMar>
          <w:top w:w="0" w:type="dxa"/>
          <w:left w:w="0" w:type="dxa"/>
          <w:bottom w:w="0" w:type="dxa"/>
          <w:right w:w="0" w:type="dxa"/>
        </w:tblCellMar>
      </w:tblPr>
      <w:tr>
        <w:trPr>
          <w:trHeight w:val="254"/>
        </w:trPr>
        <w:tc>
          <w:tcPr>
            <w:tcW w:w="1740" w:type="dxa"/>
            <w:vAlign w:val="bottom"/>
            <w:tcBorders>
              <w:top w:val="single" w:sz="8" w:color="00000A"/>
              <w:left w:val="single" w:sz="8" w:color="00000A"/>
              <w:bottom w:val="single" w:sz="8" w:color="00000A"/>
              <w:right w:val="single" w:sz="8" w:color="00000A"/>
            </w:tcBorders>
          </w:tcPr>
          <w:p>
            <w:pPr>
              <w:ind w:left="260"/>
              <w:spacing w:after="0"/>
              <w:rPr>
                <w:sz w:val="20"/>
                <w:szCs w:val="20"/>
                <w:color w:val="auto"/>
              </w:rPr>
            </w:pPr>
            <w:r>
              <w:rPr>
                <w:rFonts w:ascii="Arial" w:cs="Arial" w:eastAsia="Arial" w:hAnsi="Arial"/>
                <w:sz w:val="17"/>
                <w:szCs w:val="17"/>
                <w:color w:val="auto"/>
              </w:rPr>
              <w:t>Name of Grantor</w:t>
            </w:r>
          </w:p>
        </w:tc>
        <w:tc>
          <w:tcPr>
            <w:tcW w:w="1940" w:type="dxa"/>
            <w:vAlign w:val="bottom"/>
            <w:tcBorders>
              <w:top w:val="single" w:sz="8" w:color="00000A"/>
              <w:bottom w:val="single" w:sz="8" w:color="00000A"/>
              <w:right w:val="single" w:sz="8" w:color="00000A"/>
            </w:tcBorders>
          </w:tcPr>
          <w:p>
            <w:pPr>
              <w:ind w:left="760"/>
              <w:spacing w:after="0"/>
              <w:rPr>
                <w:sz w:val="20"/>
                <w:szCs w:val="20"/>
                <w:color w:val="auto"/>
              </w:rPr>
            </w:pPr>
            <w:r>
              <w:rPr>
                <w:rFonts w:ascii="Arial" w:cs="Arial" w:eastAsia="Arial" w:hAnsi="Arial"/>
                <w:sz w:val="17"/>
                <w:szCs w:val="17"/>
                <w:color w:val="auto"/>
              </w:rPr>
              <w:t>Issuer</w:t>
            </w:r>
          </w:p>
        </w:tc>
        <w:tc>
          <w:tcPr>
            <w:tcW w:w="1940" w:type="dxa"/>
            <w:vAlign w:val="bottom"/>
            <w:tcBorders>
              <w:top w:val="single" w:sz="8" w:color="00000A"/>
              <w:bottom w:val="single" w:sz="8" w:color="00000A"/>
              <w:right w:val="single" w:sz="8" w:color="00000A"/>
            </w:tcBorders>
          </w:tcPr>
          <w:p>
            <w:pPr>
              <w:ind w:left="680"/>
              <w:spacing w:after="0"/>
              <w:rPr>
                <w:sz w:val="20"/>
                <w:szCs w:val="20"/>
                <w:color w:val="auto"/>
              </w:rPr>
            </w:pPr>
            <w:r>
              <w:rPr>
                <w:rFonts w:ascii="Arial" w:cs="Arial" w:eastAsia="Arial" w:hAnsi="Arial"/>
                <w:sz w:val="17"/>
                <w:szCs w:val="17"/>
                <w:color w:val="auto"/>
              </w:rPr>
              <w:t>Number</w:t>
            </w:r>
          </w:p>
        </w:tc>
        <w:tc>
          <w:tcPr>
            <w:tcW w:w="194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Face Amount</w:t>
            </w:r>
          </w:p>
        </w:tc>
        <w:tc>
          <w:tcPr>
            <w:tcW w:w="196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Coupon Rate</w:t>
            </w:r>
          </w:p>
        </w:tc>
        <w:tc>
          <w:tcPr>
            <w:tcW w:w="1940" w:type="dxa"/>
            <w:vAlign w:val="bottom"/>
            <w:tcBorders>
              <w:top w:val="single" w:sz="8" w:color="00000A"/>
              <w:bottom w:val="single" w:sz="8" w:color="00000A"/>
              <w:right w:val="single" w:sz="8" w:color="00000A"/>
            </w:tcBorders>
          </w:tcPr>
          <w:p>
            <w:pPr>
              <w:ind w:left="640"/>
              <w:spacing w:after="0"/>
              <w:rPr>
                <w:sz w:val="20"/>
                <w:szCs w:val="20"/>
                <w:color w:val="auto"/>
              </w:rPr>
            </w:pPr>
            <w:r>
              <w:rPr>
                <w:rFonts w:ascii="Arial" w:cs="Arial" w:eastAsia="Arial" w:hAnsi="Arial"/>
                <w:sz w:val="17"/>
                <w:szCs w:val="17"/>
                <w:color w:val="auto"/>
              </w:rPr>
              <w:t>Maturity</w:t>
            </w:r>
          </w:p>
        </w:tc>
      </w:tr>
      <w:tr>
        <w:trPr>
          <w:trHeight w:val="262"/>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54"/>
        </w:trPr>
        <w:tc>
          <w:tcPr>
            <w:tcW w:w="174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96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GOVERNMENT SECURITIES</w:t>
      </w:r>
    </w:p>
    <w:p>
      <w:pPr>
        <w:spacing w:after="0" w:line="323" w:lineRule="exact"/>
        <w:rPr>
          <w:sz w:val="20"/>
          <w:szCs w:val="20"/>
          <w:color w:val="auto"/>
        </w:rPr>
      </w:pPr>
    </w:p>
    <w:tbl>
      <w:tblPr>
        <w:tblLayout w:type="fixed"/>
        <w:tblInd w:w="15" w:type="dxa"/>
        <w:tblCellMar>
          <w:top w:w="0" w:type="dxa"/>
          <w:left w:w="0" w:type="dxa"/>
          <w:bottom w:w="0" w:type="dxa"/>
          <w:right w:w="0" w:type="dxa"/>
        </w:tblCellMar>
      </w:tblPr>
      <w:tr>
        <w:trPr>
          <w:trHeight w:val="254"/>
        </w:trPr>
        <w:tc>
          <w:tcPr>
            <w:tcW w:w="1860" w:type="dxa"/>
            <w:vAlign w:val="bottom"/>
            <w:tcBorders>
              <w:top w:val="single" w:sz="8" w:color="00000A"/>
              <w:left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Name of Grantor</w:t>
            </w:r>
          </w:p>
        </w:tc>
        <w:tc>
          <w:tcPr>
            <w:tcW w:w="1600" w:type="dxa"/>
            <w:vAlign w:val="bottom"/>
            <w:tcBorders>
              <w:top w:val="single" w:sz="8" w:color="00000A"/>
              <w:bottom w:val="single" w:sz="8" w:color="00000A"/>
              <w:right w:val="single" w:sz="8" w:color="00000A"/>
            </w:tcBorders>
          </w:tcPr>
          <w:p>
            <w:pPr>
              <w:ind w:left="580"/>
              <w:spacing w:after="0"/>
              <w:rPr>
                <w:sz w:val="20"/>
                <w:szCs w:val="20"/>
                <w:color w:val="auto"/>
              </w:rPr>
            </w:pPr>
            <w:r>
              <w:rPr>
                <w:rFonts w:ascii="Arial" w:cs="Arial" w:eastAsia="Arial" w:hAnsi="Arial"/>
                <w:sz w:val="17"/>
                <w:szCs w:val="17"/>
                <w:color w:val="auto"/>
              </w:rPr>
              <w:t>Issuer</w:t>
            </w:r>
          </w:p>
        </w:tc>
        <w:tc>
          <w:tcPr>
            <w:tcW w:w="160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17"/>
                <w:szCs w:val="17"/>
                <w:color w:val="auto"/>
              </w:rPr>
              <w:t>Number</w:t>
            </w:r>
          </w:p>
        </w:tc>
        <w:tc>
          <w:tcPr>
            <w:tcW w:w="1600" w:type="dxa"/>
            <w:vAlign w:val="bottom"/>
            <w:tcBorders>
              <w:top w:val="single" w:sz="8" w:color="00000A"/>
              <w:bottom w:val="single" w:sz="8" w:color="00000A"/>
              <w:right w:val="single" w:sz="8" w:color="00000A"/>
            </w:tcBorders>
          </w:tcPr>
          <w:p>
            <w:pPr>
              <w:ind w:left="620"/>
              <w:spacing w:after="0"/>
              <w:rPr>
                <w:sz w:val="20"/>
                <w:szCs w:val="20"/>
                <w:color w:val="auto"/>
              </w:rPr>
            </w:pPr>
            <w:r>
              <w:rPr>
                <w:rFonts w:ascii="Arial" w:cs="Arial" w:eastAsia="Arial" w:hAnsi="Arial"/>
                <w:sz w:val="17"/>
                <w:szCs w:val="17"/>
                <w:color w:val="auto"/>
              </w:rPr>
              <w:t>Type</w:t>
            </w:r>
          </w:p>
        </w:tc>
        <w:tc>
          <w:tcPr>
            <w:tcW w:w="16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Face Amount</w:t>
            </w:r>
          </w:p>
        </w:tc>
        <w:tc>
          <w:tcPr>
            <w:tcW w:w="16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7"/>
                <w:szCs w:val="17"/>
                <w:color w:val="auto"/>
              </w:rPr>
              <w:t>Coupon Rate</w:t>
            </w:r>
          </w:p>
        </w:tc>
        <w:tc>
          <w:tcPr>
            <w:tcW w:w="1600" w:type="dxa"/>
            <w:vAlign w:val="bottom"/>
            <w:tcBorders>
              <w:top w:val="single" w:sz="8" w:color="00000A"/>
              <w:bottom w:val="single" w:sz="8" w:color="00000A"/>
              <w:right w:val="single" w:sz="8" w:color="00000A"/>
            </w:tcBorders>
          </w:tcPr>
          <w:p>
            <w:pPr>
              <w:ind w:left="480"/>
              <w:spacing w:after="0"/>
              <w:rPr>
                <w:sz w:val="20"/>
                <w:szCs w:val="20"/>
                <w:color w:val="auto"/>
              </w:rPr>
            </w:pPr>
            <w:r>
              <w:rPr>
                <w:rFonts w:ascii="Arial" w:cs="Arial" w:eastAsia="Arial" w:hAnsi="Arial"/>
                <w:sz w:val="17"/>
                <w:szCs w:val="17"/>
                <w:color w:val="auto"/>
              </w:rPr>
              <w:t>Maturity</w:t>
            </w:r>
          </w:p>
        </w:tc>
      </w:tr>
      <w:tr>
        <w:trPr>
          <w:trHeight w:val="262"/>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r>
        <w:trPr>
          <w:trHeight w:val="254"/>
        </w:trPr>
        <w:tc>
          <w:tcPr>
            <w:tcW w:w="1860" w:type="dxa"/>
            <w:vAlign w:val="bottom"/>
            <w:tcBorders>
              <w:left w:val="single" w:sz="8" w:color="00000A"/>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c>
          <w:tcPr>
            <w:tcW w:w="1600" w:type="dxa"/>
            <w:vAlign w:val="bottom"/>
            <w:tcBorders>
              <w:bottom w:val="single" w:sz="8" w:color="00000A"/>
              <w:right w:val="single" w:sz="8" w:color="00000A"/>
            </w:tcBorders>
          </w:tcPr>
          <w:p>
            <w:pPr>
              <w:spacing w:after="0"/>
              <w:rPr>
                <w:sz w:val="22"/>
                <w:szCs w:val="22"/>
                <w:color w:val="auto"/>
              </w:rPr>
            </w:pPr>
          </w:p>
        </w:tc>
      </w:tr>
    </w:tbl>
    <w:p>
      <w:pPr>
        <w:spacing w:after="0" w:line="188" w:lineRule="exact"/>
        <w:rPr>
          <w:sz w:val="20"/>
          <w:szCs w:val="20"/>
          <w:color w:val="auto"/>
        </w:rPr>
      </w:pPr>
    </w:p>
    <w:p>
      <w:pPr>
        <w:ind w:left="3925"/>
        <w:spacing w:after="0"/>
        <w:rPr>
          <w:sz w:val="20"/>
          <w:szCs w:val="20"/>
          <w:color w:val="auto"/>
        </w:rPr>
      </w:pPr>
      <w:r>
        <w:rPr>
          <w:rFonts w:ascii="Arial" w:cs="Arial" w:eastAsia="Arial" w:hAnsi="Arial"/>
          <w:sz w:val="17"/>
          <w:szCs w:val="17"/>
          <w:color w:val="auto"/>
        </w:rPr>
        <w:t>OTHER SECURITIES OR OTHER INVESTMENT PROPERTY</w:t>
      </w:r>
    </w:p>
    <w:p>
      <w:pPr>
        <w:spacing w:after="0" w:line="21" w:lineRule="exact"/>
        <w:rPr>
          <w:sz w:val="20"/>
          <w:szCs w:val="20"/>
          <w:color w:val="auto"/>
        </w:rPr>
      </w:pPr>
    </w:p>
    <w:p>
      <w:pPr>
        <w:ind w:left="3925"/>
        <w:spacing w:after="0"/>
        <w:rPr>
          <w:sz w:val="20"/>
          <w:szCs w:val="20"/>
          <w:color w:val="auto"/>
        </w:rPr>
      </w:pPr>
      <w:r>
        <w:rPr>
          <w:rFonts w:ascii="Arial" w:cs="Arial" w:eastAsia="Arial" w:hAnsi="Arial"/>
          <w:sz w:val="17"/>
          <w:szCs w:val="17"/>
          <w:color w:val="auto"/>
        </w:rPr>
        <w:t>(CERTIFICATED AND UNCERTIFICATED)</w:t>
      </w:r>
    </w:p>
    <w:p>
      <w:pPr>
        <w:spacing w:after="0" w:line="309" w:lineRule="exact"/>
        <w:rPr>
          <w:sz w:val="20"/>
          <w:szCs w:val="20"/>
          <w:color w:val="auto"/>
        </w:rPr>
      </w:pPr>
    </w:p>
    <w:tbl>
      <w:tblPr>
        <w:tblLayout w:type="fixed"/>
        <w:tblInd w:w="15" w:type="dxa"/>
        <w:tblCellMar>
          <w:top w:w="0" w:type="dxa"/>
          <w:left w:w="0" w:type="dxa"/>
          <w:bottom w:w="0" w:type="dxa"/>
          <w:right w:w="0" w:type="dxa"/>
        </w:tblCellMar>
      </w:tblPr>
      <w:tr>
        <w:trPr>
          <w:trHeight w:val="254"/>
        </w:trPr>
        <w:tc>
          <w:tcPr>
            <w:tcW w:w="2880" w:type="dxa"/>
            <w:vAlign w:val="bottom"/>
            <w:tcBorders>
              <w:top w:val="single" w:sz="8" w:color="00000A"/>
              <w:left w:val="single" w:sz="8" w:color="00000A"/>
              <w:bottom w:val="single" w:sz="8" w:color="00000A"/>
              <w:right w:val="single" w:sz="8" w:color="00000A"/>
            </w:tcBorders>
          </w:tcPr>
          <w:p>
            <w:pPr>
              <w:ind w:left="840"/>
              <w:spacing w:after="0"/>
              <w:rPr>
                <w:sz w:val="20"/>
                <w:szCs w:val="20"/>
                <w:color w:val="auto"/>
              </w:rPr>
            </w:pPr>
            <w:r>
              <w:rPr>
                <w:rFonts w:ascii="Arial" w:cs="Arial" w:eastAsia="Arial" w:hAnsi="Arial"/>
                <w:sz w:val="17"/>
                <w:szCs w:val="17"/>
                <w:color w:val="auto"/>
              </w:rPr>
              <w:t>Name of Grantor</w:t>
            </w:r>
          </w:p>
        </w:tc>
        <w:tc>
          <w:tcPr>
            <w:tcW w:w="2860" w:type="dxa"/>
            <w:vAlign w:val="bottom"/>
            <w:tcBorders>
              <w:top w:val="single" w:sz="8" w:color="00000A"/>
              <w:bottom w:val="single" w:sz="8" w:color="00000A"/>
              <w:right w:val="single" w:sz="8" w:color="00000A"/>
            </w:tcBorders>
          </w:tcPr>
          <w:p>
            <w:pPr>
              <w:ind w:left="1200"/>
              <w:spacing w:after="0"/>
              <w:rPr>
                <w:sz w:val="20"/>
                <w:szCs w:val="20"/>
                <w:color w:val="auto"/>
              </w:rPr>
            </w:pPr>
            <w:r>
              <w:rPr>
                <w:rFonts w:ascii="Arial" w:cs="Arial" w:eastAsia="Arial" w:hAnsi="Arial"/>
                <w:sz w:val="17"/>
                <w:szCs w:val="17"/>
                <w:color w:val="auto"/>
              </w:rPr>
              <w:t>Issuer</w:t>
            </w:r>
          </w:p>
        </w:tc>
        <w:tc>
          <w:tcPr>
            <w:tcW w:w="2860" w:type="dxa"/>
            <w:vAlign w:val="bottom"/>
            <w:tcBorders>
              <w:top w:val="single" w:sz="8" w:color="00000A"/>
              <w:bottom w:val="single" w:sz="8" w:color="00000A"/>
              <w:right w:val="single" w:sz="8" w:color="00000A"/>
            </w:tcBorders>
          </w:tcPr>
          <w:p>
            <w:pPr>
              <w:ind w:left="540"/>
              <w:spacing w:after="0"/>
              <w:rPr>
                <w:sz w:val="20"/>
                <w:szCs w:val="20"/>
                <w:color w:val="auto"/>
              </w:rPr>
            </w:pPr>
            <w:r>
              <w:rPr>
                <w:rFonts w:ascii="Arial" w:cs="Arial" w:eastAsia="Arial" w:hAnsi="Arial"/>
                <w:sz w:val="17"/>
                <w:szCs w:val="17"/>
                <w:color w:val="auto"/>
              </w:rPr>
              <w:t>Description of Collateral</w:t>
            </w:r>
          </w:p>
        </w:tc>
        <w:tc>
          <w:tcPr>
            <w:tcW w:w="286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17"/>
                <w:szCs w:val="17"/>
                <w:color w:val="auto"/>
              </w:rPr>
              <w:t>Percentage Ownership Interest</w:t>
            </w:r>
          </w:p>
        </w:tc>
      </w:tr>
      <w:tr>
        <w:trPr>
          <w:trHeight w:val="262"/>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r>
        <w:trPr>
          <w:trHeight w:val="254"/>
        </w:trPr>
        <w:tc>
          <w:tcPr>
            <w:tcW w:w="2880" w:type="dxa"/>
            <w:vAlign w:val="bottom"/>
            <w:tcBorders>
              <w:left w:val="single" w:sz="8" w:color="00000A"/>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c>
          <w:tcPr>
            <w:tcW w:w="2860" w:type="dxa"/>
            <w:vAlign w:val="bottom"/>
            <w:tcBorders>
              <w:bottom w:val="single" w:sz="8" w:color="00000A"/>
              <w:right w:val="single" w:sz="8" w:color="00000A"/>
            </w:tcBorders>
          </w:tcPr>
          <w:p>
            <w:pPr>
              <w:spacing w:after="0"/>
              <w:rPr>
                <w:sz w:val="22"/>
                <w:szCs w:val="22"/>
                <w:color w:val="auto"/>
              </w:rPr>
            </w:pPr>
          </w:p>
        </w:tc>
      </w:tr>
    </w:tbl>
    <w:p>
      <w:pPr>
        <w:spacing w:after="0" w:line="182"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Add description of custody accounts or arrangements with securities intermediary, if applicable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EXHIBIT H</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[FORM OF] [AMENDED AND RESTATED] REVOLVING CREDIT NOTE</w:t>
      </w:r>
    </w:p>
    <w:p>
      <w:pPr>
        <w:spacing w:after="0" w:line="204" w:lineRule="exact"/>
        <w:rPr>
          <w:sz w:val="20"/>
          <w:szCs w:val="20"/>
          <w:color w:val="auto"/>
        </w:rPr>
      </w:pPr>
    </w:p>
    <w:p>
      <w:pPr>
        <w:ind w:left="9785"/>
        <w:spacing w:after="0"/>
        <w:rPr>
          <w:sz w:val="20"/>
          <w:szCs w:val="20"/>
          <w:color w:val="auto"/>
        </w:rPr>
      </w:pPr>
      <w:r>
        <w:rPr>
          <w:rFonts w:ascii="Arial" w:cs="Arial" w:eastAsia="Arial" w:hAnsi="Arial"/>
          <w:sz w:val="15"/>
          <w:szCs w:val="15"/>
          <w:color w:val="auto"/>
        </w:rPr>
        <w:t>___________________</w:t>
      </w:r>
    </w:p>
    <w:p>
      <w:pPr>
        <w:spacing w:after="0" w:line="44" w:lineRule="exact"/>
        <w:rPr>
          <w:sz w:val="20"/>
          <w:szCs w:val="20"/>
          <w:color w:val="auto"/>
        </w:rPr>
      </w:pPr>
    </w:p>
    <w:p>
      <w:pPr>
        <w:ind w:left="605" w:hanging="605"/>
        <w:spacing w:after="0"/>
        <w:tabs>
          <w:tab w:leader="none" w:pos="60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-17145</wp:posOffset>
            </wp:positionV>
            <wp:extent cx="1111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-17145</wp:posOffset>
            </wp:positionV>
            <wp:extent cx="1111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64" w:lineRule="exact"/>
        <w:rPr>
          <w:sz w:val="20"/>
          <w:szCs w:val="20"/>
          <w:color w:val="auto"/>
        </w:rPr>
      </w:pPr>
    </w:p>
    <w:p>
      <w:pPr>
        <w:jc w:val="both"/>
        <w:ind w:left="5" w:firstLine="572"/>
        <w:spacing w:after="0" w:line="267" w:lineRule="auto"/>
        <w:rPr>
          <w:sz w:val="20"/>
          <w:szCs w:val="20"/>
          <w:color w:val="auto"/>
        </w:rPr>
      </w:pPr>
      <w:r>
        <w:rPr>
          <w:rFonts w:ascii="Arial" w:cs="Arial" w:eastAsia="Arial" w:hAnsi="Arial"/>
          <w:sz w:val="16"/>
          <w:szCs w:val="16"/>
          <w:color w:val="auto"/>
        </w:rPr>
        <w:t>FOR VALUE RECEIVED, the undersigned WESCO Distribution, Inc., a Delaware corporation, WESCO Equity Corporation, a Delaware corporation, WESCO Integrated Supply, Inc. (f/k/a Bruckner Supply Company, Inc.), a Delaware corporation, WESCO Nevada, Ltd., a Nevada corporation, Communications Supply Corporation, a Connecticut corporation, Calvert Wire &amp; Cable Corporation, a Delaware Corporation, Liberty Wire &amp; Cable, Inc., a Delaware Corporation, Carlton-Bates Company, an Arkansas corporation, TVC Communications, L.L.C., a Delaware limited liability company, Conney Safety Products, LLC, a Delaware limited liability company, Hi-Line Utility Supply Company, LLC, an Illinois limited liability company, and Hill Country Electric Supply, L.P., a Texas limited partnership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hereby jointly and severally, subject to Section 12.01 of the Credit Agreement, promise to pay to</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___________________________________ and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 at the office of JPMorgan Chase Bank, N.A., as Administrative Agent (the</w:t>
      </w:r>
    </w:p>
    <w:p>
      <w:pPr>
        <w:spacing w:after="0" w:line="19" w:lineRule="exact"/>
        <w:rPr>
          <w:sz w:val="20"/>
          <w:szCs w:val="20"/>
          <w:color w:val="auto"/>
        </w:rPr>
      </w:pPr>
    </w:p>
    <w:p>
      <w:pPr>
        <w:jc w:val="both"/>
        <w:ind w:left="5" w:right="2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at 1300 East Ninth Street, Floor 13, Cleveland, OH 44114, at the expiration of the Availability Period, as defined in that certain Second Amended and Restated Credit Agreement dated as of September ____, 2015, among the Borrowers, the Canadian Borrowers party thereto, the other Loan Parties</w:t>
      </w:r>
    </w:p>
    <w:p>
      <w:pPr>
        <w:spacing w:after="0" w:line="1" w:lineRule="exact"/>
        <w:rPr>
          <w:sz w:val="20"/>
          <w:szCs w:val="20"/>
          <w:color w:val="auto"/>
        </w:rPr>
      </w:pPr>
    </w:p>
    <w:p>
      <w:pPr>
        <w:jc w:val="both"/>
        <w:ind w:left="5"/>
        <w:spacing w:after="0" w:line="256" w:lineRule="auto"/>
        <w:rPr>
          <w:sz w:val="20"/>
          <w:szCs w:val="20"/>
          <w:color w:val="auto"/>
        </w:rPr>
      </w:pPr>
      <w:r>
        <w:rPr>
          <w:rFonts w:ascii="Arial" w:cs="Arial" w:eastAsia="Arial" w:hAnsi="Arial"/>
          <w:sz w:val="17"/>
          <w:szCs w:val="17"/>
          <w:color w:val="auto"/>
        </w:rPr>
        <w:t>party thereto, the Administrative Agent, JPMorgan Chase Bank, N.A., Toronto Branch, as Canadian Administrative Agent and the Lenders from time to time party thereto (as amended, modified, restated 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or earlier as provided for in the Credit Agreement, the lesser of the principal sum of</w:t>
      </w:r>
    </w:p>
    <w:p>
      <w:pPr>
        <w:sectPr>
          <w:pgSz w:w="11900" w:h="16838" w:orient="portrait"/>
          <w:cols w:equalWidth="0" w:num="1">
            <w:col w:w="11445"/>
          </w:cols>
          <w:pgMar w:left="235" w:top="124" w:right="219" w:bottom="0" w:gutter="0" w:footer="0" w:header="0"/>
        </w:sectPr>
      </w:pPr>
    </w:p>
    <w:bookmarkStart w:id="171" w:name="page172"/>
    <w:bookmarkEnd w:id="171"/>
    <w:p>
      <w:pPr>
        <w:ind w:left="2845"/>
        <w:spacing w:after="0"/>
        <w:rPr>
          <w:sz w:val="20"/>
          <w:szCs w:val="20"/>
          <w:color w:val="auto"/>
        </w:rPr>
      </w:pPr>
      <w:r>
        <w:rPr>
          <w:rFonts w:ascii="Arial" w:cs="Arial" w:eastAsia="Arial" w:hAnsi="Arial"/>
          <w:sz w:val="17"/>
          <w:szCs w:val="17"/>
          <w:color w:val="auto"/>
        </w:rPr>
        <w:t>____________________________AND ____/100 DOLLARS ($_____________)</w:t>
      </w:r>
    </w:p>
    <w:p>
      <w:pPr>
        <w:spacing w:after="0" w:line="199"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6"/>
          <w:szCs w:val="16"/>
          <w:color w:val="auto"/>
        </w:rPr>
        <w:t>or the aggregate unpaid principal amount of all U.S. Revolving Loans to the Borrowers from the Lender pursuant to the terms of the Credit Agreement, in lawful currency of the United States of America in immediately available funds, and to pay interest from the date thereof on the principal amount hereof from time to time outstanding, in like funds, at said office, at a rate or rates per annum and, in each case, and payable on such dates as determined pursuant to the terms of the Credit Agreement. Capitalized terms used herein and not defined herein shall have the meanings ascribed to them in the Credit Agreement.</w:t>
      </w:r>
    </w:p>
    <w:p>
      <w:pPr>
        <w:spacing w:after="0" w:line="142" w:lineRule="exact"/>
        <w:rPr>
          <w:sz w:val="20"/>
          <w:szCs w:val="20"/>
          <w:color w:val="auto"/>
        </w:rPr>
      </w:pPr>
    </w:p>
    <w:p>
      <w:pPr>
        <w:jc w:val="both"/>
        <w:ind w:left="5" w:right="20" w:firstLine="572"/>
        <w:spacing w:after="0" w:line="291" w:lineRule="auto"/>
        <w:rPr>
          <w:sz w:val="20"/>
          <w:szCs w:val="20"/>
          <w:color w:val="auto"/>
        </w:rPr>
      </w:pPr>
      <w:r>
        <w:rPr>
          <w:rFonts w:ascii="Arial" w:cs="Arial" w:eastAsia="Arial" w:hAnsi="Arial"/>
          <w:sz w:val="15"/>
          <w:szCs w:val="15"/>
          <w:color w:val="auto"/>
        </w:rPr>
        <w:t>[This Amended and Restated Revolving Note amends, restates, supercedes and replaces in its entirety that certain [Amended and Restated] Revolving Note dated [__________] (the “</w:t>
      </w:r>
      <w:r>
        <w:rPr>
          <w:rFonts w:ascii="Arial" w:cs="Arial" w:eastAsia="Arial" w:hAnsi="Arial"/>
          <w:sz w:val="15"/>
          <w:szCs w:val="15"/>
          <w:u w:val="single" w:color="auto"/>
          <w:color w:val="auto"/>
        </w:rPr>
        <w:t>Existing Revolving Note</w:t>
      </w:r>
      <w:r>
        <w:rPr>
          <w:rFonts w:ascii="Arial" w:cs="Arial" w:eastAsia="Arial" w:hAnsi="Arial"/>
          <w:sz w:val="15"/>
          <w:szCs w:val="15"/>
          <w:color w:val="auto"/>
        </w:rPr>
        <w:t>”) in the original maximum principal amount of [$__________] issued to the Lender by the Borrower’s party</w:t>
      </w:r>
    </w:p>
    <w:p>
      <w:pPr>
        <w:spacing w:after="0" w:line="1" w:lineRule="exact"/>
        <w:rPr>
          <w:sz w:val="20"/>
          <w:szCs w:val="20"/>
          <w:color w:val="auto"/>
        </w:rPr>
      </w:pPr>
    </w:p>
    <w:p>
      <w:pPr>
        <w:jc w:val="both"/>
        <w:ind w:left="5"/>
        <w:spacing w:after="0" w:line="263" w:lineRule="auto"/>
        <w:rPr>
          <w:sz w:val="20"/>
          <w:szCs w:val="20"/>
          <w:color w:val="auto"/>
        </w:rPr>
      </w:pPr>
      <w:r>
        <w:rPr>
          <w:rFonts w:ascii="Arial" w:cs="Arial" w:eastAsia="Arial" w:hAnsi="Arial"/>
          <w:sz w:val="17"/>
          <w:szCs w:val="17"/>
          <w:color w:val="auto"/>
        </w:rPr>
        <w:t>thereto (collectively, the “</w:t>
      </w:r>
      <w:r>
        <w:rPr>
          <w:rFonts w:ascii="Arial" w:cs="Arial" w:eastAsia="Arial" w:hAnsi="Arial"/>
          <w:sz w:val="17"/>
          <w:szCs w:val="17"/>
          <w:u w:val="single" w:color="auto"/>
          <w:color w:val="auto"/>
        </w:rPr>
        <w:t>Existing Borrowers</w:t>
      </w:r>
      <w:r>
        <w:rPr>
          <w:rFonts w:ascii="Arial" w:cs="Arial" w:eastAsia="Arial" w:hAnsi="Arial"/>
          <w:sz w:val="17"/>
          <w:szCs w:val="17"/>
          <w:color w:val="auto"/>
        </w:rPr>
        <w:t>”) provided that nothing herein shall be construed to constitute payment of, or impair, limit, cancel or extinguish, or constitute a novation in respect of, the obligations and liabilities of the Existing Borrowers evidenced by the Existing Revolving Note.]</w:t>
      </w:r>
    </w:p>
    <w:p>
      <w:pPr>
        <w:spacing w:after="0" w:line="153" w:lineRule="exact"/>
        <w:rPr>
          <w:sz w:val="20"/>
          <w:szCs w:val="20"/>
          <w:color w:val="auto"/>
        </w:rPr>
      </w:pPr>
    </w:p>
    <w:p>
      <w:pPr>
        <w:jc w:val="both"/>
        <w:ind w:left="5" w:firstLine="572"/>
        <w:spacing w:after="0" w:line="313" w:lineRule="auto"/>
        <w:rPr>
          <w:sz w:val="20"/>
          <w:szCs w:val="20"/>
          <w:color w:val="auto"/>
        </w:rPr>
      </w:pPr>
      <w:r>
        <w:rPr>
          <w:rFonts w:ascii="Arial" w:cs="Arial" w:eastAsia="Arial" w:hAnsi="Arial"/>
          <w:sz w:val="16"/>
          <w:szCs w:val="16"/>
          <w:color w:val="auto"/>
        </w:rPr>
        <w:t>Subject to Section 12.01 of the Credit Agreement, the Borrowers jointly and severally promise to pay interest, on demand, on any overdue principal and fees and, to the extent permitted by law, overdue interest from their due dates at a rate or rates determined as set forth in the Credit Agreement.</w:t>
      </w:r>
    </w:p>
    <w:p>
      <w:pPr>
        <w:spacing w:after="0" w:line="116" w:lineRule="exact"/>
        <w:rPr>
          <w:sz w:val="20"/>
          <w:szCs w:val="20"/>
          <w:color w:val="auto"/>
        </w:rPr>
      </w:pPr>
    </w:p>
    <w:p>
      <w:pPr>
        <w:jc w:val="both"/>
        <w:ind w:left="5" w:firstLine="572"/>
        <w:spacing w:after="0" w:line="280" w:lineRule="auto"/>
        <w:rPr>
          <w:sz w:val="20"/>
          <w:szCs w:val="20"/>
          <w:color w:val="auto"/>
        </w:rPr>
      </w:pPr>
      <w:r>
        <w:rPr>
          <w:rFonts w:ascii="Arial" w:cs="Arial" w:eastAsia="Arial" w:hAnsi="Arial"/>
          <w:sz w:val="17"/>
          <w:szCs w:val="17"/>
          <w:color w:val="auto"/>
        </w:rPr>
        <w:t>The Borrowers hereby waive diligence, presentment, demand, protest and notice of any kind whatsoever. The non-exercise by the holder of any of its rights hereunder in any particular instance shall not constitute a waiver thereof in that or any subsequent instance.</w:t>
      </w:r>
    </w:p>
    <w:p>
      <w:pPr>
        <w:spacing w:after="0" w:line="140" w:lineRule="exact"/>
        <w:rPr>
          <w:sz w:val="20"/>
          <w:szCs w:val="20"/>
          <w:color w:val="auto"/>
        </w:rPr>
      </w:pPr>
    </w:p>
    <w:p>
      <w:pPr>
        <w:jc w:val="both"/>
        <w:ind w:left="5" w:right="20" w:firstLine="572"/>
        <w:spacing w:after="0" w:line="259" w:lineRule="auto"/>
        <w:rPr>
          <w:sz w:val="20"/>
          <w:szCs w:val="20"/>
          <w:color w:val="auto"/>
        </w:rPr>
      </w:pPr>
      <w:r>
        <w:rPr>
          <w:rFonts w:ascii="Arial" w:cs="Arial" w:eastAsia="Arial" w:hAnsi="Arial"/>
          <w:sz w:val="17"/>
          <w:szCs w:val="17"/>
          <w:color w:val="auto"/>
        </w:rPr>
        <w:t>This [Amended and Restated] Revolving Credit Note is one of the promissory notes referred to in the Credit Agreement (and is secured by the Collateral referred to therein), which,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spacing w:after="0" w:line="157" w:lineRule="exact"/>
        <w:rPr>
          <w:sz w:val="20"/>
          <w:szCs w:val="20"/>
          <w:color w:val="auto"/>
        </w:rPr>
      </w:pPr>
    </w:p>
    <w:p>
      <w:pPr>
        <w:jc w:val="both"/>
        <w:ind w:left="5" w:right="20" w:firstLine="572"/>
        <w:spacing w:after="0" w:line="259" w:lineRule="auto"/>
        <w:rPr>
          <w:sz w:val="20"/>
          <w:szCs w:val="20"/>
          <w:color w:val="auto"/>
        </w:rPr>
      </w:pPr>
      <w:r>
        <w:rPr>
          <w:rFonts w:ascii="Arial" w:cs="Arial" w:eastAsia="Arial" w:hAnsi="Arial"/>
          <w:sz w:val="17"/>
          <w:szCs w:val="17"/>
          <w:color w:val="auto"/>
        </w:rPr>
        <w:t>Subject to Section 9.04(b)(iv) of the Credit Agreement, the Administrative Agent shall maintain a register for the recordation of the names and addresses of any assignee or transferee, including the principal amounts of (and stated interest on) this [Amended and Restated] Revolving Credit Note owing to such assignee or transferee pursuant to the terms hereof from time to time, and, in order for such assignment or other transfer to become effective, shall amend such register to reflect any assignment or other transfer otherwise properly affected.</w:t>
      </w:r>
    </w:p>
    <w:p>
      <w:pPr>
        <w:spacing w:after="0" w:line="157" w:lineRule="exact"/>
        <w:rPr>
          <w:sz w:val="20"/>
          <w:szCs w:val="20"/>
          <w:color w:val="auto"/>
        </w:rPr>
      </w:pPr>
    </w:p>
    <w:p>
      <w:pPr>
        <w:jc w:val="both"/>
        <w:ind w:left="5" w:firstLine="572"/>
        <w:spacing w:after="0" w:line="259" w:lineRule="auto"/>
        <w:rPr>
          <w:sz w:val="20"/>
          <w:szCs w:val="20"/>
          <w:color w:val="auto"/>
        </w:rPr>
      </w:pPr>
      <w:r>
        <w:rPr>
          <w:rFonts w:ascii="Arial" w:cs="Arial" w:eastAsia="Arial" w:hAnsi="Arial"/>
          <w:sz w:val="17"/>
          <w:szCs w:val="17"/>
          <w:color w:val="auto"/>
        </w:rPr>
        <w:t>THIS [AMENDED AND RESTATED] REVOLVING CREDIT NOTE SHALL BE CONSTRUED IN ACCORDANCE WITH AND GOVERNED BY THE LAWS OF THE STATE OF NEW YORK WITHOUT REGARD TO ANY CONFLICTS OF LAWS PRINCIPLES THEREOF THAT WOULD CALL FOR THE APPLICATION OF THE LAWS OF ANY OTHER JURISDICTION, BUT IN ANY EVENT GIVING EFFECT TO FEDERAL LAWS APPLICABLE TO NATIONAL BANKS.</w:t>
      </w:r>
    </w:p>
    <w:p>
      <w:pPr>
        <w:spacing w:after="0" w:line="157"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(Remainder of page intentionally left blank)</w:t>
      </w:r>
    </w:p>
    <w:p>
      <w:pPr>
        <w:spacing w:after="0" w:line="198" w:lineRule="exact"/>
        <w:rPr>
          <w:sz w:val="20"/>
          <w:szCs w:val="20"/>
          <w:color w:val="auto"/>
        </w:rPr>
      </w:pPr>
    </w:p>
    <w:p>
      <w:pPr>
        <w:jc w:val="both"/>
        <w:ind w:left="5" w:right="20" w:firstLine="572"/>
        <w:spacing w:after="0" w:line="280" w:lineRule="auto"/>
        <w:rPr>
          <w:sz w:val="20"/>
          <w:szCs w:val="20"/>
          <w:color w:val="auto"/>
        </w:rPr>
      </w:pPr>
      <w:r>
        <w:rPr>
          <w:rFonts w:ascii="Arial" w:cs="Arial" w:eastAsia="Arial" w:hAnsi="Arial"/>
          <w:sz w:val="17"/>
          <w:szCs w:val="17"/>
          <w:color w:val="auto"/>
        </w:rPr>
        <w:t>IN WITNESS WHEREOF, each of the undersigned has executed this [Amended and Restated] Revolving Credit Note under seal as of the date first set forth above.</w:t>
      </w:r>
    </w:p>
    <w:p>
      <w:pPr>
        <w:spacing w:after="0" w:line="140"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WESCO DISTRIBUTION, INC.,</w:t>
      </w:r>
    </w:p>
    <w:p>
      <w:pPr>
        <w:spacing w:after="0" w:line="21"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WESCO EQUITY CORPORATION,</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WESCO INTEGRATED SUPPLY, INC.,</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WESCO NEVADA, LTD.,</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COMMUNICATIONS SUPPLY CORPORATION,</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CALVERT WIRE &amp; CABLE CORPORATION,</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LIBERTY WIRE &amp; CABLE, INC.,</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CARLTON-BATES COMPANY,</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TVC COMMUNICATIONS, L.L.C.,</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CONNEY SAFETY PRODUCTS, LLC,</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HI-LINE UTILITY SUPPLY COMPANY, LLC</w:t>
      </w:r>
    </w:p>
    <w:p>
      <w:pPr>
        <w:spacing w:after="0" w:line="398"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-8255</wp:posOffset>
            </wp:positionV>
            <wp:extent cx="66548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Name: Brian Begg</w:t>
      </w:r>
    </w:p>
    <w:p>
      <w:pPr>
        <w:spacing w:after="0" w:line="7"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Title: Treasurer</w:t>
      </w:r>
    </w:p>
    <w:p>
      <w:pPr>
        <w:spacing w:after="0" w:line="374"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HILL COUNTRY ELECTRIC SUPPLY, L.P.</w:t>
      </w:r>
    </w:p>
    <w:p>
      <w:pPr>
        <w:spacing w:after="0" w:line="210"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By: TVC International Holding, L.L.C.,</w:t>
      </w:r>
    </w:p>
    <w:p>
      <w:pPr>
        <w:spacing w:after="0" w:line="210" w:lineRule="exact"/>
        <w:rPr>
          <w:sz w:val="20"/>
          <w:szCs w:val="20"/>
          <w:color w:val="auto"/>
        </w:rPr>
      </w:pPr>
    </w:p>
    <w:p>
      <w:pPr>
        <w:ind w:left="3785"/>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-8255</wp:posOffset>
            </wp:positionV>
            <wp:extent cx="6654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5"/>
        <w:spacing w:after="0"/>
        <w:rPr>
          <w:sz w:val="20"/>
          <w:szCs w:val="20"/>
          <w:color w:val="auto"/>
        </w:rPr>
      </w:pPr>
      <w:r>
        <w:rPr>
          <w:rFonts w:ascii="Arial" w:cs="Arial" w:eastAsia="Arial" w:hAnsi="Arial"/>
          <w:sz w:val="17"/>
          <w:szCs w:val="17"/>
          <w:color w:val="auto"/>
        </w:rPr>
        <w:t>Name: Brian Begg</w:t>
      </w:r>
    </w:p>
    <w:p>
      <w:pPr>
        <w:spacing w:after="0" w:line="7" w:lineRule="exact"/>
        <w:rPr>
          <w:sz w:val="20"/>
          <w:szCs w:val="20"/>
          <w:color w:val="auto"/>
        </w:rPr>
      </w:pPr>
    </w:p>
    <w:p>
      <w:pPr>
        <w:ind w:left="4005"/>
        <w:spacing w:after="0"/>
        <w:rPr>
          <w:sz w:val="20"/>
          <w:szCs w:val="20"/>
          <w:color w:val="auto"/>
        </w:rPr>
      </w:pPr>
      <w:r>
        <w:rPr>
          <w:rFonts w:ascii="Arial" w:cs="Arial" w:eastAsia="Arial" w:hAnsi="Arial"/>
          <w:sz w:val="17"/>
          <w:szCs w:val="17"/>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[FORM OF] [AMENDED AND RESTATED] REVOLVING CREDIT NOTE</w:t>
      </w:r>
    </w:p>
    <w:p>
      <w:pPr>
        <w:spacing w:after="0" w:line="204" w:lineRule="exact"/>
        <w:rPr>
          <w:sz w:val="20"/>
          <w:szCs w:val="20"/>
          <w:color w:val="auto"/>
        </w:rPr>
      </w:pPr>
    </w:p>
    <w:p>
      <w:pPr>
        <w:ind w:left="9785"/>
        <w:spacing w:after="0"/>
        <w:rPr>
          <w:sz w:val="20"/>
          <w:szCs w:val="20"/>
          <w:color w:val="auto"/>
        </w:rPr>
      </w:pPr>
      <w:r>
        <w:rPr>
          <w:rFonts w:ascii="Arial" w:cs="Arial" w:eastAsia="Arial" w:hAnsi="Arial"/>
          <w:sz w:val="15"/>
          <w:szCs w:val="15"/>
          <w:color w:val="auto"/>
        </w:rPr>
        <w:t>___________________</w:t>
      </w:r>
    </w:p>
    <w:p>
      <w:pPr>
        <w:spacing w:after="0" w:line="44" w:lineRule="exact"/>
        <w:rPr>
          <w:sz w:val="20"/>
          <w:szCs w:val="20"/>
          <w:color w:val="auto"/>
        </w:rPr>
      </w:pPr>
    </w:p>
    <w:p>
      <w:pPr>
        <w:ind w:left="605" w:hanging="605"/>
        <w:spacing w:after="0"/>
        <w:tabs>
          <w:tab w:leader="none" w:pos="60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-17145</wp:posOffset>
            </wp:positionV>
            <wp:extent cx="11112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-17145</wp:posOffset>
            </wp:positionV>
            <wp:extent cx="11112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64" w:lineRule="exact"/>
        <w:rPr>
          <w:sz w:val="20"/>
          <w:szCs w:val="20"/>
          <w:color w:val="auto"/>
        </w:rPr>
      </w:pPr>
    </w:p>
    <w:p>
      <w:pPr>
        <w:jc w:val="both"/>
        <w:ind w:left="5" w:firstLine="572"/>
        <w:spacing w:after="0" w:line="270" w:lineRule="auto"/>
        <w:rPr>
          <w:sz w:val="20"/>
          <w:szCs w:val="20"/>
          <w:color w:val="auto"/>
        </w:rPr>
      </w:pPr>
      <w:r>
        <w:rPr>
          <w:rFonts w:ascii="Arial" w:cs="Arial" w:eastAsia="Arial" w:hAnsi="Arial"/>
          <w:sz w:val="16"/>
          <w:szCs w:val="16"/>
          <w:color w:val="auto"/>
        </w:rPr>
        <w:t>FOR VALUE RECEIVED, the undersigned WESCO Distribution Canada LP, an Ontario limited partnership, WDCC Enterprises Inc., an Alberta corporation, Hazmasters Inc., an Ontario corporation, Hazmasters Quebec, Inc., and EECOL Electric ULC (collectively,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hereby jointly and severally, subject to Section 12.01 of the Credit Agreement, promise to pay to ___________________________________ and its registered assigns (the</w:t>
      </w:r>
    </w:p>
    <w:p>
      <w:pPr>
        <w:spacing w:after="0" w:line="1" w:lineRule="exact"/>
        <w:rPr>
          <w:sz w:val="20"/>
          <w:szCs w:val="20"/>
          <w:color w:val="auto"/>
        </w:rPr>
      </w:pPr>
    </w:p>
    <w:p>
      <w:pPr>
        <w:jc w:val="both"/>
        <w:ind w:left="5"/>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at the office of JPMorgan Chase Bank, N.A., Toronto Branch, as Canadian Administrative Agent (the “</w:t>
      </w:r>
      <w:r>
        <w:rPr>
          <w:rFonts w:ascii="Arial" w:cs="Arial" w:eastAsia="Arial" w:hAnsi="Arial"/>
          <w:sz w:val="16"/>
          <w:szCs w:val="16"/>
          <w:u w:val="single" w:color="auto"/>
          <w:color w:val="auto"/>
        </w:rPr>
        <w:t>Canadian Administrative Agent</w:t>
      </w:r>
      <w:r>
        <w:rPr>
          <w:rFonts w:ascii="Arial" w:cs="Arial" w:eastAsia="Arial" w:hAnsi="Arial"/>
          <w:sz w:val="16"/>
          <w:szCs w:val="16"/>
          <w:color w:val="auto"/>
        </w:rPr>
        <w:t>”), at Royal Bank Plaza, South Tower, 1800 -200 Bay Street, Toronto, Ontario M5J 2J2, at the expiration of the Availability Period, as defined in that certain Second Amended and Restated Credit Agreement dated as of September ____, 2015, among the U.S. Borrowers party thereto, the Canadian Borrowers, the other Loan Parties party</w:t>
      </w:r>
    </w:p>
    <w:p>
      <w:pPr>
        <w:sectPr>
          <w:pgSz w:w="11900" w:h="16838" w:orient="portrait"/>
          <w:cols w:equalWidth="0" w:num="1">
            <w:col w:w="11445"/>
          </w:cols>
          <w:pgMar w:left="235" w:top="124" w:right="219" w:bottom="0" w:gutter="0" w:footer="0" w:header="0"/>
        </w:sectPr>
      </w:pPr>
    </w:p>
    <w:bookmarkStart w:id="172" w:name="page173"/>
    <w:bookmarkEnd w:id="172"/>
    <w:p>
      <w:pPr>
        <w:jc w:val="both"/>
        <w:spacing w:after="0" w:line="265" w:lineRule="auto"/>
        <w:rPr>
          <w:sz w:val="20"/>
          <w:szCs w:val="20"/>
          <w:color w:val="auto"/>
        </w:rPr>
      </w:pPr>
      <w:r>
        <w:rPr>
          <w:rFonts w:ascii="Arial" w:cs="Arial" w:eastAsia="Arial" w:hAnsi="Arial"/>
          <w:sz w:val="17"/>
          <w:szCs w:val="17"/>
          <w:color w:val="auto"/>
        </w:rPr>
        <w:t>thereto, the Canadian Administrative Agent, JPMorgan Chase Bank, N.A., as Administrative Agent and the Lenders from time to time party thereto (as amended, modified, restated 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or earlier as provided for in the Credit Agreement, the lesser of the principal sum of</w:t>
      </w:r>
    </w:p>
    <w:p>
      <w:pPr>
        <w:spacing w:after="0" w:line="15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____________________________AND ____/100 DOLLARS ($_____________)</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6"/>
          <w:szCs w:val="16"/>
          <w:color w:val="auto"/>
        </w:rPr>
        <w:t>or the aggregate unpaid principal amount of all Canadian Revolving Loans to the Canadian Borrowers from the Lender pursuant to the terms of the Credit Agreement, in lawful currency of Canada in immediately available funds, and to pay interest from the date thereof on the principal amount hereof from time to time outstanding, in like funds, at said office, at a rate or rates per annum and, in each case, and payable on such dates as determined pursuant to the terms of the Credit Agreement. Capitalized terms used herein and not defined herein shall have the meanings ascribed to them in the Credit Agreement.</w:t>
      </w:r>
    </w:p>
    <w:p>
      <w:pPr>
        <w:spacing w:after="0" w:line="142" w:lineRule="exact"/>
        <w:rPr>
          <w:sz w:val="20"/>
          <w:szCs w:val="20"/>
          <w:color w:val="auto"/>
        </w:rPr>
      </w:pPr>
    </w:p>
    <w:p>
      <w:pPr>
        <w:jc w:val="both"/>
        <w:ind w:right="20" w:firstLine="572"/>
        <w:spacing w:after="0" w:line="273" w:lineRule="auto"/>
        <w:rPr>
          <w:sz w:val="20"/>
          <w:szCs w:val="20"/>
          <w:color w:val="auto"/>
        </w:rPr>
      </w:pPr>
      <w:r>
        <w:rPr>
          <w:rFonts w:ascii="Arial" w:cs="Arial" w:eastAsia="Arial" w:hAnsi="Arial"/>
          <w:sz w:val="16"/>
          <w:szCs w:val="16"/>
          <w:color w:val="auto"/>
        </w:rPr>
        <w:t>[This Amended and Restated Revolving Note amends, restates, supercedes and replaces in its entirety that certain [Amended and Restated] Revolving Note dated [__________] (the “</w:t>
      </w:r>
      <w:r>
        <w:rPr>
          <w:rFonts w:ascii="Arial" w:cs="Arial" w:eastAsia="Arial" w:hAnsi="Arial"/>
          <w:sz w:val="16"/>
          <w:szCs w:val="16"/>
          <w:u w:val="single" w:color="auto"/>
          <w:color w:val="auto"/>
        </w:rPr>
        <w:t>Existing Revolving Note</w:t>
      </w:r>
      <w:r>
        <w:rPr>
          <w:rFonts w:ascii="Arial" w:cs="Arial" w:eastAsia="Arial" w:hAnsi="Arial"/>
          <w:sz w:val="16"/>
          <w:szCs w:val="16"/>
          <w:color w:val="auto"/>
        </w:rPr>
        <w:t>”) in the original maximum principal amount of [$__________] issued to the Lender by the Canadian</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Borrower’s party thereto (collectively, the “</w:t>
      </w:r>
      <w:r>
        <w:rPr>
          <w:rFonts w:ascii="Arial" w:cs="Arial" w:eastAsia="Arial" w:hAnsi="Arial"/>
          <w:sz w:val="17"/>
          <w:szCs w:val="17"/>
          <w:u w:val="single" w:color="auto"/>
          <w:color w:val="auto"/>
        </w:rPr>
        <w:t>Existing Canadian Borrowers</w:t>
      </w:r>
      <w:r>
        <w:rPr>
          <w:rFonts w:ascii="Arial" w:cs="Arial" w:eastAsia="Arial" w:hAnsi="Arial"/>
          <w:sz w:val="17"/>
          <w:szCs w:val="17"/>
          <w:color w:val="auto"/>
        </w:rPr>
        <w:t>”) provided that nothing herein shall be construed to constitute payment of, or impair, limit, cancel or extinguish, or constitute a novation in respect of, the obligations and liabilities of the Existing Canadian Borrowers evidenced by the Existing Revolving Note.]</w:t>
      </w:r>
    </w:p>
    <w:p>
      <w:pPr>
        <w:spacing w:after="0" w:line="159" w:lineRule="exact"/>
        <w:rPr>
          <w:sz w:val="20"/>
          <w:szCs w:val="20"/>
          <w:color w:val="auto"/>
        </w:rPr>
      </w:pPr>
    </w:p>
    <w:p>
      <w:pPr>
        <w:jc w:val="both"/>
        <w:ind w:right="20" w:firstLine="572"/>
        <w:spacing w:after="0" w:line="313" w:lineRule="auto"/>
        <w:rPr>
          <w:sz w:val="20"/>
          <w:szCs w:val="20"/>
          <w:color w:val="auto"/>
        </w:rPr>
      </w:pPr>
      <w:r>
        <w:rPr>
          <w:rFonts w:ascii="Arial" w:cs="Arial" w:eastAsia="Arial" w:hAnsi="Arial"/>
          <w:sz w:val="16"/>
          <w:szCs w:val="16"/>
          <w:color w:val="auto"/>
        </w:rPr>
        <w:t>Subject to Section 12.01 of the Credit Agreement, the Canadian Borrowers jointly and severally promise to pay interest, on demand, on any overdue principal and fees and, to the extent permitted by law, overdue interest from their due dates at a rate or rates determined as set forth in the Credit Agreement.</w:t>
      </w:r>
    </w:p>
    <w:p>
      <w:pPr>
        <w:spacing w:after="0" w:line="116"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The Canadian Borrowers hereby waive diligence, presentment, demand, protest and notice of any kind whatsoever. The non-exercise by the holder of any of its rights hereunder in any particular instance shall not constitute a waiver thereof in that or any subsequent instance.</w:t>
      </w:r>
    </w:p>
    <w:p>
      <w:pPr>
        <w:spacing w:after="0" w:line="140"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Subject to Section 9.04(b)(iv) of the Credit Agreement, the Administrative Agent shall maintain a register for the recordation of the names and addresses of any assignee or transferee, including the principal amounts of (and stated interest on) this [Amended and Restated] Revolving Credit Note owing to such assignee or transferee pursuant to the terms hereof from time to time, and, in order for such assignment or other transfer to become effective, shall amend such register to reflect any assignment or other transfer otherwise properly affected.</w:t>
      </w:r>
    </w:p>
    <w:p>
      <w:pPr>
        <w:spacing w:after="0" w:line="157" w:lineRule="exact"/>
        <w:rPr>
          <w:sz w:val="20"/>
          <w:szCs w:val="20"/>
          <w:color w:val="auto"/>
        </w:rPr>
      </w:pPr>
    </w:p>
    <w:p>
      <w:pPr>
        <w:jc w:val="both"/>
        <w:ind w:right="20" w:firstLine="572"/>
        <w:spacing w:after="0" w:line="259" w:lineRule="auto"/>
        <w:rPr>
          <w:sz w:val="20"/>
          <w:szCs w:val="20"/>
          <w:color w:val="auto"/>
        </w:rPr>
      </w:pPr>
      <w:r>
        <w:rPr>
          <w:rFonts w:ascii="Arial" w:cs="Arial" w:eastAsia="Arial" w:hAnsi="Arial"/>
          <w:sz w:val="17"/>
          <w:szCs w:val="17"/>
          <w:color w:val="auto"/>
        </w:rPr>
        <w:t>This [Amended and Restated] Revolving Credit Note is one of the promissory notes referred to in the Credit Agreement (and is secured by the Collateral referred to therein), which,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spacing w:after="0" w:line="157"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7"/>
          <w:szCs w:val="17"/>
          <w:color w:val="auto"/>
        </w:rPr>
        <w:t>THIS [AMENDED AND RESTATED] REVOLVING CREDIT NOTE SHALL BE CONSTRUED IN ACCORDANCE WITH AND GOVERNED BY THE LAWS OF THE STATE OF NEW YORK WITHOUT REGARD TO ANY CONFLICTS OF LAWS PRINCIPLES THEREOF THAT WOULD CALL FOR THE APPLICATION OF THE LAWS OF ANY OTHER JURISDICTION, BUT IN ANY EVENT GIVING EFFECT TO FEDERAL LAWS APPLICABLE TO NATIONAL BANKS.</w:t>
      </w:r>
    </w:p>
    <w:p>
      <w:pPr>
        <w:spacing w:after="0" w:line="157"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(Remainder of page intentionally left blank)</w:t>
      </w:r>
    </w:p>
    <w:p>
      <w:pPr>
        <w:spacing w:after="0" w:line="19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7"/>
          <w:szCs w:val="17"/>
          <w:color w:val="auto"/>
        </w:rPr>
        <w:t>IN WITNESS WHEREOF, each of the undersigned has executed this [Amended and Restated] Revolving Credit Note under seal as of the date first set forth above.</w:t>
      </w:r>
    </w:p>
    <w:p>
      <w:pPr>
        <w:spacing w:after="0" w:line="140"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WESCO DISTRIBUTION CANADA LP</w:t>
      </w:r>
    </w:p>
    <w:p>
      <w:pPr>
        <w:spacing w:after="0" w:line="1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 WESCO DISTRIBUTION CANADA GP</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INC., its General Partner</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 Brian Begg</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 Treasurer and Assistant Secretary</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WDCC ENTERPRISES INC.</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HAZMASTERS INC.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HAZMASTERS QUEBEC INC.</w:t>
      </w:r>
    </w:p>
    <w:p>
      <w:pPr>
        <w:spacing w:after="0" w:line="200" w:lineRule="exact"/>
        <w:rPr>
          <w:sz w:val="20"/>
          <w:szCs w:val="20"/>
          <w:color w:val="auto"/>
        </w:rPr>
      </w:pPr>
    </w:p>
    <w:p>
      <w:pPr>
        <w:spacing w:after="0" w:line="37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 Brain Begg</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 Treasurer and Assistant Secretary</w:t>
      </w:r>
    </w:p>
    <w:p>
      <w:pPr>
        <w:spacing w:after="0" w:line="37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EECOL ELECTRIC ULC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-8255</wp:posOffset>
            </wp:positionV>
            <wp:extent cx="6654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5480" cy="7620"/>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Name: Brain Begg</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Title: Treasurer</w:t>
      </w:r>
    </w:p>
    <w:p>
      <w:pPr>
        <w:sectPr>
          <w:pgSz w:w="11900" w:h="16838" w:orient="portrait"/>
          <w:cols w:equalWidth="0" w:num="1">
            <w:col w:w="11440"/>
          </w:cols>
          <w:pgMar w:left="240" w:top="124" w:right="219" w:bottom="8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AM 53729725.14</w:t>
      </w:r>
    </w:p>
    <w:p>
      <w:pPr>
        <w:sectPr>
          <w:pgSz w:w="11900" w:h="16838" w:orient="portrait"/>
          <w:cols w:equalWidth="0" w:num="1">
            <w:col w:w="11440"/>
          </w:cols>
          <w:pgMar w:left="240" w:top="124" w:right="219" w:bottom="857"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FOURTH AMENDED AND RESTATED RECEIVABLES PURCHASE AGREEMENT</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dated as of September 24, 2015</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among</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WESCO RECEIVABLES CORP.,</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as Seller,</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WESCO DISTRIBUTION, INC.,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as Servicer,</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THE VARIOUS PURCHASER GROUPS FROM TIME TO TIME PARTY HERETO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320" w:type="dxa"/>
            <w:vAlign w:val="bottom"/>
          </w:tcPr>
          <w:p>
            <w:pPr>
              <w:jc w:val="center"/>
              <w:ind w:right="2625"/>
              <w:spacing w:after="0"/>
              <w:rPr>
                <w:sz w:val="20"/>
                <w:szCs w:val="20"/>
                <w:color w:val="auto"/>
              </w:rPr>
            </w:pPr>
            <w:r>
              <w:rPr>
                <w:rFonts w:ascii="Arial" w:cs="Arial" w:eastAsia="Arial" w:hAnsi="Arial"/>
                <w:sz w:val="19"/>
                <w:szCs w:val="19"/>
                <w:color w:val="auto"/>
                <w:w w:val="88"/>
              </w:rPr>
              <w:t>and</w:t>
            </w:r>
          </w:p>
        </w:tc>
      </w:tr>
      <w:tr>
        <w:trPr>
          <w:trHeight w:val="449"/>
        </w:trPr>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4"/>
          </w:tcPr>
          <w:p>
            <w:pPr>
              <w:jc w:val="center"/>
              <w:ind w:right="1205"/>
              <w:spacing w:after="0"/>
              <w:rPr>
                <w:sz w:val="20"/>
                <w:szCs w:val="20"/>
                <w:color w:val="auto"/>
              </w:rPr>
            </w:pPr>
            <w:r>
              <w:rPr>
                <w:rFonts w:ascii="Arial" w:cs="Arial" w:eastAsia="Arial" w:hAnsi="Arial"/>
                <w:sz w:val="19"/>
                <w:szCs w:val="19"/>
                <w:color w:val="auto"/>
                <w:w w:val="98"/>
              </w:rPr>
              <w:t>PNC BANK, NATIONAL ASSOCIATION,</w:t>
            </w:r>
          </w:p>
        </w:tc>
      </w:tr>
      <w:tr>
        <w:trPr>
          <w:trHeight w:val="242"/>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120" w:type="dxa"/>
            <w:vAlign w:val="bottom"/>
            <w:gridSpan w:val="2"/>
          </w:tcPr>
          <w:p>
            <w:pPr>
              <w:jc w:val="center"/>
              <w:ind w:right="1785"/>
              <w:spacing w:after="0"/>
              <w:rPr>
                <w:sz w:val="20"/>
                <w:szCs w:val="20"/>
                <w:color w:val="auto"/>
              </w:rPr>
            </w:pPr>
            <w:r>
              <w:rPr>
                <w:rFonts w:ascii="Arial" w:cs="Arial" w:eastAsia="Arial" w:hAnsi="Arial"/>
                <w:sz w:val="19"/>
                <w:szCs w:val="19"/>
                <w:color w:val="auto"/>
                <w:w w:val="93"/>
              </w:rPr>
              <w:t>as Administrator</w:t>
            </w:r>
          </w:p>
        </w:tc>
      </w:tr>
      <w:tr>
        <w:trPr>
          <w:trHeight w:val="870"/>
        </w:trPr>
        <w:tc>
          <w:tcPr>
            <w:tcW w:w="1240" w:type="dxa"/>
            <w:vAlign w:val="bottom"/>
          </w:tcPr>
          <w:p>
            <w:pPr>
              <w:spacing w:after="0"/>
              <w:rPr>
                <w:sz w:val="20"/>
                <w:szCs w:val="20"/>
                <w:color w:val="auto"/>
              </w:rPr>
            </w:pPr>
            <w:r>
              <w:rPr>
                <w:rFonts w:ascii="Arial" w:cs="Arial" w:eastAsia="Arial" w:hAnsi="Arial"/>
                <w:sz w:val="19"/>
                <w:szCs w:val="19"/>
                <w:color w:val="auto"/>
              </w:rPr>
              <w:t>ARTICLE I.</w:t>
            </w:r>
          </w:p>
        </w:tc>
        <w:tc>
          <w:tcPr>
            <w:tcW w:w="4160" w:type="dxa"/>
            <w:vAlign w:val="bottom"/>
            <w:gridSpan w:val="8"/>
          </w:tcPr>
          <w:p>
            <w:pPr>
              <w:ind w:left="180"/>
              <w:spacing w:after="0"/>
              <w:rPr>
                <w:sz w:val="20"/>
                <w:szCs w:val="20"/>
                <w:color w:val="auto"/>
              </w:rPr>
            </w:pPr>
            <w:r>
              <w:rPr>
                <w:rFonts w:ascii="Arial" w:cs="Arial" w:eastAsia="Arial" w:hAnsi="Arial"/>
                <w:sz w:val="19"/>
                <w:szCs w:val="19"/>
                <w:color w:val="auto"/>
                <w:w w:val="96"/>
              </w:rPr>
              <w:t>AMOUNTS AND TERMS OF THE PURCHASES</w:t>
            </w:r>
          </w:p>
        </w:tc>
        <w:tc>
          <w:tcPr>
            <w:tcW w:w="3320" w:type="dxa"/>
            <w:vAlign w:val="bottom"/>
          </w:tcPr>
          <w:p>
            <w:pPr>
              <w:jc w:val="right"/>
              <w:ind w:right="2965"/>
              <w:spacing w:after="0"/>
              <w:rPr>
                <w:sz w:val="20"/>
                <w:szCs w:val="20"/>
                <w:color w:val="auto"/>
              </w:rPr>
            </w:pPr>
            <w:r>
              <w:rPr>
                <w:rFonts w:ascii="Arial" w:cs="Arial" w:eastAsia="Arial" w:hAnsi="Arial"/>
                <w:sz w:val="19"/>
                <w:szCs w:val="19"/>
                <w:color w:val="auto"/>
              </w:rPr>
              <w:t>2</w:t>
            </w:r>
          </w:p>
        </w:tc>
      </w:tr>
      <w:tr>
        <w:trPr>
          <w:trHeight w:val="322"/>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1.1.</w:t>
            </w:r>
          </w:p>
        </w:tc>
        <w:tc>
          <w:tcPr>
            <w:tcW w:w="1720" w:type="dxa"/>
            <w:vAlign w:val="bottom"/>
            <w:gridSpan w:val="2"/>
          </w:tcPr>
          <w:p>
            <w:pPr>
              <w:ind w:left="220"/>
              <w:spacing w:after="0"/>
              <w:rPr>
                <w:sz w:val="20"/>
                <w:szCs w:val="20"/>
                <w:color w:val="auto"/>
              </w:rPr>
            </w:pPr>
            <w:r>
              <w:rPr>
                <w:rFonts w:ascii="Arial" w:cs="Arial" w:eastAsia="Arial" w:hAnsi="Arial"/>
                <w:sz w:val="19"/>
                <w:szCs w:val="19"/>
                <w:color w:val="auto"/>
              </w:rPr>
              <w:t>Purchase Facility</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1.2.</w:t>
            </w:r>
          </w:p>
        </w:tc>
        <w:tc>
          <w:tcPr>
            <w:tcW w:w="1720" w:type="dxa"/>
            <w:vAlign w:val="bottom"/>
            <w:gridSpan w:val="2"/>
          </w:tcPr>
          <w:p>
            <w:pPr>
              <w:ind w:left="220"/>
              <w:spacing w:after="0"/>
              <w:rPr>
                <w:sz w:val="20"/>
                <w:szCs w:val="20"/>
                <w:color w:val="auto"/>
              </w:rPr>
            </w:pPr>
            <w:r>
              <w:rPr>
                <w:rFonts w:ascii="Arial" w:cs="Arial" w:eastAsia="Arial" w:hAnsi="Arial"/>
                <w:sz w:val="19"/>
                <w:szCs w:val="19"/>
                <w:color w:val="auto"/>
                <w:w w:val="94"/>
              </w:rPr>
              <w:t>Making Purchases</w:t>
            </w:r>
          </w:p>
        </w:tc>
        <w:tc>
          <w:tcPr>
            <w:tcW w:w="460" w:type="dxa"/>
            <w:vAlign w:val="bottom"/>
            <w:gridSpan w:val="2"/>
          </w:tcPr>
          <w:p>
            <w:pPr>
              <w:jc w:val="right"/>
              <w:ind w:right="185"/>
              <w:spacing w:after="0"/>
              <w:rPr>
                <w:sz w:val="20"/>
                <w:szCs w:val="20"/>
                <w:color w:val="auto"/>
              </w:rPr>
            </w:pPr>
            <w:r>
              <w:rPr>
                <w:rFonts w:ascii="Arial" w:cs="Arial" w:eastAsia="Arial" w:hAnsi="Arial"/>
                <w:sz w:val="19"/>
                <w:szCs w:val="19"/>
                <w:color w:val="auto"/>
              </w:rPr>
              <w:t>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1.3.</w:t>
            </w:r>
          </w:p>
        </w:tc>
        <w:tc>
          <w:tcPr>
            <w:tcW w:w="2820" w:type="dxa"/>
            <w:vAlign w:val="bottom"/>
            <w:gridSpan w:val="6"/>
          </w:tcPr>
          <w:p>
            <w:pPr>
              <w:ind w:left="220"/>
              <w:spacing w:after="0"/>
              <w:rPr>
                <w:sz w:val="20"/>
                <w:szCs w:val="20"/>
                <w:color w:val="auto"/>
              </w:rPr>
            </w:pPr>
            <w:r>
              <w:rPr>
                <w:rFonts w:ascii="Arial" w:cs="Arial" w:eastAsia="Arial" w:hAnsi="Arial"/>
                <w:sz w:val="19"/>
                <w:szCs w:val="19"/>
                <w:color w:val="auto"/>
                <w:w w:val="94"/>
              </w:rPr>
              <w:t>Purchased Interest Computation</w:t>
            </w:r>
          </w:p>
        </w:tc>
        <w:tc>
          <w:tcPr>
            <w:tcW w:w="800" w:type="dxa"/>
            <w:vAlign w:val="bottom"/>
          </w:tcPr>
          <w:p>
            <w:pPr>
              <w:ind w:left="40"/>
              <w:spacing w:after="0"/>
              <w:rPr>
                <w:sz w:val="20"/>
                <w:szCs w:val="20"/>
                <w:color w:val="auto"/>
              </w:rPr>
            </w:pPr>
            <w:r>
              <w:rPr>
                <w:rFonts w:ascii="Arial" w:cs="Arial" w:eastAsia="Arial" w:hAnsi="Arial"/>
                <w:sz w:val="19"/>
                <w:szCs w:val="19"/>
                <w:color w:val="auto"/>
              </w:rPr>
              <w:t>5</w:t>
            </w: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1.4.</w:t>
            </w:r>
          </w:p>
        </w:tc>
        <w:tc>
          <w:tcPr>
            <w:tcW w:w="2420" w:type="dxa"/>
            <w:vAlign w:val="bottom"/>
            <w:gridSpan w:val="5"/>
          </w:tcPr>
          <w:p>
            <w:pPr>
              <w:ind w:left="220"/>
              <w:spacing w:after="0"/>
              <w:rPr>
                <w:sz w:val="20"/>
                <w:szCs w:val="20"/>
                <w:color w:val="auto"/>
              </w:rPr>
            </w:pPr>
            <w:r>
              <w:rPr>
                <w:rFonts w:ascii="Arial" w:cs="Arial" w:eastAsia="Arial" w:hAnsi="Arial"/>
                <w:sz w:val="19"/>
                <w:szCs w:val="19"/>
                <w:color w:val="auto"/>
              </w:rPr>
              <w:t>Settlement Procedures  6</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1.5.</w:t>
            </w:r>
          </w:p>
        </w:tc>
        <w:tc>
          <w:tcPr>
            <w:tcW w:w="1440" w:type="dxa"/>
            <w:vAlign w:val="bottom"/>
          </w:tcPr>
          <w:p>
            <w:pPr>
              <w:ind w:left="220"/>
              <w:spacing w:after="0"/>
              <w:rPr>
                <w:sz w:val="20"/>
                <w:szCs w:val="20"/>
                <w:color w:val="auto"/>
              </w:rPr>
            </w:pPr>
            <w:r>
              <w:rPr>
                <w:rFonts w:ascii="Arial" w:cs="Arial" w:eastAsia="Arial" w:hAnsi="Arial"/>
                <w:sz w:val="19"/>
                <w:szCs w:val="19"/>
                <w:color w:val="auto"/>
              </w:rPr>
              <w:t>Fees  10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1.6.</w:t>
            </w:r>
          </w:p>
        </w:tc>
        <w:tc>
          <w:tcPr>
            <w:tcW w:w="2820" w:type="dxa"/>
            <w:vAlign w:val="bottom"/>
            <w:gridSpan w:val="6"/>
          </w:tcPr>
          <w:p>
            <w:pPr>
              <w:ind w:left="220"/>
              <w:spacing w:after="0"/>
              <w:rPr>
                <w:sz w:val="20"/>
                <w:szCs w:val="20"/>
                <w:color w:val="auto"/>
              </w:rPr>
            </w:pPr>
            <w:r>
              <w:rPr>
                <w:rFonts w:ascii="Arial" w:cs="Arial" w:eastAsia="Arial" w:hAnsi="Arial"/>
                <w:sz w:val="19"/>
                <w:szCs w:val="19"/>
                <w:color w:val="auto"/>
                <w:w w:val="91"/>
              </w:rPr>
              <w:t>Payments and Computations, Etc</w:t>
            </w:r>
          </w:p>
        </w:tc>
        <w:tc>
          <w:tcPr>
            <w:tcW w:w="800" w:type="dxa"/>
            <w:vAlign w:val="bottom"/>
          </w:tcPr>
          <w:p>
            <w:pPr>
              <w:jc w:val="right"/>
              <w:ind w:right="405"/>
              <w:spacing w:after="0"/>
              <w:rPr>
                <w:sz w:val="20"/>
                <w:szCs w:val="20"/>
                <w:color w:val="auto"/>
              </w:rPr>
            </w:pPr>
            <w:r>
              <w:rPr>
                <w:rFonts w:ascii="Arial" w:cs="Arial" w:eastAsia="Arial" w:hAnsi="Arial"/>
                <w:sz w:val="19"/>
                <w:szCs w:val="19"/>
                <w:color w:val="auto"/>
              </w:rPr>
              <w:t>10</w:t>
            </w: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1.7.</w:t>
            </w:r>
          </w:p>
        </w:tc>
        <w:tc>
          <w:tcPr>
            <w:tcW w:w="1440" w:type="dxa"/>
            <w:vAlign w:val="bottom"/>
          </w:tcPr>
          <w:p>
            <w:pPr>
              <w:ind w:left="220"/>
              <w:spacing w:after="0"/>
              <w:rPr>
                <w:sz w:val="20"/>
                <w:szCs w:val="20"/>
                <w:color w:val="auto"/>
              </w:rPr>
            </w:pPr>
            <w:r>
              <w:rPr>
                <w:rFonts w:ascii="Arial" w:cs="Arial" w:eastAsia="Arial" w:hAnsi="Arial"/>
                <w:sz w:val="19"/>
                <w:szCs w:val="19"/>
                <w:color w:val="auto"/>
                <w:w w:val="87"/>
              </w:rPr>
              <w:t>Increased Costs</w:t>
            </w:r>
          </w:p>
        </w:tc>
        <w:tc>
          <w:tcPr>
            <w:tcW w:w="460" w:type="dxa"/>
            <w:vAlign w:val="bottom"/>
            <w:gridSpan w:val="2"/>
          </w:tcPr>
          <w:p>
            <w:pPr>
              <w:jc w:val="right"/>
              <w:ind w:right="5"/>
              <w:spacing w:after="0"/>
              <w:rPr>
                <w:sz w:val="20"/>
                <w:szCs w:val="20"/>
                <w:color w:val="auto"/>
              </w:rPr>
            </w:pPr>
            <w:r>
              <w:rPr>
                <w:rFonts w:ascii="Arial" w:cs="Arial" w:eastAsia="Arial" w:hAnsi="Arial"/>
                <w:sz w:val="19"/>
                <w:szCs w:val="19"/>
                <w:color w:val="auto"/>
              </w:rPr>
              <w:t>11</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1.8.</w:t>
            </w:r>
          </w:p>
        </w:tc>
        <w:tc>
          <w:tcPr>
            <w:tcW w:w="1900" w:type="dxa"/>
            <w:vAlign w:val="bottom"/>
            <w:gridSpan w:val="3"/>
          </w:tcPr>
          <w:p>
            <w:pPr>
              <w:ind w:left="220"/>
              <w:spacing w:after="0"/>
              <w:rPr>
                <w:sz w:val="20"/>
                <w:szCs w:val="20"/>
                <w:color w:val="auto"/>
              </w:rPr>
            </w:pPr>
            <w:r>
              <w:rPr>
                <w:rFonts w:ascii="Arial" w:cs="Arial" w:eastAsia="Arial" w:hAnsi="Arial"/>
                <w:sz w:val="19"/>
                <w:szCs w:val="19"/>
                <w:color w:val="auto"/>
                <w:w w:val="92"/>
              </w:rPr>
              <w:t>Requirements of Law</w:t>
            </w:r>
          </w:p>
        </w:tc>
        <w:tc>
          <w:tcPr>
            <w:tcW w:w="520" w:type="dxa"/>
            <w:vAlign w:val="bottom"/>
            <w:gridSpan w:val="2"/>
          </w:tcPr>
          <w:p>
            <w:pPr>
              <w:jc w:val="right"/>
              <w:ind w:right="85"/>
              <w:spacing w:after="0"/>
              <w:rPr>
                <w:sz w:val="20"/>
                <w:szCs w:val="20"/>
                <w:color w:val="auto"/>
              </w:rPr>
            </w:pPr>
            <w:r>
              <w:rPr>
                <w:rFonts w:ascii="Arial" w:cs="Arial" w:eastAsia="Arial" w:hAnsi="Arial"/>
                <w:sz w:val="19"/>
                <w:szCs w:val="19"/>
                <w:color w:val="auto"/>
              </w:rPr>
              <w:t>12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1.9.</w:t>
            </w:r>
          </w:p>
        </w:tc>
        <w:tc>
          <w:tcPr>
            <w:tcW w:w="3620" w:type="dxa"/>
            <w:vAlign w:val="bottom"/>
            <w:gridSpan w:val="7"/>
          </w:tcPr>
          <w:p>
            <w:pPr>
              <w:ind w:left="220"/>
              <w:spacing w:after="0"/>
              <w:rPr>
                <w:sz w:val="20"/>
                <w:szCs w:val="20"/>
                <w:color w:val="auto"/>
              </w:rPr>
            </w:pPr>
            <w:r>
              <w:rPr>
                <w:rFonts w:ascii="Arial" w:cs="Arial" w:eastAsia="Arial" w:hAnsi="Arial"/>
                <w:sz w:val="19"/>
                <w:szCs w:val="19"/>
                <w:color w:val="auto"/>
                <w:w w:val="98"/>
              </w:rPr>
              <w:t>Inability to Determine Euro-Rate or LMIR</w:t>
            </w:r>
          </w:p>
        </w:tc>
        <w:tc>
          <w:tcPr>
            <w:tcW w:w="3320" w:type="dxa"/>
            <w:vAlign w:val="bottom"/>
          </w:tcPr>
          <w:p>
            <w:pPr>
              <w:jc w:val="right"/>
              <w:ind w:right="2985"/>
              <w:spacing w:after="0"/>
              <w:rPr>
                <w:sz w:val="20"/>
                <w:szCs w:val="20"/>
                <w:color w:val="auto"/>
              </w:rPr>
            </w:pPr>
            <w:r>
              <w:rPr>
                <w:rFonts w:ascii="Arial" w:cs="Arial" w:eastAsia="Arial" w:hAnsi="Arial"/>
                <w:sz w:val="19"/>
                <w:szCs w:val="19"/>
                <w:color w:val="auto"/>
              </w:rPr>
              <w:t>13</w:t>
            </w: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1.10.</w:t>
            </w:r>
          </w:p>
        </w:tc>
        <w:tc>
          <w:tcPr>
            <w:tcW w:w="3620" w:type="dxa"/>
            <w:vAlign w:val="bottom"/>
            <w:gridSpan w:val="7"/>
          </w:tcPr>
          <w:p>
            <w:pPr>
              <w:ind w:left="220"/>
              <w:spacing w:after="0"/>
              <w:rPr>
                <w:sz w:val="20"/>
                <w:szCs w:val="20"/>
                <w:color w:val="auto"/>
              </w:rPr>
            </w:pPr>
            <w:r>
              <w:rPr>
                <w:rFonts w:ascii="Arial" w:cs="Arial" w:eastAsia="Arial" w:hAnsi="Arial"/>
                <w:sz w:val="19"/>
                <w:szCs w:val="19"/>
                <w:color w:val="auto"/>
              </w:rPr>
              <w:t>Extension of Termination Date  14</w:t>
            </w: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1.11.</w:t>
            </w:r>
          </w:p>
        </w:tc>
        <w:tc>
          <w:tcPr>
            <w:tcW w:w="2420" w:type="dxa"/>
            <w:vAlign w:val="bottom"/>
            <w:gridSpan w:val="5"/>
          </w:tcPr>
          <w:p>
            <w:pPr>
              <w:ind w:left="220"/>
              <w:spacing w:after="0"/>
              <w:rPr>
                <w:sz w:val="20"/>
                <w:szCs w:val="20"/>
                <w:color w:val="auto"/>
              </w:rPr>
            </w:pPr>
            <w:r>
              <w:rPr>
                <w:rFonts w:ascii="Arial" w:cs="Arial" w:eastAsia="Arial" w:hAnsi="Arial"/>
                <w:sz w:val="19"/>
                <w:szCs w:val="19"/>
                <w:color w:val="auto"/>
                <w:w w:val="98"/>
              </w:rPr>
              <w:t>Increase in Commitments.</w:t>
            </w:r>
          </w:p>
        </w:tc>
        <w:tc>
          <w:tcPr>
            <w:tcW w:w="400" w:type="dxa"/>
            <w:vAlign w:val="bottom"/>
          </w:tcPr>
          <w:p>
            <w:pPr>
              <w:jc w:val="right"/>
              <w:ind w:right="125"/>
              <w:spacing w:after="0"/>
              <w:rPr>
                <w:sz w:val="20"/>
                <w:szCs w:val="20"/>
                <w:color w:val="auto"/>
              </w:rPr>
            </w:pPr>
            <w:r>
              <w:rPr>
                <w:rFonts w:ascii="Arial" w:cs="Arial" w:eastAsia="Arial" w:hAnsi="Arial"/>
                <w:sz w:val="19"/>
                <w:szCs w:val="19"/>
                <w:color w:val="auto"/>
                <w:w w:val="75"/>
              </w:rPr>
              <w:t>14</w:t>
            </w: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II.</w:t>
            </w:r>
          </w:p>
        </w:tc>
        <w:tc>
          <w:tcPr>
            <w:tcW w:w="7480" w:type="dxa"/>
            <w:vAlign w:val="bottom"/>
            <w:gridSpan w:val="9"/>
          </w:tcPr>
          <w:p>
            <w:pPr>
              <w:ind w:left="180"/>
              <w:spacing w:after="0"/>
              <w:rPr>
                <w:sz w:val="20"/>
                <w:szCs w:val="20"/>
                <w:color w:val="auto"/>
              </w:rPr>
            </w:pPr>
            <w:r>
              <w:rPr>
                <w:rFonts w:ascii="Arial" w:cs="Arial" w:eastAsia="Arial" w:hAnsi="Arial"/>
                <w:sz w:val="19"/>
                <w:szCs w:val="19"/>
                <w:color w:val="auto"/>
                <w:w w:val="97"/>
              </w:rPr>
              <w:t>REPRESENTATIONS AND WARRANTIES; COVENANTS; TERMINATION EVENTS  16</w:t>
            </w:r>
          </w:p>
        </w:tc>
      </w:tr>
      <w:tr>
        <w:trPr>
          <w:trHeight w:val="322"/>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2.1.</w:t>
            </w:r>
          </w:p>
        </w:tc>
        <w:tc>
          <w:tcPr>
            <w:tcW w:w="3620" w:type="dxa"/>
            <w:vAlign w:val="bottom"/>
            <w:gridSpan w:val="7"/>
          </w:tcPr>
          <w:p>
            <w:pPr>
              <w:ind w:left="220"/>
              <w:spacing w:after="0"/>
              <w:rPr>
                <w:sz w:val="20"/>
                <w:szCs w:val="20"/>
                <w:color w:val="auto"/>
              </w:rPr>
            </w:pPr>
            <w:r>
              <w:rPr>
                <w:rFonts w:ascii="Arial" w:cs="Arial" w:eastAsia="Arial" w:hAnsi="Arial"/>
                <w:sz w:val="19"/>
                <w:szCs w:val="19"/>
                <w:color w:val="auto"/>
                <w:w w:val="90"/>
              </w:rPr>
              <w:t>Representations and Warranties; Covenants</w:t>
            </w:r>
          </w:p>
        </w:tc>
        <w:tc>
          <w:tcPr>
            <w:tcW w:w="3320" w:type="dxa"/>
            <w:vAlign w:val="bottom"/>
          </w:tcPr>
          <w:p>
            <w:pPr>
              <w:jc w:val="right"/>
              <w:ind w:right="2925"/>
              <w:spacing w:after="0"/>
              <w:rPr>
                <w:sz w:val="20"/>
                <w:szCs w:val="20"/>
                <w:color w:val="auto"/>
              </w:rPr>
            </w:pPr>
            <w:r>
              <w:rPr>
                <w:rFonts w:ascii="Arial" w:cs="Arial" w:eastAsia="Arial" w:hAnsi="Arial"/>
                <w:sz w:val="19"/>
                <w:szCs w:val="19"/>
                <w:color w:val="auto"/>
              </w:rPr>
              <w:t>16</w:t>
            </w: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2.2.</w:t>
            </w:r>
          </w:p>
        </w:tc>
        <w:tc>
          <w:tcPr>
            <w:tcW w:w="1720" w:type="dxa"/>
            <w:vAlign w:val="bottom"/>
            <w:gridSpan w:val="2"/>
          </w:tcPr>
          <w:p>
            <w:pPr>
              <w:ind w:left="220"/>
              <w:spacing w:after="0"/>
              <w:rPr>
                <w:sz w:val="20"/>
                <w:szCs w:val="20"/>
                <w:color w:val="auto"/>
              </w:rPr>
            </w:pPr>
            <w:r>
              <w:rPr>
                <w:rFonts w:ascii="Arial" w:cs="Arial" w:eastAsia="Arial" w:hAnsi="Arial"/>
                <w:sz w:val="19"/>
                <w:szCs w:val="19"/>
                <w:color w:val="auto"/>
                <w:w w:val="90"/>
              </w:rPr>
              <w:t>Termination Events</w:t>
            </w: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w w:val="84"/>
              </w:rPr>
              <w:t>16</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III.</w:t>
            </w:r>
          </w:p>
        </w:tc>
        <w:tc>
          <w:tcPr>
            <w:tcW w:w="1980" w:type="dxa"/>
            <w:vAlign w:val="bottom"/>
            <w:gridSpan w:val="2"/>
          </w:tcPr>
          <w:p>
            <w:pPr>
              <w:ind w:left="180"/>
              <w:spacing w:after="0"/>
              <w:rPr>
                <w:sz w:val="20"/>
                <w:szCs w:val="20"/>
                <w:color w:val="auto"/>
              </w:rPr>
            </w:pPr>
            <w:r>
              <w:rPr>
                <w:rFonts w:ascii="Arial" w:cs="Arial" w:eastAsia="Arial" w:hAnsi="Arial"/>
                <w:sz w:val="19"/>
                <w:szCs w:val="19"/>
                <w:color w:val="auto"/>
              </w:rPr>
              <w:t>INDEMNIFICATION</w:t>
            </w:r>
          </w:p>
        </w:tc>
        <w:tc>
          <w:tcPr>
            <w:tcW w:w="280" w:type="dxa"/>
            <w:vAlign w:val="bottom"/>
          </w:tcPr>
          <w:p>
            <w:pPr>
              <w:jc w:val="right"/>
              <w:spacing w:after="0"/>
              <w:rPr>
                <w:sz w:val="20"/>
                <w:szCs w:val="20"/>
                <w:color w:val="auto"/>
              </w:rPr>
            </w:pPr>
            <w:r>
              <w:rPr>
                <w:rFonts w:ascii="Arial" w:cs="Arial" w:eastAsia="Arial" w:hAnsi="Arial"/>
                <w:sz w:val="19"/>
                <w:szCs w:val="19"/>
                <w:color w:val="auto"/>
              </w:rPr>
              <w:t>16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22"/>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3.1.</w:t>
            </w:r>
          </w:p>
        </w:tc>
        <w:tc>
          <w:tcPr>
            <w:tcW w:w="2180" w:type="dxa"/>
            <w:vAlign w:val="bottom"/>
            <w:gridSpan w:val="4"/>
          </w:tcPr>
          <w:p>
            <w:pPr>
              <w:ind w:left="220"/>
              <w:spacing w:after="0"/>
              <w:rPr>
                <w:sz w:val="20"/>
                <w:szCs w:val="20"/>
                <w:color w:val="auto"/>
              </w:rPr>
            </w:pPr>
            <w:r>
              <w:rPr>
                <w:rFonts w:ascii="Arial" w:cs="Arial" w:eastAsia="Arial" w:hAnsi="Arial"/>
                <w:sz w:val="19"/>
                <w:szCs w:val="19"/>
                <w:color w:val="auto"/>
                <w:w w:val="93"/>
              </w:rPr>
              <w:t>Indemnities by the Seller</w:t>
            </w:r>
          </w:p>
        </w:tc>
        <w:tc>
          <w:tcPr>
            <w:tcW w:w="640" w:type="dxa"/>
            <w:vAlign w:val="bottom"/>
            <w:gridSpan w:val="2"/>
          </w:tcPr>
          <w:p>
            <w:pPr>
              <w:jc w:val="right"/>
              <w:ind w:right="225"/>
              <w:spacing w:after="0"/>
              <w:rPr>
                <w:sz w:val="20"/>
                <w:szCs w:val="20"/>
                <w:color w:val="auto"/>
              </w:rPr>
            </w:pPr>
            <w:r>
              <w:rPr>
                <w:rFonts w:ascii="Arial" w:cs="Arial" w:eastAsia="Arial" w:hAnsi="Arial"/>
                <w:sz w:val="19"/>
                <w:szCs w:val="19"/>
                <w:color w:val="auto"/>
              </w:rPr>
              <w:t>16</w:t>
            </w: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3.2.</w:t>
            </w:r>
          </w:p>
        </w:tc>
        <w:tc>
          <w:tcPr>
            <w:tcW w:w="2420" w:type="dxa"/>
            <w:vAlign w:val="bottom"/>
            <w:gridSpan w:val="5"/>
          </w:tcPr>
          <w:p>
            <w:pPr>
              <w:ind w:left="220"/>
              <w:spacing w:after="0"/>
              <w:rPr>
                <w:sz w:val="20"/>
                <w:szCs w:val="20"/>
                <w:color w:val="auto"/>
              </w:rPr>
            </w:pPr>
            <w:r>
              <w:rPr>
                <w:rFonts w:ascii="Arial" w:cs="Arial" w:eastAsia="Arial" w:hAnsi="Arial"/>
                <w:sz w:val="19"/>
                <w:szCs w:val="19"/>
                <w:color w:val="auto"/>
                <w:w w:val="95"/>
              </w:rPr>
              <w:t>Indemnities by the Servicer</w:t>
            </w:r>
          </w:p>
        </w:tc>
        <w:tc>
          <w:tcPr>
            <w:tcW w:w="400" w:type="dxa"/>
            <w:vAlign w:val="bottom"/>
          </w:tcPr>
          <w:p>
            <w:pPr>
              <w:jc w:val="right"/>
              <w:ind w:right="25"/>
              <w:spacing w:after="0"/>
              <w:rPr>
                <w:sz w:val="20"/>
                <w:szCs w:val="20"/>
                <w:color w:val="auto"/>
              </w:rPr>
            </w:pPr>
            <w:r>
              <w:rPr>
                <w:rFonts w:ascii="Arial" w:cs="Arial" w:eastAsia="Arial" w:hAnsi="Arial"/>
                <w:sz w:val="19"/>
                <w:szCs w:val="19"/>
                <w:color w:val="auto"/>
              </w:rPr>
              <w:t>18</w:t>
            </w: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IV.</w:t>
            </w:r>
          </w:p>
        </w:tc>
        <w:tc>
          <w:tcPr>
            <w:tcW w:w="4160" w:type="dxa"/>
            <w:vAlign w:val="bottom"/>
            <w:gridSpan w:val="8"/>
          </w:tcPr>
          <w:p>
            <w:pPr>
              <w:ind w:left="180"/>
              <w:spacing w:after="0"/>
              <w:rPr>
                <w:sz w:val="20"/>
                <w:szCs w:val="20"/>
                <w:color w:val="auto"/>
              </w:rPr>
            </w:pPr>
            <w:r>
              <w:rPr>
                <w:rFonts w:ascii="Arial" w:cs="Arial" w:eastAsia="Arial" w:hAnsi="Arial"/>
                <w:sz w:val="19"/>
                <w:szCs w:val="19"/>
                <w:color w:val="auto"/>
              </w:rPr>
              <w:t>ADMINISTRATION AND COLLECTIONS  18</w:t>
            </w:r>
          </w:p>
        </w:tc>
        <w:tc>
          <w:tcPr>
            <w:tcW w:w="3320" w:type="dxa"/>
            <w:vAlign w:val="bottom"/>
          </w:tcPr>
          <w:p>
            <w:pPr>
              <w:spacing w:after="0"/>
              <w:rPr>
                <w:sz w:val="24"/>
                <w:szCs w:val="24"/>
                <w:color w:val="auto"/>
              </w:rPr>
            </w:pPr>
          </w:p>
        </w:tc>
      </w:tr>
      <w:tr>
        <w:trPr>
          <w:trHeight w:val="322"/>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4.1.</w:t>
            </w:r>
          </w:p>
        </w:tc>
        <w:tc>
          <w:tcPr>
            <w:tcW w:w="2420" w:type="dxa"/>
            <w:vAlign w:val="bottom"/>
            <w:gridSpan w:val="5"/>
          </w:tcPr>
          <w:p>
            <w:pPr>
              <w:ind w:left="220"/>
              <w:spacing w:after="0"/>
              <w:rPr>
                <w:sz w:val="20"/>
                <w:szCs w:val="20"/>
                <w:color w:val="auto"/>
              </w:rPr>
            </w:pPr>
            <w:r>
              <w:rPr>
                <w:rFonts w:ascii="Arial" w:cs="Arial" w:eastAsia="Arial" w:hAnsi="Arial"/>
                <w:sz w:val="19"/>
                <w:szCs w:val="19"/>
                <w:color w:val="auto"/>
                <w:w w:val="92"/>
              </w:rPr>
              <w:t>Appointment of the Servicer</w:t>
            </w:r>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4.2.</w:t>
            </w:r>
          </w:p>
        </w:tc>
        <w:tc>
          <w:tcPr>
            <w:tcW w:w="1900" w:type="dxa"/>
            <w:vAlign w:val="bottom"/>
            <w:gridSpan w:val="3"/>
          </w:tcPr>
          <w:p>
            <w:pPr>
              <w:ind w:left="220"/>
              <w:spacing w:after="0"/>
              <w:rPr>
                <w:sz w:val="20"/>
                <w:szCs w:val="20"/>
                <w:color w:val="auto"/>
              </w:rPr>
            </w:pPr>
            <w:r>
              <w:rPr>
                <w:rFonts w:ascii="Arial" w:cs="Arial" w:eastAsia="Arial" w:hAnsi="Arial"/>
                <w:sz w:val="19"/>
                <w:szCs w:val="19"/>
                <w:color w:val="auto"/>
                <w:w w:val="91"/>
              </w:rPr>
              <w:t>Duties of the Servicer</w:t>
            </w:r>
          </w:p>
        </w:tc>
        <w:tc>
          <w:tcPr>
            <w:tcW w:w="520" w:type="dxa"/>
            <w:vAlign w:val="bottom"/>
            <w:gridSpan w:val="2"/>
          </w:tcPr>
          <w:p>
            <w:pPr>
              <w:jc w:val="right"/>
              <w:ind w:right="65"/>
              <w:spacing w:after="0"/>
              <w:rPr>
                <w:sz w:val="20"/>
                <w:szCs w:val="20"/>
                <w:color w:val="auto"/>
              </w:rPr>
            </w:pPr>
            <w:r>
              <w:rPr>
                <w:rFonts w:ascii="Arial" w:cs="Arial" w:eastAsia="Arial" w:hAnsi="Arial"/>
                <w:sz w:val="19"/>
                <w:szCs w:val="19"/>
                <w:color w:val="auto"/>
              </w:rPr>
              <w:t>19</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4.3.</w:t>
            </w:r>
          </w:p>
        </w:tc>
        <w:tc>
          <w:tcPr>
            <w:tcW w:w="2820" w:type="dxa"/>
            <w:vAlign w:val="bottom"/>
            <w:gridSpan w:val="6"/>
          </w:tcPr>
          <w:p>
            <w:pPr>
              <w:ind w:left="220"/>
              <w:spacing w:after="0"/>
              <w:rPr>
                <w:sz w:val="20"/>
                <w:szCs w:val="20"/>
                <w:color w:val="auto"/>
              </w:rPr>
            </w:pPr>
            <w:r>
              <w:rPr>
                <w:rFonts w:ascii="Arial" w:cs="Arial" w:eastAsia="Arial" w:hAnsi="Arial"/>
                <w:sz w:val="19"/>
                <w:szCs w:val="19"/>
                <w:color w:val="auto"/>
                <w:w w:val="92"/>
              </w:rPr>
              <w:t>Lock-Box Account Arrangements</w:t>
            </w:r>
          </w:p>
        </w:tc>
        <w:tc>
          <w:tcPr>
            <w:tcW w:w="800" w:type="dxa"/>
            <w:vAlign w:val="bottom"/>
          </w:tcPr>
          <w:p>
            <w:pPr>
              <w:jc w:val="right"/>
              <w:ind w:right="325"/>
              <w:spacing w:after="0"/>
              <w:rPr>
                <w:sz w:val="20"/>
                <w:szCs w:val="20"/>
                <w:color w:val="auto"/>
              </w:rPr>
            </w:pPr>
            <w:r>
              <w:rPr>
                <w:rFonts w:ascii="Arial" w:cs="Arial" w:eastAsia="Arial" w:hAnsi="Arial"/>
                <w:sz w:val="19"/>
                <w:szCs w:val="19"/>
                <w:color w:val="auto"/>
              </w:rPr>
              <w:t>20</w:t>
            </w: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4.4.</w:t>
            </w:r>
          </w:p>
        </w:tc>
        <w:tc>
          <w:tcPr>
            <w:tcW w:w="1900" w:type="dxa"/>
            <w:vAlign w:val="bottom"/>
            <w:gridSpan w:val="3"/>
          </w:tcPr>
          <w:p>
            <w:pPr>
              <w:ind w:left="220"/>
              <w:spacing w:after="0"/>
              <w:rPr>
                <w:sz w:val="20"/>
                <w:szCs w:val="20"/>
                <w:color w:val="auto"/>
              </w:rPr>
            </w:pPr>
            <w:r>
              <w:rPr>
                <w:rFonts w:ascii="Arial" w:cs="Arial" w:eastAsia="Arial" w:hAnsi="Arial"/>
                <w:sz w:val="19"/>
                <w:szCs w:val="19"/>
                <w:color w:val="auto"/>
                <w:w w:val="99"/>
              </w:rPr>
              <w:t>Enforcement Rights</w:t>
            </w:r>
          </w:p>
        </w:tc>
        <w:tc>
          <w:tcPr>
            <w:tcW w:w="280" w:type="dxa"/>
            <w:vAlign w:val="bottom"/>
          </w:tcPr>
          <w:p>
            <w:pPr>
              <w:jc w:val="right"/>
              <w:spacing w:after="0"/>
              <w:rPr>
                <w:sz w:val="20"/>
                <w:szCs w:val="20"/>
                <w:color w:val="auto"/>
              </w:rPr>
            </w:pPr>
            <w:r>
              <w:rPr>
                <w:rFonts w:ascii="Arial" w:cs="Arial" w:eastAsia="Arial" w:hAnsi="Arial"/>
                <w:sz w:val="19"/>
                <w:szCs w:val="19"/>
                <w:color w:val="auto"/>
                <w:w w:val="94"/>
              </w:rPr>
              <w:t>21</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4.5.</w:t>
            </w:r>
          </w:p>
        </w:tc>
        <w:tc>
          <w:tcPr>
            <w:tcW w:w="2420" w:type="dxa"/>
            <w:vAlign w:val="bottom"/>
            <w:gridSpan w:val="5"/>
          </w:tcPr>
          <w:p>
            <w:pPr>
              <w:ind w:left="220"/>
              <w:spacing w:after="0"/>
              <w:rPr>
                <w:sz w:val="20"/>
                <w:szCs w:val="20"/>
                <w:color w:val="auto"/>
              </w:rPr>
            </w:pPr>
            <w:r>
              <w:rPr>
                <w:rFonts w:ascii="Arial" w:cs="Arial" w:eastAsia="Arial" w:hAnsi="Arial"/>
                <w:sz w:val="19"/>
                <w:szCs w:val="19"/>
                <w:color w:val="auto"/>
                <w:w w:val="91"/>
              </w:rPr>
              <w:t>Responsibilities of the Seller</w:t>
            </w:r>
          </w:p>
        </w:tc>
        <w:tc>
          <w:tcPr>
            <w:tcW w:w="400" w:type="dxa"/>
            <w:vAlign w:val="bottom"/>
          </w:tcPr>
          <w:p>
            <w:pPr>
              <w:jc w:val="right"/>
              <w:spacing w:after="0"/>
              <w:rPr>
                <w:sz w:val="20"/>
                <w:szCs w:val="20"/>
                <w:color w:val="auto"/>
              </w:rPr>
            </w:pPr>
            <w:r>
              <w:rPr>
                <w:rFonts w:ascii="Arial" w:cs="Arial" w:eastAsia="Arial" w:hAnsi="Arial"/>
                <w:sz w:val="19"/>
                <w:szCs w:val="19"/>
                <w:color w:val="auto"/>
              </w:rPr>
              <w:t>22</w:t>
            </w: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4.6.</w:t>
            </w:r>
          </w:p>
        </w:tc>
        <w:tc>
          <w:tcPr>
            <w:tcW w:w="1440" w:type="dxa"/>
            <w:vAlign w:val="bottom"/>
          </w:tcPr>
          <w:p>
            <w:pPr>
              <w:ind w:left="220"/>
              <w:spacing w:after="0"/>
              <w:rPr>
                <w:sz w:val="20"/>
                <w:szCs w:val="20"/>
                <w:color w:val="auto"/>
              </w:rPr>
            </w:pPr>
            <w:r>
              <w:rPr>
                <w:rFonts w:ascii="Arial" w:cs="Arial" w:eastAsia="Arial" w:hAnsi="Arial"/>
                <w:sz w:val="19"/>
                <w:szCs w:val="19"/>
                <w:color w:val="auto"/>
              </w:rPr>
              <w:t>Servicing Fee</w:t>
            </w:r>
          </w:p>
        </w:tc>
        <w:tc>
          <w:tcPr>
            <w:tcW w:w="280" w:type="dxa"/>
            <w:vAlign w:val="bottom"/>
          </w:tcPr>
          <w:p>
            <w:pPr>
              <w:jc w:val="right"/>
              <w:spacing w:after="0"/>
              <w:rPr>
                <w:sz w:val="20"/>
                <w:szCs w:val="20"/>
                <w:color w:val="auto"/>
              </w:rPr>
            </w:pPr>
            <w:r>
              <w:rPr>
                <w:rFonts w:ascii="Arial" w:cs="Arial" w:eastAsia="Arial" w:hAnsi="Arial"/>
                <w:sz w:val="19"/>
                <w:szCs w:val="19"/>
                <w:color w:val="auto"/>
                <w:w w:val="94"/>
              </w:rPr>
              <w:t>22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9"/>
                <w:szCs w:val="19"/>
                <w:color w:val="auto"/>
              </w:rPr>
              <w:t>ARTICLE V.</w:t>
            </w:r>
          </w:p>
        </w:tc>
        <w:tc>
          <w:tcPr>
            <w:tcW w:w="1980" w:type="dxa"/>
            <w:vAlign w:val="bottom"/>
            <w:gridSpan w:val="2"/>
          </w:tcPr>
          <w:p>
            <w:pPr>
              <w:ind w:left="180"/>
              <w:spacing w:after="0"/>
              <w:rPr>
                <w:sz w:val="20"/>
                <w:szCs w:val="20"/>
                <w:color w:val="auto"/>
              </w:rPr>
            </w:pPr>
            <w:r>
              <w:rPr>
                <w:rFonts w:ascii="Arial" w:cs="Arial" w:eastAsia="Arial" w:hAnsi="Arial"/>
                <w:sz w:val="19"/>
                <w:szCs w:val="19"/>
                <w:color w:val="auto"/>
              </w:rPr>
              <w:t>THE AGENTS  22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22"/>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5.1.</w:t>
            </w:r>
          </w:p>
        </w:tc>
        <w:tc>
          <w:tcPr>
            <w:tcW w:w="2820" w:type="dxa"/>
            <w:vAlign w:val="bottom"/>
            <w:gridSpan w:val="6"/>
          </w:tcPr>
          <w:p>
            <w:pPr>
              <w:ind w:left="220"/>
              <w:spacing w:after="0"/>
              <w:rPr>
                <w:sz w:val="20"/>
                <w:szCs w:val="20"/>
                <w:color w:val="auto"/>
              </w:rPr>
            </w:pPr>
            <w:r>
              <w:rPr>
                <w:rFonts w:ascii="Arial" w:cs="Arial" w:eastAsia="Arial" w:hAnsi="Arial"/>
                <w:sz w:val="19"/>
                <w:szCs w:val="19"/>
                <w:color w:val="auto"/>
                <w:w w:val="99"/>
              </w:rPr>
              <w:t>Appointment and Authorization</w:t>
            </w:r>
          </w:p>
        </w:tc>
        <w:tc>
          <w:tcPr>
            <w:tcW w:w="800" w:type="dxa"/>
            <w:vAlign w:val="bottom"/>
          </w:tcPr>
          <w:p>
            <w:pPr>
              <w:ind w:left="20"/>
              <w:spacing w:after="0"/>
              <w:rPr>
                <w:sz w:val="20"/>
                <w:szCs w:val="20"/>
                <w:color w:val="auto"/>
              </w:rPr>
            </w:pPr>
            <w:r>
              <w:rPr>
                <w:rFonts w:ascii="Arial" w:cs="Arial" w:eastAsia="Arial" w:hAnsi="Arial"/>
                <w:sz w:val="19"/>
                <w:szCs w:val="19"/>
                <w:color w:val="auto"/>
              </w:rPr>
              <w:t>22</w:t>
            </w:r>
          </w:p>
        </w:tc>
        <w:tc>
          <w:tcPr>
            <w:tcW w:w="3320" w:type="dxa"/>
            <w:vAlign w:val="bottom"/>
          </w:tcPr>
          <w:p>
            <w:pPr>
              <w:spacing w:after="0"/>
              <w:rPr>
                <w:sz w:val="24"/>
                <w:szCs w:val="24"/>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5.2.</w:t>
            </w:r>
          </w:p>
        </w:tc>
        <w:tc>
          <w:tcPr>
            <w:tcW w:w="1900" w:type="dxa"/>
            <w:vAlign w:val="bottom"/>
            <w:gridSpan w:val="3"/>
          </w:tcPr>
          <w:p>
            <w:pPr>
              <w:ind w:left="220"/>
              <w:spacing w:after="0"/>
              <w:rPr>
                <w:sz w:val="20"/>
                <w:szCs w:val="20"/>
                <w:color w:val="auto"/>
              </w:rPr>
            </w:pPr>
            <w:r>
              <w:rPr>
                <w:rFonts w:ascii="Arial" w:cs="Arial" w:eastAsia="Arial" w:hAnsi="Arial"/>
                <w:sz w:val="19"/>
                <w:szCs w:val="19"/>
                <w:color w:val="auto"/>
                <w:w w:val="97"/>
              </w:rPr>
              <w:t>Delegation of Duties</w:t>
            </w:r>
          </w:p>
        </w:tc>
        <w:tc>
          <w:tcPr>
            <w:tcW w:w="280" w:type="dxa"/>
            <w:vAlign w:val="bottom"/>
          </w:tcPr>
          <w:p>
            <w:pPr>
              <w:jc w:val="right"/>
              <w:spacing w:after="0"/>
              <w:rPr>
                <w:sz w:val="20"/>
                <w:szCs w:val="20"/>
                <w:color w:val="auto"/>
              </w:rPr>
            </w:pPr>
            <w:r>
              <w:rPr>
                <w:rFonts w:ascii="Arial" w:cs="Arial" w:eastAsia="Arial" w:hAnsi="Arial"/>
                <w:sz w:val="19"/>
                <w:szCs w:val="19"/>
                <w:color w:val="auto"/>
              </w:rPr>
              <w:t>23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5.3.</w:t>
            </w:r>
          </w:p>
        </w:tc>
        <w:tc>
          <w:tcPr>
            <w:tcW w:w="2180" w:type="dxa"/>
            <w:vAlign w:val="bottom"/>
            <w:gridSpan w:val="4"/>
          </w:tcPr>
          <w:p>
            <w:pPr>
              <w:ind w:left="220"/>
              <w:spacing w:after="0"/>
              <w:rPr>
                <w:sz w:val="20"/>
                <w:szCs w:val="20"/>
                <w:color w:val="auto"/>
              </w:rPr>
            </w:pPr>
            <w:r>
              <w:rPr>
                <w:rFonts w:ascii="Arial" w:cs="Arial" w:eastAsia="Arial" w:hAnsi="Arial"/>
                <w:sz w:val="19"/>
                <w:szCs w:val="19"/>
                <w:color w:val="auto"/>
              </w:rPr>
              <w:t>Exculpatory Provisions</w:t>
            </w:r>
          </w:p>
        </w:tc>
        <w:tc>
          <w:tcPr>
            <w:tcW w:w="240" w:type="dxa"/>
            <w:vAlign w:val="bottom"/>
          </w:tcPr>
          <w:p>
            <w:pPr>
              <w:jc w:val="right"/>
              <w:spacing w:after="0"/>
              <w:rPr>
                <w:sz w:val="20"/>
                <w:szCs w:val="20"/>
                <w:color w:val="auto"/>
              </w:rPr>
            </w:pPr>
            <w:r>
              <w:rPr>
                <w:rFonts w:ascii="Arial" w:cs="Arial" w:eastAsia="Arial" w:hAnsi="Arial"/>
                <w:sz w:val="19"/>
                <w:szCs w:val="19"/>
                <w:color w:val="auto"/>
                <w:w w:val="84"/>
              </w:rPr>
              <w:t>24</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74"/>
        </w:trPr>
        <w:tc>
          <w:tcPr>
            <w:tcW w:w="1780" w:type="dxa"/>
            <w:vAlign w:val="bottom"/>
            <w:gridSpan w:val="2"/>
          </w:tcPr>
          <w:p>
            <w:pPr>
              <w:ind w:left="560"/>
              <w:spacing w:after="0"/>
              <w:rPr>
                <w:sz w:val="20"/>
                <w:szCs w:val="20"/>
                <w:color w:val="auto"/>
              </w:rPr>
            </w:pPr>
            <w:r>
              <w:rPr>
                <w:rFonts w:ascii="Arial" w:cs="Arial" w:eastAsia="Arial" w:hAnsi="Arial"/>
                <w:sz w:val="19"/>
                <w:szCs w:val="19"/>
                <w:color w:val="auto"/>
              </w:rPr>
              <w:t>Section 5.4.</w:t>
            </w:r>
          </w:p>
        </w:tc>
        <w:tc>
          <w:tcPr>
            <w:tcW w:w="1720" w:type="dxa"/>
            <w:vAlign w:val="bottom"/>
            <w:gridSpan w:val="2"/>
          </w:tcPr>
          <w:p>
            <w:pPr>
              <w:ind w:left="220"/>
              <w:spacing w:after="0"/>
              <w:rPr>
                <w:sz w:val="20"/>
                <w:szCs w:val="20"/>
                <w:color w:val="auto"/>
              </w:rPr>
            </w:pPr>
            <w:r>
              <w:rPr>
                <w:rFonts w:ascii="Arial" w:cs="Arial" w:eastAsia="Arial" w:hAnsi="Arial"/>
                <w:sz w:val="19"/>
                <w:szCs w:val="19"/>
                <w:color w:val="auto"/>
                <w:w w:val="90"/>
              </w:rPr>
              <w:t>Reliance by Agents</w:t>
            </w: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w w:val="84"/>
              </w:rPr>
              <w:t>24</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320" w:type="dxa"/>
            <w:vAlign w:val="bottom"/>
          </w:tcPr>
          <w:p>
            <w:pPr>
              <w:spacing w:after="0"/>
              <w:rPr>
                <w:sz w:val="23"/>
                <w:szCs w:val="23"/>
                <w:color w:val="auto"/>
              </w:rPr>
            </w:pPr>
          </w:p>
        </w:tc>
      </w:tr>
    </w:tbl>
    <w:p>
      <w:pPr>
        <w:sectPr>
          <w:pgSz w:w="11900" w:h="16838" w:orient="portrait"/>
          <w:cols w:equalWidth="0" w:num="1">
            <w:col w:w="11440"/>
          </w:cols>
          <w:pgMar w:left="240" w:top="123" w:right="219" w:bottom="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5.5.</w:t>
            </w:r>
          </w:p>
        </w:tc>
        <w:tc>
          <w:tcPr>
            <w:tcW w:w="1380" w:type="dxa"/>
            <w:vAlign w:val="bottom"/>
          </w:tcPr>
          <w:p>
            <w:pPr>
              <w:ind w:left="360"/>
              <w:spacing w:after="0"/>
              <w:rPr>
                <w:sz w:val="20"/>
                <w:szCs w:val="20"/>
                <w:color w:val="auto"/>
              </w:rPr>
            </w:pPr>
            <w:r>
              <w:rPr>
                <w:rFonts w:ascii="Arial" w:cs="Arial" w:eastAsia="Arial" w:hAnsi="Arial"/>
                <w:sz w:val="19"/>
                <w:szCs w:val="19"/>
                <w:color w:val="auto"/>
              </w:rPr>
              <w:t>[Reserved]</w:t>
            </w:r>
          </w:p>
        </w:tc>
        <w:tc>
          <w:tcPr>
            <w:tcW w:w="380" w:type="dxa"/>
            <w:vAlign w:val="bottom"/>
            <w:gridSpan w:val="2"/>
          </w:tcPr>
          <w:p>
            <w:pPr>
              <w:jc w:val="right"/>
              <w:ind w:right="85"/>
              <w:spacing w:after="0"/>
              <w:rPr>
                <w:sz w:val="20"/>
                <w:szCs w:val="20"/>
                <w:color w:val="auto"/>
              </w:rPr>
            </w:pPr>
            <w:r>
              <w:rPr>
                <w:rFonts w:ascii="Arial" w:cs="Arial" w:eastAsia="Arial" w:hAnsi="Arial"/>
                <w:sz w:val="19"/>
                <w:szCs w:val="19"/>
                <w:color w:val="auto"/>
                <w:w w:val="84"/>
              </w:rPr>
              <w:t>25</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5.6.</w:t>
            </w:r>
          </w:p>
        </w:tc>
        <w:tc>
          <w:tcPr>
            <w:tcW w:w="2660" w:type="dxa"/>
            <w:vAlign w:val="bottom"/>
            <w:gridSpan w:val="6"/>
          </w:tcPr>
          <w:p>
            <w:pPr>
              <w:ind w:left="360"/>
              <w:spacing w:after="0"/>
              <w:rPr>
                <w:sz w:val="20"/>
                <w:szCs w:val="20"/>
                <w:color w:val="auto"/>
              </w:rPr>
            </w:pPr>
            <w:r>
              <w:rPr>
                <w:rFonts w:ascii="Arial" w:cs="Arial" w:eastAsia="Arial" w:hAnsi="Arial"/>
                <w:sz w:val="19"/>
                <w:szCs w:val="19"/>
                <w:color w:val="auto"/>
                <w:w w:val="93"/>
              </w:rPr>
              <w:t>Notice of Termination Events</w:t>
            </w:r>
          </w:p>
        </w:tc>
        <w:tc>
          <w:tcPr>
            <w:tcW w:w="3600" w:type="dxa"/>
            <w:vAlign w:val="bottom"/>
          </w:tcPr>
          <w:p>
            <w:pPr>
              <w:jc w:val="right"/>
              <w:ind w:right="3165"/>
              <w:spacing w:after="0"/>
              <w:rPr>
                <w:sz w:val="20"/>
                <w:szCs w:val="20"/>
                <w:color w:val="auto"/>
              </w:rPr>
            </w:pPr>
            <w:r>
              <w:rPr>
                <w:rFonts w:ascii="Arial" w:cs="Arial" w:eastAsia="Arial" w:hAnsi="Arial"/>
                <w:sz w:val="19"/>
                <w:szCs w:val="19"/>
                <w:color w:val="auto"/>
              </w:rPr>
              <w:t>25</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5.7.</w:t>
            </w:r>
          </w:p>
        </w:tc>
        <w:tc>
          <w:tcPr>
            <w:tcW w:w="6260" w:type="dxa"/>
            <w:vAlign w:val="bottom"/>
            <w:gridSpan w:val="7"/>
          </w:tcPr>
          <w:p>
            <w:pPr>
              <w:ind w:left="360"/>
              <w:spacing w:after="0"/>
              <w:rPr>
                <w:sz w:val="20"/>
                <w:szCs w:val="20"/>
                <w:color w:val="auto"/>
              </w:rPr>
            </w:pPr>
            <w:r>
              <w:rPr>
                <w:rFonts w:ascii="Arial" w:cs="Arial" w:eastAsia="Arial" w:hAnsi="Arial"/>
                <w:sz w:val="19"/>
                <w:szCs w:val="19"/>
                <w:color w:val="auto"/>
                <w:w w:val="91"/>
              </w:rPr>
              <w:t>Non-Reliance on Administrator, Purchaser Agents and Other Purchasers  25</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5.8.</w:t>
            </w:r>
          </w:p>
        </w:tc>
        <w:tc>
          <w:tcPr>
            <w:tcW w:w="2660" w:type="dxa"/>
            <w:vAlign w:val="bottom"/>
            <w:gridSpan w:val="6"/>
          </w:tcPr>
          <w:p>
            <w:pPr>
              <w:ind w:left="360"/>
              <w:spacing w:after="0"/>
              <w:rPr>
                <w:sz w:val="20"/>
                <w:szCs w:val="20"/>
                <w:color w:val="auto"/>
              </w:rPr>
            </w:pPr>
            <w:r>
              <w:rPr>
                <w:rFonts w:ascii="Arial" w:cs="Arial" w:eastAsia="Arial" w:hAnsi="Arial"/>
                <w:sz w:val="19"/>
                <w:szCs w:val="19"/>
                <w:color w:val="auto"/>
                <w:w w:val="96"/>
              </w:rPr>
              <w:t>Administrators and Affiliates</w:t>
            </w:r>
          </w:p>
        </w:tc>
        <w:tc>
          <w:tcPr>
            <w:tcW w:w="3600" w:type="dxa"/>
            <w:vAlign w:val="bottom"/>
          </w:tcPr>
          <w:p>
            <w:pPr>
              <w:jc w:val="right"/>
              <w:ind w:right="3205"/>
              <w:spacing w:after="0"/>
              <w:rPr>
                <w:sz w:val="20"/>
                <w:szCs w:val="20"/>
                <w:color w:val="auto"/>
              </w:rPr>
            </w:pPr>
            <w:r>
              <w:rPr>
                <w:rFonts w:ascii="Arial" w:cs="Arial" w:eastAsia="Arial" w:hAnsi="Arial"/>
                <w:sz w:val="19"/>
                <w:szCs w:val="19"/>
                <w:color w:val="auto"/>
              </w:rPr>
              <w:t>25</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5.9.</w:t>
            </w:r>
          </w:p>
        </w:tc>
        <w:tc>
          <w:tcPr>
            <w:tcW w:w="1760" w:type="dxa"/>
            <w:vAlign w:val="bottom"/>
            <w:gridSpan w:val="3"/>
          </w:tcPr>
          <w:p>
            <w:pPr>
              <w:ind w:left="360"/>
              <w:spacing w:after="0"/>
              <w:rPr>
                <w:sz w:val="20"/>
                <w:szCs w:val="20"/>
                <w:color w:val="auto"/>
              </w:rPr>
            </w:pPr>
            <w:r>
              <w:rPr>
                <w:rFonts w:ascii="Arial" w:cs="Arial" w:eastAsia="Arial" w:hAnsi="Arial"/>
                <w:sz w:val="19"/>
                <w:szCs w:val="19"/>
                <w:color w:val="auto"/>
              </w:rPr>
              <w:t>Indemnification</w:t>
            </w:r>
          </w:p>
        </w:tc>
        <w:tc>
          <w:tcPr>
            <w:tcW w:w="480" w:type="dxa"/>
            <w:vAlign w:val="bottom"/>
          </w:tcPr>
          <w:p>
            <w:pPr>
              <w:jc w:val="right"/>
              <w:ind w:right="185"/>
              <w:spacing w:after="0"/>
              <w:rPr>
                <w:sz w:val="20"/>
                <w:szCs w:val="20"/>
                <w:color w:val="auto"/>
              </w:rPr>
            </w:pPr>
            <w:r>
              <w:rPr>
                <w:rFonts w:ascii="Arial" w:cs="Arial" w:eastAsia="Arial" w:hAnsi="Arial"/>
                <w:sz w:val="19"/>
                <w:szCs w:val="19"/>
                <w:color w:val="auto"/>
                <w:w w:val="84"/>
              </w:rPr>
              <w:t>26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5.10.</w:t>
            </w:r>
          </w:p>
        </w:tc>
        <w:tc>
          <w:tcPr>
            <w:tcW w:w="2240" w:type="dxa"/>
            <w:vAlign w:val="bottom"/>
            <w:gridSpan w:val="4"/>
          </w:tcPr>
          <w:p>
            <w:pPr>
              <w:ind w:left="360"/>
              <w:spacing w:after="0"/>
              <w:rPr>
                <w:sz w:val="20"/>
                <w:szCs w:val="20"/>
                <w:color w:val="auto"/>
              </w:rPr>
            </w:pPr>
            <w:r>
              <w:rPr>
                <w:rFonts w:ascii="Arial" w:cs="Arial" w:eastAsia="Arial" w:hAnsi="Arial"/>
                <w:sz w:val="19"/>
                <w:szCs w:val="19"/>
                <w:color w:val="auto"/>
                <w:w w:val="90"/>
              </w:rPr>
              <w:t>Successor Administrator</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w w:val="84"/>
              </w:rPr>
              <w:t>26</w:t>
            </w:r>
          </w:p>
        </w:tc>
        <w:tc>
          <w:tcPr>
            <w:tcW w:w="3600" w:type="dxa"/>
            <w:vAlign w:val="bottom"/>
          </w:tcPr>
          <w:p>
            <w:pPr>
              <w:spacing w:after="0"/>
              <w:rPr>
                <w:sz w:val="23"/>
                <w:szCs w:val="23"/>
                <w:color w:val="auto"/>
              </w:rPr>
            </w:pPr>
          </w:p>
        </w:tc>
      </w:tr>
      <w:tr>
        <w:trPr>
          <w:trHeight w:val="322"/>
        </w:trPr>
        <w:tc>
          <w:tcPr>
            <w:tcW w:w="1200" w:type="dxa"/>
            <w:vAlign w:val="bottom"/>
          </w:tcPr>
          <w:p>
            <w:pPr>
              <w:spacing w:after="0"/>
              <w:rPr>
                <w:sz w:val="20"/>
                <w:szCs w:val="20"/>
                <w:color w:val="auto"/>
              </w:rPr>
            </w:pPr>
            <w:r>
              <w:rPr>
                <w:rFonts w:ascii="Arial" w:cs="Arial" w:eastAsia="Arial" w:hAnsi="Arial"/>
                <w:sz w:val="19"/>
                <w:szCs w:val="19"/>
                <w:color w:val="auto"/>
              </w:rPr>
              <w:t>ARTICLE VI.</w:t>
            </w: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9"/>
                <w:szCs w:val="19"/>
                <w:color w:val="auto"/>
                <w:w w:val="97"/>
              </w:rPr>
              <w:t>MISCELLANEOUS</w:t>
            </w: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w w:val="94"/>
              </w:rPr>
              <w:t>27</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22"/>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6.1.</w:t>
            </w:r>
          </w:p>
        </w:tc>
        <w:tc>
          <w:tcPr>
            <w:tcW w:w="1760" w:type="dxa"/>
            <w:vAlign w:val="bottom"/>
            <w:gridSpan w:val="3"/>
          </w:tcPr>
          <w:p>
            <w:pPr>
              <w:ind w:left="360"/>
              <w:spacing w:after="0"/>
              <w:rPr>
                <w:sz w:val="20"/>
                <w:szCs w:val="20"/>
                <w:color w:val="auto"/>
              </w:rPr>
            </w:pPr>
            <w:r>
              <w:rPr>
                <w:rFonts w:ascii="Arial" w:cs="Arial" w:eastAsia="Arial" w:hAnsi="Arial"/>
                <w:sz w:val="19"/>
                <w:szCs w:val="19"/>
                <w:color w:val="auto"/>
                <w:w w:val="92"/>
              </w:rPr>
              <w:t>Amendments, Etc</w:t>
            </w:r>
          </w:p>
        </w:tc>
        <w:tc>
          <w:tcPr>
            <w:tcW w:w="480" w:type="dxa"/>
            <w:vAlign w:val="bottom"/>
          </w:tcPr>
          <w:p>
            <w:pPr>
              <w:jc w:val="right"/>
              <w:ind w:right="45"/>
              <w:spacing w:after="0"/>
              <w:rPr>
                <w:sz w:val="20"/>
                <w:szCs w:val="20"/>
                <w:color w:val="auto"/>
              </w:rPr>
            </w:pPr>
            <w:r>
              <w:rPr>
                <w:rFonts w:ascii="Arial" w:cs="Arial" w:eastAsia="Arial" w:hAnsi="Arial"/>
                <w:sz w:val="19"/>
                <w:szCs w:val="19"/>
                <w:color w:val="auto"/>
              </w:rPr>
              <w:t>27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6.2.</w:t>
            </w:r>
          </w:p>
        </w:tc>
        <w:tc>
          <w:tcPr>
            <w:tcW w:w="1380" w:type="dxa"/>
            <w:vAlign w:val="bottom"/>
          </w:tcPr>
          <w:p>
            <w:pPr>
              <w:ind w:left="360"/>
              <w:spacing w:after="0"/>
              <w:rPr>
                <w:sz w:val="20"/>
                <w:szCs w:val="20"/>
                <w:color w:val="auto"/>
              </w:rPr>
            </w:pPr>
            <w:r>
              <w:rPr>
                <w:rFonts w:ascii="Arial" w:cs="Arial" w:eastAsia="Arial" w:hAnsi="Arial"/>
                <w:sz w:val="19"/>
                <w:szCs w:val="19"/>
                <w:color w:val="auto"/>
                <w:w w:val="98"/>
              </w:rPr>
              <w:t>Notices, Etc</w:t>
            </w:r>
          </w:p>
        </w:tc>
        <w:tc>
          <w:tcPr>
            <w:tcW w:w="380" w:type="dxa"/>
            <w:vAlign w:val="bottom"/>
            <w:gridSpan w:val="2"/>
          </w:tcPr>
          <w:p>
            <w:pPr>
              <w:jc w:val="right"/>
              <w:ind w:right="5"/>
              <w:spacing w:after="0"/>
              <w:rPr>
                <w:sz w:val="20"/>
                <w:szCs w:val="20"/>
                <w:color w:val="auto"/>
              </w:rPr>
            </w:pPr>
            <w:r>
              <w:rPr>
                <w:rFonts w:ascii="Arial" w:cs="Arial" w:eastAsia="Arial" w:hAnsi="Arial"/>
                <w:sz w:val="19"/>
                <w:szCs w:val="19"/>
                <w:color w:val="auto"/>
              </w:rPr>
              <w:t>27</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6.3.</w:t>
            </w:r>
          </w:p>
        </w:tc>
        <w:tc>
          <w:tcPr>
            <w:tcW w:w="6260" w:type="dxa"/>
            <w:vAlign w:val="bottom"/>
            <w:gridSpan w:val="7"/>
          </w:tcPr>
          <w:p>
            <w:pPr>
              <w:ind w:left="360"/>
              <w:spacing w:after="0"/>
              <w:rPr>
                <w:sz w:val="20"/>
                <w:szCs w:val="20"/>
                <w:color w:val="auto"/>
              </w:rPr>
            </w:pPr>
            <w:r>
              <w:rPr>
                <w:rFonts w:ascii="Arial" w:cs="Arial" w:eastAsia="Arial" w:hAnsi="Arial"/>
                <w:sz w:val="19"/>
                <w:szCs w:val="19"/>
                <w:color w:val="auto"/>
              </w:rPr>
              <w:t>Successors and Assigns; Participations; Assignments  27</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6.4.</w:t>
            </w:r>
          </w:p>
        </w:tc>
        <w:tc>
          <w:tcPr>
            <w:tcW w:w="2420" w:type="dxa"/>
            <w:vAlign w:val="bottom"/>
            <w:gridSpan w:val="5"/>
          </w:tcPr>
          <w:p>
            <w:pPr>
              <w:ind w:left="360"/>
              <w:spacing w:after="0"/>
              <w:rPr>
                <w:sz w:val="20"/>
                <w:szCs w:val="20"/>
                <w:color w:val="auto"/>
              </w:rPr>
            </w:pPr>
            <w:r>
              <w:rPr>
                <w:rFonts w:ascii="Arial" w:cs="Arial" w:eastAsia="Arial" w:hAnsi="Arial"/>
                <w:sz w:val="19"/>
                <w:szCs w:val="19"/>
                <w:color w:val="auto"/>
                <w:w w:val="86"/>
              </w:rPr>
              <w:t>Costs, Expenses and Taxes</w:t>
            </w:r>
          </w:p>
        </w:tc>
        <w:tc>
          <w:tcPr>
            <w:tcW w:w="3840" w:type="dxa"/>
            <w:vAlign w:val="bottom"/>
            <w:gridSpan w:val="2"/>
          </w:tcPr>
          <w:p>
            <w:pPr>
              <w:jc w:val="right"/>
              <w:ind w:right="3385"/>
              <w:spacing w:after="0"/>
              <w:rPr>
                <w:sz w:val="20"/>
                <w:szCs w:val="20"/>
                <w:color w:val="auto"/>
              </w:rPr>
            </w:pPr>
            <w:r>
              <w:rPr>
                <w:rFonts w:ascii="Arial" w:cs="Arial" w:eastAsia="Arial" w:hAnsi="Arial"/>
                <w:sz w:val="19"/>
                <w:szCs w:val="19"/>
                <w:color w:val="auto"/>
              </w:rPr>
              <w:t>29</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6.5.</w:t>
            </w:r>
          </w:p>
        </w:tc>
        <w:tc>
          <w:tcPr>
            <w:tcW w:w="6260" w:type="dxa"/>
            <w:vAlign w:val="bottom"/>
            <w:gridSpan w:val="7"/>
          </w:tcPr>
          <w:p>
            <w:pPr>
              <w:ind w:left="360"/>
              <w:spacing w:after="0"/>
              <w:rPr>
                <w:sz w:val="20"/>
                <w:szCs w:val="20"/>
                <w:color w:val="auto"/>
              </w:rPr>
            </w:pPr>
            <w:r>
              <w:rPr>
                <w:rFonts w:ascii="Arial" w:cs="Arial" w:eastAsia="Arial" w:hAnsi="Arial"/>
                <w:sz w:val="19"/>
                <w:szCs w:val="19"/>
                <w:color w:val="auto"/>
              </w:rPr>
              <w:t>No Proceedings; Limitation on Payments  30</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6.6.</w:t>
            </w:r>
          </w:p>
        </w:tc>
        <w:tc>
          <w:tcPr>
            <w:tcW w:w="6260" w:type="dxa"/>
            <w:vAlign w:val="bottom"/>
            <w:gridSpan w:val="7"/>
          </w:tcPr>
          <w:p>
            <w:pPr>
              <w:ind w:left="360"/>
              <w:spacing w:after="0"/>
              <w:rPr>
                <w:sz w:val="20"/>
                <w:szCs w:val="20"/>
                <w:color w:val="auto"/>
              </w:rPr>
            </w:pPr>
            <w:r>
              <w:rPr>
                <w:rFonts w:ascii="Arial" w:cs="Arial" w:eastAsia="Arial" w:hAnsi="Arial"/>
                <w:sz w:val="19"/>
                <w:szCs w:val="19"/>
                <w:color w:val="auto"/>
              </w:rPr>
              <w:t>GOVERNING LAW AND JURISDICTION  30</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6.7.</w:t>
            </w:r>
          </w:p>
        </w:tc>
        <w:tc>
          <w:tcPr>
            <w:tcW w:w="2420" w:type="dxa"/>
            <w:vAlign w:val="bottom"/>
            <w:gridSpan w:val="5"/>
          </w:tcPr>
          <w:p>
            <w:pPr>
              <w:ind w:left="360"/>
              <w:spacing w:after="0"/>
              <w:rPr>
                <w:sz w:val="20"/>
                <w:szCs w:val="20"/>
                <w:color w:val="auto"/>
              </w:rPr>
            </w:pPr>
            <w:r>
              <w:rPr>
                <w:rFonts w:ascii="Arial" w:cs="Arial" w:eastAsia="Arial" w:hAnsi="Arial"/>
                <w:sz w:val="19"/>
                <w:szCs w:val="19"/>
                <w:color w:val="auto"/>
                <w:w w:val="93"/>
              </w:rPr>
              <w:t>Execution in Counterparts</w:t>
            </w:r>
          </w:p>
        </w:tc>
        <w:tc>
          <w:tcPr>
            <w:tcW w:w="3840" w:type="dxa"/>
            <w:vAlign w:val="bottom"/>
            <w:gridSpan w:val="2"/>
          </w:tcPr>
          <w:p>
            <w:pPr>
              <w:jc w:val="right"/>
              <w:ind w:right="3425"/>
              <w:spacing w:after="0"/>
              <w:rPr>
                <w:sz w:val="20"/>
                <w:szCs w:val="20"/>
                <w:color w:val="auto"/>
              </w:rPr>
            </w:pPr>
            <w:r>
              <w:rPr>
                <w:rFonts w:ascii="Arial" w:cs="Arial" w:eastAsia="Arial" w:hAnsi="Arial"/>
                <w:sz w:val="19"/>
                <w:szCs w:val="19"/>
                <w:color w:val="auto"/>
              </w:rPr>
              <w:t>31</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6.8.</w:t>
            </w:r>
          </w:p>
        </w:tc>
        <w:tc>
          <w:tcPr>
            <w:tcW w:w="2240" w:type="dxa"/>
            <w:vAlign w:val="bottom"/>
            <w:gridSpan w:val="4"/>
          </w:tcPr>
          <w:p>
            <w:pPr>
              <w:ind w:left="360"/>
              <w:spacing w:after="0"/>
              <w:rPr>
                <w:sz w:val="20"/>
                <w:szCs w:val="20"/>
                <w:color w:val="auto"/>
              </w:rPr>
            </w:pPr>
            <w:r>
              <w:rPr>
                <w:rFonts w:ascii="Arial" w:cs="Arial" w:eastAsia="Arial" w:hAnsi="Arial"/>
                <w:sz w:val="19"/>
                <w:szCs w:val="19"/>
                <w:color w:val="auto"/>
                <w:w w:val="95"/>
              </w:rPr>
              <w:t>Survival of Termination</w:t>
            </w:r>
          </w:p>
        </w:tc>
        <w:tc>
          <w:tcPr>
            <w:tcW w:w="420" w:type="dxa"/>
            <w:vAlign w:val="bottom"/>
            <w:gridSpan w:val="2"/>
          </w:tcPr>
          <w:p>
            <w:pPr>
              <w:jc w:val="right"/>
              <w:ind w:right="5"/>
              <w:spacing w:after="0"/>
              <w:rPr>
                <w:sz w:val="20"/>
                <w:szCs w:val="20"/>
                <w:color w:val="auto"/>
              </w:rPr>
            </w:pPr>
            <w:r>
              <w:rPr>
                <w:rFonts w:ascii="Arial" w:cs="Arial" w:eastAsia="Arial" w:hAnsi="Arial"/>
                <w:sz w:val="19"/>
                <w:szCs w:val="19"/>
                <w:color w:val="auto"/>
              </w:rPr>
              <w:t>31</w:t>
            </w: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rPr>
              <w:t>Section 6.9.</w:t>
            </w:r>
          </w:p>
        </w:tc>
        <w:tc>
          <w:tcPr>
            <w:tcW w:w="2660" w:type="dxa"/>
            <w:vAlign w:val="bottom"/>
            <w:gridSpan w:val="6"/>
          </w:tcPr>
          <w:p>
            <w:pPr>
              <w:ind w:left="360"/>
              <w:spacing w:after="0"/>
              <w:rPr>
                <w:sz w:val="20"/>
                <w:szCs w:val="20"/>
                <w:color w:val="auto"/>
              </w:rPr>
            </w:pPr>
            <w:r>
              <w:rPr>
                <w:rFonts w:ascii="Arial" w:cs="Arial" w:eastAsia="Arial" w:hAnsi="Arial"/>
                <w:sz w:val="19"/>
                <w:szCs w:val="19"/>
                <w:color w:val="auto"/>
              </w:rPr>
              <w:t>WAIVER OF JURY TRIAL</w:t>
            </w:r>
          </w:p>
        </w:tc>
        <w:tc>
          <w:tcPr>
            <w:tcW w:w="3600" w:type="dxa"/>
            <w:vAlign w:val="bottom"/>
          </w:tcPr>
          <w:p>
            <w:pPr>
              <w:jc w:val="right"/>
              <w:ind w:right="3285"/>
              <w:spacing w:after="0"/>
              <w:rPr>
                <w:sz w:val="20"/>
                <w:szCs w:val="20"/>
                <w:color w:val="auto"/>
              </w:rPr>
            </w:pPr>
            <w:r>
              <w:rPr>
                <w:rFonts w:ascii="Arial" w:cs="Arial" w:eastAsia="Arial" w:hAnsi="Arial"/>
                <w:sz w:val="19"/>
                <w:szCs w:val="19"/>
                <w:color w:val="auto"/>
                <w:w w:val="94"/>
              </w:rPr>
              <w:t>31</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6.10.</w:t>
            </w:r>
          </w:p>
        </w:tc>
        <w:tc>
          <w:tcPr>
            <w:tcW w:w="2240" w:type="dxa"/>
            <w:vAlign w:val="bottom"/>
            <w:gridSpan w:val="4"/>
          </w:tcPr>
          <w:p>
            <w:pPr>
              <w:ind w:left="360"/>
              <w:spacing w:after="0"/>
              <w:rPr>
                <w:sz w:val="20"/>
                <w:szCs w:val="20"/>
                <w:color w:val="auto"/>
              </w:rPr>
            </w:pPr>
            <w:r>
              <w:rPr>
                <w:rFonts w:ascii="Arial" w:cs="Arial" w:eastAsia="Arial" w:hAnsi="Arial"/>
                <w:sz w:val="19"/>
                <w:szCs w:val="19"/>
                <w:color w:val="auto"/>
                <w:w w:val="99"/>
              </w:rPr>
              <w:t>Sharing of Recoveries</w:t>
            </w:r>
          </w:p>
        </w:tc>
        <w:tc>
          <w:tcPr>
            <w:tcW w:w="420" w:type="dxa"/>
            <w:vAlign w:val="bottom"/>
            <w:gridSpan w:val="2"/>
          </w:tcPr>
          <w:p>
            <w:pPr>
              <w:jc w:val="right"/>
              <w:ind w:right="125"/>
              <w:spacing w:after="0"/>
              <w:rPr>
                <w:sz w:val="20"/>
                <w:szCs w:val="20"/>
                <w:color w:val="auto"/>
              </w:rPr>
            </w:pPr>
            <w:r>
              <w:rPr>
                <w:rFonts w:ascii="Arial" w:cs="Arial" w:eastAsia="Arial" w:hAnsi="Arial"/>
                <w:sz w:val="19"/>
                <w:szCs w:val="19"/>
                <w:color w:val="auto"/>
                <w:w w:val="84"/>
              </w:rPr>
              <w:t>31</w:t>
            </w: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6.11.</w:t>
            </w:r>
          </w:p>
        </w:tc>
        <w:tc>
          <w:tcPr>
            <w:tcW w:w="1540" w:type="dxa"/>
            <w:vAlign w:val="bottom"/>
            <w:gridSpan w:val="2"/>
          </w:tcPr>
          <w:p>
            <w:pPr>
              <w:ind w:left="360"/>
              <w:spacing w:after="0"/>
              <w:rPr>
                <w:sz w:val="20"/>
                <w:szCs w:val="20"/>
                <w:color w:val="auto"/>
              </w:rPr>
            </w:pPr>
            <w:r>
              <w:rPr>
                <w:rFonts w:ascii="Arial" w:cs="Arial" w:eastAsia="Arial" w:hAnsi="Arial"/>
                <w:sz w:val="19"/>
                <w:szCs w:val="19"/>
                <w:color w:val="auto"/>
                <w:w w:val="96"/>
              </w:rPr>
              <w:t>Right of Setoff</w:t>
            </w:r>
          </w:p>
        </w:tc>
        <w:tc>
          <w:tcPr>
            <w:tcW w:w="700" w:type="dxa"/>
            <w:vAlign w:val="bottom"/>
            <w:gridSpan w:val="2"/>
          </w:tcPr>
          <w:p>
            <w:pPr>
              <w:jc w:val="right"/>
              <w:ind w:right="265"/>
              <w:spacing w:after="0"/>
              <w:rPr>
                <w:sz w:val="20"/>
                <w:szCs w:val="20"/>
                <w:color w:val="auto"/>
              </w:rPr>
            </w:pPr>
            <w:r>
              <w:rPr>
                <w:rFonts w:ascii="Arial" w:cs="Arial" w:eastAsia="Arial" w:hAnsi="Arial"/>
                <w:sz w:val="19"/>
                <w:szCs w:val="19"/>
                <w:color w:val="auto"/>
              </w:rPr>
              <w:t>32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6.12.</w:t>
            </w:r>
          </w:p>
        </w:tc>
        <w:tc>
          <w:tcPr>
            <w:tcW w:w="1760" w:type="dxa"/>
            <w:vAlign w:val="bottom"/>
            <w:gridSpan w:val="3"/>
          </w:tcPr>
          <w:p>
            <w:pPr>
              <w:ind w:left="360"/>
              <w:spacing w:after="0"/>
              <w:rPr>
                <w:sz w:val="20"/>
                <w:szCs w:val="20"/>
                <w:color w:val="auto"/>
              </w:rPr>
            </w:pPr>
            <w:r>
              <w:rPr>
                <w:rFonts w:ascii="Arial" w:cs="Arial" w:eastAsia="Arial" w:hAnsi="Arial"/>
                <w:sz w:val="19"/>
                <w:szCs w:val="19"/>
                <w:color w:val="auto"/>
                <w:w w:val="93"/>
              </w:rPr>
              <w:t>Entire Agreement</w:t>
            </w:r>
          </w:p>
        </w:tc>
        <w:tc>
          <w:tcPr>
            <w:tcW w:w="480" w:type="dxa"/>
            <w:vAlign w:val="bottom"/>
          </w:tcPr>
          <w:p>
            <w:pPr>
              <w:jc w:val="right"/>
              <w:ind w:right="45"/>
              <w:spacing w:after="0"/>
              <w:rPr>
                <w:sz w:val="20"/>
                <w:szCs w:val="20"/>
                <w:color w:val="auto"/>
              </w:rPr>
            </w:pPr>
            <w:r>
              <w:rPr>
                <w:rFonts w:ascii="Arial" w:cs="Arial" w:eastAsia="Arial" w:hAnsi="Arial"/>
                <w:sz w:val="19"/>
                <w:szCs w:val="19"/>
                <w:color w:val="auto"/>
              </w:rPr>
              <w:t>32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6.13.</w:t>
            </w:r>
          </w:p>
        </w:tc>
        <w:tc>
          <w:tcPr>
            <w:tcW w:w="1540" w:type="dxa"/>
            <w:vAlign w:val="bottom"/>
            <w:gridSpan w:val="2"/>
          </w:tcPr>
          <w:p>
            <w:pPr>
              <w:ind w:left="360"/>
              <w:spacing w:after="0"/>
              <w:rPr>
                <w:sz w:val="20"/>
                <w:szCs w:val="20"/>
                <w:color w:val="auto"/>
              </w:rPr>
            </w:pPr>
            <w:r>
              <w:rPr>
                <w:rFonts w:ascii="Arial" w:cs="Arial" w:eastAsia="Arial" w:hAnsi="Arial"/>
                <w:sz w:val="19"/>
                <w:szCs w:val="19"/>
                <w:color w:val="auto"/>
              </w:rPr>
              <w:t>Headings  32</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6.14.</w:t>
            </w:r>
          </w:p>
        </w:tc>
        <w:tc>
          <w:tcPr>
            <w:tcW w:w="2660" w:type="dxa"/>
            <w:vAlign w:val="bottom"/>
            <w:gridSpan w:val="6"/>
          </w:tcPr>
          <w:p>
            <w:pPr>
              <w:ind w:left="360"/>
              <w:spacing w:after="0"/>
              <w:rPr>
                <w:sz w:val="20"/>
                <w:szCs w:val="20"/>
                <w:color w:val="auto"/>
              </w:rPr>
            </w:pPr>
            <w:r>
              <w:rPr>
                <w:rFonts w:ascii="Arial" w:cs="Arial" w:eastAsia="Arial" w:hAnsi="Arial"/>
                <w:sz w:val="19"/>
                <w:szCs w:val="19"/>
                <w:color w:val="auto"/>
                <w:w w:val="94"/>
              </w:rPr>
              <w:t>Purchaser Groups’ Liabilities</w:t>
            </w:r>
          </w:p>
        </w:tc>
        <w:tc>
          <w:tcPr>
            <w:tcW w:w="3600" w:type="dxa"/>
            <w:vAlign w:val="bottom"/>
          </w:tcPr>
          <w:p>
            <w:pPr>
              <w:jc w:val="right"/>
              <w:ind w:right="3185"/>
              <w:spacing w:after="0"/>
              <w:rPr>
                <w:sz w:val="20"/>
                <w:szCs w:val="20"/>
                <w:color w:val="auto"/>
              </w:rPr>
            </w:pPr>
            <w:r>
              <w:rPr>
                <w:rFonts w:ascii="Arial" w:cs="Arial" w:eastAsia="Arial" w:hAnsi="Arial"/>
                <w:sz w:val="19"/>
                <w:szCs w:val="19"/>
                <w:color w:val="auto"/>
              </w:rPr>
              <w:t>32</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6.15.</w:t>
            </w:r>
          </w:p>
        </w:tc>
        <w:tc>
          <w:tcPr>
            <w:tcW w:w="6260" w:type="dxa"/>
            <w:vAlign w:val="bottom"/>
            <w:gridSpan w:val="7"/>
          </w:tcPr>
          <w:p>
            <w:pPr>
              <w:ind w:left="360"/>
              <w:spacing w:after="0"/>
              <w:rPr>
                <w:sz w:val="20"/>
                <w:szCs w:val="20"/>
                <w:color w:val="auto"/>
              </w:rPr>
            </w:pPr>
            <w:r>
              <w:rPr>
                <w:rFonts w:ascii="Arial" w:cs="Arial" w:eastAsia="Arial" w:hAnsi="Arial"/>
                <w:sz w:val="19"/>
                <w:szCs w:val="19"/>
                <w:color w:val="auto"/>
              </w:rPr>
              <w:t>Pledge to a Federal Reserve Bank  32</w:t>
            </w: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6.16.</w:t>
            </w:r>
          </w:p>
        </w:tc>
        <w:tc>
          <w:tcPr>
            <w:tcW w:w="1540" w:type="dxa"/>
            <w:vAlign w:val="bottom"/>
            <w:gridSpan w:val="2"/>
          </w:tcPr>
          <w:p>
            <w:pPr>
              <w:ind w:left="360"/>
              <w:spacing w:after="0"/>
              <w:rPr>
                <w:sz w:val="20"/>
                <w:szCs w:val="20"/>
                <w:color w:val="auto"/>
              </w:rPr>
            </w:pPr>
            <w:r>
              <w:rPr>
                <w:rFonts w:ascii="Arial" w:cs="Arial" w:eastAsia="Arial" w:hAnsi="Arial"/>
                <w:sz w:val="19"/>
                <w:szCs w:val="19"/>
                <w:color w:val="auto"/>
                <w:w w:val="97"/>
              </w:rPr>
              <w:t>Confidentiality</w:t>
            </w:r>
          </w:p>
        </w:tc>
        <w:tc>
          <w:tcPr>
            <w:tcW w:w="700" w:type="dxa"/>
            <w:vAlign w:val="bottom"/>
            <w:gridSpan w:val="2"/>
          </w:tcPr>
          <w:p>
            <w:pPr>
              <w:jc w:val="right"/>
              <w:ind w:right="245"/>
              <w:spacing w:after="0"/>
              <w:rPr>
                <w:sz w:val="20"/>
                <w:szCs w:val="20"/>
                <w:color w:val="auto"/>
              </w:rPr>
            </w:pPr>
            <w:r>
              <w:rPr>
                <w:rFonts w:ascii="Arial" w:cs="Arial" w:eastAsia="Arial" w:hAnsi="Arial"/>
                <w:sz w:val="19"/>
                <w:szCs w:val="19"/>
                <w:color w:val="auto"/>
              </w:rPr>
              <w:t>32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6.17.</w:t>
            </w:r>
          </w:p>
        </w:tc>
        <w:tc>
          <w:tcPr>
            <w:tcW w:w="2420" w:type="dxa"/>
            <w:vAlign w:val="bottom"/>
            <w:gridSpan w:val="5"/>
          </w:tcPr>
          <w:p>
            <w:pPr>
              <w:ind w:left="360"/>
              <w:spacing w:after="0"/>
              <w:rPr>
                <w:sz w:val="20"/>
                <w:szCs w:val="20"/>
                <w:color w:val="auto"/>
              </w:rPr>
            </w:pPr>
            <w:r>
              <w:rPr>
                <w:rFonts w:ascii="Arial" w:cs="Arial" w:eastAsia="Arial" w:hAnsi="Arial"/>
                <w:sz w:val="19"/>
                <w:szCs w:val="19"/>
                <w:color w:val="auto"/>
              </w:rPr>
              <w:t>Mutual Negotiations  33</w:t>
            </w: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4"/>
        </w:trPr>
        <w:tc>
          <w:tcPr>
            <w:tcW w:w="1640" w:type="dxa"/>
            <w:vAlign w:val="bottom"/>
            <w:gridSpan w:val="3"/>
          </w:tcPr>
          <w:p>
            <w:pPr>
              <w:ind w:left="560"/>
              <w:spacing w:after="0"/>
              <w:rPr>
                <w:sz w:val="20"/>
                <w:szCs w:val="20"/>
                <w:color w:val="auto"/>
              </w:rPr>
            </w:pPr>
            <w:r>
              <w:rPr>
                <w:rFonts w:ascii="Arial" w:cs="Arial" w:eastAsia="Arial" w:hAnsi="Arial"/>
                <w:sz w:val="19"/>
                <w:szCs w:val="19"/>
                <w:color w:val="auto"/>
                <w:w w:val="95"/>
              </w:rPr>
              <w:t>Section 6.18.</w:t>
            </w:r>
          </w:p>
        </w:tc>
        <w:tc>
          <w:tcPr>
            <w:tcW w:w="1760" w:type="dxa"/>
            <w:vAlign w:val="bottom"/>
            <w:gridSpan w:val="3"/>
          </w:tcPr>
          <w:p>
            <w:pPr>
              <w:ind w:left="360"/>
              <w:spacing w:after="0"/>
              <w:rPr>
                <w:sz w:val="20"/>
                <w:szCs w:val="20"/>
                <w:color w:val="auto"/>
              </w:rPr>
            </w:pPr>
            <w:r>
              <w:rPr>
                <w:rFonts w:ascii="Arial" w:cs="Arial" w:eastAsia="Arial" w:hAnsi="Arial"/>
                <w:sz w:val="19"/>
                <w:szCs w:val="19"/>
                <w:color w:val="auto"/>
                <w:w w:val="92"/>
              </w:rPr>
              <w:t>Credit Agreement</w:t>
            </w:r>
          </w:p>
        </w:tc>
        <w:tc>
          <w:tcPr>
            <w:tcW w:w="480" w:type="dxa"/>
            <w:vAlign w:val="bottom"/>
          </w:tcPr>
          <w:p>
            <w:pPr>
              <w:jc w:val="right"/>
              <w:ind w:right="45"/>
              <w:spacing w:after="0"/>
              <w:rPr>
                <w:sz w:val="20"/>
                <w:szCs w:val="20"/>
                <w:color w:val="auto"/>
              </w:rPr>
            </w:pPr>
            <w:r>
              <w:rPr>
                <w:rFonts w:ascii="Arial" w:cs="Arial" w:eastAsia="Arial" w:hAnsi="Arial"/>
                <w:sz w:val="19"/>
                <w:szCs w:val="19"/>
                <w:color w:val="auto"/>
              </w:rPr>
              <w:t>34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938"/>
        </w:trPr>
        <w:tc>
          <w:tcPr>
            <w:tcW w:w="1200" w:type="dxa"/>
            <w:vAlign w:val="bottom"/>
          </w:tcPr>
          <w:p>
            <w:pPr>
              <w:spacing w:after="0"/>
              <w:rPr>
                <w:sz w:val="20"/>
                <w:szCs w:val="20"/>
                <w:color w:val="auto"/>
              </w:rPr>
            </w:pPr>
            <w:r>
              <w:rPr>
                <w:rFonts w:ascii="Arial" w:cs="Arial" w:eastAsia="Arial" w:hAnsi="Arial"/>
                <w:sz w:val="19"/>
                <w:szCs w:val="19"/>
                <w:color w:val="auto"/>
              </w:rPr>
              <w:t>EXHIBIT I</w:t>
            </w:r>
          </w:p>
        </w:tc>
        <w:tc>
          <w:tcPr>
            <w:tcW w:w="1820" w:type="dxa"/>
            <w:vAlign w:val="bottom"/>
            <w:gridSpan w:val="3"/>
          </w:tcPr>
          <w:p>
            <w:pPr>
              <w:ind w:left="60"/>
              <w:spacing w:after="0"/>
              <w:rPr>
                <w:sz w:val="20"/>
                <w:szCs w:val="20"/>
                <w:color w:val="auto"/>
              </w:rPr>
            </w:pPr>
            <w:r>
              <w:rPr>
                <w:rFonts w:ascii="Arial" w:cs="Arial" w:eastAsia="Arial" w:hAnsi="Arial"/>
                <w:sz w:val="19"/>
                <w:szCs w:val="19"/>
                <w:color w:val="auto"/>
              </w:rPr>
              <w:t>Definitions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EXHIBIT II</w:t>
            </w:r>
          </w:p>
        </w:tc>
        <w:tc>
          <w:tcPr>
            <w:tcW w:w="1820" w:type="dxa"/>
            <w:vAlign w:val="bottom"/>
            <w:gridSpan w:val="3"/>
          </w:tcPr>
          <w:p>
            <w:pPr>
              <w:ind w:left="120"/>
              <w:spacing w:after="0"/>
              <w:rPr>
                <w:sz w:val="20"/>
                <w:szCs w:val="20"/>
                <w:color w:val="auto"/>
              </w:rPr>
            </w:pPr>
            <w:r>
              <w:rPr>
                <w:rFonts w:ascii="Arial" w:cs="Arial" w:eastAsia="Arial" w:hAnsi="Arial"/>
                <w:sz w:val="19"/>
                <w:szCs w:val="19"/>
                <w:color w:val="auto"/>
                <w:w w:val="92"/>
              </w:rPr>
              <w:t>Conditions Precedent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EXHIBIT III</w:t>
            </w:r>
          </w:p>
        </w:tc>
        <w:tc>
          <w:tcPr>
            <w:tcW w:w="180" w:type="dxa"/>
            <w:vAlign w:val="bottom"/>
          </w:tcPr>
          <w:p>
            <w:pPr>
              <w:spacing w:after="0"/>
              <w:rPr>
                <w:sz w:val="19"/>
                <w:szCs w:val="19"/>
                <w:color w:val="auto"/>
              </w:rPr>
            </w:pPr>
          </w:p>
        </w:tc>
        <w:tc>
          <w:tcPr>
            <w:tcW w:w="2500" w:type="dxa"/>
            <w:vAlign w:val="bottom"/>
            <w:gridSpan w:val="5"/>
          </w:tcPr>
          <w:p>
            <w:pPr>
              <w:spacing w:after="0"/>
              <w:rPr>
                <w:sz w:val="20"/>
                <w:szCs w:val="20"/>
                <w:color w:val="auto"/>
              </w:rPr>
            </w:pPr>
            <w:r>
              <w:rPr>
                <w:rFonts w:ascii="Arial" w:cs="Arial" w:eastAsia="Arial" w:hAnsi="Arial"/>
                <w:sz w:val="19"/>
                <w:szCs w:val="19"/>
                <w:color w:val="auto"/>
                <w:w w:val="91"/>
              </w:rPr>
              <w:t>Representations and Warranties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EXHIBIT IV</w:t>
            </w: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9"/>
                <w:szCs w:val="19"/>
                <w:color w:val="auto"/>
              </w:rPr>
              <w:t>Covenants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9"/>
                <w:szCs w:val="19"/>
                <w:color w:val="auto"/>
              </w:rPr>
              <w:t>EXHIBIT V</w:t>
            </w:r>
          </w:p>
        </w:tc>
        <w:tc>
          <w:tcPr>
            <w:tcW w:w="1820" w:type="dxa"/>
            <w:vAlign w:val="bottom"/>
            <w:gridSpan w:val="3"/>
          </w:tcPr>
          <w:p>
            <w:pPr>
              <w:ind w:left="120"/>
              <w:spacing w:after="0"/>
              <w:rPr>
                <w:sz w:val="20"/>
                <w:szCs w:val="20"/>
                <w:color w:val="auto"/>
              </w:rPr>
            </w:pPr>
            <w:r>
              <w:rPr>
                <w:rFonts w:ascii="Arial" w:cs="Arial" w:eastAsia="Arial" w:hAnsi="Arial"/>
                <w:sz w:val="19"/>
                <w:szCs w:val="19"/>
                <w:color w:val="auto"/>
              </w:rPr>
              <w:t>Termination Events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402"/>
        </w:trPr>
        <w:tc>
          <w:tcPr>
            <w:tcW w:w="1200" w:type="dxa"/>
            <w:vAlign w:val="bottom"/>
          </w:tcPr>
          <w:p>
            <w:pPr>
              <w:spacing w:after="0"/>
              <w:rPr>
                <w:sz w:val="20"/>
                <w:szCs w:val="20"/>
                <w:color w:val="auto"/>
              </w:rPr>
            </w:pPr>
            <w:r>
              <w:rPr>
                <w:rFonts w:ascii="Arial" w:cs="Arial" w:eastAsia="Arial" w:hAnsi="Arial"/>
                <w:sz w:val="19"/>
                <w:szCs w:val="19"/>
                <w:color w:val="auto"/>
              </w:rPr>
              <w:t>SCHEDULE I</w:t>
            </w:r>
          </w:p>
        </w:tc>
        <w:tc>
          <w:tcPr>
            <w:tcW w:w="180" w:type="dxa"/>
            <w:vAlign w:val="bottom"/>
          </w:tcPr>
          <w:p>
            <w:pPr>
              <w:spacing w:after="0"/>
              <w:rPr>
                <w:sz w:val="24"/>
                <w:szCs w:val="24"/>
                <w:color w:val="auto"/>
              </w:rPr>
            </w:pPr>
          </w:p>
        </w:tc>
        <w:tc>
          <w:tcPr>
            <w:tcW w:w="2500" w:type="dxa"/>
            <w:vAlign w:val="bottom"/>
            <w:gridSpan w:val="5"/>
          </w:tcPr>
          <w:p>
            <w:pPr>
              <w:ind w:left="100"/>
              <w:spacing w:after="0"/>
              <w:rPr>
                <w:sz w:val="20"/>
                <w:szCs w:val="20"/>
                <w:color w:val="auto"/>
              </w:rPr>
            </w:pPr>
            <w:r>
              <w:rPr>
                <w:rFonts w:ascii="Arial" w:cs="Arial" w:eastAsia="Arial" w:hAnsi="Arial"/>
                <w:sz w:val="19"/>
                <w:szCs w:val="19"/>
                <w:color w:val="auto"/>
              </w:rPr>
              <w:t>Credit and Collection Policy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w w:val="98"/>
              </w:rPr>
              <w:t>SCHEDULE II</w:t>
            </w:r>
          </w:p>
        </w:tc>
        <w:tc>
          <w:tcPr>
            <w:tcW w:w="1820" w:type="dxa"/>
            <w:vAlign w:val="bottom"/>
            <w:gridSpan w:val="3"/>
          </w:tcPr>
          <w:p>
            <w:pPr>
              <w:ind w:left="160"/>
              <w:spacing w:after="0"/>
              <w:rPr>
                <w:sz w:val="20"/>
                <w:szCs w:val="20"/>
                <w:color w:val="auto"/>
              </w:rPr>
            </w:pPr>
            <w:r>
              <w:rPr>
                <w:rFonts w:ascii="Arial" w:cs="Arial" w:eastAsia="Arial" w:hAnsi="Arial"/>
                <w:sz w:val="19"/>
                <w:szCs w:val="19"/>
                <w:color w:val="auto"/>
              </w:rPr>
              <w:t>[Reserved]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380" w:type="dxa"/>
            <w:vAlign w:val="bottom"/>
            <w:gridSpan w:val="2"/>
          </w:tcPr>
          <w:p>
            <w:pPr>
              <w:spacing w:after="0"/>
              <w:rPr>
                <w:sz w:val="20"/>
                <w:szCs w:val="20"/>
                <w:color w:val="auto"/>
              </w:rPr>
            </w:pPr>
            <w:r>
              <w:rPr>
                <w:rFonts w:ascii="Arial" w:cs="Arial" w:eastAsia="Arial" w:hAnsi="Arial"/>
                <w:sz w:val="19"/>
                <w:szCs w:val="19"/>
                <w:color w:val="auto"/>
              </w:rPr>
              <w:t>SCHEDULE III</w:t>
            </w:r>
          </w:p>
        </w:tc>
        <w:tc>
          <w:tcPr>
            <w:tcW w:w="1640" w:type="dxa"/>
            <w:vAlign w:val="bottom"/>
            <w:gridSpan w:val="2"/>
          </w:tcPr>
          <w:p>
            <w:pPr>
              <w:ind w:left="40"/>
              <w:spacing w:after="0"/>
              <w:rPr>
                <w:sz w:val="20"/>
                <w:szCs w:val="20"/>
                <w:color w:val="auto"/>
              </w:rPr>
            </w:pPr>
            <w:r>
              <w:rPr>
                <w:rFonts w:ascii="Arial" w:cs="Arial" w:eastAsia="Arial" w:hAnsi="Arial"/>
                <w:sz w:val="19"/>
                <w:szCs w:val="19"/>
                <w:color w:val="auto"/>
              </w:rPr>
              <w:t>Trade Names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380" w:type="dxa"/>
            <w:vAlign w:val="bottom"/>
            <w:gridSpan w:val="2"/>
          </w:tcPr>
          <w:p>
            <w:pPr>
              <w:spacing w:after="0"/>
              <w:rPr>
                <w:sz w:val="20"/>
                <w:szCs w:val="20"/>
                <w:color w:val="auto"/>
              </w:rPr>
            </w:pPr>
            <w:r>
              <w:rPr>
                <w:rFonts w:ascii="Arial" w:cs="Arial" w:eastAsia="Arial" w:hAnsi="Arial"/>
                <w:sz w:val="19"/>
                <w:szCs w:val="19"/>
                <w:color w:val="auto"/>
              </w:rPr>
              <w:t>SCHEDULE IV</w:t>
            </w:r>
          </w:p>
        </w:tc>
        <w:tc>
          <w:tcPr>
            <w:tcW w:w="1640" w:type="dxa"/>
            <w:vAlign w:val="bottom"/>
            <w:gridSpan w:val="2"/>
          </w:tcPr>
          <w:p>
            <w:pPr>
              <w:ind w:left="40"/>
              <w:spacing w:after="0"/>
              <w:rPr>
                <w:sz w:val="20"/>
                <w:szCs w:val="20"/>
                <w:color w:val="auto"/>
              </w:rPr>
            </w:pPr>
            <w:r>
              <w:rPr>
                <w:rFonts w:ascii="Arial" w:cs="Arial" w:eastAsia="Arial" w:hAnsi="Arial"/>
                <w:sz w:val="19"/>
                <w:szCs w:val="19"/>
                <w:color w:val="auto"/>
              </w:rPr>
              <w:t>Notice Information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w w:val="97"/>
              </w:rPr>
              <w:t>SCHEDULE V</w:t>
            </w:r>
          </w:p>
        </w:tc>
        <w:tc>
          <w:tcPr>
            <w:tcW w:w="1820" w:type="dxa"/>
            <w:vAlign w:val="bottom"/>
            <w:gridSpan w:val="3"/>
          </w:tcPr>
          <w:p>
            <w:pPr>
              <w:ind w:left="160"/>
              <w:spacing w:after="0"/>
              <w:rPr>
                <w:sz w:val="20"/>
                <w:szCs w:val="20"/>
                <w:color w:val="auto"/>
              </w:rPr>
            </w:pPr>
            <w:r>
              <w:rPr>
                <w:rFonts w:ascii="Arial" w:cs="Arial" w:eastAsia="Arial" w:hAnsi="Arial"/>
                <w:sz w:val="19"/>
                <w:szCs w:val="19"/>
                <w:color w:val="auto"/>
              </w:rPr>
              <w:t>[Reserved]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380" w:type="dxa"/>
            <w:vAlign w:val="bottom"/>
            <w:gridSpan w:val="2"/>
          </w:tcPr>
          <w:p>
            <w:pPr>
              <w:spacing w:after="0"/>
              <w:rPr>
                <w:sz w:val="20"/>
                <w:szCs w:val="20"/>
                <w:color w:val="auto"/>
              </w:rPr>
            </w:pPr>
            <w:r>
              <w:rPr>
                <w:rFonts w:ascii="Arial" w:cs="Arial" w:eastAsia="Arial" w:hAnsi="Arial"/>
                <w:sz w:val="19"/>
                <w:szCs w:val="19"/>
                <w:color w:val="auto"/>
              </w:rPr>
              <w:t>SCHEDULE VI</w:t>
            </w:r>
          </w:p>
        </w:tc>
        <w:tc>
          <w:tcPr>
            <w:tcW w:w="260" w:type="dxa"/>
            <w:vAlign w:val="bottom"/>
          </w:tcPr>
          <w:p>
            <w:pPr>
              <w:spacing w:after="0"/>
              <w:rPr>
                <w:sz w:val="19"/>
                <w:szCs w:val="19"/>
                <w:color w:val="auto"/>
              </w:rPr>
            </w:pPr>
          </w:p>
        </w:tc>
        <w:tc>
          <w:tcPr>
            <w:tcW w:w="1380" w:type="dxa"/>
            <w:vAlign w:val="bottom"/>
          </w:tcPr>
          <w:p>
            <w:pPr>
              <w:ind w:left="80"/>
              <w:spacing w:after="0"/>
              <w:rPr>
                <w:sz w:val="20"/>
                <w:szCs w:val="20"/>
                <w:color w:val="auto"/>
              </w:rPr>
            </w:pPr>
            <w:r>
              <w:rPr>
                <w:rFonts w:ascii="Arial" w:cs="Arial" w:eastAsia="Arial" w:hAnsi="Arial"/>
                <w:sz w:val="19"/>
                <w:szCs w:val="19"/>
                <w:color w:val="auto"/>
              </w:rPr>
              <w:t>Commitments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380" w:type="dxa"/>
            <w:vAlign w:val="bottom"/>
            <w:gridSpan w:val="2"/>
          </w:tcPr>
          <w:p>
            <w:pPr>
              <w:spacing w:after="0"/>
              <w:rPr>
                <w:sz w:val="20"/>
                <w:szCs w:val="20"/>
                <w:color w:val="auto"/>
              </w:rPr>
            </w:pPr>
            <w:r>
              <w:rPr>
                <w:rFonts w:ascii="Arial" w:cs="Arial" w:eastAsia="Arial" w:hAnsi="Arial"/>
                <w:sz w:val="19"/>
                <w:szCs w:val="19"/>
                <w:color w:val="auto"/>
              </w:rPr>
              <w:t>SCHEDULE VII</w:t>
            </w:r>
          </w:p>
        </w:tc>
        <w:tc>
          <w:tcPr>
            <w:tcW w:w="6520" w:type="dxa"/>
            <w:vAlign w:val="bottom"/>
            <w:gridSpan w:val="8"/>
          </w:tcPr>
          <w:p>
            <w:pPr>
              <w:ind w:left="120"/>
              <w:spacing w:after="0"/>
              <w:rPr>
                <w:sz w:val="20"/>
                <w:szCs w:val="20"/>
                <w:color w:val="auto"/>
              </w:rPr>
            </w:pPr>
            <w:r>
              <w:rPr>
                <w:rFonts w:ascii="Arial" w:cs="Arial" w:eastAsia="Arial" w:hAnsi="Arial"/>
                <w:sz w:val="19"/>
                <w:szCs w:val="19"/>
                <w:color w:val="auto"/>
              </w:rPr>
              <w:t>Scheduled Commitment Termination Date</w:t>
            </w:r>
          </w:p>
        </w:tc>
      </w:tr>
      <w:tr>
        <w:trPr>
          <w:trHeight w:val="242"/>
        </w:trPr>
        <w:tc>
          <w:tcPr>
            <w:tcW w:w="1380" w:type="dxa"/>
            <w:vAlign w:val="bottom"/>
            <w:gridSpan w:val="2"/>
          </w:tcPr>
          <w:p>
            <w:pPr>
              <w:spacing w:after="0"/>
              <w:rPr>
                <w:sz w:val="20"/>
                <w:szCs w:val="20"/>
                <w:color w:val="auto"/>
              </w:rPr>
            </w:pPr>
            <w:r>
              <w:rPr>
                <w:rFonts w:ascii="Arial" w:cs="Arial" w:eastAsia="Arial" w:hAnsi="Arial"/>
                <w:sz w:val="19"/>
                <w:szCs w:val="19"/>
                <w:color w:val="auto"/>
                <w:w w:val="99"/>
              </w:rPr>
              <w:t>SCHEDULE VIII</w:t>
            </w:r>
          </w:p>
        </w:tc>
        <w:tc>
          <w:tcPr>
            <w:tcW w:w="1640" w:type="dxa"/>
            <w:vAlign w:val="bottom"/>
            <w:gridSpan w:val="2"/>
          </w:tcPr>
          <w:p>
            <w:pPr>
              <w:ind w:left="180"/>
              <w:spacing w:after="0"/>
              <w:rPr>
                <w:sz w:val="20"/>
                <w:szCs w:val="20"/>
                <w:color w:val="auto"/>
              </w:rPr>
            </w:pPr>
            <w:r>
              <w:rPr>
                <w:rFonts w:ascii="Arial" w:cs="Arial" w:eastAsia="Arial" w:hAnsi="Arial"/>
                <w:sz w:val="19"/>
                <w:szCs w:val="19"/>
                <w:color w:val="auto"/>
              </w:rPr>
              <w:t>Subject UCC</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437"/>
        </w:trPr>
        <w:tc>
          <w:tcPr>
            <w:tcW w:w="1200" w:type="dxa"/>
            <w:vAlign w:val="bottom"/>
          </w:tcPr>
          <w:p>
            <w:pPr>
              <w:spacing w:after="0"/>
              <w:rPr>
                <w:sz w:val="20"/>
                <w:szCs w:val="20"/>
                <w:color w:val="auto"/>
              </w:rPr>
            </w:pPr>
            <w:r>
              <w:rPr>
                <w:rFonts w:ascii="Arial" w:cs="Arial" w:eastAsia="Arial" w:hAnsi="Arial"/>
                <w:sz w:val="19"/>
                <w:szCs w:val="19"/>
                <w:color w:val="auto"/>
              </w:rPr>
              <w:t>ANNEX A</w:t>
            </w:r>
          </w:p>
        </w:tc>
        <w:tc>
          <w:tcPr>
            <w:tcW w:w="2680" w:type="dxa"/>
            <w:vAlign w:val="bottom"/>
            <w:gridSpan w:val="6"/>
          </w:tcPr>
          <w:p>
            <w:pPr>
              <w:ind w:left="20"/>
              <w:spacing w:after="0"/>
              <w:rPr>
                <w:sz w:val="20"/>
                <w:szCs w:val="20"/>
                <w:color w:val="auto"/>
              </w:rPr>
            </w:pPr>
            <w:r>
              <w:rPr>
                <w:rFonts w:ascii="Arial" w:cs="Arial" w:eastAsia="Arial" w:hAnsi="Arial"/>
                <w:sz w:val="19"/>
                <w:szCs w:val="19"/>
                <w:color w:val="auto"/>
              </w:rPr>
              <w:t>Form of Information Package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ANNEX B</w:t>
            </w:r>
          </w:p>
        </w:tc>
        <w:tc>
          <w:tcPr>
            <w:tcW w:w="1980" w:type="dxa"/>
            <w:vAlign w:val="bottom"/>
            <w:gridSpan w:val="4"/>
          </w:tcPr>
          <w:p>
            <w:pPr>
              <w:ind w:left="20"/>
              <w:spacing w:after="0"/>
              <w:rPr>
                <w:sz w:val="20"/>
                <w:szCs w:val="20"/>
                <w:color w:val="auto"/>
              </w:rPr>
            </w:pPr>
            <w:r>
              <w:rPr>
                <w:rFonts w:ascii="Arial" w:cs="Arial" w:eastAsia="Arial" w:hAnsi="Arial"/>
                <w:sz w:val="19"/>
                <w:szCs w:val="19"/>
                <w:color w:val="auto"/>
                <w:w w:val="92"/>
              </w:rPr>
              <w:t>Form of Purchase Notice</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ANNEX C</w:t>
            </w:r>
          </w:p>
        </w:tc>
        <w:tc>
          <w:tcPr>
            <w:tcW w:w="1980" w:type="dxa"/>
            <w:vAlign w:val="bottom"/>
            <w:gridSpan w:val="4"/>
          </w:tcPr>
          <w:p>
            <w:pPr>
              <w:ind w:left="20"/>
              <w:spacing w:after="0"/>
              <w:rPr>
                <w:sz w:val="20"/>
                <w:szCs w:val="20"/>
                <w:color w:val="auto"/>
              </w:rPr>
            </w:pPr>
            <w:r>
              <w:rPr>
                <w:rFonts w:ascii="Arial" w:cs="Arial" w:eastAsia="Arial" w:hAnsi="Arial"/>
                <w:sz w:val="19"/>
                <w:szCs w:val="19"/>
                <w:color w:val="auto"/>
                <w:w w:val="99"/>
              </w:rPr>
              <w:t>List of Special Obligors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9"/>
                <w:szCs w:val="19"/>
                <w:color w:val="auto"/>
              </w:rPr>
              <w:t>ANNEX D</w:t>
            </w:r>
          </w:p>
        </w:tc>
        <w:tc>
          <w:tcPr>
            <w:tcW w:w="2680" w:type="dxa"/>
            <w:vAlign w:val="bottom"/>
            <w:gridSpan w:val="6"/>
          </w:tcPr>
          <w:p>
            <w:pPr>
              <w:ind w:left="20"/>
              <w:spacing w:after="0"/>
              <w:rPr>
                <w:sz w:val="20"/>
                <w:szCs w:val="20"/>
                <w:color w:val="auto"/>
              </w:rPr>
            </w:pPr>
            <w:r>
              <w:rPr>
                <w:rFonts w:ascii="Arial" w:cs="Arial" w:eastAsia="Arial" w:hAnsi="Arial"/>
                <w:sz w:val="19"/>
                <w:szCs w:val="19"/>
                <w:color w:val="auto"/>
                <w:w w:val="98"/>
              </w:rPr>
              <w:t>Form of Assumption Agreement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9"/>
                <w:szCs w:val="19"/>
                <w:color w:val="auto"/>
              </w:rPr>
              <w:t>ANNEX E</w:t>
            </w:r>
          </w:p>
        </w:tc>
        <w:tc>
          <w:tcPr>
            <w:tcW w:w="2680" w:type="dxa"/>
            <w:vAlign w:val="bottom"/>
            <w:gridSpan w:val="6"/>
          </w:tcPr>
          <w:p>
            <w:pPr>
              <w:spacing w:after="0"/>
              <w:rPr>
                <w:sz w:val="20"/>
                <w:szCs w:val="20"/>
                <w:color w:val="auto"/>
              </w:rPr>
            </w:pPr>
            <w:r>
              <w:rPr>
                <w:rFonts w:ascii="Arial" w:cs="Arial" w:eastAsia="Arial" w:hAnsi="Arial"/>
                <w:sz w:val="19"/>
                <w:szCs w:val="19"/>
                <w:color w:val="auto"/>
              </w:rPr>
              <w:t>Form of Transfer Supplement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9"/>
          <w:szCs w:val="19"/>
          <w:color w:val="auto"/>
        </w:rPr>
        <w:t>This FOURTH AMENDED AND RESTATED RECEIVABLES PURCHASE AGREEMENT (as amended,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September 24, 2015, among WESCO RECEIVABLES CORP., a Delaware corporation, as seller (the “</w:t>
      </w:r>
      <w:r>
        <w:rPr>
          <w:rFonts w:ascii="Arial" w:cs="Arial" w:eastAsia="Arial" w:hAnsi="Arial"/>
          <w:sz w:val="19"/>
          <w:szCs w:val="19"/>
          <w:u w:val="single" w:color="auto"/>
          <w:color w:val="auto"/>
        </w:rPr>
        <w:t>Seller</w:t>
      </w:r>
      <w:r>
        <w:rPr>
          <w:rFonts w:ascii="Arial" w:cs="Arial" w:eastAsia="Arial" w:hAnsi="Arial"/>
          <w:sz w:val="19"/>
          <w:szCs w:val="19"/>
          <w:color w:val="auto"/>
        </w:rPr>
        <w:t>”), WESCO DISTRIBUTION, INC., a Delaware corporation (“</w:t>
      </w:r>
      <w:r>
        <w:rPr>
          <w:rFonts w:ascii="Arial" w:cs="Arial" w:eastAsia="Arial" w:hAnsi="Arial"/>
          <w:sz w:val="19"/>
          <w:szCs w:val="19"/>
          <w:u w:val="single" w:color="auto"/>
          <w:color w:val="auto"/>
        </w:rPr>
        <w:t>WESCO</w:t>
      </w:r>
      <w:r>
        <w:rPr>
          <w:rFonts w:ascii="Arial" w:cs="Arial" w:eastAsia="Arial" w:hAnsi="Arial"/>
          <w:sz w:val="19"/>
          <w:szCs w:val="19"/>
          <w:color w:val="auto"/>
        </w:rPr>
        <w:t>”), as initial servicer (in such capacity, together with its successors and permitted assigns in such capacity, the “</w:t>
      </w:r>
      <w:r>
        <w:rPr>
          <w:rFonts w:ascii="Arial" w:cs="Arial" w:eastAsia="Arial" w:hAnsi="Arial"/>
          <w:sz w:val="19"/>
          <w:szCs w:val="19"/>
          <w:u w:val="single" w:color="auto"/>
          <w:color w:val="auto"/>
        </w:rPr>
        <w:t>Servicer</w:t>
      </w:r>
      <w:r>
        <w:rPr>
          <w:rFonts w:ascii="Arial" w:cs="Arial" w:eastAsia="Arial" w:hAnsi="Arial"/>
          <w:sz w:val="19"/>
          <w:szCs w:val="19"/>
          <w:color w:val="auto"/>
        </w:rPr>
        <w:t>”), THE VARIOUS CONDUIT PURCHASERS, COMMITTED PURCHASERS AND PURCHASER AGENTS FROM TIME TO TIME PARTY HERETO, and PNC BANK, NATIONAL ASSOCIATION, as Administrator for each Purchaser Group (in such capacity, the “</w:t>
      </w:r>
      <w:r>
        <w:rPr>
          <w:rFonts w:ascii="Arial" w:cs="Arial" w:eastAsia="Arial" w:hAnsi="Arial"/>
          <w:sz w:val="19"/>
          <w:szCs w:val="19"/>
          <w:u w:val="single" w:color="auto"/>
          <w:color w:val="auto"/>
        </w:rPr>
        <w:t>Administrator</w:t>
      </w:r>
      <w:r>
        <w:rPr>
          <w:rFonts w:ascii="Arial" w:cs="Arial" w:eastAsia="Arial" w:hAnsi="Arial"/>
          <w:sz w:val="19"/>
          <w:szCs w:val="19"/>
          <w:color w:val="auto"/>
        </w:rPr>
        <w:t>”).</w:t>
      </w:r>
    </w:p>
    <w:p>
      <w:pPr>
        <w:spacing w:after="0" w:line="167" w:lineRule="exact"/>
        <w:rPr>
          <w:sz w:val="20"/>
          <w:szCs w:val="20"/>
          <w:color w:val="auto"/>
        </w:rPr>
      </w:pPr>
    </w:p>
    <w:p>
      <w:pPr>
        <w:jc w:val="both"/>
        <w:ind w:right="20" w:firstLine="572"/>
        <w:spacing w:after="0" w:line="334" w:lineRule="auto"/>
        <w:rPr>
          <w:sz w:val="20"/>
          <w:szCs w:val="20"/>
          <w:color w:val="auto"/>
        </w:rPr>
      </w:pPr>
      <w:r>
        <w:rPr>
          <w:rFonts w:ascii="Arial" w:cs="Arial" w:eastAsia="Arial" w:hAnsi="Arial"/>
          <w:sz w:val="17"/>
          <w:szCs w:val="17"/>
          <w:color w:val="auto"/>
        </w:rPr>
        <w:t>Concurrently herewith, the Seller, the Servicer and the Originators are entering into that certain Amended and Restated Purchase and Sale Agreement (the “</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 dated as of the date hereof. The parties hereto hereby consent to such amendment and restatement.</w:t>
      </w:r>
    </w:p>
    <w:p>
      <w:pPr>
        <w:spacing w:after="0" w:line="99" w:lineRule="exact"/>
        <w:rPr>
          <w:sz w:val="20"/>
          <w:szCs w:val="20"/>
          <w:color w:val="auto"/>
        </w:rPr>
      </w:pPr>
    </w:p>
    <w:p>
      <w:pPr>
        <w:jc w:val="both"/>
        <w:ind w:right="20" w:firstLine="572"/>
        <w:spacing w:after="0" w:line="334" w:lineRule="auto"/>
        <w:rPr>
          <w:sz w:val="20"/>
          <w:szCs w:val="20"/>
          <w:color w:val="auto"/>
        </w:rPr>
      </w:pPr>
      <w:r>
        <w:rPr>
          <w:rFonts w:ascii="Arial" w:cs="Arial" w:eastAsia="Arial" w:hAnsi="Arial"/>
          <w:sz w:val="17"/>
          <w:szCs w:val="17"/>
          <w:color w:val="auto"/>
        </w:rPr>
        <w:t xml:space="preserve">PRELIMINARY STATEMENTS. Certain terms that are capitalized and used throughout this Agreement are defined in </w:t>
      </w:r>
      <w:r>
        <w:rPr>
          <w:rFonts w:ascii="Arial" w:cs="Arial" w:eastAsia="Arial" w:hAnsi="Arial"/>
          <w:sz w:val="17"/>
          <w:szCs w:val="17"/>
          <w:u w:val="single" w:color="auto"/>
          <w:color w:val="auto"/>
        </w:rPr>
        <w:t>Exhibit I</w:t>
      </w:r>
      <w:r>
        <w:rPr>
          <w:rFonts w:ascii="Arial" w:cs="Arial" w:eastAsia="Arial" w:hAnsi="Arial"/>
          <w:sz w:val="17"/>
          <w:szCs w:val="17"/>
          <w:color w:val="auto"/>
        </w:rPr>
        <w:t>. References in the Exhibits hereto to the “Agreement” refer to this Agreement, as amended, supplemented or otherwise modified from time to time.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In consideration of the mutual agreements, provisions and covenants contained herein, the parties hereto agree as follows:</w:t>
      </w:r>
    </w:p>
    <w:p>
      <w:pPr>
        <w:sectPr>
          <w:pgSz w:w="11900" w:h="16838" w:orient="portrait"/>
          <w:cols w:equalWidth="0" w:num="1">
            <w:col w:w="11440"/>
          </w:cols>
          <w:pgMar w:left="240" w:top="133" w:right="219" w:bottom="0" w:gutter="0" w:footer="0" w:header="0"/>
        </w:sectPr>
      </w:pPr>
    </w:p>
    <w:bookmarkStart w:id="175" w:name="page176"/>
    <w:bookmarkEnd w:id="175"/>
    <w:p>
      <w:pPr>
        <w:jc w:val="center"/>
        <w:spacing w:after="0"/>
        <w:rPr>
          <w:sz w:val="20"/>
          <w:szCs w:val="20"/>
          <w:color w:val="auto"/>
        </w:rPr>
      </w:pPr>
      <w:r>
        <w:rPr>
          <w:rFonts w:ascii="Arial" w:cs="Arial" w:eastAsia="Arial" w:hAnsi="Arial"/>
          <w:sz w:val="19"/>
          <w:szCs w:val="19"/>
          <w:b w:val="1"/>
          <w:bCs w:val="1"/>
          <w:color w:val="auto"/>
        </w:rPr>
        <w:t>AMENDMENT AND RESTATEMENT; JOINDER OF PARTIES; REBALANCING</w:t>
      </w:r>
    </w:p>
    <w:p>
      <w:pPr>
        <w:spacing w:after="0" w:line="109" w:lineRule="exact"/>
        <w:rPr>
          <w:sz w:val="20"/>
          <w:szCs w:val="20"/>
          <w:color w:val="auto"/>
        </w:rPr>
      </w:pPr>
    </w:p>
    <w:p>
      <w:pPr>
        <w:jc w:val="both"/>
        <w:ind w:firstLine="567"/>
        <w:spacing w:after="0" w:line="266" w:lineRule="auto"/>
        <w:tabs>
          <w:tab w:leader="none" w:pos="103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This Agreement amends and restates in its entirety, as of the Closing Date, the Third Amended and Restated Receivables Purchase Agreement, dated as of April 13, 2009 (as amended, restated, supplemented or otherwise modified prior to the date hereof,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among the Seller, the Servicer, the various Conduit Purchasers, Committed Purchasers and Purchaser Agents from time to time party thereto and the Administrator. Notwithstanding the amendment and restatement of the Original Agreement by this Agreement, (i) the Seller and Servicer shall continue to be liable to each of the parties to the Original Agreement or any other Indemnified Party or Affected Person (as such terms are defined in the Original Agreement) for fees and expenses which are accrued and unpaid under the Original Agreement on the date hereof and all agreements to indemnify such parties in connection with events or conditions arising or existing prior to the effective date of this Agreement, (ii) the security interest created under the Original Agreement in favor of the Administrator shall remain in full force and effect under this Agreement and (iii) all Investment and Discount outstanding or owing under the Original Agreement shall be and constitute Investment and Discount outstanding or owing under this Agreement. Upon the effectiveness of this Agreement, each reference to the Original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Original Agreement.</w:t>
      </w:r>
    </w:p>
    <w:p>
      <w:pPr>
        <w:spacing w:after="0" w:line="162" w:lineRule="exact"/>
        <w:rPr>
          <w:rFonts w:ascii="Arial" w:cs="Arial" w:eastAsia="Arial" w:hAnsi="Arial"/>
          <w:sz w:val="18"/>
          <w:szCs w:val="18"/>
          <w:color w:val="auto"/>
        </w:rPr>
      </w:pPr>
    </w:p>
    <w:p>
      <w:pPr>
        <w:jc w:val="both"/>
        <w:ind w:firstLine="567"/>
        <w:spacing w:after="0" w:line="268" w:lineRule="auto"/>
        <w:tabs>
          <w:tab w:leader="none" w:pos="95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Joinder of Parties</w:t>
      </w:r>
      <w:r>
        <w:rPr>
          <w:rFonts w:ascii="Arial" w:cs="Arial" w:eastAsia="Arial" w:hAnsi="Arial"/>
          <w:sz w:val="18"/>
          <w:szCs w:val="18"/>
          <w:color w:val="auto"/>
        </w:rPr>
        <w:t>. Effective as of the date hereof, (i) Liberty Street Funding LLC hereby becomes a party to this Agreement as a Conduit Purchaser hereunder with all the rights, interests, duties and obligations of a Conduit Purchaser hereunder, (ii) each of The Bank of Nova Scotia and Branch Banking and Trust Company hereby becomes a party to this Agreement as a Committed Purchaser hereunder with all the rights, interests, duties and obligations of a Committed Purchaser hereunder, (iii) Branch Banking and Trust Company, as a Committed Purchaser, shall constitute the sole member of a new Purchaser Group, which does not initially include a Conduit Purchaser, and Branch Banking and Trust Company hereby appoints itself as the Purchaser Agent for such Purchaser Group, (iv) The Bank of Nova Scotia, as a Committed Purchaser and Liberty Street Funding LLC, as its related Conduit Purchaser, shall constitute the members of a new Purchaser Group, and The Bank of Nova Scotia and Liberty Street Funding LLC hereby appoint The Bank of Nova Scotia as the Purchaser Agent for such Purchaser Group, and (v) each of Branch Banking and Trust Company and The Bank of Nova Scotia hereby becomes a party to this Agreement as a Purchaser Agent hereunder with all the rights, interests, duties and obligations of a Purchaser Agent hereunder.</w:t>
      </w:r>
    </w:p>
    <w:p>
      <w:pPr>
        <w:spacing w:after="0" w:line="154" w:lineRule="exact"/>
        <w:rPr>
          <w:rFonts w:ascii="Arial" w:cs="Arial" w:eastAsia="Arial" w:hAnsi="Arial"/>
          <w:sz w:val="18"/>
          <w:szCs w:val="18"/>
          <w:color w:val="auto"/>
        </w:rPr>
      </w:pPr>
    </w:p>
    <w:p>
      <w:pPr>
        <w:jc w:val="both"/>
        <w:ind w:firstLine="567"/>
        <w:spacing w:after="0" w:line="261" w:lineRule="auto"/>
        <w:tabs>
          <w:tab w:leader="none" w:pos="978"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Initial Purchases; Rebalancing</w:t>
      </w:r>
      <w:r>
        <w:rPr>
          <w:rFonts w:ascii="Arial" w:cs="Arial" w:eastAsia="Arial" w:hAnsi="Arial"/>
          <w:sz w:val="19"/>
          <w:szCs w:val="19"/>
          <w:color w:val="auto"/>
        </w:rPr>
        <w:t xml:space="preserve">. Concurrently herewith, the Seller is requesting that the Purchasers fund a new Purchase on the Closing Date pursuant to a Purchase Notice delivered in accordance with </w:t>
      </w:r>
      <w:r>
        <w:rPr>
          <w:rFonts w:ascii="Arial" w:cs="Arial" w:eastAsia="Arial" w:hAnsi="Arial"/>
          <w:sz w:val="19"/>
          <w:szCs w:val="19"/>
          <w:u w:val="single" w:color="auto"/>
          <w:color w:val="auto"/>
        </w:rPr>
        <w:t>Section 1.2(a)</w:t>
      </w:r>
      <w:r>
        <w:rPr>
          <w:rFonts w:ascii="Arial" w:cs="Arial" w:eastAsia="Arial" w:hAnsi="Arial"/>
          <w:sz w:val="19"/>
          <w:szCs w:val="19"/>
          <w:color w:val="auto"/>
        </w:rPr>
        <w:t>. Such Purchase Notice provides that each Purchaser Group will fund a non-ratable portion of the aggregate Purchase such that, after giving effect to such Purchase, each Purchaser Group’s outstanding Investment will be equal to its Ratable Share of the Aggregate Investment.</w:t>
      </w:r>
    </w:p>
    <w:p>
      <w:pPr>
        <w:spacing w:after="0" w:line="157" w:lineRule="exact"/>
        <w:rPr>
          <w:rFonts w:ascii="Arial" w:cs="Arial" w:eastAsia="Arial" w:hAnsi="Arial"/>
          <w:sz w:val="19"/>
          <w:szCs w:val="19"/>
          <w:color w:val="auto"/>
        </w:rPr>
      </w:pPr>
    </w:p>
    <w:p>
      <w:pPr>
        <w:jc w:val="both"/>
        <w:ind w:right="20" w:firstLine="567"/>
        <w:spacing w:after="0" w:line="268" w:lineRule="auto"/>
        <w:tabs>
          <w:tab w:leader="none" w:pos="977"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Certain Consents</w:t>
      </w:r>
      <w:r>
        <w:rPr>
          <w:rFonts w:ascii="Arial" w:cs="Arial" w:eastAsia="Arial" w:hAnsi="Arial"/>
          <w:sz w:val="19"/>
          <w:szCs w:val="19"/>
          <w:color w:val="auto"/>
        </w:rPr>
        <w:t xml:space="preserve">. The parties hereto hereby consent to the joinder of Branch Banking and Trust Company, Liberty Street Funding LLC and The Bank of Nova Scotia as parties hereto on the terms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the non-ratable funding of the foregoing initial Purchase on the terms set forth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in each case, as set forth above on a one-time basis.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AMOUNTS AND TERMS OF THE PURCHASES</w:t>
      </w:r>
    </w:p>
    <w:p>
      <w:pPr>
        <w:spacing w:after="0" w:line="183"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Purchase Facility</w:t>
      </w:r>
      <w:r>
        <w:rPr>
          <w:rFonts w:ascii="Arial" w:cs="Arial" w:eastAsia="Arial" w:hAnsi="Arial"/>
          <w:sz w:val="17"/>
          <w:szCs w:val="17"/>
          <w:color w:val="auto"/>
        </w:rPr>
        <w:t>.</w:t>
      </w:r>
    </w:p>
    <w:p>
      <w:pPr>
        <w:spacing w:after="0" w:line="210" w:lineRule="exact"/>
        <w:rPr>
          <w:sz w:val="20"/>
          <w:szCs w:val="20"/>
          <w:color w:val="auto"/>
        </w:rPr>
      </w:pPr>
    </w:p>
    <w:p>
      <w:pPr>
        <w:jc w:val="both"/>
        <w:ind w:firstLine="1139"/>
        <w:spacing w:after="0" w:line="283" w:lineRule="auto"/>
        <w:tabs>
          <w:tab w:leader="none" w:pos="153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On the terms and subject to the conditions hereof, the Seller may, from time to time before each applicable Facility Termination Date, request that the Purchasers ratably (based on the Ratable Share in their respective Purchaser Groups) make investments with regard to the Purchased Interest from the Seller from time to time from the date hereof to each applicable Facility Termination Date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Each purchase requested by the Seller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shall be made ratably by the Purchasers (based on the Ratable Share in their respective Purchaser Groups), and each Purchaser Group’s Ratable Share of each Purchase shall be made and funded (i) if such Purchaser Group contains a Conduit Purchaser and such Conduit Purchaser elects (in its sole discretion) to make and fund such portion of such Purchase, by the Conduit Purchaser in such Purchaser Group or (ii) if such Purchaser Group does not contain a Conduit Purchaser or if the Conduit Purchaser in such Purchaser Group declines (in its sole discretion) to make or fund such portion of such Purchase, by the Committed Purchaser in such Purchaser Group. Subject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concerning reinvestments, at no time will any Conduit Purchaser have any obligation to make any Purchase or reinvestment. Each Committed Purchaser severally hereby agrees, on the terms and subject to the conditions hereof, to make Purchases before its applicable Facility Termination Date that are requested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based on the Ratable Share of its applicable Purchaser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under no circumstances shall any Purchaser make any Purchase or reinvestment hereunder if, after giving effect to such Purchase or reinvestment (i) the Group Investment of such Purchaser’s Purchaser Group would exceed the Group Commitment of such Purchaser’s Purchaser Group, (ii) the Aggregate Investment would (after giving effect to all Purchases and reinvestments on such date) exceed the Purchase Limit or (iii) the Purchased Interest would exceed 100%.</w:t>
      </w:r>
    </w:p>
    <w:p>
      <w:pPr>
        <w:spacing w:after="0" w:line="140" w:lineRule="exact"/>
        <w:rPr>
          <w:rFonts w:ascii="Arial" w:cs="Arial" w:eastAsia="Arial" w:hAnsi="Arial"/>
          <w:sz w:val="17"/>
          <w:szCs w:val="17"/>
          <w:color w:val="auto"/>
        </w:rPr>
      </w:pPr>
    </w:p>
    <w:p>
      <w:pPr>
        <w:jc w:val="both"/>
        <w:ind w:firstLine="1139"/>
        <w:spacing w:after="0" w:line="256" w:lineRule="auto"/>
        <w:tabs>
          <w:tab w:leader="none" w:pos="1537"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Seller may, upon 30 days’ written notice to the Administrator and each Purchaser Agent, reduce the unfunded portion of the Purchase Limit in whole or in part (but not below the amount which would cause the Group Investment of any Purchaser Group to exceed its Group Commitment (after giving effect to such reduction)); provided that each partial reduction shall be in the amount of at least $5,000,000, or an integral multiple of $1,000,000 in excess thereof and unless terminated in whole, the Purchase Limit shall in no event be reduced below $150,000,000. Such reduction shall at the option of the Seller be applied either (i) ratably to reduce the Group Commitment of each Purchaser Group or (ii) to terminate the Group Commitment of any one Purchaser Group.</w:t>
      </w:r>
    </w:p>
    <w:p>
      <w:pPr>
        <w:spacing w:after="0" w:line="162" w:lineRule="exact"/>
        <w:rPr>
          <w:rFonts w:ascii="Arial" w:cs="Arial" w:eastAsia="Arial" w:hAnsi="Arial"/>
          <w:sz w:val="19"/>
          <w:szCs w:val="19"/>
          <w:color w:val="auto"/>
        </w:rPr>
      </w:pPr>
    </w:p>
    <w:p>
      <w:pPr>
        <w:jc w:val="both"/>
        <w:ind w:firstLine="1139"/>
        <w:spacing w:after="0" w:line="292" w:lineRule="auto"/>
        <w:tabs>
          <w:tab w:leader="none" w:pos="151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Seller may, upon 30 days’ (but not greater than 45 days’) prior written notice to the Administrator and each Purchaser Agent, repay in whole (but not in part) the entire Aggregate Investment (and all accrued and unpaid Discount thereon) by making a cash payment of such amount to the Administrator for the benefit of the Purchasers. Such payments shall be made to the Administrator for the ratable benefit of the Purchasers (ratably based on the Investments outstanding at such time) and the Investment (and accrued and unpaid Discount) of each Purchaser shall only be deemed to be reduced by such payment when such payment is finally so paid to such Purchaser in full in cash. All payments as repayments made pursuant to this paragraph shall be subject to any applicable Termination Fee payable to any Purchaser at such time in connection therewith.</w:t>
      </w:r>
    </w:p>
    <w:p>
      <w:pPr>
        <w:spacing w:after="0" w:line="134"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6"/>
          <w:szCs w:val="16"/>
          <w:u w:val="single" w:color="auto"/>
          <w:color w:val="auto"/>
        </w:rPr>
        <w:t>Making Purchases</w:t>
      </w:r>
      <w:r>
        <w:rPr>
          <w:rFonts w:ascii="Arial" w:cs="Arial" w:eastAsia="Arial" w:hAnsi="Arial"/>
          <w:sz w:val="16"/>
          <w:szCs w:val="16"/>
          <w:color w:val="auto"/>
        </w:rPr>
        <w:t>.</w:t>
      </w:r>
    </w:p>
    <w:p>
      <w:pPr>
        <w:sectPr>
          <w:pgSz w:w="11900" w:h="16838" w:orient="portrait"/>
          <w:cols w:equalWidth="0" w:num="1">
            <w:col w:w="11440"/>
          </w:cols>
          <w:pgMar w:left="240" w:top="126" w:right="219" w:bottom="208" w:gutter="0" w:footer="0" w:header="0"/>
        </w:sectPr>
      </w:pPr>
    </w:p>
    <w:bookmarkStart w:id="176" w:name="page177"/>
    <w:bookmarkEnd w:id="176"/>
    <w:p>
      <w:pPr>
        <w:jc w:val="both"/>
        <w:ind w:left="-1139" w:firstLine="1139"/>
        <w:spacing w:after="0" w:line="271" w:lineRule="auto"/>
        <w:tabs>
          <w:tab w:leader="none" w:pos="54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Purchase (but not reinvestment) of undivided percentage ownership interests with regard to the Purchased Interest hereunder may be made on any Business Day upon the Seller’s irrevocable written notice in the form of Annex B (each, a “</w:t>
      </w:r>
      <w:r>
        <w:rPr>
          <w:rFonts w:ascii="Arial" w:cs="Arial" w:eastAsia="Arial" w:hAnsi="Arial"/>
          <w:sz w:val="18"/>
          <w:szCs w:val="18"/>
          <w:u w:val="single" w:color="auto"/>
          <w:color w:val="auto"/>
        </w:rPr>
        <w:t>Purchase Notice</w:t>
      </w:r>
      <w:r>
        <w:rPr>
          <w:rFonts w:ascii="Arial" w:cs="Arial" w:eastAsia="Arial" w:hAnsi="Arial"/>
          <w:sz w:val="18"/>
          <w:szCs w:val="18"/>
          <w:color w:val="auto"/>
        </w:rPr>
        <w:t xml:space="preserve">”) delivered to the Administrator and each Purchaser Agent in accordance with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(which notice must be received by the Administrator and each Purchaser Agent before 11:00 a.m., New York City time) at least two Business Days before the requested Purchase Date, which notice shall specify: (A) the date of such Purchase (which shall be a Business Day), (B) the aggregate amount requested to be paid to the Seller (such aggregate amount, which shall not be less than $500,000 or such lesser amount as agreed to by the Administrator and the Majority Purchaser Agents) and (C) the pro forma calculation of the Purchased Interest after giving effect to the increase in the Aggregate Investment.</w:t>
      </w:r>
    </w:p>
    <w:p>
      <w:pPr>
        <w:spacing w:after="0" w:line="151" w:lineRule="exact"/>
        <w:rPr>
          <w:rFonts w:ascii="Arial" w:cs="Arial" w:eastAsia="Arial" w:hAnsi="Arial"/>
          <w:sz w:val="18"/>
          <w:szCs w:val="18"/>
          <w:color w:val="auto"/>
        </w:rPr>
      </w:pPr>
    </w:p>
    <w:p>
      <w:pPr>
        <w:ind w:left="381" w:hanging="381"/>
        <w:spacing w:after="0"/>
        <w:tabs>
          <w:tab w:leader="none" w:pos="381" w:val="left"/>
        </w:tabs>
        <w:numPr>
          <w:ilvl w:val="0"/>
          <w:numId w:val="242"/>
        </w:numPr>
        <w:rPr>
          <w:rFonts w:ascii="Arial" w:cs="Arial" w:eastAsia="Arial" w:hAnsi="Arial"/>
          <w:sz w:val="19"/>
          <w:szCs w:val="19"/>
          <w:color w:val="auto"/>
        </w:rPr>
      </w:pPr>
      <w:r>
        <w:rPr>
          <w:rFonts w:ascii="Arial" w:cs="Arial" w:eastAsia="Arial" w:hAnsi="Arial"/>
          <w:sz w:val="19"/>
          <w:szCs w:val="19"/>
          <w:i w:val="1"/>
          <w:iCs w:val="1"/>
          <w:color w:val="auto"/>
        </w:rPr>
        <w:t>Funding Purchases</w:t>
      </w:r>
      <w:r>
        <w:rPr>
          <w:rFonts w:ascii="Arial" w:cs="Arial" w:eastAsia="Arial" w:hAnsi="Arial"/>
          <w:sz w:val="19"/>
          <w:szCs w:val="19"/>
          <w:color w:val="auto"/>
        </w:rPr>
        <w:t>.</w:t>
      </w:r>
    </w:p>
    <w:p>
      <w:pPr>
        <w:spacing w:after="0" w:line="210" w:lineRule="exact"/>
        <w:rPr>
          <w:sz w:val="20"/>
          <w:szCs w:val="20"/>
          <w:color w:val="auto"/>
        </w:rPr>
      </w:pPr>
    </w:p>
    <w:p>
      <w:pPr>
        <w:jc w:val="both"/>
        <w:ind w:left="-579" w:firstLine="579"/>
        <w:spacing w:after="0" w:line="255" w:lineRule="auto"/>
        <w:tabs>
          <w:tab w:leader="none" w:pos="391"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Not later than 1:00 p.m. (New York City time) on the date of each Purchase of undivided percentage ownership interests with regard to the Purchased Interest hereunder, each applicable Purchaser shall, upon satisfaction of the applicable conditions set forth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deliver to the Administrator by wire transfer of immediately available funds at the account from time to time designated in writing by the Administrator, an amount equal to the portion of Investment relating to the undivided percentage ownership interest then being funded by such Purchaser. On the date of each Purchase, the Administrator will make available to the Seller, in same day funds at the account from time to time designated in writing by the Seller to the Administrator, the amount of Investment to be funded in accordance with this Agreement by all Purchasers in respect of such Purchase.</w:t>
      </w:r>
    </w:p>
    <w:p>
      <w:pPr>
        <w:spacing w:after="0" w:line="162" w:lineRule="exact"/>
        <w:rPr>
          <w:rFonts w:ascii="Arial" w:cs="Arial" w:eastAsia="Arial" w:hAnsi="Arial"/>
          <w:sz w:val="19"/>
          <w:szCs w:val="19"/>
          <w:color w:val="auto"/>
        </w:rPr>
      </w:pPr>
    </w:p>
    <w:p>
      <w:pPr>
        <w:jc w:val="both"/>
        <w:ind w:left="-579" w:firstLine="579"/>
        <w:spacing w:after="0" w:line="266" w:lineRule="auto"/>
        <w:tabs>
          <w:tab w:leader="none" w:pos="3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Unless the Administrator shall have received notice from a Purchaser or Purchaser Agent prior to the proposed Purchase Date of any Purchase that such Purchaser’s or Purchaser Agent’s Purchaser Group will not make available to the Administrator such Purchaser Group’s share of such Purchase, the Administrator may assume that such Purchaser Group has made such share available on such date in accordance with the foregoing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and may, in reliance upon such assumption, make available to the Seller a corresponding amount. In such event, if a Purchaser Group has not in fact made its share of the applicable Purchase available to the Administrator, then the Committed Purchaser in such Purchaser Group and the Seller severally agree to pay to the Administrator forthwith on demand such corresponding amount with interest thereon, for each day from and including the date such amount is made available to the Seller to but excluding the date of payment to the Administrator, at (i) in the case of such Committed Purchaser, the greater of the Federal Funds Rate and a rate determined by the Administrator in accordance with banking industry rules on interbank compensation or (ii) in the case of the Seller, the Base Rate. If such Committed Purchaser pays such amount to the Administrator, then such amount shall constitute such Committed Purchaser’s Investment included in such Purchase. If the Seller and such Committed Purchaser shall pay such interest to the Administrator for the same or an overlapping period, the Administrator shall promptly remit to the Seller the amount of such interest paid by the Seller for such period. Any such payment by the Seller shall be without prejudice to any claim the Seller may have against a Committed Purchaser that shall have failed to make such payment to the Administrator.</w:t>
      </w:r>
    </w:p>
    <w:p>
      <w:pPr>
        <w:spacing w:after="0" w:line="160" w:lineRule="exact"/>
        <w:rPr>
          <w:sz w:val="20"/>
          <w:szCs w:val="20"/>
          <w:color w:val="auto"/>
        </w:rPr>
      </w:pPr>
    </w:p>
    <w:p>
      <w:pPr>
        <w:jc w:val="both"/>
        <w:ind w:left="-1139" w:firstLine="1139"/>
        <w:spacing w:after="0" w:line="261" w:lineRule="auto"/>
        <w:tabs>
          <w:tab w:leader="none" w:pos="44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Effective on the date of each Purchase pursuant to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and each reinvestment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the Seller hereby sells and assigns to the Administrator for the benefit of the Purchasers (ratably, according to each such Purchaser’s Investment) an undivided percentage ownership interest in: (i) each Pool Receivable then existing, (ii) all Related Security with respect to such Pool Receivables, and (iii) all Collections with respect to, and other proceeds of, such Pool Receivables and Related Security.</w:t>
      </w:r>
    </w:p>
    <w:p>
      <w:pPr>
        <w:spacing w:after="0" w:line="157" w:lineRule="exact"/>
        <w:rPr>
          <w:rFonts w:ascii="Arial" w:cs="Arial" w:eastAsia="Arial" w:hAnsi="Arial"/>
          <w:sz w:val="19"/>
          <w:szCs w:val="19"/>
          <w:color w:val="auto"/>
        </w:rPr>
      </w:pPr>
    </w:p>
    <w:p>
      <w:pPr>
        <w:jc w:val="both"/>
        <w:ind w:left="-1139" w:firstLine="1139"/>
        <w:spacing w:after="0" w:line="266" w:lineRule="auto"/>
        <w:tabs>
          <w:tab w:leader="none" w:pos="42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To secure all of the Seller’s obligations (monetary or otherwise) under this Agreement and the other Transaction Documents to which it is a party, whether now or hereafter existing or arising, due or to become due, direct or indirect, absolute or contingent, the Seller hereby grants to the Administrator, for the benefit of the Purchasers, a security interest in all of the Seller’s right, title and interest (including any undivided interest of the Seller) in, to and under all of the following, whether now or hereafter owned, existing or arising: (i) all Pool Receivables, (ii) all Related Security with respect to such Pool Receivables, (iii) all Collections with respect to such Pool Receivables, (iv) the Lock-Box Accounts and all amounts on deposit therein, and all certificates and instruments, if any, from time to time evidencing such Lock-Box Accounts and amounts on deposit therein, (v) all rights (but none of the obligations) of the Seller under the Sale Agreement and (vi) all proceeds of, and all amounts received or receivable under any or all of, the foregoing (collectively, the “</w:t>
      </w:r>
      <w:r>
        <w:rPr>
          <w:rFonts w:ascii="Arial" w:cs="Arial" w:eastAsia="Arial" w:hAnsi="Arial"/>
          <w:sz w:val="18"/>
          <w:szCs w:val="18"/>
          <w:u w:val="single" w:color="auto"/>
          <w:color w:val="auto"/>
        </w:rPr>
        <w:t>Pool Assets</w:t>
      </w:r>
      <w:r>
        <w:rPr>
          <w:rFonts w:ascii="Arial" w:cs="Arial" w:eastAsia="Arial" w:hAnsi="Arial"/>
          <w:sz w:val="18"/>
          <w:szCs w:val="18"/>
          <w:color w:val="auto"/>
        </w:rPr>
        <w:t>”). The Administrator, for the benefit of the Purchasers, shall have, with respect to the Pool Assets, and in addition to all the other rights and remedies available to the Administrator and the Purchasers, all the rights and remedies of a secured party under any applicable UCC. The Seller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w:t>
      </w:r>
    </w:p>
    <w:p>
      <w:pPr>
        <w:spacing w:after="0" w:line="162" w:lineRule="exact"/>
        <w:rPr>
          <w:rFonts w:ascii="Arial" w:cs="Arial" w:eastAsia="Arial" w:hAnsi="Arial"/>
          <w:sz w:val="18"/>
          <w:szCs w:val="18"/>
          <w:color w:val="auto"/>
        </w:rPr>
      </w:pPr>
    </w:p>
    <w:p>
      <w:pPr>
        <w:jc w:val="both"/>
        <w:ind w:left="-1139" w:firstLine="1139"/>
        <w:spacing w:after="0" w:line="270" w:lineRule="auto"/>
        <w:tabs>
          <w:tab w:leader="none" w:pos="4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Except with respect to the increases in Commitments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the Seller may, with the written consent of the Administrator and each Purchaser, add additional Persons as Purchasers (either to an existing Purchaser Group or by creating new Purchaser Groups) or cause an existing Purchaser to increase its Commitment in connection with a corresponding increase in the Purchase 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Commitment of any Purchaser may only be increased with the consent of such Purchaser, such consent to be in such Purchaser’s sole and absolute discretion. Each new Purchaser (or Purchaser Group) and each Purchaser increasing its Commitment shall become a party hereto or increase its Commitment, as the case may be, by executing and delivering to the Administrator and the Seller an Assumption Agreement in the form of Annex D hereto (which Assumption Agreement shall, in the case of any new Purchaser or Purchasers be executed by each Person in such new Purchaser’s Purchaser Group).</w:t>
      </w:r>
    </w:p>
    <w:p>
      <w:pPr>
        <w:spacing w:after="0" w:line="150" w:lineRule="exact"/>
        <w:rPr>
          <w:rFonts w:ascii="Arial" w:cs="Arial" w:eastAsia="Arial" w:hAnsi="Arial"/>
          <w:sz w:val="18"/>
          <w:szCs w:val="18"/>
          <w:color w:val="auto"/>
        </w:rPr>
      </w:pPr>
    </w:p>
    <w:p>
      <w:pPr>
        <w:jc w:val="both"/>
        <w:ind w:left="-1139" w:firstLine="1139"/>
        <w:spacing w:after="0" w:line="285" w:lineRule="auto"/>
        <w:tabs>
          <w:tab w:leader="none" w:pos="39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Each Committed Purchaser’s obligation hereunder shall be several, such that the failure of any Committed Purchaser to make a payment in connection with any Purchase hereunder shall not relieve any other Committed Purchaser of its obligation hereunder to make payment for any Purchase. Further, in the event any Committed Purchaser fails to satisfy its obligation to make a Purchase as required hereunder, upon receipt of notice of such failure from the Administrator (or any relevant Purchaser Agent), subject to the limitations set forth herein, the non-defaulting Committed Purchasers in such defaulting Committed Purchaser’s Purchaser Group shall purchase the defaulting Committed Purchaser’s Commitment Percentage of the related Purchase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proportion to their relative Commitment Percentages (determined without regard to the Commitment Percentage of the defaulting Committed Purchaser;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a defaulting Committed Purchaser’s Commitment Percentage of any Purchase shall be first put to the Committed Purchasers in such defaulting Committed Purchaser’s Purchaser Group and thereafter if there are no other Committed Purchasers in such Purchaser Group or if such other Committed Purchasers are also defaulting Committed Purchasers, then such defaulting Committed Purchaser’s Commitment Percentage of such Purchase shall be put to each other Purchaser Group ratably and applied in accordance with this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to the contrary, no Committed Purchaser</w:t>
      </w:r>
    </w:p>
    <w:p>
      <w:pPr>
        <w:sectPr>
          <w:pgSz w:w="11900" w:h="16838" w:orient="portrait"/>
          <w:cols w:equalWidth="0" w:num="1">
            <w:col w:w="10301"/>
          </w:cols>
          <w:pgMar w:left="1379" w:top="132" w:right="219" w:bottom="0" w:gutter="0" w:footer="0" w:header="0"/>
        </w:sectPr>
      </w:pPr>
    </w:p>
    <w:bookmarkStart w:id="177" w:name="page178"/>
    <w:bookmarkEnd w:id="177"/>
    <w:p>
      <w:pPr>
        <w:jc w:val="both"/>
        <w:ind w:right="20"/>
        <w:spacing w:after="0" w:line="274" w:lineRule="auto"/>
        <w:rPr>
          <w:sz w:val="20"/>
          <w:szCs w:val="20"/>
          <w:color w:val="auto"/>
        </w:rPr>
      </w:pPr>
      <w:r>
        <w:rPr>
          <w:rFonts w:ascii="Arial" w:cs="Arial" w:eastAsia="Arial" w:hAnsi="Arial"/>
          <w:sz w:val="19"/>
          <w:szCs w:val="19"/>
          <w:color w:val="auto"/>
        </w:rPr>
        <w:t>shall be required to make a Purchase pursuant to this paragraph for an amount which would cause the aggregate Investment of such Committed Purchaser (after giving effect to such Purchase) to exceed its Commitment.</w:t>
      </w:r>
    </w:p>
    <w:p>
      <w:pPr>
        <w:spacing w:after="0" w:line="144"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Purchased Interest Computation</w:t>
      </w:r>
      <w:r>
        <w:rPr>
          <w:rFonts w:ascii="Arial" w:cs="Arial" w:eastAsia="Arial" w:hAnsi="Arial"/>
          <w:sz w:val="18"/>
          <w:szCs w:val="18"/>
          <w:color w:val="auto"/>
        </w:rPr>
        <w:t>. The Purchased Interest shall be initially computed on the date of the initial Purchase hereunder. Thereafter, until the Facility Termination Date, such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in accordance with the terms hereof) be deemed to be 100%. The Purchased Interest shall become zero when the Aggregate Investment thereof and Aggregate Discount thereon shall have been paid in full, all the amounts owed by the Seller and the Servicer hereunder to each Purchaser, the Administrator and any other Indemnified Party or Affected Person are paid in full, and the Servicer shall have received the accrued Servicing Fee thereon.</w:t>
      </w:r>
    </w:p>
    <w:p>
      <w:pPr>
        <w:spacing w:after="0" w:line="151"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1.4.</w:t>
      </w:r>
      <w:r>
        <w:rPr>
          <w:sz w:val="20"/>
          <w:szCs w:val="20"/>
          <w:color w:val="auto"/>
        </w:rPr>
        <w:tab/>
      </w:r>
      <w:r>
        <w:rPr>
          <w:rFonts w:ascii="Arial" w:cs="Arial" w:eastAsia="Arial" w:hAnsi="Arial"/>
          <w:sz w:val="16"/>
          <w:szCs w:val="16"/>
          <w:u w:val="single" w:color="auto"/>
          <w:color w:val="auto"/>
        </w:rPr>
        <w:t>Settlement Procedures</w:t>
      </w:r>
      <w:r>
        <w:rPr>
          <w:rFonts w:ascii="Arial" w:cs="Arial" w:eastAsia="Arial" w:hAnsi="Arial"/>
          <w:sz w:val="16"/>
          <w:szCs w:val="16"/>
          <w:color w:val="auto"/>
        </w:rPr>
        <w:t>.</w:t>
      </w:r>
    </w:p>
    <w:p>
      <w:pPr>
        <w:spacing w:after="0" w:line="210" w:lineRule="exact"/>
        <w:rPr>
          <w:sz w:val="20"/>
          <w:szCs w:val="20"/>
          <w:color w:val="auto"/>
        </w:rPr>
      </w:pPr>
    </w:p>
    <w:p>
      <w:pPr>
        <w:jc w:val="both"/>
        <w:ind w:firstLine="1139"/>
        <w:spacing w:after="0" w:line="268" w:lineRule="auto"/>
        <w:tabs>
          <w:tab w:leader="none" w:pos="152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collection of the Pool Receivables shall be administered by the Servicer in accordance with this Agreement. The Seller shall provide to the Servicer on a timely basis all information needed for such administration, including notice of the occurrence of any Termination Day and current computations of the Purchased Interest.</w:t>
      </w:r>
    </w:p>
    <w:p>
      <w:pPr>
        <w:spacing w:after="0" w:line="149" w:lineRule="exact"/>
        <w:rPr>
          <w:rFonts w:ascii="Arial" w:cs="Arial" w:eastAsia="Arial" w:hAnsi="Arial"/>
          <w:sz w:val="19"/>
          <w:szCs w:val="19"/>
          <w:color w:val="auto"/>
        </w:rPr>
      </w:pPr>
    </w:p>
    <w:p>
      <w:pPr>
        <w:ind w:left="1540" w:hanging="401"/>
        <w:spacing w:after="0"/>
        <w:tabs>
          <w:tab w:leader="none" w:pos="1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Servicer shall, on each day on which Collections of Pool Receivables are received (or deemed received) by the Seller or the</w:t>
      </w:r>
    </w:p>
    <w:p>
      <w:pPr>
        <w:spacing w:after="0" w:line="4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Servicer:</w:t>
      </w:r>
    </w:p>
    <w:p>
      <w:pPr>
        <w:spacing w:after="0" w:line="195" w:lineRule="exact"/>
        <w:rPr>
          <w:sz w:val="20"/>
          <w:szCs w:val="20"/>
          <w:color w:val="auto"/>
        </w:rPr>
      </w:pPr>
    </w:p>
    <w:p>
      <w:pPr>
        <w:jc w:val="both"/>
        <w:ind w:left="560" w:firstLine="579"/>
        <w:spacing w:after="0" w:line="289" w:lineRule="auto"/>
        <w:tabs>
          <w:tab w:leader="none" w:pos="148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set aside and hold in trust (and shall, at the request of the Administrator (with the consent or at the 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for the benefit of each Purchaser Group, out of such Collections, first, an amount equal to the Aggregate Discount accrued through such day for each Portion of Investment and not previously set aside, second, an amount equal to the fees set forth in each Purchaser Group Fee Letter accrued and unpaid through such day, and third, to the extent funds are available therefor, an amount equal to the aggregate of each Purchaser Group’s Ratable Share of the Servicing Fee accrued through such day and not previously set aside;</w:t>
      </w:r>
    </w:p>
    <w:p>
      <w:pPr>
        <w:spacing w:after="0" w:line="139" w:lineRule="exact"/>
        <w:rPr>
          <w:rFonts w:ascii="Arial" w:cs="Arial" w:eastAsia="Arial" w:hAnsi="Arial"/>
          <w:sz w:val="17"/>
          <w:szCs w:val="17"/>
          <w:color w:val="auto"/>
        </w:rPr>
      </w:pPr>
    </w:p>
    <w:p>
      <w:pPr>
        <w:jc w:val="both"/>
        <w:ind w:left="560" w:firstLine="579"/>
        <w:spacing w:after="0" w:line="266" w:lineRule="auto"/>
        <w:tabs>
          <w:tab w:leader="none" w:pos="15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1.4(f)</w:t>
      </w:r>
      <w:r>
        <w:rPr>
          <w:rFonts w:ascii="Arial" w:cs="Arial" w:eastAsia="Arial" w:hAnsi="Arial"/>
          <w:sz w:val="18"/>
          <w:szCs w:val="18"/>
          <w:color w:val="auto"/>
        </w:rPr>
        <w:t xml:space="preserve">, if such day is not a Termination Day, remit to the Seller, ratably, on behalf of each Purchaser Group, the remainder of such Collections. Such remainder shall, to the extent representing a return on the Aggregate Investment, ratably, according to each Purchaser’s Investment, be automatically reinvested in Pool Receivables, and in the Related Security, Collections and other proceeds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w:t>
      </w:r>
      <w:r>
        <w:rPr>
          <w:rFonts w:ascii="Arial" w:cs="Arial" w:eastAsia="Arial" w:hAnsi="Arial"/>
          <w:sz w:val="18"/>
          <w:szCs w:val="18"/>
          <w:color w:val="auto"/>
        </w:rPr>
        <w:t xml:space="preserve">r, that if the Purchased Interest would exceed 100%, then the Servicer shall not reinvest, but shall set aside and hold in trust for the benefit of the Purchasers (and shall, at the request of the Administrator (with the consent or at the direction of a Simple Majority of the Purchasers), segregate in a separate account approved by the Administrator if, at the time of such request, there exists an Unmatured Termination Event or a Termination Event or if the failure to so segregate reasonably could be expected to cause a Material Adverse Effect) a portion of such Collections that, together with the other Collections set aside pursuant to this paragraph, shall equal the amount necessary to reduce the Purchased Interest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Facility Termination Date has been extended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and any Purchaser (or its Purchaser Agent) has provided notice (an “</w:t>
      </w:r>
      <w:r>
        <w:rPr>
          <w:rFonts w:ascii="Arial" w:cs="Arial" w:eastAsia="Arial" w:hAnsi="Arial"/>
          <w:sz w:val="18"/>
          <w:szCs w:val="18"/>
          <w:u w:val="single" w:color="auto"/>
          <w:color w:val="auto"/>
        </w:rPr>
        <w:t>Exiting Notice</w:t>
      </w:r>
      <w:r>
        <w:rPr>
          <w:rFonts w:ascii="Arial" w:cs="Arial" w:eastAsia="Arial" w:hAnsi="Arial"/>
          <w:sz w:val="18"/>
          <w:szCs w:val="18"/>
          <w:color w:val="auto"/>
        </w:rPr>
        <w:t xml:space="preserve">”) to the Administrator, the Seller and the Servicer of such Purchaser’s refusal,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to extend its (or its Committed Purchaser’s) Commitment hereunder (an “</w:t>
      </w:r>
      <w:r>
        <w:rPr>
          <w:rFonts w:ascii="Arial" w:cs="Arial" w:eastAsia="Arial" w:hAnsi="Arial"/>
          <w:sz w:val="18"/>
          <w:szCs w:val="18"/>
          <w:u w:val="single" w:color="auto"/>
          <w:color w:val="auto"/>
        </w:rPr>
        <w:t>Exiting Purchaser</w:t>
      </w:r>
      <w:r>
        <w:rPr>
          <w:rFonts w:ascii="Arial" w:cs="Arial" w:eastAsia="Arial" w:hAnsi="Arial"/>
          <w:sz w:val="18"/>
          <w:szCs w:val="18"/>
          <w:color w:val="auto"/>
        </w:rPr>
        <w:t xml:space="preserve">”) then such Collections shall not be reinvested and shall instead be held in trust for the benefit of such Purchaser and applied in accordance with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w:t>
      </w:r>
    </w:p>
    <w:p>
      <w:pPr>
        <w:spacing w:after="0" w:line="162" w:lineRule="exact"/>
        <w:rPr>
          <w:rFonts w:ascii="Arial" w:cs="Arial" w:eastAsia="Arial" w:hAnsi="Arial"/>
          <w:sz w:val="18"/>
          <w:szCs w:val="18"/>
          <w:color w:val="auto"/>
        </w:rPr>
      </w:pPr>
    </w:p>
    <w:p>
      <w:pPr>
        <w:jc w:val="both"/>
        <w:ind w:left="560" w:firstLine="579"/>
        <w:spacing w:after="0" w:line="266" w:lineRule="auto"/>
        <w:tabs>
          <w:tab w:leader="none" w:pos="15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if such day is a Termination Day (or any day following the provision of an Exiting Notice), set aside, segregate and hold in trust (and shall, at the request of the Administrator (with the consent or at the direction of a Simple Majority of the Purchasers), segregate in a separate account approved by the Administrator) for the benefit of each Purchaser Group the entire remainder of the Collections (or in the case of an Exiting Purchaser, an amount equal to such Purchaser’s ratable share of such Collections based on its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the purpose of determining such Purchaser’s ratable share of such Collections, such Purchaser’s Investment shall be deemed to remain constant from the date of the provision of an Exiting Notice until the date such Purchaser’s Investment has been paid in full; it being understood that if such day is also a Termination Day, such Exiting Purchaser’s Investment shall be recalculated taking into account amounts received by such Purchaser in respect of this parenthetical and thereafter Collections shall be set aside for such Purchaser ratably in respect of its Investment (as recalculated));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amounts are set aside and held in trust on any Termination Day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“Termination Day” (or any day following the provision of an Exiting Notice) and, thereafter, the conditions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are satisfied or waived by the Administrator and a Simple Majority of the Purchasers (or in the case of an Exiting Notice, such Exiting Notice has been revoked by the related Exiting Purchaser and written notice thereof has been provided by such Exiting Purchaser or its Purchaser Agent to the Administrator, the Seller and the Servicer), such previously set-aside amounts shall, to the extent representing a return on Aggregate Investment (or the Investment of the Exiting Purchaser) and ratably in accordance with each Purchaser’s Investment, be reinvested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on the day of such subsequent satisfaction or waiver of conditions or revocation of such Exiting Notice; and</w:t>
      </w:r>
    </w:p>
    <w:p>
      <w:pPr>
        <w:spacing w:after="0" w:line="153" w:lineRule="exact"/>
        <w:rPr>
          <w:rFonts w:ascii="Arial" w:cs="Arial" w:eastAsia="Arial" w:hAnsi="Arial"/>
          <w:sz w:val="18"/>
          <w:szCs w:val="18"/>
          <w:color w:val="auto"/>
        </w:rPr>
      </w:pPr>
    </w:p>
    <w:p>
      <w:pPr>
        <w:jc w:val="both"/>
        <w:ind w:left="560" w:firstLine="579"/>
        <w:spacing w:after="0" w:line="294" w:lineRule="auto"/>
        <w:tabs>
          <w:tab w:leader="none" w:pos="164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release to the Seller (subject to </w:t>
      </w:r>
      <w:r>
        <w:rPr>
          <w:rFonts w:ascii="Arial" w:cs="Arial" w:eastAsia="Arial" w:hAnsi="Arial"/>
          <w:sz w:val="17"/>
          <w:szCs w:val="17"/>
          <w:u w:val="single" w:color="auto"/>
          <w:color w:val="auto"/>
        </w:rPr>
        <w:t>Section 1.4(f)</w:t>
      </w:r>
      <w:r>
        <w:rPr>
          <w:rFonts w:ascii="Arial" w:cs="Arial" w:eastAsia="Arial" w:hAnsi="Arial"/>
          <w:sz w:val="17"/>
          <w:szCs w:val="17"/>
          <w:color w:val="auto"/>
        </w:rPr>
        <w:t xml:space="preserve">) for its own account any Collections in excess of: (x) amounts required to be reinvested in accordance with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the proviso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plus (y) the amounts that are required to be set aside pursuant to </w:t>
      </w:r>
      <w:r>
        <w:rPr>
          <w:rFonts w:ascii="Arial" w:cs="Arial" w:eastAsia="Arial" w:hAnsi="Arial"/>
          <w:sz w:val="17"/>
          <w:szCs w:val="17"/>
          <w:u w:val="single" w:color="auto"/>
          <w:color w:val="auto"/>
        </w:rPr>
        <w:t>clause</w:t>
      </w:r>
    </w:p>
    <w:p>
      <w:pPr>
        <w:spacing w:after="0" w:line="1" w:lineRule="exact"/>
        <w:rPr>
          <w:rFonts w:ascii="Arial" w:cs="Arial" w:eastAsia="Arial" w:hAnsi="Arial"/>
          <w:sz w:val="17"/>
          <w:szCs w:val="17"/>
          <w:color w:val="auto"/>
        </w:rPr>
      </w:pPr>
    </w:p>
    <w:p>
      <w:pPr>
        <w:ind w:left="560" w:right="20"/>
        <w:spacing w:after="0" w:line="315" w:lineRule="auto"/>
        <w:rPr>
          <w:rFonts w:ascii="Arial" w:cs="Arial" w:eastAsia="Arial" w:hAnsi="Arial"/>
          <w:sz w:val="17"/>
          <w:szCs w:val="17"/>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 xml:space="preserve">, the proviso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plus (z) the Seller’s Share of the Servicing Fee accrued and unpaid through such day and all reasonable and appropriate out-of-pocket costs and expenses of the Servicer for servicing, collecting and administering the Pool Receivables.</w:t>
      </w:r>
    </w:p>
    <w:p>
      <w:pPr>
        <w:spacing w:after="0" w:line="115" w:lineRule="exact"/>
        <w:rPr>
          <w:sz w:val="20"/>
          <w:szCs w:val="20"/>
          <w:color w:val="auto"/>
        </w:rPr>
      </w:pPr>
    </w:p>
    <w:p>
      <w:pPr>
        <w:jc w:val="both"/>
        <w:ind w:firstLine="1139"/>
        <w:spacing w:after="0" w:line="271" w:lineRule="auto"/>
        <w:tabs>
          <w:tab w:leader="none" w:pos="15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Servicer shall, in accordance with the priorities set forth in </w:t>
      </w:r>
      <w:r>
        <w:rPr>
          <w:rFonts w:ascii="Arial" w:cs="Arial" w:eastAsia="Arial" w:hAnsi="Arial"/>
          <w:sz w:val="18"/>
          <w:szCs w:val="18"/>
          <w:u w:val="single" w:color="auto"/>
          <w:color w:val="auto"/>
        </w:rPr>
        <w:t>Section 1.4(d)</w:t>
      </w:r>
      <w:r>
        <w:rPr>
          <w:rFonts w:ascii="Arial" w:cs="Arial" w:eastAsia="Arial" w:hAnsi="Arial"/>
          <w:sz w:val="18"/>
          <w:szCs w:val="18"/>
          <w:color w:val="auto"/>
        </w:rPr>
        <w:t xml:space="preserve">, deposit on each Settlement Date into the account from time to time specified by the Administrator, Collections held for the benefit of the Purchasers pursuant to </w:t>
      </w:r>
      <w:r>
        <w:rPr>
          <w:rFonts w:ascii="Arial" w:cs="Arial" w:eastAsia="Arial" w:hAnsi="Arial"/>
          <w:sz w:val="18"/>
          <w:szCs w:val="18"/>
          <w:u w:val="single" w:color="auto"/>
          <w:color w:val="auto"/>
        </w:rPr>
        <w:t>Sections 1.4(b)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WESCO or an Affiliate thereof is the Servicer, such day is not a Termination Day and the Administrator has not notified WESCO (or such Affiliate) that such right is revoked, WESCO (or such Affiliate) may retain the portion of the Collections set aside pursuant to </w:t>
      </w:r>
      <w:r>
        <w:rPr>
          <w:rFonts w:ascii="Arial" w:cs="Arial" w:eastAsia="Arial" w:hAnsi="Arial"/>
          <w:sz w:val="18"/>
          <w:szCs w:val="18"/>
          <w:u w:val="single" w:color="auto"/>
          <w:color w:val="auto"/>
        </w:rPr>
        <w:t>Section 1.4(b)(i)</w:t>
      </w:r>
      <w:r>
        <w:rPr>
          <w:rFonts w:ascii="Arial" w:cs="Arial" w:eastAsia="Arial" w:hAnsi="Arial"/>
          <w:sz w:val="18"/>
          <w:szCs w:val="18"/>
          <w:color w:val="auto"/>
        </w:rPr>
        <w:t xml:space="preserve"> that represents the aggregate of each Purchaser Group’s Ratable Share of the Servicing Fee. Within three Business Days of the last day of each Yield Period with respect to any Portion of Investment, the applicable Purchaser Agent will notify the Servicer and the Administrator by e-mail of the amount of the Discount accrued with respect to such Portion of Investment during the related Yield Period.</w:t>
      </w:r>
    </w:p>
    <w:p>
      <w:pPr>
        <w:spacing w:after="0" w:line="151" w:lineRule="exact"/>
        <w:rPr>
          <w:rFonts w:ascii="Arial" w:cs="Arial" w:eastAsia="Arial" w:hAnsi="Arial"/>
          <w:sz w:val="18"/>
          <w:szCs w:val="18"/>
          <w:color w:val="auto"/>
        </w:rPr>
      </w:pPr>
    </w:p>
    <w:p>
      <w:pPr>
        <w:ind w:left="1520" w:hanging="381"/>
        <w:spacing w:after="0"/>
        <w:tabs>
          <w:tab w:leader="none" w:pos="152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 Servicer shall distribute the amounts described (and at the times set forth) in </w:t>
      </w:r>
      <w:r>
        <w:rPr>
          <w:rFonts w:ascii="Arial" w:cs="Arial" w:eastAsia="Arial" w:hAnsi="Arial"/>
          <w:sz w:val="19"/>
          <w:szCs w:val="19"/>
          <w:u w:val="single" w:color="auto"/>
          <w:color w:val="auto"/>
        </w:rPr>
        <w:t>Section 1.4(c)</w:t>
      </w:r>
      <w:r>
        <w:rPr>
          <w:rFonts w:ascii="Arial" w:cs="Arial" w:eastAsia="Arial" w:hAnsi="Arial"/>
          <w:sz w:val="19"/>
          <w:szCs w:val="19"/>
          <w:color w:val="auto"/>
        </w:rPr>
        <w:t>, as follows:</w:t>
      </w:r>
    </w:p>
    <w:p>
      <w:pPr>
        <w:sectPr>
          <w:pgSz w:w="11900" w:h="16838" w:orient="portrait"/>
          <w:cols w:equalWidth="0" w:num="1">
            <w:col w:w="11440"/>
          </w:cols>
          <w:pgMar w:left="240" w:top="133" w:right="219" w:bottom="0" w:gutter="0" w:footer="0" w:header="0"/>
        </w:sectPr>
      </w:pPr>
    </w:p>
    <w:bookmarkStart w:id="178" w:name="page179"/>
    <w:bookmarkEnd w:id="178"/>
    <w:p>
      <w:pPr>
        <w:jc w:val="both"/>
        <w:ind w:left="565" w:firstLine="579"/>
        <w:spacing w:after="0" w:line="270" w:lineRule="auto"/>
        <w:tabs>
          <w:tab w:leader="none" w:pos="15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if such distribution occurs on a day that is not a Termination Day and the Purchased Interest does not exceed 100%, first to the Administrator for distribution to each Purchaser Agent ratably according to the Discount accrued during such Yield Period (for the benefit of the relevant Purchasers within such Purchaser Agent’s Purchaser Group) in payment in full of all accrued Discount and fees (other than Servicing Fees) with respect to each Portion of Investment maintained by such Purchasers;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each Purchaser Agent shall distribute such amounts to the Purchasers within its Purchaser Group ratably according to Discount and fees, and second, if the Servicer has set aside amounts in respect of the Servicing Fee pursuant to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and has not retained such amounts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to the Servicer’s own account (payable in arrears on each Settlement Date) in payment in full of the aggregate of each Purchaser Group’s Ratable Share of accrued Servicing Fees so set aside, and</w:t>
      </w:r>
    </w:p>
    <w:p>
      <w:pPr>
        <w:spacing w:after="0" w:line="150" w:lineRule="exact"/>
        <w:rPr>
          <w:rFonts w:ascii="Arial" w:cs="Arial" w:eastAsia="Arial" w:hAnsi="Arial"/>
          <w:sz w:val="18"/>
          <w:szCs w:val="18"/>
          <w:color w:val="auto"/>
        </w:rPr>
      </w:pPr>
    </w:p>
    <w:p>
      <w:pPr>
        <w:jc w:val="both"/>
        <w:ind w:left="565" w:firstLine="579"/>
        <w:spacing w:after="0" w:line="265" w:lineRule="auto"/>
        <w:tabs>
          <w:tab w:leader="none" w:pos="155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if such distribution occurs on a Termination Day or on a day when the Purchased Interest exceeds 100%,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if WESCO or an Affiliate thereof is not the Servicer, to the Servicer’s own account in payment in full of all accrued Servicing Fees,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Administrator for distribution to each Purchaser Agent ratably according to Investment (for the benefit of the relevant Purchasers within such Purchaser Agent’s Purchaser Group) in payment in full of all such accrued Discount with respect to each Portion of Investment funded or maintained by the Purchasers within such Purchaser Agent’s Purchaser Group,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Administrator for distribution to each Purchaser Agent (for the benefit of the relevant Purchasers within such Purchaser Agent’s Purchaser Group) ratably according to the fees accrued (other than Servicing Fees) in payment in full of all such accrued fees (other than Servicing Fees) with respect to each Portion of Investment maintained by such Purchasers,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the Administrator for distribution to each Purchaser Agent ratably according to the aggregate of the Investment of each Purchaser in each such Purchaser Agent’s Purchaser Group (for the benefit of the relevant Purchasers within such Purchaser Agent’s Purchaser Group) in payment in full of each Purchaser’s Investment (or, if such day is not a Termination Day, the amount necessary to reduce the Purchased Interest to 100%);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each Purchaser Agent shall distribute the amounts described in the second, third and fourth clauses of this </w:t>
      </w:r>
      <w:r>
        <w:rPr>
          <w:rFonts w:ascii="Arial" w:cs="Arial" w:eastAsia="Arial" w:hAnsi="Arial"/>
          <w:sz w:val="18"/>
          <w:szCs w:val="18"/>
          <w:u w:val="single" w:color="auto"/>
          <w:color w:val="auto"/>
        </w:rPr>
        <w:t>Section 1.4(d)(ii)</w:t>
      </w:r>
      <w:r>
        <w:rPr>
          <w:rFonts w:ascii="Arial" w:cs="Arial" w:eastAsia="Arial" w:hAnsi="Arial"/>
          <w:sz w:val="18"/>
          <w:szCs w:val="18"/>
          <w:color w:val="auto"/>
        </w:rPr>
        <w:t xml:space="preserve"> to the Purchasers within its Purchaser Group ratably according to Investment or, in the case of the third clause of this </w:t>
      </w:r>
      <w:r>
        <w:rPr>
          <w:rFonts w:ascii="Arial" w:cs="Arial" w:eastAsia="Arial" w:hAnsi="Arial"/>
          <w:sz w:val="18"/>
          <w:szCs w:val="18"/>
          <w:u w:val="single" w:color="auto"/>
          <w:color w:val="auto"/>
        </w:rPr>
        <w:t>Section 1.4(d)(ii)</w:t>
      </w:r>
      <w:r>
        <w:rPr>
          <w:rFonts w:ascii="Arial" w:cs="Arial" w:eastAsia="Arial" w:hAnsi="Arial"/>
          <w:sz w:val="18"/>
          <w:szCs w:val="18"/>
          <w:color w:val="auto"/>
        </w:rPr>
        <w:t xml:space="preserve">, fees (not including the Servicing Fee),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the Aggregate Investment and accrued Aggregate Discount with respect to each Portion of Investment for all Purchaser Groups have been reduced to zero, and all accrued Servicing Fees payable to the Servicer (if other than WESCO or an Affiliate thereof) have been paid in full, to the Administrator for distribution ratably to each Purchaser Agent (for the benefit of the Purchasers within such Purchaser Group) the Administrator, each Indemnified Party and each Affected Person, in payment in full of any other amounts owed thereto by the Seller or Servicer hereunder, and </w:t>
      </w:r>
      <w:r>
        <w:rPr>
          <w:rFonts w:ascii="Arial" w:cs="Arial" w:eastAsia="Arial" w:hAnsi="Arial"/>
          <w:sz w:val="18"/>
          <w:szCs w:val="18"/>
          <w:u w:val="single" w:color="auto"/>
          <w:color w:val="auto"/>
        </w:rPr>
        <w:t>sixth</w:t>
      </w:r>
      <w:r>
        <w:rPr>
          <w:rFonts w:ascii="Arial" w:cs="Arial" w:eastAsia="Arial" w:hAnsi="Arial"/>
          <w:sz w:val="18"/>
          <w:szCs w:val="18"/>
          <w:color w:val="auto"/>
        </w:rPr>
        <w:t>, to the Servicer’s own account (if the Servicer is WESCO or an Affiliate thereof) in payment in full of the Aggregate of each Purchaser Group’s Ratable Share of all accrued Servicing Fees.</w:t>
      </w:r>
    </w:p>
    <w:p>
      <w:pPr>
        <w:spacing w:after="0" w:line="161" w:lineRule="exact"/>
        <w:rPr>
          <w:sz w:val="20"/>
          <w:szCs w:val="20"/>
          <w:color w:val="auto"/>
        </w:rPr>
      </w:pPr>
    </w:p>
    <w:p>
      <w:pPr>
        <w:jc w:val="both"/>
        <w:ind w:left="5"/>
        <w:spacing w:after="0" w:line="270" w:lineRule="auto"/>
        <w:rPr>
          <w:sz w:val="20"/>
          <w:szCs w:val="20"/>
          <w:color w:val="auto"/>
        </w:rPr>
      </w:pPr>
      <w:r>
        <w:rPr>
          <w:rFonts w:ascii="Arial" w:cs="Arial" w:eastAsia="Arial" w:hAnsi="Arial"/>
          <w:sz w:val="18"/>
          <w:szCs w:val="18"/>
          <w:color w:val="auto"/>
        </w:rPr>
        <w:t xml:space="preserve">After the Aggregate Investment, Aggregate Discount, fees payable pursuant to each Purchaser Group Fee Letter and Servicing Fees with respect to the Purchased Interest, and any other amounts payable by the Seller and the Servicer to each Purchaser Group, the Administrator or any other Indemnified Party or Affected Person hereunder, have been paid in full, all additional Collections with respect to the Purchased Interest shall be paid to the Seller for its own account. Each Purchaser Agent hereby covenants and agrees to timely provide the Administrator with all information necessary for the Administrator to make the allocations to the Purchaser Agents required to be made by the Administrator pursuant to </w:t>
      </w:r>
      <w:r>
        <w:rPr>
          <w:rFonts w:ascii="Arial" w:cs="Arial" w:eastAsia="Arial" w:hAnsi="Arial"/>
          <w:sz w:val="18"/>
          <w:szCs w:val="18"/>
          <w:u w:val="single" w:color="auto"/>
          <w:color w:val="auto"/>
        </w:rPr>
        <w:t>Sections 1.4(d)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1.4(f)</w:t>
      </w:r>
      <w:r>
        <w:rPr>
          <w:rFonts w:ascii="Arial" w:cs="Arial" w:eastAsia="Arial" w:hAnsi="Arial"/>
          <w:sz w:val="18"/>
          <w:szCs w:val="18"/>
          <w:color w:val="auto"/>
        </w:rPr>
        <w:t>, including the applicable account of each Purchaser Agent for which amounts should be distributed.</w:t>
      </w:r>
    </w:p>
    <w:p>
      <w:pPr>
        <w:spacing w:after="0" w:line="152" w:lineRule="exact"/>
        <w:rPr>
          <w:sz w:val="20"/>
          <w:szCs w:val="20"/>
          <w:color w:val="auto"/>
        </w:rPr>
      </w:pPr>
    </w:p>
    <w:p>
      <w:pPr>
        <w:ind w:left="945" w:hanging="373"/>
        <w:spacing w:after="0"/>
        <w:tabs>
          <w:tab w:leader="none" w:pos="945"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jc w:val="both"/>
        <w:ind w:left="565" w:firstLine="579"/>
        <w:spacing w:after="0" w:line="258" w:lineRule="auto"/>
        <w:tabs>
          <w:tab w:leader="none" w:pos="157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if on any day the Outstanding Balance of any Pool Receivable is reduced or adjusted as a result of any defective, rejected, returned, repossessed or foreclosed goods or services, or any revision, cancellation, allowance, discount or other adjustment made by the Seller or any Affiliate of the Seller, or the Servicer or any Affiliate of the Servicer, or any setoff or dispute between the Seller or any Affiliate of the Seller, or the Servicer or any Affiliate of the Servicer and an Obligor, the Seller shall be deemed to have received on such day a Collection of such Pool Receivable in the amount of such reduction or adjustment;</w:t>
      </w:r>
    </w:p>
    <w:p>
      <w:pPr>
        <w:spacing w:after="0" w:line="159" w:lineRule="exact"/>
        <w:rPr>
          <w:rFonts w:ascii="Arial" w:cs="Arial" w:eastAsia="Arial" w:hAnsi="Arial"/>
          <w:sz w:val="19"/>
          <w:szCs w:val="19"/>
          <w:color w:val="auto"/>
        </w:rPr>
      </w:pPr>
    </w:p>
    <w:p>
      <w:pPr>
        <w:ind w:left="565" w:right="20" w:firstLine="579"/>
        <w:spacing w:after="0" w:line="287" w:lineRule="auto"/>
        <w:tabs>
          <w:tab w:leader="none" w:pos="157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if on any day any of the representations or warranties in </w:t>
      </w:r>
      <w:r>
        <w:rPr>
          <w:rFonts w:ascii="Arial" w:cs="Arial" w:eastAsia="Arial" w:hAnsi="Arial"/>
          <w:sz w:val="19"/>
          <w:szCs w:val="19"/>
          <w:u w:val="single" w:color="auto"/>
          <w:color w:val="auto"/>
        </w:rPr>
        <w:t>Section 1(g)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III</w:t>
      </w:r>
      <w:r>
        <w:rPr>
          <w:rFonts w:ascii="Arial" w:cs="Arial" w:eastAsia="Arial" w:hAnsi="Arial"/>
          <w:sz w:val="19"/>
          <w:szCs w:val="19"/>
          <w:color w:val="auto"/>
        </w:rPr>
        <w:t xml:space="preserve"> is not true with respect to any Pool Receivable, the Seller shall be deemed to have received on such day a Collection of such Pool Receivable in full;</w:t>
      </w:r>
    </w:p>
    <w:p>
      <w:pPr>
        <w:spacing w:after="0" w:line="132" w:lineRule="exact"/>
        <w:rPr>
          <w:rFonts w:ascii="Arial" w:cs="Arial" w:eastAsia="Arial" w:hAnsi="Arial"/>
          <w:sz w:val="19"/>
          <w:szCs w:val="19"/>
          <w:color w:val="auto"/>
        </w:rPr>
      </w:pPr>
    </w:p>
    <w:p>
      <w:pPr>
        <w:jc w:val="both"/>
        <w:ind w:left="565" w:firstLine="579"/>
        <w:spacing w:after="0" w:line="313" w:lineRule="auto"/>
        <w:tabs>
          <w:tab w:leader="none" w:pos="1652" w:val="left"/>
        </w:tabs>
        <w:numPr>
          <w:ilvl w:val="1"/>
          <w:numId w:val="249"/>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or as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116" w:lineRule="exact"/>
        <w:rPr>
          <w:rFonts w:ascii="Arial" w:cs="Arial" w:eastAsia="Arial" w:hAnsi="Arial"/>
          <w:sz w:val="17"/>
          <w:szCs w:val="17"/>
          <w:color w:val="auto"/>
        </w:rPr>
      </w:pPr>
    </w:p>
    <w:p>
      <w:pPr>
        <w:jc w:val="both"/>
        <w:ind w:left="565" w:firstLine="579"/>
        <w:spacing w:after="0" w:line="258" w:lineRule="auto"/>
        <w:tabs>
          <w:tab w:leader="none" w:pos="160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spacing w:after="0" w:line="160" w:lineRule="exact"/>
        <w:rPr>
          <w:sz w:val="20"/>
          <w:szCs w:val="20"/>
          <w:color w:val="auto"/>
        </w:rPr>
      </w:pPr>
    </w:p>
    <w:p>
      <w:pPr>
        <w:ind w:left="5" w:right="20" w:firstLine="1139"/>
        <w:spacing w:after="0" w:line="287" w:lineRule="auto"/>
        <w:tabs>
          <w:tab w:leader="none" w:pos="1581"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If at any time the Seller shall wish to cause the reduction of Aggregate Investment (but not to commence the liquidation, or reduction to zero, of the entire Aggregate Investment), the Seller may do so as follows:</w:t>
      </w:r>
    </w:p>
    <w:p>
      <w:pPr>
        <w:spacing w:after="0" w:line="133" w:lineRule="exact"/>
        <w:rPr>
          <w:sz w:val="20"/>
          <w:szCs w:val="20"/>
          <w:color w:val="auto"/>
        </w:rPr>
      </w:pPr>
    </w:p>
    <w:p>
      <w:pPr>
        <w:jc w:val="both"/>
        <w:ind w:left="565" w:right="20" w:firstLine="579"/>
        <w:spacing w:after="0" w:line="268" w:lineRule="auto"/>
        <w:tabs>
          <w:tab w:leader="none" w:pos="1535"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Seller shall give the Administrator, each Purchaser Agent and the Servicer at least two Business Days’ prior written notice thereof for any reduction of Aggregate Investment (such notice to include the amount of such proposed reduction and the proposed date on which such reduction will commence);</w:t>
      </w:r>
    </w:p>
    <w:p>
      <w:pPr>
        <w:spacing w:after="0" w:line="149" w:lineRule="exact"/>
        <w:rPr>
          <w:rFonts w:ascii="Arial" w:cs="Arial" w:eastAsia="Arial" w:hAnsi="Arial"/>
          <w:sz w:val="19"/>
          <w:szCs w:val="19"/>
          <w:color w:val="auto"/>
        </w:rPr>
      </w:pPr>
    </w:p>
    <w:p>
      <w:pPr>
        <w:ind w:left="565" w:firstLine="579"/>
        <w:spacing w:after="0" w:line="287" w:lineRule="auto"/>
        <w:tabs>
          <w:tab w:leader="none" w:pos="1552" w:val="left"/>
        </w:tabs>
        <w:numPr>
          <w:ilvl w:val="1"/>
          <w:numId w:val="251"/>
        </w:numPr>
        <w:rPr>
          <w:rFonts w:ascii="Arial" w:cs="Arial" w:eastAsia="Arial" w:hAnsi="Arial"/>
          <w:sz w:val="19"/>
          <w:szCs w:val="19"/>
          <w:color w:val="auto"/>
        </w:rPr>
      </w:pPr>
      <w:r>
        <w:rPr>
          <w:rFonts w:ascii="Arial" w:cs="Arial" w:eastAsia="Arial" w:hAnsi="Arial"/>
          <w:sz w:val="19"/>
          <w:szCs w:val="19"/>
          <w:color w:val="auto"/>
        </w:rPr>
        <w:t>on the proposed date of commencement of such reduction and on each day thereafter, the Servicer shall cause Collections not to be reinvested until the amount thereof not so reinvested shall equal the desired amount of reduction; and</w:t>
      </w:r>
    </w:p>
    <w:p>
      <w:pPr>
        <w:spacing w:after="0" w:line="132" w:lineRule="exact"/>
        <w:rPr>
          <w:rFonts w:ascii="Arial" w:cs="Arial" w:eastAsia="Arial" w:hAnsi="Arial"/>
          <w:sz w:val="19"/>
          <w:szCs w:val="19"/>
          <w:color w:val="auto"/>
        </w:rPr>
      </w:pPr>
    </w:p>
    <w:p>
      <w:pPr>
        <w:jc w:val="both"/>
        <w:ind w:left="565" w:right="20" w:firstLine="579"/>
        <w:spacing w:after="0" w:line="261" w:lineRule="auto"/>
        <w:tabs>
          <w:tab w:leader="none" w:pos="1700"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Servicer shall hold such Collections in trust for the benefit of each Purchaser ratably according to its Investment, for payment to the Administrator (for the account of such Purchaser) on the next Settlement Date, and the Aggregate Investment (together with the Investment of any related Purchaser) shall be deemed reduced in the amount to be paid to the Administrator (for the account of such Purchaser) only when in fact finally so paid;</w:t>
      </w:r>
    </w:p>
    <w:p>
      <w:pPr>
        <w:spacing w:after="0" w:line="157" w:lineRule="exact"/>
        <w:rPr>
          <w:rFonts w:ascii="Arial" w:cs="Arial" w:eastAsia="Arial" w:hAnsi="Arial"/>
          <w:sz w:val="19"/>
          <w:szCs w:val="19"/>
          <w:color w:val="auto"/>
        </w:rPr>
      </w:pPr>
    </w:p>
    <w:p>
      <w:pPr>
        <w:ind w:left="105" w:hanging="105"/>
        <w:spacing w:after="0"/>
        <w:tabs>
          <w:tab w:leader="none" w:pos="105" w:val="left"/>
        </w:tabs>
        <w:numPr>
          <w:ilvl w:val="0"/>
          <w:numId w:val="251"/>
        </w:numPr>
        <w:rPr>
          <w:rFonts w:ascii="Arial" w:cs="Arial" w:eastAsia="Arial" w:hAnsi="Arial"/>
          <w:sz w:val="19"/>
          <w:szCs w:val="19"/>
          <w:color w:val="auto"/>
        </w:rPr>
      </w:pPr>
      <w:r>
        <w:rPr>
          <w:rFonts w:ascii="Arial" w:cs="Arial" w:eastAsia="Arial" w:hAnsi="Arial"/>
          <w:sz w:val="19"/>
          <w:szCs w:val="19"/>
          <w:color w:val="auto"/>
        </w:rPr>
        <w:t>provided, that:</w:t>
      </w:r>
    </w:p>
    <w:p>
      <w:pPr>
        <w:sectPr>
          <w:pgSz w:w="11900" w:h="16838" w:orient="portrait"/>
          <w:cols w:equalWidth="0" w:num="1">
            <w:col w:w="11445"/>
          </w:cols>
          <w:pgMar w:left="235" w:top="132" w:right="219" w:bottom="0" w:gutter="0" w:footer="0" w:header="0"/>
        </w:sectPr>
      </w:pPr>
    </w:p>
    <w:bookmarkStart w:id="179" w:name="page180"/>
    <w:bookmarkEnd w:id="179"/>
    <w:p>
      <w:pPr>
        <w:jc w:val="both"/>
        <w:ind w:left="560" w:firstLine="579"/>
        <w:spacing w:after="0" w:line="268" w:lineRule="auto"/>
        <w:tabs>
          <w:tab w:leader="none" w:pos="1555"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amount of any such reduction shall be not less than $500,000 in the aggregate for all Purchaser Groups (unless the Aggregate Investment at the time of such reduction is less than $500,000, in which case such reduction shall be in the amount required to reduce the Aggregate Investment to zero); and</w:t>
      </w:r>
    </w:p>
    <w:p>
      <w:pPr>
        <w:spacing w:after="0" w:line="149" w:lineRule="exact"/>
        <w:rPr>
          <w:rFonts w:ascii="Arial" w:cs="Arial" w:eastAsia="Arial" w:hAnsi="Arial"/>
          <w:sz w:val="19"/>
          <w:szCs w:val="19"/>
          <w:color w:val="auto"/>
        </w:rPr>
      </w:pPr>
    </w:p>
    <w:p>
      <w:pPr>
        <w:ind w:left="560" w:firstLine="579"/>
        <w:spacing w:after="0" w:line="287" w:lineRule="auto"/>
        <w:tabs>
          <w:tab w:leader="none" w:pos="1557" w:val="left"/>
        </w:tabs>
        <w:numPr>
          <w:ilvl w:val="0"/>
          <w:numId w:val="252"/>
        </w:numPr>
        <w:rPr>
          <w:rFonts w:ascii="Arial" w:cs="Arial" w:eastAsia="Arial" w:hAnsi="Arial"/>
          <w:sz w:val="19"/>
          <w:szCs w:val="19"/>
          <w:color w:val="auto"/>
        </w:rPr>
      </w:pPr>
      <w:r>
        <w:rPr>
          <w:rFonts w:ascii="Arial" w:cs="Arial" w:eastAsia="Arial" w:hAnsi="Arial"/>
          <w:sz w:val="19"/>
          <w:szCs w:val="19"/>
          <w:color w:val="auto"/>
        </w:rPr>
        <w:t>with respect to any Portion of Investment, the Seller shall choose a reduction amount, and the date of commencement thereof, so that to the extent practicable such reduction shall commence and conclude in the same Yield Period.</w:t>
      </w:r>
    </w:p>
    <w:p>
      <w:pPr>
        <w:spacing w:after="0" w:line="133"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Fees</w:t>
      </w:r>
      <w:r>
        <w:rPr>
          <w:rFonts w:ascii="Arial" w:cs="Arial" w:eastAsia="Arial" w:hAnsi="Arial"/>
          <w:sz w:val="19"/>
          <w:szCs w:val="19"/>
          <w:color w:val="auto"/>
        </w:rPr>
        <w:t>. The Seller shall pay to the Administrator for distribution to each Purchaser Agent for the benefit of the related Purchasers, certain fees in the amounts and on the dates set forth in those certain fee letters, each such letter (as amended or amended and restated through the date hereof and as amended, supplemented, or otherwise modified from time to time, a “</w:t>
      </w:r>
      <w:r>
        <w:rPr>
          <w:rFonts w:ascii="Arial" w:cs="Arial" w:eastAsia="Arial" w:hAnsi="Arial"/>
          <w:sz w:val="19"/>
          <w:szCs w:val="19"/>
          <w:u w:val="single" w:color="auto"/>
          <w:color w:val="auto"/>
        </w:rPr>
        <w:t>Purchaser Group Fee Letter</w:t>
      </w:r>
      <w:r>
        <w:rPr>
          <w:rFonts w:ascii="Arial" w:cs="Arial" w:eastAsia="Arial" w:hAnsi="Arial"/>
          <w:sz w:val="19"/>
          <w:szCs w:val="19"/>
          <w:color w:val="auto"/>
        </w:rPr>
        <w:t>”), in each case among the Seller, the Servicer, the related Purchaser Agent and the related Purchasers.</w:t>
      </w:r>
    </w:p>
    <w:p>
      <w:pPr>
        <w:spacing w:after="0" w:line="158"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1.6.</w:t>
      </w:r>
      <w:r>
        <w:rPr>
          <w:sz w:val="20"/>
          <w:szCs w:val="20"/>
          <w:color w:val="auto"/>
        </w:rPr>
        <w:tab/>
      </w:r>
      <w:r>
        <w:rPr>
          <w:rFonts w:ascii="Arial" w:cs="Arial" w:eastAsia="Arial" w:hAnsi="Arial"/>
          <w:sz w:val="16"/>
          <w:szCs w:val="16"/>
          <w:u w:val="single" w:color="auto"/>
          <w:color w:val="auto"/>
        </w:rPr>
        <w:t>Payments and Computations, Etc</w:t>
      </w:r>
      <w:r>
        <w:rPr>
          <w:rFonts w:ascii="Arial" w:cs="Arial" w:eastAsia="Arial" w:hAnsi="Arial"/>
          <w:sz w:val="16"/>
          <w:szCs w:val="16"/>
          <w:color w:val="auto"/>
        </w:rPr>
        <w:t>.</w:t>
      </w:r>
    </w:p>
    <w:p>
      <w:pPr>
        <w:spacing w:after="0" w:line="210" w:lineRule="exact"/>
        <w:rPr>
          <w:sz w:val="20"/>
          <w:szCs w:val="20"/>
          <w:color w:val="auto"/>
        </w:rPr>
      </w:pPr>
    </w:p>
    <w:p>
      <w:pPr>
        <w:jc w:val="both"/>
        <w:ind w:firstLine="1139"/>
        <w:spacing w:after="0" w:line="265" w:lineRule="auto"/>
        <w:tabs>
          <w:tab w:leader="none" w:pos="156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All amounts to be paid or deposited by the Seller or the Servicer hereunder or under any other Transaction Document shall be made without reduction for offset or counterclaim and shall be paid or deposited no later than noon (New York City time) on the day when due in same day funds to the applicable account from time to time designated by the Administrator. All amounts received after noon (New York City time) will be deemed to have been received on the next Business Day. Except as expressly set forth herein (including, without limitation, as set forth in </w:t>
      </w:r>
      <w:r>
        <w:rPr>
          <w:rFonts w:ascii="Arial" w:cs="Arial" w:eastAsia="Arial" w:hAnsi="Arial"/>
          <w:sz w:val="18"/>
          <w:szCs w:val="18"/>
          <w:u w:val="single" w:color="auto"/>
          <w:color w:val="auto"/>
        </w:rPr>
        <w:t>Sections 1.4(b)(ii)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with respect to Collections held in trust for Exiting Purchasers), the Administrator shall promptly (and, if reasonably practicable, on the day it receives such amounts) distribute to the applicable Purchaser Agent amounts received by it hereunder for the benefit of the Purchasers within such Purchaser Agent’s Purchaser Group, and such Purchaser Agent shall promptly thereafter distribute such amounts received by it to the Purchasers within its Purchaser Group ratably (x) in the case of such amounts paid in respect of Discount and Fees, according to the Discount and Fees payable to such Purchasers and (y) in the case of such amounts paid in respect of Investment (or in respect of any other obligations other than Discount and Fees), according to the outstanding Investment funded by such Purchasers. Unless the Administrator shall have received notice from Seller prior to the date on which any payment is due to the Administrator for the account of any Purchasers hereunder that the Seller (or the Servicer on its behalf) will not make such payment (including because Collections are not available therefor), the Administrator may assume that the Seller has made or will make such payment on such date in accordance herewith and may (but shall not be obligated to), in reliance upon such assumption, distribute to the Purchaser Agents the amount due. In such event, if the Seller (or the Servicer on its behalf) has not in fact made such payment, then each Purchaser Agent severally agrees to repay to the Administrator forthwith on demand the amount so distributed to such Purchaser Agent, with interest thereon, for each day from and including the date such amount is distributed to it to but excluding the date of payment to the Administrator, at the greater of the Federal Funds Rate and a rate determined by the Administrator in accordance with banking industry rules on interbank compensation.</w:t>
      </w:r>
    </w:p>
    <w:p>
      <w:pPr>
        <w:spacing w:after="0" w:line="163" w:lineRule="exact"/>
        <w:rPr>
          <w:rFonts w:ascii="Arial" w:cs="Arial" w:eastAsia="Arial" w:hAnsi="Arial"/>
          <w:sz w:val="18"/>
          <w:szCs w:val="18"/>
          <w:color w:val="auto"/>
        </w:rPr>
      </w:pPr>
    </w:p>
    <w:p>
      <w:pPr>
        <w:jc w:val="both"/>
        <w:ind w:right="20" w:firstLine="1139"/>
        <w:spacing w:after="0" w:line="268" w:lineRule="auto"/>
        <w:tabs>
          <w:tab w:leader="none" w:pos="1608"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Seller or the Servicer, as the case may be, shall, to the extent permitted by law, pay interest on any amount not paid or deposited by the Seller or the Servicer, as the case may be, when due hereunder, at an interest rate equal to 2.00% per annum above the Base Rate, payable on demand.</w:t>
      </w:r>
    </w:p>
    <w:p>
      <w:pPr>
        <w:spacing w:after="0" w:line="149" w:lineRule="exact"/>
        <w:rPr>
          <w:rFonts w:ascii="Arial" w:cs="Arial" w:eastAsia="Arial" w:hAnsi="Arial"/>
          <w:sz w:val="19"/>
          <w:szCs w:val="19"/>
          <w:color w:val="auto"/>
        </w:rPr>
      </w:pPr>
    </w:p>
    <w:p>
      <w:pPr>
        <w:jc w:val="both"/>
        <w:ind w:right="20" w:firstLine="1139"/>
        <w:spacing w:after="0" w:line="258" w:lineRule="auto"/>
        <w:tabs>
          <w:tab w:leader="none" w:pos="1538"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All computations of interest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and all computations of Discount, fees and other amounts hereunder shall be made on the basis of a year of 360 (or 365 or 366, as applicable, with respect to Discount or other amounts calculated by reference to the Base Rate) days for the actual number of days elapsed. Whenever any payment or deposit to be made hereunder shall be due on a day other than a Business Day, such payment or deposit shall be made on the next Business Day and such extension of time shall be included in the computation of such payment or deposit.</w:t>
      </w:r>
    </w:p>
    <w:p>
      <w:pPr>
        <w:spacing w:after="0" w:line="160"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1.7.</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10" w:lineRule="exact"/>
        <w:rPr>
          <w:sz w:val="20"/>
          <w:szCs w:val="20"/>
          <w:color w:val="auto"/>
        </w:rPr>
      </w:pPr>
    </w:p>
    <w:p>
      <w:pPr>
        <w:jc w:val="both"/>
        <w:ind w:firstLine="1139"/>
        <w:spacing w:after="0" w:line="284" w:lineRule="auto"/>
        <w:tabs>
          <w:tab w:leader="none" w:pos="155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any Purchaser Agent, Purchaser, Liquidity Provider, the Administrator or any other Program Support Provider or any of their respective Affiliates (each an “</w:t>
      </w:r>
      <w:r>
        <w:rPr>
          <w:rFonts w:ascii="Arial" w:cs="Arial" w:eastAsia="Arial" w:hAnsi="Arial"/>
          <w:sz w:val="17"/>
          <w:szCs w:val="17"/>
          <w:u w:val="single" w:color="auto"/>
          <w:color w:val="auto"/>
        </w:rPr>
        <w:t>Affected Person</w:t>
      </w:r>
      <w:r>
        <w:rPr>
          <w:rFonts w:ascii="Arial" w:cs="Arial" w:eastAsia="Arial" w:hAnsi="Arial"/>
          <w:sz w:val="17"/>
          <w:szCs w:val="17"/>
          <w:color w:val="auto"/>
        </w:rPr>
        <w:t>”) reasonably determines that the existence of or compliance with: (i) any law or regulation or any change therein or in the interpretation or application thereof, in each case adopted, issued or occurring after the date hereof, or (ii) any request, guideline or directive from any central bank or other Governmental Authority (whether or not having the force of law) issued or occurring after the date of this Agreement, affects or would affect the amount of capital required or expected to be maintained by such Affected Person, and such Affected Person determines that the amount of such capital is increased by or based upon the existence of any commitment to make purchases of (or otherwise to maintain the investment in) Pool Receivables related to this Agreement or any related liquidity facility, credit enhancement facility or other commitments of the same type, then, upon demand by such Affected Person (with a copy to the Administrator), the Seller shall promptly pay to the Administrator, for the account of such Affected Person, from time to time as specified by such Affected Person, additional amounts sufficient to compensate such Affected Person in the light of such circumstances, to the extent that such Affected Person reasonably determines such increase in capital to be allocable to the existence of any of such commitments. A certificate as to such amounts submitted to the Seller and the Administrator by such Affected Person shall be conclusive and binding for all purposes, absent manifest error.</w:t>
      </w:r>
    </w:p>
    <w:p>
      <w:pPr>
        <w:spacing w:after="0" w:line="143" w:lineRule="exact"/>
        <w:rPr>
          <w:rFonts w:ascii="Arial" w:cs="Arial" w:eastAsia="Arial" w:hAnsi="Arial"/>
          <w:sz w:val="17"/>
          <w:szCs w:val="17"/>
          <w:color w:val="auto"/>
        </w:rPr>
      </w:pPr>
    </w:p>
    <w:p>
      <w:pPr>
        <w:jc w:val="both"/>
        <w:ind w:firstLine="1139"/>
        <w:spacing w:after="0" w:line="271" w:lineRule="auto"/>
        <w:tabs>
          <w:tab w:leader="none" w:pos="154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due to either: (i) the introduction of or any change in or in the interpretation of any law or regulation or (ii) compliance with any guideline or request from any central bank or other Governmental Authority (whether or not having the force of law), there shall be any increase in the cost to any Affected Person of agreeing to purchase or purchasing, or maintaining the ownership of, the Purchased Interest or any portion thereof in respect of which Discount is computed by reference to the Euro-Rate or the LMIR, then, upon demand by such Affected Person, the Seller shall promptly pay to such Affected Person, from time to time as specified by such Affected Person, additional amounts sufficient to compensate such Affected Person for such increased costs. A certificate as to such amounts submitted to the Seller and the Administrator by such Affected Person shall be conclusive and binding for all purposes, absent manifest error.</w:t>
      </w:r>
    </w:p>
    <w:p>
      <w:pPr>
        <w:spacing w:after="0" w:line="151" w:lineRule="exact"/>
        <w:rPr>
          <w:rFonts w:ascii="Arial" w:cs="Arial" w:eastAsia="Arial" w:hAnsi="Arial"/>
          <w:sz w:val="18"/>
          <w:szCs w:val="18"/>
          <w:color w:val="auto"/>
        </w:rPr>
      </w:pPr>
    </w:p>
    <w:p>
      <w:pPr>
        <w:ind w:firstLine="1139"/>
        <w:spacing w:after="0" w:line="316" w:lineRule="auto"/>
        <w:tabs>
          <w:tab w:leader="none" w:pos="15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such increased costs affect the related Affected Person’s portfolio of financing transactions, such Affected Person shall use reasonable averaging and attribution methods to allocate such increased costs to the transactions contemplated by this Agreement.</w:t>
      </w:r>
    </w:p>
    <w:p>
      <w:pPr>
        <w:spacing w:after="0" w:line="110" w:lineRule="exact"/>
        <w:rPr>
          <w:rFonts w:ascii="Arial" w:cs="Arial" w:eastAsia="Arial" w:hAnsi="Arial"/>
          <w:sz w:val="18"/>
          <w:szCs w:val="18"/>
          <w:color w:val="auto"/>
        </w:rPr>
      </w:pPr>
    </w:p>
    <w:p>
      <w:pPr>
        <w:jc w:val="both"/>
        <w:ind w:firstLine="1139"/>
        <w:spacing w:after="0" w:line="301" w:lineRule="auto"/>
        <w:tabs>
          <w:tab w:leader="none" w:pos="153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for purposes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w:t>
      </w:r>
    </w:p>
    <w:p>
      <w:pPr>
        <w:sectPr>
          <w:pgSz w:w="11900" w:h="16838" w:orient="portrait"/>
          <w:cols w:equalWidth="0" w:num="1">
            <w:col w:w="11440"/>
          </w:cols>
          <w:pgMar w:left="240" w:top="132" w:right="219" w:bottom="0" w:gutter="0" w:footer="0" w:header="0"/>
        </w:sectPr>
      </w:pPr>
    </w:p>
    <w:bookmarkStart w:id="180" w:name="page181"/>
    <w:bookmarkEnd w:id="180"/>
    <w:p>
      <w:pPr>
        <w:jc w:val="both"/>
        <w:ind w:right="20"/>
        <w:spacing w:after="0" w:line="274" w:lineRule="auto"/>
        <w:rPr>
          <w:sz w:val="20"/>
          <w:szCs w:val="20"/>
          <w:color w:val="auto"/>
        </w:rPr>
      </w:pPr>
      <w:r>
        <w:rPr>
          <w:rFonts w:ascii="Arial" w:cs="Arial" w:eastAsia="Arial" w:hAnsi="Arial"/>
          <w:sz w:val="19"/>
          <w:szCs w:val="19"/>
          <w:color w:val="auto"/>
        </w:rPr>
        <w:t xml:space="preserve">accord know as Basel II or Basel III, are, in the case of each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deemed to have been introduced or adopted after the date hereof, regardless of the date enacted, adopted, issued, promulgated or implemented.</w:t>
      </w:r>
    </w:p>
    <w:p>
      <w:pPr>
        <w:spacing w:after="0" w:line="144"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1.8.</w:t>
      </w:r>
      <w:r>
        <w:rPr>
          <w:sz w:val="20"/>
          <w:szCs w:val="20"/>
          <w:color w:val="auto"/>
        </w:rPr>
        <w:tab/>
      </w:r>
      <w:r>
        <w:rPr>
          <w:rFonts w:ascii="Arial" w:cs="Arial" w:eastAsia="Arial" w:hAnsi="Arial"/>
          <w:sz w:val="17"/>
          <w:szCs w:val="17"/>
          <w:u w:val="single" w:color="auto"/>
          <w:color w:val="auto"/>
        </w:rPr>
        <w:t>Requirements of Law</w:t>
      </w:r>
      <w:r>
        <w:rPr>
          <w:rFonts w:ascii="Arial" w:cs="Arial" w:eastAsia="Arial" w:hAnsi="Arial"/>
          <w:sz w:val="17"/>
          <w:szCs w:val="17"/>
          <w:color w:val="auto"/>
        </w:rPr>
        <w:t>.</w:t>
      </w:r>
    </w:p>
    <w:p>
      <w:pPr>
        <w:spacing w:after="0" w:line="210" w:lineRule="exact"/>
        <w:rPr>
          <w:sz w:val="20"/>
          <w:szCs w:val="20"/>
          <w:color w:val="auto"/>
        </w:rPr>
      </w:pPr>
    </w:p>
    <w:p>
      <w:pPr>
        <w:jc w:val="both"/>
        <w:ind w:firstLine="572"/>
        <w:spacing w:after="0" w:line="306" w:lineRule="auto"/>
        <w:rPr>
          <w:sz w:val="20"/>
          <w:szCs w:val="20"/>
          <w:color w:val="auto"/>
        </w:rPr>
      </w:pPr>
      <w:r>
        <w:rPr>
          <w:rFonts w:ascii="Arial" w:cs="Arial" w:eastAsia="Arial" w:hAnsi="Arial"/>
          <w:sz w:val="17"/>
          <w:szCs w:val="17"/>
          <w:color w:val="auto"/>
        </w:rPr>
        <w:t>If any Affected Person reasonably determines that the existence of or compliance with: (a) any law or regulation or any change therein or in the interpretation or application thereof, in each case adopted, issued or occurring after the date hereof, or (b) any request, guideline or directive from any central bank or other Governmental Authority (whether or not having the force of law) issued or occurring after the date of this Agreement:</w:t>
      </w:r>
    </w:p>
    <w:p>
      <w:pPr>
        <w:spacing w:after="0" w:line="122" w:lineRule="exact"/>
        <w:rPr>
          <w:sz w:val="20"/>
          <w:szCs w:val="20"/>
          <w:color w:val="auto"/>
        </w:rPr>
      </w:pPr>
    </w:p>
    <w:p>
      <w:pPr>
        <w:jc w:val="both"/>
        <w:ind w:left="560" w:firstLine="579"/>
        <w:spacing w:after="0" w:line="276" w:lineRule="auto"/>
        <w:tabs>
          <w:tab w:leader="none" w:pos="15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does or shall subject such Affected Person to any tax of any kind whatsoever with respect to this Agreement, any increase in the Purchased Interest or any portion thereof or in the amount of such Person’s Investment relating thereto, or does or shall change the basis of taxation of payments to such Affected Person on account of Collections, Discount or any other amounts payable hereunder (excluding taxes imposed on the overall pre-tax net income of such Affected Person, and franchise taxes imposed on such Affected Person, by the jurisdiction under the laws of which such Affected Person is organized or a political subdivision thereof),</w:t>
      </w:r>
    </w:p>
    <w:p>
      <w:pPr>
        <w:spacing w:after="0" w:line="144" w:lineRule="exact"/>
        <w:rPr>
          <w:rFonts w:ascii="Arial" w:cs="Arial" w:eastAsia="Arial" w:hAnsi="Arial"/>
          <w:sz w:val="18"/>
          <w:szCs w:val="18"/>
          <w:color w:val="auto"/>
        </w:rPr>
      </w:pPr>
    </w:p>
    <w:p>
      <w:pPr>
        <w:jc w:val="both"/>
        <w:ind w:left="560" w:firstLine="579"/>
        <w:spacing w:after="0" w:line="261" w:lineRule="auto"/>
        <w:tabs>
          <w:tab w:leader="none" w:pos="1625" w:val="left"/>
        </w:tabs>
        <w:numPr>
          <w:ilvl w:val="0"/>
          <w:numId w:val="255"/>
        </w:numPr>
        <w:rPr>
          <w:rFonts w:ascii="Arial" w:cs="Arial" w:eastAsia="Arial" w:hAnsi="Arial"/>
          <w:sz w:val="19"/>
          <w:szCs w:val="19"/>
          <w:color w:val="auto"/>
        </w:rPr>
      </w:pPr>
      <w:r>
        <w:rPr>
          <w:rFonts w:ascii="Arial" w:cs="Arial" w:eastAsia="Arial" w:hAnsi="Arial"/>
          <w:sz w:val="19"/>
          <w:szCs w:val="19"/>
          <w:color w:val="auto"/>
        </w:rPr>
        <w:t>does or shall impose, modify or hold applicable any reserve, special deposit, compulsory loan or similar requirement against assets held by, or deposits or other liabilities in or for the account of, purchases, advances or loans by, or other credit extended by, or any other acquisition of funds by, any office of such Affected Person that are not otherwise included in the determination of the Euro-Rate, the LMIR or the Base Rate hereunder, or</w:t>
      </w:r>
    </w:p>
    <w:p>
      <w:pPr>
        <w:spacing w:after="0" w:line="157" w:lineRule="exact"/>
        <w:rPr>
          <w:rFonts w:ascii="Arial" w:cs="Arial" w:eastAsia="Arial" w:hAnsi="Arial"/>
          <w:sz w:val="19"/>
          <w:szCs w:val="19"/>
          <w:color w:val="auto"/>
        </w:rPr>
      </w:pPr>
    </w:p>
    <w:p>
      <w:pPr>
        <w:ind w:left="1620" w:hanging="481"/>
        <w:spacing w:after="0"/>
        <w:tabs>
          <w:tab w:leader="none" w:pos="162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does or shall impose on such Affected Person any other condition,</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and the result of any of the foregoing is: (A) to increase the cost to such Affected Person of acting as Administrator or as a Purchaser Agent, or of agreeing to purchase or purchasing or maintaining the ownership of undivided percentage ownership interests with regard to the Purchased Interest (or interests therein) or any Portion of Investment, or (B) to reduce any amount receivable hereunder (whether directly or indirectly), then, in any such case, upon demand by such Affected Person, the Seller shall promptly pay to such Affected Person additional amounts necessary to compensate such Affected Person for such additional cost or reduced amount receivable. All such amounts shall be payable as incurred. A certificate from such Affected Person to the Seller and the Administrator certifying, in reasonably specific detail, the basis for, calculation of, and amount of such additional costs or reduced amount receivable shall be conclusive and binding for all purposes,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Affected Person shall be required to disclose any confidential or tax planning information in any such certificate;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 as Basel II or Basel III, are, in the case of each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deemed to have been introduced or adopted after the date hereof, regardless of the date enacted, adopted, issued, promulgated or implemented.</w:t>
      </w:r>
    </w:p>
    <w:p>
      <w:pPr>
        <w:spacing w:after="0" w:line="160"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1.9.</w:t>
      </w:r>
      <w:r>
        <w:rPr>
          <w:sz w:val="20"/>
          <w:szCs w:val="20"/>
          <w:color w:val="auto"/>
        </w:rPr>
        <w:tab/>
      </w:r>
      <w:r>
        <w:rPr>
          <w:rFonts w:ascii="Arial" w:cs="Arial" w:eastAsia="Arial" w:hAnsi="Arial"/>
          <w:sz w:val="17"/>
          <w:szCs w:val="17"/>
          <w:u w:val="single" w:color="auto"/>
          <w:color w:val="auto"/>
        </w:rPr>
        <w:t>Inability to Determine Euro-Rate or LMIR</w:t>
      </w:r>
      <w:r>
        <w:rPr>
          <w:rFonts w:ascii="Arial" w:cs="Arial" w:eastAsia="Arial" w:hAnsi="Arial"/>
          <w:sz w:val="17"/>
          <w:szCs w:val="17"/>
          <w:color w:val="auto"/>
        </w:rPr>
        <w:t>.</w:t>
      </w:r>
    </w:p>
    <w:p>
      <w:pPr>
        <w:spacing w:after="0" w:line="210" w:lineRule="exact"/>
        <w:rPr>
          <w:sz w:val="20"/>
          <w:szCs w:val="20"/>
          <w:color w:val="auto"/>
        </w:rPr>
      </w:pPr>
    </w:p>
    <w:p>
      <w:pPr>
        <w:jc w:val="both"/>
        <w:ind w:firstLine="1139"/>
        <w:spacing w:after="0" w:line="270" w:lineRule="auto"/>
        <w:tabs>
          <w:tab w:leader="none" w:pos="153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the Administrator (or any Purchaser Agent) determines before the first day of any Yield Period (which determination shall be final and conclusive) that, by reason of circumstances affecting the interbank eurodollar market (in respect of such Person’s Purchaser Group or otherwise), deposits in dollars (in the relevant amounts for such Yield Period) are not being offered to such Person in the interbank eurodollar market for such Yield Period, or adequate means do not exist for ascertaining the Euro-Rate or the LMIR for such Yield Period, then the Administrator or such Purchaser Agent shall give notice thereof to the Seller. Thereafter, until the Administrator or such Purchaser Agent notifies the Seller that the circumstances giving rise to such suspension no longer exist, no Portion of Investment shall be funded by reference to the Euro-Rate or the LMIR and the Discount for any outstanding Portions of Investment then funded by reference to the Euro-Rate or the LMIR shall, on the last day of the then current Yield Period, be converted to the rate determined by reference to the Base Rate.</w:t>
      </w:r>
    </w:p>
    <w:p>
      <w:pPr>
        <w:spacing w:after="0" w:line="150" w:lineRule="exact"/>
        <w:rPr>
          <w:rFonts w:ascii="Arial" w:cs="Arial" w:eastAsia="Arial" w:hAnsi="Arial"/>
          <w:sz w:val="18"/>
          <w:szCs w:val="18"/>
          <w:color w:val="auto"/>
        </w:rPr>
      </w:pPr>
    </w:p>
    <w:p>
      <w:pPr>
        <w:jc w:val="both"/>
        <w:ind w:firstLine="1139"/>
        <w:spacing w:after="0" w:line="267" w:lineRule="auto"/>
        <w:tabs>
          <w:tab w:leader="none" w:pos="152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on or before the first day of any Yield Period, the Administrator shall have been notified by any Purchaser, Purchaser Agent or Liquidity Provider that, such Person has determined (which determination shall be final and conclusive) that, any enactment, promulgation or adoption of or any change in any Applicable Law, or any change in the interpretation or administration thereof by a governmental authority, central bank or comparable agency charged with the interpretation or administration thereof, or compliance by such Person with any guideline, request or directive (whether or not having the force of law) of any such authority, central bank or comparable agency shall make it unlawful or impossible for such Person to fund or maintain any Portion of Investment at an interest rate based upon the Euro-Rate or the LMIR, the Administrator shall notify the Seller thereof. Upon receipt of such notice, until the Administrator notifies the Seller that the circumstances giving rise to such determination no longer apply, (a) no Portion of Investment shall be funded at the rate determined by reference to the Euro-Rate or the LMIR and (b) the Discount for any such outstanding Portions of Investment shall be converted to a rate determined by reference to the Base Rate either on the last day of the then current Yield Period if such Person may lawfully continue to maintain such Portion of Investment by reference to the Euro-Rate or the LMIR to such day, or immediately, if such Person may not lawfully continue to maintain such Portion of Investment by reference to the Euro-Rate or the LMIR to such day.</w:t>
      </w:r>
    </w:p>
    <w:p>
      <w:pPr>
        <w:spacing w:after="0" w:line="156" w:lineRule="exact"/>
        <w:rPr>
          <w:sz w:val="20"/>
          <w:szCs w:val="20"/>
          <w:color w:val="auto"/>
        </w:rPr>
      </w:pPr>
    </w:p>
    <w:p>
      <w:pPr>
        <w:jc w:val="both"/>
        <w:ind w:firstLine="572"/>
        <w:spacing w:after="0" w:line="284"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Extension of Termination Date</w:t>
      </w:r>
      <w:r>
        <w:rPr>
          <w:rFonts w:ascii="Arial" w:cs="Arial" w:eastAsia="Arial" w:hAnsi="Arial"/>
          <w:sz w:val="17"/>
          <w:szCs w:val="17"/>
          <w:color w:val="auto"/>
        </w:rPr>
        <w:t xml:space="preserve">. The Seller may advise the Administrator and each Committed Purchaser in writing of its desire to extend the Scheduled Commitment Termination Date with respect to such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request is made not more than 90 days prior to, and not less than 60 days prior to, the then current Scheduled Commitment Termination Date with respect to such Purchaser. In the event that the applicable Purchaser is agreeable to such extension, the Administrator shall so notify the Seller in writing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the Purchasers may accept or decline such a request in their sole discretion and on such terms as they may elect) not less than 30 days prior to its then current Scheduled Commitment Termination Date and the Seller,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reasonable Attorney Costs) shall be paid by the Seller. In the event a Purchaser declines the request for such extension, the Administrator shall so notify the Seller and each Purchaser Agent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the Administrator to notify the Seller of the determination to decline such extension shall not affect the understanding and agreement that the Purchaser shall be deemed to have refused to grant the requested extension in the event the Administrator fails to affirmatively notify the Seller, in writing, of their agreement to accept the requested extension.</w:t>
      </w:r>
    </w:p>
    <w:p>
      <w:pPr>
        <w:sectPr>
          <w:pgSz w:w="11900" w:h="16838" w:orient="portrait"/>
          <w:cols w:equalWidth="0" w:num="1">
            <w:col w:w="11440"/>
          </w:cols>
          <w:pgMar w:left="240" w:top="132" w:right="219" w:bottom="0" w:gutter="0" w:footer="0" w:header="0"/>
        </w:sectPr>
      </w:pPr>
    </w:p>
    <w:bookmarkStart w:id="181" w:name="page182"/>
    <w:bookmarkEnd w:id="181"/>
    <w:p>
      <w:pPr>
        <w:spacing w:after="0" w:line="47"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9"/>
          <w:szCs w:val="19"/>
          <w:color w:val="auto"/>
        </w:rPr>
        <w:t>Section 1.11.</w:t>
      </w:r>
      <w:r>
        <w:rPr>
          <w:sz w:val="20"/>
          <w:szCs w:val="20"/>
          <w:color w:val="auto"/>
        </w:rPr>
        <w:tab/>
      </w:r>
      <w:r>
        <w:rPr>
          <w:rFonts w:ascii="Arial" w:cs="Arial" w:eastAsia="Arial" w:hAnsi="Arial"/>
          <w:sz w:val="17"/>
          <w:szCs w:val="17"/>
          <w:u w:val="single" w:color="auto"/>
          <w:color w:val="auto"/>
        </w:rPr>
        <w:t>Increase in Commitments.</w:t>
      </w:r>
    </w:p>
    <w:p>
      <w:pPr>
        <w:spacing w:after="0" w:line="210" w:lineRule="exact"/>
        <w:rPr>
          <w:sz w:val="20"/>
          <w:szCs w:val="20"/>
          <w:color w:val="auto"/>
        </w:rPr>
      </w:pPr>
    </w:p>
    <w:p>
      <w:pPr>
        <w:jc w:val="both"/>
        <w:ind w:firstLine="1139"/>
        <w:spacing w:after="0" w:line="266" w:lineRule="auto"/>
        <w:tabs>
          <w:tab w:leader="none" w:pos="155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Requests for Increase</w:t>
      </w:r>
      <w:r>
        <w:rPr>
          <w:rFonts w:ascii="Arial" w:cs="Arial" w:eastAsia="Arial" w:hAnsi="Arial"/>
          <w:sz w:val="18"/>
          <w:szCs w:val="18"/>
          <w:color w:val="auto"/>
        </w:rPr>
        <w:t xml:space="preserve">. So long as no Termination Event or Unmatured Termination Event has occurred and is continuing, upon notice to the Administrator and each Purchaser Agent, the Servicer (on behalf of the Seller) may from time to time (i) request an increase in the Commitment with respect to any existing Committed Purchaser (with the consent of the Administrator) or (ii) request that additional Persons be added as Committed Purchasers subject to the provisions of </w:t>
      </w:r>
      <w:r>
        <w:rPr>
          <w:rFonts w:ascii="Arial" w:cs="Arial" w:eastAsia="Arial" w:hAnsi="Arial"/>
          <w:sz w:val="18"/>
          <w:szCs w:val="18"/>
          <w:u w:val="single" w:color="auto"/>
          <w:color w:val="auto"/>
        </w:rPr>
        <w:t>Section 1.2(e)</w:t>
      </w:r>
      <w:r>
        <w:rPr>
          <w:rFonts w:ascii="Arial" w:cs="Arial" w:eastAsia="Arial" w:hAnsi="Arial"/>
          <w:sz w:val="18"/>
          <w:szCs w:val="18"/>
          <w:color w:val="auto"/>
        </w:rPr>
        <w:t xml:space="preserve">, in each case at any time following the Closing Date and prior to the Facility Termination Date with respect to such Committed Purchaser or other Person, as applicable, such increase in such existing Committed Purchaser’s Commitment or new Commitment of such new Committed Purchaser to be an amount (for all such requests or additions) not exceeding $100,000,000 (it being understood and agreed that, for the avoidance of doubt, at no time shall the aggregate of all Commitments exceed $650,000,000);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request for an increase or addition of a Person pursuant to </w:t>
      </w:r>
      <w:r>
        <w:rPr>
          <w:rFonts w:ascii="Arial" w:cs="Arial" w:eastAsia="Arial" w:hAnsi="Arial"/>
          <w:sz w:val="18"/>
          <w:szCs w:val="18"/>
          <w:u w:val="single" w:color="auto"/>
          <w:color w:val="auto"/>
        </w:rPr>
        <w:t>Section 1.2(e)</w:t>
      </w:r>
      <w:r>
        <w:rPr>
          <w:rFonts w:ascii="Arial" w:cs="Arial" w:eastAsia="Arial" w:hAnsi="Arial"/>
          <w:sz w:val="18"/>
          <w:szCs w:val="18"/>
          <w:color w:val="auto"/>
        </w:rPr>
        <w:t xml:space="preserve"> shall be in a minimum amount of $10,000,000 and increments of $5,000,000 above such minimum amount. At the time of sending such notice with respect to any existing Committed Purchaser, the Servicer (in consultation with the Administrator and the Purchaser Agent related to such Committed Purchaser) shall specify the time period within which such Committed Purchaser and the Administrator are requested to respond to the Servicer’s request (which shall in no event be less than ten (10) Business Days from the date of delivery of such notice to the Administrator and such Committed Purchaser and its related Purchaser Agent).</w:t>
      </w:r>
    </w:p>
    <w:p>
      <w:pPr>
        <w:spacing w:after="0" w:line="162" w:lineRule="exact"/>
        <w:rPr>
          <w:rFonts w:ascii="Arial" w:cs="Arial" w:eastAsia="Arial" w:hAnsi="Arial"/>
          <w:sz w:val="18"/>
          <w:szCs w:val="18"/>
          <w:color w:val="auto"/>
        </w:rPr>
      </w:pPr>
    </w:p>
    <w:p>
      <w:pPr>
        <w:jc w:val="both"/>
        <w:ind w:right="20" w:firstLine="1139"/>
        <w:spacing w:after="0" w:line="256" w:lineRule="auto"/>
        <w:tabs>
          <w:tab w:leader="none" w:pos="1525"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Elections to Increase</w:t>
      </w:r>
      <w:r>
        <w:rPr>
          <w:rFonts w:ascii="Arial" w:cs="Arial" w:eastAsia="Arial" w:hAnsi="Arial"/>
          <w:sz w:val="19"/>
          <w:szCs w:val="19"/>
          <w:color w:val="auto"/>
        </w:rPr>
        <w:t>. In respect of any existing Committed Purchaser, each of such Committed Purchaser being asked to increase its Commitment and the Administrator shall notify the Seller and the Servicer within the applicable time period whether or not such Person agrees, in its respective sole discretion, to the increase to such Committed Purchaser’s Commitment. Any such Person not responding within such time period shall be deemed to have declined to consent to an increase in such Committed Purchaser’s Commitment. For the avoidance of doubt, only the consent of the Committed Purchaser then being asked to increase its Commitment and the Administrator shall be required in order to approve any such request.</w:t>
      </w:r>
    </w:p>
    <w:p>
      <w:pPr>
        <w:spacing w:after="0" w:line="162" w:lineRule="exact"/>
        <w:rPr>
          <w:rFonts w:ascii="Arial" w:cs="Arial" w:eastAsia="Arial" w:hAnsi="Arial"/>
          <w:sz w:val="19"/>
          <w:szCs w:val="19"/>
          <w:color w:val="auto"/>
        </w:rPr>
      </w:pPr>
    </w:p>
    <w:p>
      <w:pPr>
        <w:jc w:val="both"/>
        <w:ind w:right="20" w:firstLine="1139"/>
        <w:spacing w:after="0" w:line="268" w:lineRule="auto"/>
        <w:tabs>
          <w:tab w:leader="none" w:pos="1562"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If the Commitment of any existing Committed Purchaser is increased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the Administrator and the Purchaser Agent for such Committed Purchaser shall determine the effective date with respect to such increase (such date, the “</w:t>
      </w:r>
      <w:r>
        <w:rPr>
          <w:rFonts w:ascii="Arial" w:cs="Arial" w:eastAsia="Arial" w:hAnsi="Arial"/>
          <w:sz w:val="19"/>
          <w:szCs w:val="19"/>
          <w:u w:val="single" w:color="auto"/>
          <w:color w:val="auto"/>
        </w:rPr>
        <w:t>Commitment Increase Effective Date</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firstLine="1139"/>
        <w:spacing w:after="0" w:line="268" w:lineRule="auto"/>
        <w:tabs>
          <w:tab w:leader="none" w:pos="1644"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Notification by the Administrator</w:t>
      </w:r>
      <w:r>
        <w:rPr>
          <w:rFonts w:ascii="Arial" w:cs="Arial" w:eastAsia="Arial" w:hAnsi="Arial"/>
          <w:sz w:val="19"/>
          <w:szCs w:val="19"/>
          <w:color w:val="auto"/>
        </w:rPr>
        <w:t>. The Administrator shall notify each Purchaser Agent, the Seller and the Servicer of the Administrator’s and such Committed Purchaser’s response to each request made hereunder, the amount of such increase (if any) and the related Commitment Increase Effective Date.</w:t>
      </w:r>
    </w:p>
    <w:p>
      <w:pPr>
        <w:spacing w:after="0" w:line="149" w:lineRule="exact"/>
        <w:rPr>
          <w:rFonts w:ascii="Arial" w:cs="Arial" w:eastAsia="Arial" w:hAnsi="Arial"/>
          <w:sz w:val="19"/>
          <w:szCs w:val="19"/>
          <w:color w:val="auto"/>
        </w:rPr>
      </w:pPr>
    </w:p>
    <w:p>
      <w:pPr>
        <w:jc w:val="both"/>
        <w:ind w:firstLine="1139"/>
        <w:spacing w:after="0" w:line="268" w:lineRule="auto"/>
        <w:tabs>
          <w:tab w:leader="none" w:pos="165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each such increase, the Servicer shall deliver to the Administrator and each Purchaser Agent, a certificate of the Secretary or Assistant Secretary of each of the Seller and the Servicer, dated as of the Commitment Increase Effective Date, (i) certifying and attaching (x) the resolutions of the Board of Directors of such Person adopted by such Board of Directors approving or consenting to such Commitment increase and authorizing the execution, delivery and performance by such Person of the amendment to this Agreement contemplated in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as applicable (it being understood that such resolutions may be dated as of a date prior to the Commitment Increase Effective Date), and (y) all documents evidencing all other necessary corporate action and governmental approvals, if any, with respect to such Commitment increase and such amendment to this Agreement (it being understood that such documents may be dated as of a date prior to the Commitment Increase Effective Date) and (ii) certifying that, before and after giving effect to such increase, (x) the representations and warranties of such Person contained in </w:t>
      </w:r>
      <w:r>
        <w:rPr>
          <w:rFonts w:ascii="Arial" w:cs="Arial" w:eastAsia="Arial" w:hAnsi="Arial"/>
          <w:sz w:val="18"/>
          <w:szCs w:val="18"/>
          <w:u w:val="single" w:color="auto"/>
          <w:color w:val="auto"/>
        </w:rPr>
        <w:t>Exhibit III</w:t>
      </w:r>
      <w:r>
        <w:rPr>
          <w:rFonts w:ascii="Arial" w:cs="Arial" w:eastAsia="Arial" w:hAnsi="Arial"/>
          <w:sz w:val="18"/>
          <w:szCs w:val="18"/>
          <w:color w:val="auto"/>
        </w:rPr>
        <w:t xml:space="preserve"> are true and correct as of the Commitment Increase Effective Date and (y) no Termination Event or Unmatured Termination Event exists or shall exist.</w:t>
      </w:r>
    </w:p>
    <w:p>
      <w:pPr>
        <w:spacing w:after="0" w:line="154" w:lineRule="exact"/>
        <w:rPr>
          <w:rFonts w:ascii="Arial" w:cs="Arial" w:eastAsia="Arial" w:hAnsi="Arial"/>
          <w:sz w:val="18"/>
          <w:szCs w:val="18"/>
          <w:color w:val="auto"/>
        </w:rPr>
      </w:pPr>
    </w:p>
    <w:p>
      <w:pPr>
        <w:ind w:left="1480" w:hanging="341"/>
        <w:spacing w:after="0"/>
        <w:tabs>
          <w:tab w:leader="none" w:pos="1480"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the contrary.</w:t>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II.</w:t>
      </w:r>
    </w:p>
    <w:p>
      <w:pPr>
        <w:spacing w:after="0" w:line="29" w:lineRule="exact"/>
        <w:rPr>
          <w:sz w:val="20"/>
          <w:szCs w:val="20"/>
          <w:color w:val="auto"/>
        </w:rPr>
      </w:pPr>
    </w:p>
    <w:p>
      <w:pPr>
        <w:ind w:left="3180"/>
        <w:spacing w:after="0"/>
        <w:rPr>
          <w:sz w:val="20"/>
          <w:szCs w:val="20"/>
          <w:color w:val="auto"/>
        </w:rPr>
      </w:pPr>
      <w:r>
        <w:rPr>
          <w:rFonts w:ascii="Arial" w:cs="Arial" w:eastAsia="Arial" w:hAnsi="Arial"/>
          <w:sz w:val="19"/>
          <w:szCs w:val="19"/>
          <w:b w:val="1"/>
          <w:bCs w:val="1"/>
          <w:color w:val="auto"/>
        </w:rPr>
        <w:t>REPRESENTATIONS AND WARRANTIES; COVENANTS;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 EVENTS</w:t>
      </w:r>
    </w:p>
    <w:p>
      <w:pPr>
        <w:spacing w:after="0" w:line="183" w:lineRule="exact"/>
        <w:rPr>
          <w:sz w:val="20"/>
          <w:szCs w:val="20"/>
          <w:color w:val="auto"/>
        </w:rPr>
      </w:pPr>
    </w:p>
    <w:p>
      <w:pPr>
        <w:jc w:val="both"/>
        <w:ind w:firstLine="572"/>
        <w:spacing w:after="0" w:line="34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Representations and Warranties; Covenants</w:t>
      </w:r>
      <w:r>
        <w:rPr>
          <w:rFonts w:ascii="Arial" w:cs="Arial" w:eastAsia="Arial" w:hAnsi="Arial"/>
          <w:sz w:val="17"/>
          <w:szCs w:val="17"/>
          <w:color w:val="auto"/>
        </w:rPr>
        <w:t xml:space="preserve">. Each of the Seller, WESCO and the Servicer hereby makes the representations and warranties, and hereby agrees to perform and observe the covenants, applicable to it set forth in </w:t>
      </w:r>
      <w:r>
        <w:rPr>
          <w:rFonts w:ascii="Arial" w:cs="Arial" w:eastAsia="Arial" w:hAnsi="Arial"/>
          <w:sz w:val="17"/>
          <w:szCs w:val="17"/>
          <w:u w:val="single" w:color="auto"/>
          <w:color w:val="auto"/>
        </w:rPr>
        <w:t>Exhibits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respectively.</w:t>
      </w:r>
    </w:p>
    <w:p>
      <w:pPr>
        <w:spacing w:after="0" w:line="87"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Termination Events</w:t>
      </w:r>
      <w:r>
        <w:rPr>
          <w:rFonts w:ascii="Arial" w:cs="Arial" w:eastAsia="Arial" w:hAnsi="Arial"/>
          <w:sz w:val="19"/>
          <w:szCs w:val="19"/>
          <w:color w:val="auto"/>
        </w:rPr>
        <w:t xml:space="preserve">. If any of the Termination Events set forth in </w:t>
      </w:r>
      <w:r>
        <w:rPr>
          <w:rFonts w:ascii="Arial" w:cs="Arial" w:eastAsia="Arial" w:hAnsi="Arial"/>
          <w:sz w:val="19"/>
          <w:szCs w:val="19"/>
          <w:u w:val="single" w:color="auto"/>
          <w:color w:val="auto"/>
        </w:rPr>
        <w:t>Exhibit V</w:t>
      </w:r>
      <w:r>
        <w:rPr>
          <w:rFonts w:ascii="Arial" w:cs="Arial" w:eastAsia="Arial" w:hAnsi="Arial"/>
          <w:sz w:val="19"/>
          <w:szCs w:val="19"/>
          <w:color w:val="auto"/>
        </w:rPr>
        <w:t xml:space="preserve"> shall occur, the Administrator may (with the consent of a Simple Majority of the Purchasers) or shall (at the direction of a Simple Majority of the Purchasers), by notice to the Seller, declare the Facility Termination Date to have occurred (in which case the Facility Termination Date shall be deemed to have occurred);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automatically upon the occurrence of any event (without any requirement for the passage of time or the giving of notice) described in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V</w:t>
      </w:r>
      <w:r>
        <w:rPr>
          <w:rFonts w:ascii="Arial" w:cs="Arial" w:eastAsia="Arial" w:hAnsi="Arial"/>
          <w:sz w:val="19"/>
          <w:szCs w:val="19"/>
          <w:color w:val="auto"/>
        </w:rPr>
        <w:t>, the Facility Termination Date shall occur. Upon any such 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New York UCC and under other Applicable Law, which rights and remedies shall be cumulative.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III.</w:t>
      </w:r>
    </w:p>
    <w:p>
      <w:pPr>
        <w:spacing w:after="0" w:line="29" w:lineRule="exact"/>
        <w:rPr>
          <w:sz w:val="20"/>
          <w:szCs w:val="20"/>
          <w:color w:val="auto"/>
        </w:rPr>
      </w:pPr>
    </w:p>
    <w:p>
      <w:pPr>
        <w:ind w:left="4820"/>
        <w:spacing w:after="0"/>
        <w:rPr>
          <w:sz w:val="20"/>
          <w:szCs w:val="20"/>
          <w:color w:val="auto"/>
        </w:rPr>
      </w:pPr>
      <w:r>
        <w:rPr>
          <w:rFonts w:ascii="Arial" w:cs="Arial" w:eastAsia="Arial" w:hAnsi="Arial"/>
          <w:sz w:val="19"/>
          <w:szCs w:val="19"/>
          <w:b w:val="1"/>
          <w:bCs w:val="1"/>
          <w:color w:val="auto"/>
        </w:rPr>
        <w:t>INDEMNIFICATION</w:t>
      </w:r>
    </w:p>
    <w:p>
      <w:pPr>
        <w:spacing w:after="0" w:line="195" w:lineRule="exact"/>
        <w:rPr>
          <w:sz w:val="20"/>
          <w:szCs w:val="20"/>
          <w:color w:val="auto"/>
        </w:rPr>
      </w:pPr>
    </w:p>
    <w:p>
      <w:pPr>
        <w:jc w:val="both"/>
        <w:ind w:firstLine="572"/>
        <w:spacing w:after="0" w:line="285"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Indemnities by the Seller</w:t>
      </w:r>
      <w:r>
        <w:rPr>
          <w:rFonts w:ascii="Arial" w:cs="Arial" w:eastAsia="Arial" w:hAnsi="Arial"/>
          <w:sz w:val="17"/>
          <w:szCs w:val="17"/>
          <w:color w:val="auto"/>
        </w:rPr>
        <w:t>. Without limiting any other rights that any Purchaser Agent, Purchaser, Liquidity Provider, the Administrator or any Program Support Provider or any of their respective Affiliates, employees, officers, directors, agents, counsel, successors, transferees or assigns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may have hereunder or under Applicable Law, the Seller hereby agrees to indemnify each Indemnified Party from and against any and all claims, damages, expenses, costs, losses and liabilities (including Attorney Costs) (all of the foregoing being collectively referred to as “</w:t>
      </w:r>
      <w:r>
        <w:rPr>
          <w:rFonts w:ascii="Arial" w:cs="Arial" w:eastAsia="Arial" w:hAnsi="Arial"/>
          <w:sz w:val="17"/>
          <w:szCs w:val="17"/>
          <w:u w:val="single" w:color="auto"/>
          <w:color w:val="auto"/>
        </w:rPr>
        <w:t>Indemnified Amounts</w:t>
      </w:r>
      <w:r>
        <w:rPr>
          <w:rFonts w:ascii="Arial" w:cs="Arial" w:eastAsia="Arial" w:hAnsi="Arial"/>
          <w:sz w:val="17"/>
          <w:szCs w:val="17"/>
          <w:color w:val="auto"/>
        </w:rPr>
        <w:t>”) arising out of or resulting from this Agreement (whether directly or indirectly), the use of proceeds of purchases or reinvestments, the ownership of the Purchased Interest, or any interest therein, or in respect of any Receivable, Related Security or Contract, excluding, however: (a) Indemnified Amounts to the extent resulting from gross negligence or willful misconduct on the part of such Indemnified Party or its officers, directors, agents or counsel, (b) Indemnified Amounts in respect of any Receivable to the extent that such Receivable is uncollectible on account of the insolvency, bankruptcy or lack of creditworthiness of the related Obligor, or (c) any overall net income taxes or franchise taxes imposed on such Indemnified Party by the jurisdiction under the laws of which such Indemnified Party is organized or any political subdivision thereof. Without limiting or being limited by the foregoing, and subject to the exclusions set forth in the preceding</w:t>
      </w:r>
    </w:p>
    <w:p>
      <w:pPr>
        <w:sectPr>
          <w:pgSz w:w="11900" w:h="16885" w:orient="portrait"/>
          <w:cols w:equalWidth="0" w:num="1">
            <w:col w:w="11440"/>
          </w:cols>
          <w:pgMar w:left="240" w:top="132" w:right="219" w:bottom="0" w:gutter="0" w:footer="0" w:header="0"/>
        </w:sectPr>
      </w:pPr>
    </w:p>
    <w:bookmarkStart w:id="182" w:name="page183"/>
    <w:bookmarkEnd w:id="182"/>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sentence, the Seller shall pay on demand (which demand shall be accompanied by documentation of the Indemnified Amounts, in reasonable detail) to each Indemnified Party any and all amounts necessary to indemnify such Indemnified Party from and against any and all Indemnified Amounts relating to or resulting from any of the following:</w:t>
      </w:r>
    </w:p>
    <w:p>
      <w:pPr>
        <w:spacing w:after="0" w:line="157" w:lineRule="exact"/>
        <w:rPr>
          <w:sz w:val="20"/>
          <w:szCs w:val="20"/>
          <w:color w:val="auto"/>
        </w:rPr>
      </w:pPr>
    </w:p>
    <w:p>
      <w:pPr>
        <w:jc w:val="both"/>
        <w:ind w:left="560" w:right="20" w:firstLine="579"/>
        <w:spacing w:after="0" w:line="313" w:lineRule="auto"/>
        <w:tabs>
          <w:tab w:leader="none" w:pos="158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failure of any Receivable included in the calculation of the Net Receivables Pool Balance as an Eligible Receivable to be an Eligible Receivable, the failure of any information contained in an Information Package to be true and correct, or the failure of any other information provided to such Indemnified Party by the Seller or Servicer with respect to Receivables or this Agreement to be true and correct;</w:t>
      </w:r>
    </w:p>
    <w:p>
      <w:pPr>
        <w:spacing w:after="0" w:line="116" w:lineRule="exact"/>
        <w:rPr>
          <w:rFonts w:ascii="Arial" w:cs="Arial" w:eastAsia="Arial" w:hAnsi="Arial"/>
          <w:sz w:val="17"/>
          <w:szCs w:val="17"/>
          <w:color w:val="auto"/>
        </w:rPr>
      </w:pPr>
    </w:p>
    <w:p>
      <w:pPr>
        <w:ind w:left="560" w:firstLine="579"/>
        <w:spacing w:after="0" w:line="316" w:lineRule="auto"/>
        <w:tabs>
          <w:tab w:leader="none" w:pos="160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failure of any representation, warranty or statement made or deemed made by the Seller (or any of its officers) under or in connection with this Agreement to have been true and correct as of the date made or deemed made in all respects when made;</w:t>
      </w:r>
    </w:p>
    <w:p>
      <w:pPr>
        <w:spacing w:after="0" w:line="110" w:lineRule="exact"/>
        <w:rPr>
          <w:rFonts w:ascii="Arial" w:cs="Arial" w:eastAsia="Arial" w:hAnsi="Arial"/>
          <w:sz w:val="18"/>
          <w:szCs w:val="18"/>
          <w:color w:val="auto"/>
        </w:rPr>
      </w:pPr>
    </w:p>
    <w:p>
      <w:pPr>
        <w:ind w:left="560" w:firstLine="579"/>
        <w:spacing w:after="0" w:line="287" w:lineRule="auto"/>
        <w:tabs>
          <w:tab w:leader="none" w:pos="154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failure by the Seller to comply with any Applicable Law with respect to any Pool Receivable or the related Contract, or the failure of any Pool Receivable or the related Contract to conform to any such Applicable Law;</w:t>
      </w:r>
    </w:p>
    <w:p>
      <w:pPr>
        <w:spacing w:after="0" w:line="132" w:lineRule="exact"/>
        <w:rPr>
          <w:rFonts w:ascii="Arial" w:cs="Arial" w:eastAsia="Arial" w:hAnsi="Arial"/>
          <w:sz w:val="19"/>
          <w:szCs w:val="19"/>
          <w:color w:val="auto"/>
        </w:rPr>
      </w:pPr>
    </w:p>
    <w:p>
      <w:pPr>
        <w:jc w:val="both"/>
        <w:ind w:left="560" w:right="20" w:firstLine="579"/>
        <w:spacing w:after="0" w:line="261" w:lineRule="auto"/>
        <w:tabs>
          <w:tab w:leader="none" w:pos="1661"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failure to vest in the Administrator (for the benefit of the Purchasers) a valid and enforceable: (A) perfected undivided percentage ownership interest, to the extent of the Purchased Interest, in the Receivables in, or purporting to be in, the Receivables Pool and the other Pool Assets, or, if not, a (B) first priority perfected security interest in the Pool Assets, in each case, free and clear of any Adverse Claim;</w:t>
      </w:r>
    </w:p>
    <w:p>
      <w:pPr>
        <w:spacing w:after="0" w:line="157" w:lineRule="exact"/>
        <w:rPr>
          <w:rFonts w:ascii="Arial" w:cs="Arial" w:eastAsia="Arial" w:hAnsi="Arial"/>
          <w:sz w:val="19"/>
          <w:szCs w:val="19"/>
          <w:color w:val="auto"/>
        </w:rPr>
      </w:pPr>
    </w:p>
    <w:p>
      <w:pPr>
        <w:jc w:val="both"/>
        <w:ind w:left="560" w:right="20" w:firstLine="579"/>
        <w:spacing w:after="0" w:line="268" w:lineRule="auto"/>
        <w:tabs>
          <w:tab w:leader="none" w:pos="161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failure to have filed, or any delay in filing, financing statements or other similar instruments or documents under the UCC of any applicable jurisdiction or other Applicable Laws with respect to any Receivables in, or purporting to be in, the Receivables Pool and the other Pool Assets, whether at the time of any Purchase or reinvestment or at any subsequent time;</w:t>
      </w:r>
    </w:p>
    <w:p>
      <w:pPr>
        <w:spacing w:after="0" w:line="149" w:lineRule="exact"/>
        <w:rPr>
          <w:rFonts w:ascii="Arial" w:cs="Arial" w:eastAsia="Arial" w:hAnsi="Arial"/>
          <w:sz w:val="19"/>
          <w:szCs w:val="19"/>
          <w:color w:val="auto"/>
        </w:rPr>
      </w:pPr>
    </w:p>
    <w:p>
      <w:pPr>
        <w:jc w:val="both"/>
        <w:ind w:left="560" w:firstLine="579"/>
        <w:spacing w:after="0" w:line="258" w:lineRule="auto"/>
        <w:tabs>
          <w:tab w:leader="none" w:pos="169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dispute, claim, offset or defense (other than discharge in bankruptcy of the Obligor) of the Obligor to the payment of any Receivable in, or purporting to be in, the Receivables Pool (including a defense based on such Receivable or the related Contract not being a legal, valid and binding obligation of such Obligor enforceable against it in accordance with its terms), or any other claim resulting from the sale of the goods or services related to such Receivable or the furnishing or failure to furnish such goods or services or relating to collection activities with respect to such Receivable;</w:t>
      </w:r>
    </w:p>
    <w:p>
      <w:pPr>
        <w:spacing w:after="0" w:line="159" w:lineRule="exact"/>
        <w:rPr>
          <w:rFonts w:ascii="Arial" w:cs="Arial" w:eastAsia="Arial" w:hAnsi="Arial"/>
          <w:sz w:val="19"/>
          <w:szCs w:val="19"/>
          <w:color w:val="auto"/>
        </w:rPr>
      </w:pPr>
    </w:p>
    <w:p>
      <w:pPr>
        <w:ind w:left="560" w:right="20" w:firstLine="579"/>
        <w:spacing w:after="0" w:line="287" w:lineRule="auto"/>
        <w:tabs>
          <w:tab w:leader="none" w:pos="1625"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failure of the Seller, any Affiliate of the Seller or the Servicer to perform its duties or obligations in accordance with the provisions hereof or under the Contracts;</w:t>
      </w:r>
    </w:p>
    <w:p>
      <w:pPr>
        <w:spacing w:after="0" w:line="132" w:lineRule="exact"/>
        <w:rPr>
          <w:rFonts w:ascii="Arial" w:cs="Arial" w:eastAsia="Arial" w:hAnsi="Arial"/>
          <w:sz w:val="19"/>
          <w:szCs w:val="19"/>
          <w:color w:val="auto"/>
        </w:rPr>
      </w:pPr>
    </w:p>
    <w:p>
      <w:pPr>
        <w:ind w:left="560" w:right="20" w:firstLine="579"/>
        <w:spacing w:after="0" w:line="287" w:lineRule="auto"/>
        <w:tabs>
          <w:tab w:leader="none" w:pos="158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products liability or other claim, investigation, litigation or proceeding arising out of or in connection with merchandise, insurance or services that are the subject of any Contract;</w:t>
      </w:r>
    </w:p>
    <w:p>
      <w:pPr>
        <w:spacing w:after="0" w:line="132" w:lineRule="exact"/>
        <w:rPr>
          <w:rFonts w:ascii="Arial" w:cs="Arial" w:eastAsia="Arial" w:hAnsi="Arial"/>
          <w:sz w:val="19"/>
          <w:szCs w:val="19"/>
          <w:color w:val="auto"/>
        </w:rPr>
      </w:pPr>
    </w:p>
    <w:p>
      <w:pPr>
        <w:ind w:left="1580" w:hanging="441"/>
        <w:spacing w:after="0"/>
        <w:tabs>
          <w:tab w:leader="none" w:pos="158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commingling of Collections at any time with other funds;</w:t>
      </w:r>
    </w:p>
    <w:p>
      <w:pPr>
        <w:spacing w:after="0" w:line="210" w:lineRule="exact"/>
        <w:rPr>
          <w:rFonts w:ascii="Arial" w:cs="Arial" w:eastAsia="Arial" w:hAnsi="Arial"/>
          <w:sz w:val="19"/>
          <w:szCs w:val="19"/>
          <w:color w:val="auto"/>
        </w:rPr>
      </w:pPr>
    </w:p>
    <w:p>
      <w:pPr>
        <w:ind w:left="1620" w:hanging="481"/>
        <w:spacing w:after="0"/>
        <w:tabs>
          <w:tab w:leader="none" w:pos="162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use of proceeds of purchases or reinvestments; or</w:t>
      </w:r>
    </w:p>
    <w:p>
      <w:pPr>
        <w:spacing w:after="0" w:line="210" w:lineRule="exact"/>
        <w:rPr>
          <w:rFonts w:ascii="Arial" w:cs="Arial" w:eastAsia="Arial" w:hAnsi="Arial"/>
          <w:sz w:val="19"/>
          <w:szCs w:val="19"/>
          <w:color w:val="auto"/>
        </w:rPr>
      </w:pPr>
    </w:p>
    <w:p>
      <w:pPr>
        <w:ind w:left="560" w:firstLine="579"/>
        <w:spacing w:after="0" w:line="287" w:lineRule="auto"/>
        <w:tabs>
          <w:tab w:leader="none" w:pos="171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any reduction in the Aggregate Investment as a result of the distribution of Collections pursuant to </w:t>
      </w:r>
      <w:r>
        <w:rPr>
          <w:rFonts w:ascii="Arial" w:cs="Arial" w:eastAsia="Arial" w:hAnsi="Arial"/>
          <w:sz w:val="19"/>
          <w:szCs w:val="19"/>
          <w:u w:val="single" w:color="auto"/>
          <w:color w:val="auto"/>
        </w:rPr>
        <w:t>Section 1.4(d)</w:t>
      </w:r>
      <w:r>
        <w:rPr>
          <w:rFonts w:ascii="Arial" w:cs="Arial" w:eastAsia="Arial" w:hAnsi="Arial"/>
          <w:sz w:val="19"/>
          <w:szCs w:val="19"/>
          <w:color w:val="auto"/>
        </w:rPr>
        <w:t>, if all or a portion of such distributions shall thereafter be rescinded or otherwise must be returned for any reason.</w:t>
      </w:r>
    </w:p>
    <w:p>
      <w:pPr>
        <w:spacing w:after="0" w:line="133" w:lineRule="exact"/>
        <w:rPr>
          <w:sz w:val="20"/>
          <w:szCs w:val="20"/>
          <w:color w:val="auto"/>
        </w:rPr>
      </w:pPr>
    </w:p>
    <w:p>
      <w:pPr>
        <w:jc w:val="both"/>
        <w:ind w:firstLine="572"/>
        <w:spacing w:after="0" w:line="28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Indemnities by the Servicer</w:t>
      </w:r>
      <w:r>
        <w:rPr>
          <w:rFonts w:ascii="Arial" w:cs="Arial" w:eastAsia="Arial" w:hAnsi="Arial"/>
          <w:sz w:val="17"/>
          <w:szCs w:val="17"/>
          <w:color w:val="auto"/>
        </w:rPr>
        <w:t>. Without limiting any other rights that any Indemnified Party may have hereunder or under Applicable Law, the Servicer hereby agrees to indemnify each Indemnified Party from and against any and all Indemnified Amounts arising out of or resulting from (whether directly or indirectly): (a) the failure of any information contained in an Information Package to be true and correct, or the failure of any other information provided to such Indemnified Party by, or on behalf of, the Servicer to be true and correct, (b) the failure of any representation, warranty or statement made or deemed made by the Servicer (or any of its officers) under or in connection with this Agreement or any other Transaction Document to which it is a party to have been true and correct as of the date made or deemed made in all respects when made, (c) the failure by the Servicer to comply with any Applicable Law with respect to any Pool Receivable or the related Contract, (d) any dispute, claim, offset or defense of the Obligor to the payment of any Receivable in, or purporting to be in, the Receivables Pool resulting from or related to the collection activities of the Servicer, its Affiliates and designees, including any sub-servicers, with respect to such Receivable, or (e) any failure of the Servicer to perform its duties or obligations in accordance with the provisions hereof or any other Transaction Document to which it is a party.</w:t>
      </w:r>
    </w:p>
    <w:p>
      <w:pPr>
        <w:spacing w:after="0" w:line="139"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ARTICLE IV.</w:t>
      </w:r>
    </w:p>
    <w:p>
      <w:pPr>
        <w:spacing w:after="0" w:line="2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ADMINISTRATION AND COLLECTIONS</w:t>
      </w:r>
    </w:p>
    <w:p>
      <w:pPr>
        <w:spacing w:after="0" w:line="195"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4.1.</w:t>
      </w:r>
      <w:r>
        <w:rPr>
          <w:sz w:val="20"/>
          <w:szCs w:val="20"/>
          <w:color w:val="auto"/>
        </w:rPr>
        <w:tab/>
      </w:r>
      <w:r>
        <w:rPr>
          <w:rFonts w:ascii="Arial" w:cs="Arial" w:eastAsia="Arial" w:hAnsi="Arial"/>
          <w:sz w:val="17"/>
          <w:szCs w:val="17"/>
          <w:u w:val="single" w:color="auto"/>
          <w:color w:val="auto"/>
        </w:rPr>
        <w:t>Appointment of the Servicer</w:t>
      </w:r>
      <w:r>
        <w:rPr>
          <w:rFonts w:ascii="Arial" w:cs="Arial" w:eastAsia="Arial" w:hAnsi="Arial"/>
          <w:sz w:val="17"/>
          <w:szCs w:val="17"/>
          <w:color w:val="auto"/>
        </w:rPr>
        <w:t>.</w:t>
      </w:r>
    </w:p>
    <w:p>
      <w:pPr>
        <w:spacing w:after="0" w:line="210" w:lineRule="exact"/>
        <w:rPr>
          <w:sz w:val="20"/>
          <w:szCs w:val="20"/>
          <w:color w:val="auto"/>
        </w:rPr>
      </w:pPr>
    </w:p>
    <w:p>
      <w:pPr>
        <w:jc w:val="both"/>
        <w:ind w:firstLine="1139"/>
        <w:spacing w:after="0" w:line="255" w:lineRule="auto"/>
        <w:tabs>
          <w:tab w:leader="none" w:pos="1537"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The servicing, administering and collection of the Pool Receivables shall be conducted by the Person so designated from time to time as the Servicer in accordance with this Section. Until the Administrator gives notice to WESCO (in accordance with this </w:t>
      </w:r>
      <w:r>
        <w:rPr>
          <w:rFonts w:ascii="Arial" w:cs="Arial" w:eastAsia="Arial" w:hAnsi="Arial"/>
          <w:sz w:val="19"/>
          <w:szCs w:val="19"/>
          <w:u w:val="single" w:color="auto"/>
          <w:color w:val="auto"/>
        </w:rPr>
        <w:t>Section 4.1</w:t>
      </w:r>
      <w:r>
        <w:rPr>
          <w:rFonts w:ascii="Arial" w:cs="Arial" w:eastAsia="Arial" w:hAnsi="Arial"/>
          <w:sz w:val="19"/>
          <w:szCs w:val="19"/>
          <w:color w:val="auto"/>
        </w:rPr>
        <w:t>) of the designation of a new Servicer, WESCO is hereby designated as, and hereby agrees to perform the duties and obligations of, the Servicer pursuant to the terms hereof. Upon the occurrence of a Termination Event, the Administrator may (with the consent of the Majority Purchasers) or shall (at the direction of the Majority Purchasers) designate as Servicer any Person (including itself) to succeed WESCO or any successor Servicer, on the condition in each case that any such Person so designated shall agree to perform the duties and obligations of the Servicer pursuant to the terms hereof.</w:t>
      </w:r>
    </w:p>
    <w:p>
      <w:pPr>
        <w:spacing w:after="0" w:line="162" w:lineRule="exact"/>
        <w:rPr>
          <w:rFonts w:ascii="Arial" w:cs="Arial" w:eastAsia="Arial" w:hAnsi="Arial"/>
          <w:sz w:val="19"/>
          <w:szCs w:val="19"/>
          <w:color w:val="auto"/>
        </w:rPr>
      </w:pPr>
    </w:p>
    <w:p>
      <w:pPr>
        <w:jc w:val="both"/>
        <w:ind w:firstLine="1139"/>
        <w:spacing w:after="0" w:line="258" w:lineRule="auto"/>
        <w:tabs>
          <w:tab w:leader="none" w:pos="160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Upon the designation of a successor Servicer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WESCO agrees that it will terminate its activities as Servicer hereunder in a manner that the Administrator determines will facilitate the transition of the performance of such activities to the new Servicer, and WESCO shall cooperate with and assist such new Servicer. Such cooperation shall include access to and transfer of related records (including all Contracts) and use by the new Servicer of all licenses, hardware or software necessary or desirable to collect the Pool Receivables and the Related Security.</w:t>
      </w:r>
    </w:p>
    <w:p>
      <w:pPr>
        <w:spacing w:after="0" w:line="159" w:lineRule="exact"/>
        <w:rPr>
          <w:rFonts w:ascii="Arial" w:cs="Arial" w:eastAsia="Arial" w:hAnsi="Arial"/>
          <w:sz w:val="19"/>
          <w:szCs w:val="19"/>
          <w:color w:val="auto"/>
        </w:rPr>
      </w:pPr>
    </w:p>
    <w:p>
      <w:pPr>
        <w:jc w:val="both"/>
        <w:ind w:firstLine="1139"/>
        <w:spacing w:after="0" w:line="268" w:lineRule="auto"/>
        <w:tabs>
          <w:tab w:leader="none" w:pos="1637" w:val="left"/>
        </w:tabs>
        <w:numPr>
          <w:ilvl w:val="0"/>
          <w:numId w:val="259"/>
        </w:numPr>
        <w:rPr>
          <w:rFonts w:ascii="Arial" w:cs="Arial" w:eastAsia="Arial" w:hAnsi="Arial"/>
          <w:sz w:val="19"/>
          <w:szCs w:val="19"/>
          <w:color w:val="auto"/>
        </w:rPr>
      </w:pPr>
      <w:r>
        <w:rPr>
          <w:rFonts w:ascii="Arial" w:cs="Arial" w:eastAsia="Arial" w:hAnsi="Arial"/>
          <w:sz w:val="19"/>
          <w:szCs w:val="19"/>
          <w:color w:val="auto"/>
        </w:rPr>
        <w:t>WESCO acknowledges that, in making their decision to execute and deliver this Agreement, the Administrator and each Purchaser Group have relied on WESCO’s agreement to act as Servicer hereunder. Accordingly, WESCO agrees that it will not voluntarily resign as Servicer.</w:t>
      </w:r>
    </w:p>
    <w:p>
      <w:pPr>
        <w:sectPr>
          <w:pgSz w:w="11900" w:h="16946" w:orient="portrait"/>
          <w:cols w:equalWidth="0" w:num="1">
            <w:col w:w="11440"/>
          </w:cols>
          <w:pgMar w:left="240" w:top="132" w:right="219" w:bottom="0" w:gutter="0" w:footer="0" w:header="0"/>
        </w:sectPr>
      </w:pPr>
    </w:p>
    <w:bookmarkStart w:id="183" w:name="page184"/>
    <w:bookmarkEnd w:id="183"/>
    <w:p>
      <w:pPr>
        <w:spacing w:after="0" w:line="53" w:lineRule="exact"/>
        <w:rPr>
          <w:sz w:val="20"/>
          <w:szCs w:val="20"/>
          <w:color w:val="auto"/>
        </w:rPr>
      </w:pPr>
    </w:p>
    <w:p>
      <w:pPr>
        <w:jc w:val="both"/>
        <w:ind w:left="5" w:firstLine="1139"/>
        <w:spacing w:after="0" w:line="254" w:lineRule="auto"/>
        <w:tabs>
          <w:tab w:leader="none" w:pos="1487"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The Servicer may delegate its duties and obligations hereunder to any subservicer (each a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such delegation: (i) such Sub-Servicer shall agree in writing to perform the duties and obligations of the Servicer pursuant to the terms hereof, (ii) the Servicer shall remain primarily liable for the performance of the duties and obligations so delegated, (iii) the Seller, the Administrator and each Purchaser Group shall have the right to look solely to the Servicer for performance, and (iv) the terms of any agreement with any Sub-Servicer shall provide that the Administrator may terminate such agreement upon the termination of the Servicer hereunder by giving notice of its desire to terminate such agreement to the Servicer (and the Servicer shall provide appropriate notice to each such Sub-Servicer);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such delegation is to any Person other than an Originator or an Affiliate thereof, the Administrator and the Majority Purchasers shall have consented in writing in advance to such delegation.</w:t>
      </w:r>
    </w:p>
    <w:p>
      <w:pPr>
        <w:spacing w:after="0" w:line="164" w:lineRule="exact"/>
        <w:rPr>
          <w:sz w:val="20"/>
          <w:szCs w:val="20"/>
          <w:color w:val="auto"/>
        </w:rPr>
      </w:pPr>
    </w:p>
    <w:p>
      <w:pPr>
        <w:ind w:left="565"/>
        <w:spacing w:after="0"/>
        <w:tabs>
          <w:tab w:leader="none" w:pos="1624"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Duties of the Servicer</w:t>
      </w:r>
      <w:r>
        <w:rPr>
          <w:rFonts w:ascii="Arial" w:cs="Arial" w:eastAsia="Arial" w:hAnsi="Arial"/>
          <w:sz w:val="17"/>
          <w:szCs w:val="17"/>
          <w:color w:val="auto"/>
        </w:rPr>
        <w:t>.</w:t>
      </w:r>
    </w:p>
    <w:p>
      <w:pPr>
        <w:spacing w:after="0" w:line="210" w:lineRule="exact"/>
        <w:rPr>
          <w:sz w:val="20"/>
          <w:szCs w:val="20"/>
          <w:color w:val="auto"/>
        </w:rPr>
      </w:pPr>
    </w:p>
    <w:p>
      <w:pPr>
        <w:jc w:val="both"/>
        <w:ind w:left="5" w:firstLine="1139"/>
        <w:spacing w:after="0" w:line="282" w:lineRule="auto"/>
        <w:tabs>
          <w:tab w:leader="none" w:pos="154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The Servicer shall take or cause to be taken all such action as may be necessary or advisable to administer and collect each Pool Receivable from time to time, all in accordance with this Agreement and all Applicable Laws, with reasonable care and diligence, and in accordance with the Credit and Collection Policies. The Servicer shall set aside, for the account of each Purchaser Group, the amount of the Collections to which each such Purchaser Group is entitled in accordance with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The Servicer may, in accordance with the applicable Credit and Collection Policy, extend the maturity of any Pool Receivable (but not beyond 30 days or beyond 90 days from the original invoice date) and extend the maturity or adjust the Outstanding Balance of any Defaulted Receivable as the Servicer may determine to be appropriate to maximize Collections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extension or adjustment shall not alter the status of such Pool Receivable as a Delinquent Receivable or a Defaulted Receivable or limit the rights of the Administrator or any Purchaser Group under this Agreement and (ii) if a Termination Event has occurred and WESCO or an Affiliate thereof is serving as the Servicer, WESCO or such Affiliate may make such extension or adjustment only upon the prior approval of the Administrator (with the consent of the Majority Purchasers). The Seller shall deliver to the Servicer and the Servicer shall hold for the benefit of the Seller and the Administrator (individually and for the benefit of each Purchaser Group), in accordance with their respective interests, all records and documents (including computer tapes or disks) with respect to each Pool Receivable. Notwithstanding anything to the contrary contained herein, the Administrator may direct the Servicer (whether the Servicer is WESCO or any other Person) to commence or settle any legal action to enforce collection of any Pool Receivable or to foreclose upon or repossess any Related Security;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direction may be given unless either: (A) a Termination Event has occurred or (B) the Administrator believes in good faith that failure to commence, settle or effect such legal action, foreclosure or repossession could adversely affect Receivables constituting a material portion of the Pool Receivables.</w:t>
      </w:r>
    </w:p>
    <w:p>
      <w:pPr>
        <w:spacing w:after="0" w:line="149" w:lineRule="exact"/>
        <w:rPr>
          <w:rFonts w:ascii="Arial" w:cs="Arial" w:eastAsia="Arial" w:hAnsi="Arial"/>
          <w:sz w:val="17"/>
          <w:szCs w:val="17"/>
          <w:color w:val="auto"/>
        </w:rPr>
      </w:pPr>
    </w:p>
    <w:p>
      <w:pPr>
        <w:jc w:val="both"/>
        <w:ind w:left="5" w:firstLine="1139"/>
        <w:spacing w:after="0" w:line="295" w:lineRule="auto"/>
        <w:tabs>
          <w:tab w:leader="none" w:pos="152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Servicer shall, as soon as practicable following actual receipt of collected funds, turn over to the Seller the collections of any indebtedness that is not a Pool Receivable, less, if WESCO or an Affiliate thereof is not the Servicer, all reasonable and appropriate out-of-pocket costs and expenses of such Servicer of servicing, collecting and administering such collections. The Servicer, if other than WESCO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w:t>
      </w:r>
    </w:p>
    <w:p>
      <w:pPr>
        <w:spacing w:after="0" w:line="133" w:lineRule="exact"/>
        <w:rPr>
          <w:rFonts w:ascii="Arial" w:cs="Arial" w:eastAsia="Arial" w:hAnsi="Arial"/>
          <w:sz w:val="17"/>
          <w:szCs w:val="17"/>
          <w:color w:val="auto"/>
        </w:rPr>
      </w:pPr>
    </w:p>
    <w:p>
      <w:pPr>
        <w:jc w:val="both"/>
        <w:ind w:left="5" w:right="20" w:firstLine="1139"/>
        <w:spacing w:after="0" w:line="268" w:lineRule="auto"/>
        <w:tabs>
          <w:tab w:leader="none" w:pos="1519"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Servicer’s obligations hereunder shall terminate on the later of: (i) the Facility Termination Date and (ii) the date on which all amounts required to be paid to the Purchaser Agents, each Purchaser, the Administrator and any other Indemnified Party or Affected Person hereunder shall have been paid in full.</w:t>
      </w:r>
    </w:p>
    <w:p>
      <w:pPr>
        <w:spacing w:after="0" w:line="150" w:lineRule="exact"/>
        <w:rPr>
          <w:sz w:val="20"/>
          <w:szCs w:val="20"/>
          <w:color w:val="auto"/>
        </w:rPr>
      </w:pPr>
    </w:p>
    <w:p>
      <w:pPr>
        <w:jc w:val="both"/>
        <w:ind w:left="5" w:firstLine="572"/>
        <w:spacing w:after="0" w:line="261" w:lineRule="auto"/>
        <w:rPr>
          <w:sz w:val="20"/>
          <w:szCs w:val="20"/>
          <w:color w:val="auto"/>
        </w:rPr>
      </w:pPr>
      <w:r>
        <w:rPr>
          <w:rFonts w:ascii="Arial" w:cs="Arial" w:eastAsia="Arial" w:hAnsi="Arial"/>
          <w:sz w:val="19"/>
          <w:szCs w:val="19"/>
          <w:color w:val="auto"/>
        </w:rPr>
        <w:t>After such termination, if WESCO or an Affiliate thereof was not the Servicer on the date of such termination, the Servicer shall promptly deliver to the Seller all books, records and related materials that the Seller previously provided to the Servicer, or that have been obtained by the Servicer, in connection with this Agreement.</w:t>
      </w:r>
    </w:p>
    <w:p>
      <w:pPr>
        <w:spacing w:after="0" w:line="157" w:lineRule="exact"/>
        <w:rPr>
          <w:sz w:val="20"/>
          <w:szCs w:val="20"/>
          <w:color w:val="auto"/>
        </w:rPr>
      </w:pPr>
    </w:p>
    <w:p>
      <w:pPr>
        <w:jc w:val="both"/>
        <w:ind w:left="5" w:firstLine="572"/>
        <w:spacing w:after="0" w:line="28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Lock-Box Account Arrangements</w:t>
      </w:r>
      <w:r>
        <w:rPr>
          <w:rFonts w:ascii="Arial" w:cs="Arial" w:eastAsia="Arial" w:hAnsi="Arial"/>
          <w:sz w:val="17"/>
          <w:szCs w:val="17"/>
          <w:color w:val="auto"/>
        </w:rPr>
        <w:t>. Prior to the date hereof, the Seller has entered into Lock-Box Agreements with all of the Lock-Box Banks maintaining any Lock-Box Account and delivered original counterparts of each such Lock-Box Agreement to the Administrator and each Purchaser Agent. Upon (i) the occurrence of a Termination Event, (ii) WESCO or Holdings ceasing to have a rating of at least “B-” by Standard</w:t>
      </w:r>
    </w:p>
    <w:p>
      <w:pPr>
        <w:jc w:val="both"/>
        <w:ind w:left="5" w:hanging="5"/>
        <w:spacing w:after="0" w:line="263" w:lineRule="auto"/>
        <w:tabs>
          <w:tab w:leader="none" w:pos="20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Poor’s on its corporate credit rating or (iii) Holding’s Available Liquidity fails to exceed $100,000,000, the Administrator may (with the consent of any of the Purchasers) or shall (upon the direction of any of the Purchasers) at any time thereafter so long as any event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exists at such time, give notice to each Lock-Box Bank that the Administrator is exercising its rights under the Lock-Box Agreements to do any or all of the following: (a) to have the exclusive ownership and control of the Lock-Box Accounts transferred to the Administrator (for the benefit of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 Lock-Box Agreement (collectively, the “</w:t>
      </w:r>
      <w:r>
        <w:rPr>
          <w:rFonts w:ascii="Arial" w:cs="Arial" w:eastAsia="Arial" w:hAnsi="Arial"/>
          <w:sz w:val="18"/>
          <w:szCs w:val="18"/>
          <w:u w:val="single" w:color="auto"/>
          <w:color w:val="auto"/>
        </w:rPr>
        <w:t>Lock-Box Rights</w:t>
      </w:r>
      <w:r>
        <w:rPr>
          <w:rFonts w:ascii="Arial" w:cs="Arial" w:eastAsia="Arial" w:hAnsi="Arial"/>
          <w:sz w:val="18"/>
          <w:szCs w:val="18"/>
          <w:color w:val="auto"/>
        </w:rPr>
        <w:t xml:space="preserve">”). The Seller hereby agrees that if the Administrator at any time takes any action set forth in the preceding sentence, the Administrator shall have exclusive control (for the benefit of the Purchasers) of the proceeds (including Collections) of all Pool Receivables and the Seller hereby further agrees to take any other action that the Administrator or any Purchaser Agent may reasonably request to transfer such control. Any proceeds of Pool Receivables received by the Seller or the Servicer thereafter shall be sent immediately to the Administrator. The parties hereto hereby acknowledge that if at any time the Administrator takes control of any Lock-Box Account, the Administrator shall not have any rights to the funds therein in excess of the unpaid amounts due to the Administrator, the Purchaser Groups, any Indemnified Party or any other Person hereunder, and the Administrator shall distribute or cause to be distributed such funds in accordance with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(in each case as if such funds were held by the Servicer thereunder). The Administrator hereby agrees that, if, at any time following its exercise of its Lock-Box Rights, to the extent such Lock-Box Rights are being exercised by the Administrator due solely to the occurrence of the event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and such event has been cured for a period of not less than 60 consecutive days, unless consented to in writing by the Administrator and each Purchaser Agent, upon notice of such cure to the Administrator and each Purchaser Agent, the Administrator shall reasonably cooperate with the Seller and the Servicer to cease exercising such Lock-Box Rights within a reasonable period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 Administrator ceases to exercise its Lock-Box Rights in accordance with this sentence, such cessation shall not preclude the Administrator from exercising any or all of its Lock-Box Rights at any time following such date.</w:t>
      </w:r>
    </w:p>
    <w:p>
      <w:pPr>
        <w:spacing w:after="0" w:line="166" w:lineRule="exact"/>
        <w:rPr>
          <w:sz w:val="20"/>
          <w:szCs w:val="20"/>
          <w:color w:val="auto"/>
        </w:rPr>
      </w:pPr>
    </w:p>
    <w:p>
      <w:pPr>
        <w:ind w:left="565"/>
        <w:spacing w:after="0"/>
        <w:tabs>
          <w:tab w:leader="none" w:pos="1624" w:val="left"/>
        </w:tabs>
        <w:rPr>
          <w:sz w:val="20"/>
          <w:szCs w:val="20"/>
          <w:color w:val="auto"/>
        </w:rPr>
      </w:pPr>
      <w:r>
        <w:rPr>
          <w:rFonts w:ascii="Arial" w:cs="Arial" w:eastAsia="Arial" w:hAnsi="Arial"/>
          <w:sz w:val="19"/>
          <w:szCs w:val="19"/>
          <w:color w:val="auto"/>
        </w:rPr>
        <w:t>Section 4.4.</w:t>
      </w:r>
      <w:r>
        <w:rPr>
          <w:sz w:val="20"/>
          <w:szCs w:val="20"/>
          <w:color w:val="auto"/>
        </w:rPr>
        <w:tab/>
      </w:r>
      <w:r>
        <w:rPr>
          <w:rFonts w:ascii="Arial" w:cs="Arial" w:eastAsia="Arial" w:hAnsi="Arial"/>
          <w:sz w:val="17"/>
          <w:szCs w:val="17"/>
          <w:u w:val="single" w:color="auto"/>
          <w:color w:val="auto"/>
        </w:rPr>
        <w:t>Enforcement Rights</w:t>
      </w:r>
      <w:r>
        <w:rPr>
          <w:rFonts w:ascii="Arial" w:cs="Arial" w:eastAsia="Arial" w:hAnsi="Arial"/>
          <w:sz w:val="17"/>
          <w:szCs w:val="17"/>
          <w:color w:val="auto"/>
        </w:rPr>
        <w:t>.</w:t>
      </w:r>
    </w:p>
    <w:p>
      <w:pPr>
        <w:spacing w:after="0" w:line="210" w:lineRule="exact"/>
        <w:rPr>
          <w:sz w:val="20"/>
          <w:szCs w:val="20"/>
          <w:color w:val="auto"/>
        </w:rPr>
      </w:pPr>
    </w:p>
    <w:p>
      <w:pPr>
        <w:ind w:left="1145"/>
        <w:spacing w:after="0"/>
        <w:tabs>
          <w:tab w:leader="none" w:pos="1484"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7"/>
          <w:szCs w:val="17"/>
          <w:color w:val="auto"/>
        </w:rPr>
        <w:t>At any time following the occurrence of a Termination Event:</w:t>
      </w:r>
    </w:p>
    <w:p>
      <w:pPr>
        <w:spacing w:after="0" w:line="210" w:lineRule="exact"/>
        <w:rPr>
          <w:sz w:val="20"/>
          <w:szCs w:val="20"/>
          <w:color w:val="auto"/>
        </w:rPr>
      </w:pPr>
    </w:p>
    <w:p>
      <w:pPr>
        <w:ind w:left="565" w:firstLine="579"/>
        <w:spacing w:after="0" w:line="287" w:lineRule="auto"/>
        <w:tabs>
          <w:tab w:leader="none" w:pos="157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Administrator may (with the consent or at the direction of a Simple Majority of the Purchasers) direct the Obligors that payment of all amounts payable under any Pool Receivable is to be made directly to the Administrator or its designee;</w:t>
      </w:r>
    </w:p>
    <w:p>
      <w:pPr>
        <w:sectPr>
          <w:pgSz w:w="11900" w:h="16892" w:orient="portrait"/>
          <w:cols w:equalWidth="0" w:num="1">
            <w:col w:w="11445"/>
          </w:cols>
          <w:pgMar w:left="235" w:top="323" w:right="219" w:bottom="0" w:gutter="0" w:footer="0" w:header="0"/>
        </w:sectPr>
      </w:pPr>
    </w:p>
    <w:bookmarkStart w:id="184" w:name="page185"/>
    <w:bookmarkEnd w:id="184"/>
    <w:p>
      <w:pPr>
        <w:spacing w:after="0" w:line="82" w:lineRule="exact"/>
        <w:rPr>
          <w:sz w:val="20"/>
          <w:szCs w:val="20"/>
          <w:color w:val="auto"/>
        </w:rPr>
      </w:pPr>
    </w:p>
    <w:p>
      <w:pPr>
        <w:jc w:val="both"/>
        <w:ind w:firstLine="579"/>
        <w:spacing w:after="0" w:line="256" w:lineRule="auto"/>
        <w:tabs>
          <w:tab w:leader="none" w:pos="1035"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the Administrator may (with the consent or at the direction of a Simple Majority of the Purchasers) instruct the Seller or the Servicer to give notice of the Purchaser Groups’ interest in Pool Receivables to each Obligor, which notice shall direct that payments be made directly to the Administrator or its designee (on behalf of such Purchaser Groups), and the Seller or the Servicer, as the case may be, shall give such notice at the expense of the Seller or the Servicer,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Seller or the Servicer, as the case may be, fails to so notify each Obligor, the Administrator (at the Seller’s or the Servicer’s, as the case may be, expense) may so notify the Obligors; and</w:t>
      </w:r>
    </w:p>
    <w:p>
      <w:pPr>
        <w:spacing w:after="0" w:line="162" w:lineRule="exact"/>
        <w:rPr>
          <w:rFonts w:ascii="Arial" w:cs="Arial" w:eastAsia="Arial" w:hAnsi="Arial"/>
          <w:sz w:val="19"/>
          <w:szCs w:val="19"/>
          <w:color w:val="auto"/>
        </w:rPr>
      </w:pPr>
    </w:p>
    <w:p>
      <w:pPr>
        <w:jc w:val="both"/>
        <w:ind w:firstLine="579"/>
        <w:spacing w:after="0" w:line="271" w:lineRule="auto"/>
        <w:tabs>
          <w:tab w:leader="none" w:pos="10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Administrator may (with the consent or at the direction of a Simple Majority of the Purchasers)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w:t>
      </w:r>
    </w:p>
    <w:p>
      <w:pPr>
        <w:spacing w:after="0" w:line="151" w:lineRule="exact"/>
        <w:rPr>
          <w:sz w:val="20"/>
          <w:szCs w:val="20"/>
          <w:color w:val="auto"/>
        </w:rPr>
      </w:pPr>
    </w:p>
    <w:p>
      <w:pPr>
        <w:jc w:val="both"/>
        <w:ind w:left="-560" w:firstLine="1139"/>
        <w:spacing w:after="0" w:line="270" w:lineRule="auto"/>
        <w:tabs>
          <w:tab w:leader="none" w:pos="95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Seller hereby authorizes the Administrator (on behalf of each Purchaser Group), and irrevocably appoints the Administrator as its attorney-in-fact with full power of substitution and with full authority in the place and stead of the Seller, which appointment is coupled with an interest, to take any and all steps in the name of the Seller and on behalf of the Seller necessary or desirable, in the determination of the Administrator, after the occurrence of a Termination Event, to collect any and all amounts or portions thereof due under any and all Pool Assets, including endorsing the name of the Seller on checks and other instruments representing Collections and enforcing such Pool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51"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Section 4.5.</w:t>
      </w:r>
      <w:r>
        <w:rPr>
          <w:sz w:val="20"/>
          <w:szCs w:val="20"/>
          <w:color w:val="auto"/>
        </w:rPr>
        <w:tab/>
      </w:r>
      <w:r>
        <w:rPr>
          <w:rFonts w:ascii="Arial" w:cs="Arial" w:eastAsia="Arial" w:hAnsi="Arial"/>
          <w:sz w:val="17"/>
          <w:szCs w:val="17"/>
          <w:u w:val="single" w:color="auto"/>
          <w:color w:val="auto"/>
        </w:rPr>
        <w:t>Responsibilities of the Seller</w:t>
      </w:r>
      <w:r>
        <w:rPr>
          <w:rFonts w:ascii="Arial" w:cs="Arial" w:eastAsia="Arial" w:hAnsi="Arial"/>
          <w:sz w:val="17"/>
          <w:szCs w:val="17"/>
          <w:color w:val="auto"/>
        </w:rPr>
        <w:t>.</w:t>
      </w:r>
    </w:p>
    <w:p>
      <w:pPr>
        <w:spacing w:after="0" w:line="210" w:lineRule="exact"/>
        <w:rPr>
          <w:sz w:val="20"/>
          <w:szCs w:val="20"/>
          <w:color w:val="auto"/>
        </w:rPr>
      </w:pPr>
    </w:p>
    <w:p>
      <w:pPr>
        <w:jc w:val="both"/>
        <w:ind w:left="-560" w:firstLine="1139"/>
        <w:spacing w:after="0" w:line="273" w:lineRule="auto"/>
        <w:tabs>
          <w:tab w:leader="none" w:pos="10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the Seller from such obligations, and (ii) pay when due any taxes, including any sales taxes payable in connection with the Pool Receivables and their creation and satisfaction. The Administrator, the Purchaser Agents or any of the Purchasers shall not have any obligation or liability with respect to any Pool Asset, nor shall any of them be obligated to perform any of the obligations of the Seller, Servicer, WESCO or the Originators thereunder.</w:t>
      </w:r>
    </w:p>
    <w:p>
      <w:pPr>
        <w:spacing w:after="0" w:line="148" w:lineRule="exact"/>
        <w:rPr>
          <w:rFonts w:ascii="Arial" w:cs="Arial" w:eastAsia="Arial" w:hAnsi="Arial"/>
          <w:sz w:val="18"/>
          <w:szCs w:val="18"/>
          <w:color w:val="auto"/>
        </w:rPr>
      </w:pPr>
    </w:p>
    <w:p>
      <w:pPr>
        <w:jc w:val="both"/>
        <w:ind w:left="-560" w:firstLine="1139"/>
        <w:spacing w:after="0" w:line="261" w:lineRule="auto"/>
        <w:tabs>
          <w:tab w:leader="none" w:pos="99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WESCO hereby irrevocably agrees that if at any time it shall cease to be the Servicer hereunder, it shall act (if the then-current Servicer so requests) as the data-processing agent of the Servicer and, in such capacity, WESCO shall conduct the data-processing functions of the administration of the Receivables and the Collections thereon in substantially the same way that WESCO conducted such data-processing functions while it acted as the Servicer.</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Section 4.6.</w:t>
      </w:r>
      <w:r>
        <w:rPr>
          <w:sz w:val="20"/>
          <w:szCs w:val="20"/>
          <w:color w:val="auto"/>
        </w:rPr>
        <w:tab/>
      </w:r>
      <w:r>
        <w:rPr>
          <w:rFonts w:ascii="Arial" w:cs="Arial" w:eastAsia="Arial" w:hAnsi="Arial"/>
          <w:sz w:val="17"/>
          <w:szCs w:val="17"/>
          <w:u w:val="single" w:color="auto"/>
          <w:color w:val="auto"/>
        </w:rPr>
        <w:t>Servicing Fee</w:t>
      </w:r>
      <w:r>
        <w:rPr>
          <w:rFonts w:ascii="Arial" w:cs="Arial" w:eastAsia="Arial" w:hAnsi="Arial"/>
          <w:sz w:val="17"/>
          <w:szCs w:val="17"/>
          <w:color w:val="auto"/>
        </w:rPr>
        <w:t>.</w:t>
      </w:r>
    </w:p>
    <w:p>
      <w:pPr>
        <w:spacing w:after="0" w:line="210" w:lineRule="exact"/>
        <w:rPr>
          <w:sz w:val="20"/>
          <w:szCs w:val="20"/>
          <w:color w:val="auto"/>
        </w:rPr>
      </w:pPr>
    </w:p>
    <w:p>
      <w:pPr>
        <w:jc w:val="both"/>
        <w:ind w:left="-560" w:right="20" w:firstLine="1139"/>
        <w:spacing w:after="0" w:line="268" w:lineRule="auto"/>
        <w:tabs>
          <w:tab w:leader="none" w:pos="106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 (b)</w:t>
      </w:r>
      <w:r>
        <w:rPr>
          <w:rFonts w:ascii="Arial" w:cs="Arial" w:eastAsia="Arial" w:hAnsi="Arial"/>
          <w:sz w:val="19"/>
          <w:szCs w:val="19"/>
          <w:color w:val="auto"/>
        </w:rPr>
        <w:t>, the Servicer shall be paid a fee (the “</w:t>
      </w:r>
      <w:r>
        <w:rPr>
          <w:rFonts w:ascii="Arial" w:cs="Arial" w:eastAsia="Arial" w:hAnsi="Arial"/>
          <w:sz w:val="19"/>
          <w:szCs w:val="19"/>
          <w:u w:val="single" w:color="auto"/>
          <w:color w:val="auto"/>
        </w:rPr>
        <w:t>Servicing Fee</w:t>
      </w:r>
      <w:r>
        <w:rPr>
          <w:rFonts w:ascii="Arial" w:cs="Arial" w:eastAsia="Arial" w:hAnsi="Arial"/>
          <w:sz w:val="19"/>
          <w:szCs w:val="19"/>
          <w:color w:val="auto"/>
        </w:rPr>
        <w:t xml:space="preserve">”) equal to 1.0%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of the daily average aggregate Outstanding Balance of the Pool Receivables. The aggregate of each Purchaser Group’s Ratable Share of such fee shall be paid through the distributions contemplated by </w:t>
      </w:r>
      <w:r>
        <w:rPr>
          <w:rFonts w:ascii="Arial" w:cs="Arial" w:eastAsia="Arial" w:hAnsi="Arial"/>
          <w:sz w:val="19"/>
          <w:szCs w:val="19"/>
          <w:u w:val="single" w:color="auto"/>
          <w:color w:val="auto"/>
        </w:rPr>
        <w:t>Section 1.4(d)</w:t>
      </w:r>
      <w:r>
        <w:rPr>
          <w:rFonts w:ascii="Arial" w:cs="Arial" w:eastAsia="Arial" w:hAnsi="Arial"/>
          <w:sz w:val="19"/>
          <w:szCs w:val="19"/>
          <w:color w:val="auto"/>
        </w:rPr>
        <w:t>, and the Seller’s Share of such fee shall be paid by the Seller.</w:t>
      </w:r>
    </w:p>
    <w:p>
      <w:pPr>
        <w:spacing w:after="0" w:line="149" w:lineRule="exact"/>
        <w:rPr>
          <w:rFonts w:ascii="Arial" w:cs="Arial" w:eastAsia="Arial" w:hAnsi="Arial"/>
          <w:sz w:val="19"/>
          <w:szCs w:val="19"/>
          <w:color w:val="auto"/>
        </w:rPr>
      </w:pPr>
    </w:p>
    <w:p>
      <w:pPr>
        <w:jc w:val="both"/>
        <w:ind w:left="-560" w:firstLine="1139"/>
        <w:spacing w:after="0" w:line="289" w:lineRule="auto"/>
        <w:tabs>
          <w:tab w:leader="none" w:pos="101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If the Servicer ceases to be WESCO or an Affiliate thereof, the servicing fee shall be the greater of: (i) the amount calculated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and (ii) an alternative amount specified by the successor Servicer not to exceed 110% of the aggregate reasonable costs and expenses incurred by such successor Servicer in connection with the performance of its obligations as Servicer.</w:t>
      </w:r>
    </w:p>
    <w:p>
      <w:pPr>
        <w:spacing w:after="0" w:line="128"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ARTICLE V.</w:t>
      </w:r>
    </w:p>
    <w:p>
      <w:pPr>
        <w:spacing w:after="0" w:line="29"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THE AGENTS</w:t>
      </w:r>
    </w:p>
    <w:p>
      <w:pPr>
        <w:spacing w:after="0" w:line="195"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Appointment and Authorization</w:t>
      </w:r>
      <w:r>
        <w:rPr>
          <w:rFonts w:ascii="Arial" w:cs="Arial" w:eastAsia="Arial" w:hAnsi="Arial"/>
          <w:sz w:val="17"/>
          <w:szCs w:val="17"/>
          <w:color w:val="auto"/>
        </w:rPr>
        <w:t>.</w:t>
      </w:r>
    </w:p>
    <w:p>
      <w:pPr>
        <w:spacing w:after="0" w:line="210" w:lineRule="exact"/>
        <w:rPr>
          <w:sz w:val="20"/>
          <w:szCs w:val="20"/>
          <w:color w:val="auto"/>
        </w:rPr>
      </w:pPr>
    </w:p>
    <w:p>
      <w:pPr>
        <w:jc w:val="both"/>
        <w:ind w:left="-560" w:right="20" w:firstLine="1139"/>
        <w:spacing w:after="0" w:line="269" w:lineRule="auto"/>
        <w:tabs>
          <w:tab w:leader="none" w:pos="110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Each Purchaser and Purchaser Agent hereby irrevocably designates and appoints PNC Bank, National Association as the “</w:t>
      </w:r>
      <w:r>
        <w:rPr>
          <w:rFonts w:ascii="Arial" w:cs="Arial" w:eastAsia="Arial" w:hAnsi="Arial"/>
          <w:sz w:val="18"/>
          <w:szCs w:val="18"/>
          <w:u w:val="single" w:color="auto"/>
          <w:color w:val="auto"/>
        </w:rPr>
        <w:t>Administrator</w:t>
      </w:r>
      <w:r>
        <w:rPr>
          <w:rFonts w:ascii="Arial" w:cs="Arial" w:eastAsia="Arial" w:hAnsi="Arial"/>
          <w:sz w:val="18"/>
          <w:szCs w:val="18"/>
          <w:color w:val="auto"/>
        </w:rPr>
        <w:t>” hereunder and authorizes the Administrator to take such actions and to exercise such powers as are delegated to the Administrator hereby and to exercise such other powers as are reasonably incidental thereto. The Administrator shall hold, in its name, for the benefit of each Purchaser, ratably, the Purchased Interest. The Administrator shall not have any duties other than those expressly set forth herein or any fiduciary relationship with any Purchaser or Purchaser Agent, and no implied obligations or liabilities shall be read into this Agreement, or otherwise exist, against the Administrator. The Administrator does not assume, nor shall it be deemed to have assumed, any obligation to, or relationship of trust or agency with, the Seller or Servicer. Notwithstanding any provision of this Agreement or any other Transaction Document to the contrary, in no event shall the Administrator ever be required to take any action which exposes the Administrator to personal liability or which is contrary to the provision of any Transaction Document or Applicable Law.</w:t>
      </w:r>
    </w:p>
    <w:p>
      <w:pPr>
        <w:spacing w:after="0" w:line="151" w:lineRule="exact"/>
        <w:rPr>
          <w:rFonts w:ascii="Arial" w:cs="Arial" w:eastAsia="Arial" w:hAnsi="Arial"/>
          <w:sz w:val="18"/>
          <w:szCs w:val="18"/>
          <w:color w:val="auto"/>
        </w:rPr>
      </w:pPr>
    </w:p>
    <w:p>
      <w:pPr>
        <w:jc w:val="both"/>
        <w:ind w:left="-560" w:right="20" w:firstLine="1139"/>
        <w:spacing w:after="0" w:line="288" w:lineRule="auto"/>
        <w:tabs>
          <w:tab w:leader="none" w:pos="99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w:t>
      </w:r>
    </w:p>
    <w:p>
      <w:pPr>
        <w:spacing w:after="0" w:line="136" w:lineRule="exact"/>
        <w:rPr>
          <w:rFonts w:ascii="Arial" w:cs="Arial" w:eastAsia="Arial" w:hAnsi="Arial"/>
          <w:sz w:val="17"/>
          <w:szCs w:val="17"/>
          <w:color w:val="auto"/>
        </w:rPr>
      </w:pPr>
    </w:p>
    <w:p>
      <w:pPr>
        <w:jc w:val="both"/>
        <w:ind w:left="-560" w:firstLine="1139"/>
        <w:spacing w:after="0" w:line="240" w:lineRule="exact"/>
        <w:tabs>
          <w:tab w:leader="none" w:pos="100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Except as otherwise specifically provided in this Agreement, the provisions of this Article V are solely for the benefit of the Purchaser Agents, the Administrator and the Purchasers, and none of the Seller or Servicer shall have any rights as a third</w:t>
      </w:r>
      <w:r>
        <w:rPr>
          <w:rFonts w:ascii="MS PGothic" w:cs="MS PGothic" w:eastAsia="MS PGothic" w:hAnsi="MS PGothic"/>
          <w:sz w:val="18"/>
          <w:szCs w:val="18"/>
          <w:color w:val="auto"/>
        </w:rPr>
        <w:t>‑</w:t>
      </w:r>
      <w:r>
        <w:rPr>
          <w:rFonts w:ascii="Arial" w:cs="Arial" w:eastAsia="Arial" w:hAnsi="Arial"/>
          <w:sz w:val="18"/>
          <w:szCs w:val="18"/>
          <w:color w:val="auto"/>
        </w:rPr>
        <w:t>party beneficiary or</w:t>
      </w:r>
    </w:p>
    <w:p>
      <w:pPr>
        <w:sectPr>
          <w:pgSz w:w="11900" w:h="16920" w:orient="portrait"/>
          <w:cols w:equalWidth="0" w:num="1">
            <w:col w:w="10880"/>
          </w:cols>
          <w:pgMar w:left="800" w:top="252" w:right="219" w:bottom="0" w:gutter="0" w:footer="0" w:header="0"/>
        </w:sectPr>
      </w:pPr>
    </w:p>
    <w:bookmarkStart w:id="185" w:name="page186"/>
    <w:bookmarkEnd w:id="185"/>
    <w:p>
      <w:pPr>
        <w:jc w:val="both"/>
        <w:spacing w:after="0" w:line="257" w:lineRule="auto"/>
        <w:rPr>
          <w:sz w:val="20"/>
          <w:szCs w:val="20"/>
          <w:color w:val="auto"/>
        </w:rPr>
      </w:pPr>
      <w:r>
        <w:rPr>
          <w:rFonts w:ascii="Arial" w:cs="Arial" w:eastAsia="Arial" w:hAnsi="Arial"/>
          <w:sz w:val="19"/>
          <w:szCs w:val="19"/>
          <w:color w:val="auto"/>
        </w:rPr>
        <w:t>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w:t>
      </w:r>
    </w:p>
    <w:p>
      <w:pPr>
        <w:spacing w:after="0" w:line="160" w:lineRule="exact"/>
        <w:rPr>
          <w:sz w:val="20"/>
          <w:szCs w:val="20"/>
          <w:color w:val="auto"/>
        </w:rPr>
      </w:pPr>
    </w:p>
    <w:p>
      <w:pPr>
        <w:jc w:val="both"/>
        <w:ind w:right="20" w:firstLine="1139"/>
        <w:spacing w:after="0" w:line="295" w:lineRule="auto"/>
        <w:tabs>
          <w:tab w:leader="none" w:pos="164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performing its functions and duties hereunder, the Administrator shall act solely as the agent of the Purchasers and the Purchaser Agents and does not assume nor shall be deemed to have assumed any obligation or relationship of trust or agency with or for the Seller or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w:t>
      </w:r>
    </w:p>
    <w:p>
      <w:pPr>
        <w:spacing w:after="0" w:line="133" w:lineRule="exact"/>
        <w:rPr>
          <w:sz w:val="20"/>
          <w:szCs w:val="20"/>
          <w:color w:val="auto"/>
        </w:rPr>
      </w:pPr>
    </w:p>
    <w:p>
      <w:pPr>
        <w:jc w:val="both"/>
        <w:ind w:right="20" w:firstLine="572"/>
        <w:spacing w:after="0" w:line="26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w:t>
      </w:r>
    </w:p>
    <w:p>
      <w:pPr>
        <w:spacing w:after="0" w:line="150" w:lineRule="exact"/>
        <w:rPr>
          <w:sz w:val="20"/>
          <w:szCs w:val="20"/>
          <w:color w:val="auto"/>
        </w:rPr>
      </w:pPr>
    </w:p>
    <w:p>
      <w:pPr>
        <w:jc w:val="both"/>
        <w:ind w:firstLine="572"/>
        <w:spacing w:after="0" w:line="26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xml:space="preserve">. None of the Purchaser Agents, the Administrator or any of their directors, officers, agents or employees shall be liable for any action taken or omitted (i) with the consent or at the direction of the Majority Purchasers (or in the case of any Purchaser Agent, the Purchasers within its Purchaser Group that have a majority of the aggregate Commitment of such Purchaser Group) or (ii) in the absence of such Person’s gross negligence or willful misconduct. The Administrator shall not be responsible to any Purchaser, Purchaser Agent or other Person for (i) any recitals, representations, warranties or other statements made by the Seller, Servicer, or any of their Affiliates, (ii) the value, validity, effectiveness, genuineness, enforceability or sufficiency of any Transaction Document, (iii) any failure of the Seller, any Originator or any of their Affiliates to perform any obligation or (iv) the satisfaction of any condition specified in </w:t>
      </w:r>
      <w:r>
        <w:rPr>
          <w:rFonts w:ascii="Arial" w:cs="Arial" w:eastAsia="Arial" w:hAnsi="Arial"/>
          <w:sz w:val="18"/>
          <w:szCs w:val="18"/>
          <w:u w:val="single" w:color="auto"/>
          <w:color w:val="auto"/>
        </w:rPr>
        <w:t>Exhibit II</w:t>
      </w:r>
      <w:r>
        <w:rPr>
          <w:rFonts w:ascii="Arial" w:cs="Arial" w:eastAsia="Arial" w:hAnsi="Arial"/>
          <w:sz w:val="18"/>
          <w:szCs w:val="18"/>
          <w:color w:val="auto"/>
        </w:rPr>
        <w:t>. The Administrator shall not have any obligation to any Purchaser or Purchaser Agent to ascertain or inquire about the observance or performance of any agreement contained in any Transaction Document or to inspect the properties, books or records of the Seller, Servicer, Originator or any of their Affiliates.</w:t>
      </w:r>
    </w:p>
    <w:p>
      <w:pPr>
        <w:spacing w:after="0" w:line="152"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Reliance by Agents</w:t>
      </w:r>
      <w:r>
        <w:rPr>
          <w:rFonts w:ascii="Arial" w:cs="Arial" w:eastAsia="Arial" w:hAnsi="Arial"/>
          <w:sz w:val="19"/>
          <w:szCs w:val="19"/>
          <w:color w:val="auto"/>
        </w:rPr>
        <w:t>.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counsel to the Seller),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Purchasers (or in the case of any Purchaser Agent, the Purchasers within its Purchaser Group that have a majority of the aggregate Commitment of such Purchaser Group), and assurance of its indemnification, as it deems appropriate.</w:t>
      </w:r>
    </w:p>
    <w:p>
      <w:pPr>
        <w:spacing w:after="0" w:line="162" w:lineRule="exact"/>
        <w:rPr>
          <w:sz w:val="20"/>
          <w:szCs w:val="20"/>
          <w:color w:val="auto"/>
        </w:rPr>
      </w:pPr>
    </w:p>
    <w:p>
      <w:pPr>
        <w:jc w:val="both"/>
        <w:ind w:firstLine="1139"/>
        <w:spacing w:after="0" w:line="268" w:lineRule="auto"/>
        <w:tabs>
          <w:tab w:leader="none" w:pos="1537"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Administrator shall in all cases be fully protected in acting, or in refraining from acting, under this Agreement in accordance with a request of the Majority Purchasers or the Purchaser Agents, and such request and any action taken or failure to act pursuant thereto shall be binding upon all Purchasers, the Administrator and Purchaser Agents.</w:t>
      </w:r>
    </w:p>
    <w:p>
      <w:pPr>
        <w:spacing w:after="0" w:line="149" w:lineRule="exact"/>
        <w:rPr>
          <w:rFonts w:ascii="Arial" w:cs="Arial" w:eastAsia="Arial" w:hAnsi="Arial"/>
          <w:sz w:val="19"/>
          <w:szCs w:val="19"/>
          <w:color w:val="auto"/>
        </w:rPr>
      </w:pPr>
    </w:p>
    <w:p>
      <w:pPr>
        <w:jc w:val="both"/>
        <w:ind w:firstLine="1139"/>
        <w:spacing w:after="0" w:line="258" w:lineRule="auto"/>
        <w:tabs>
          <w:tab w:leader="none" w:pos="1573"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Purchasers within each Purchaser Group with a majority of the Commitment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Purchasers with such majority, and such request and any action taken or failure to act pursuant thereto shall be binding upon all of such Purchaser Agent’s Purchasers.</w:t>
      </w:r>
    </w:p>
    <w:p>
      <w:pPr>
        <w:spacing w:after="0" w:line="159" w:lineRule="exact"/>
        <w:rPr>
          <w:rFonts w:ascii="Arial" w:cs="Arial" w:eastAsia="Arial" w:hAnsi="Arial"/>
          <w:sz w:val="19"/>
          <w:szCs w:val="19"/>
          <w:color w:val="auto"/>
        </w:rPr>
      </w:pPr>
    </w:p>
    <w:p>
      <w:pPr>
        <w:jc w:val="both"/>
        <w:ind w:firstLine="1139"/>
        <w:spacing w:after="0" w:line="292" w:lineRule="auto"/>
        <w:tabs>
          <w:tab w:leader="none" w:pos="162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w:t>
      </w:r>
    </w:p>
    <w:p>
      <w:pPr>
        <w:spacing w:after="0" w:line="134"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5.5.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0"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 of Termination Events</w:t>
      </w:r>
      <w:r>
        <w:rPr>
          <w:rFonts w:ascii="Arial" w:cs="Arial" w:eastAsia="Arial" w:hAnsi="Arial"/>
          <w:sz w:val="18"/>
          <w:szCs w:val="18"/>
          <w:color w:val="auto"/>
        </w:rPr>
        <w:t>. Neither any Purchaser Agent nor the Administrator shall be deemed to have knowledge or notice of the occurrence of any Termination Event or Unmatured Termination Event unless such Administrator has received notice from any Purchaser, Purchaser Agent, the Servicer or the Seller stating that a Termination Event or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Purchasers. In the event that a Purchaser Agent receives such a notice (other than from the Administrator), it shall promptly give notice thereof to the Administrator. The Administrator shall take such action concerning a Termination Event or Unmatured Termination Event as may be directed by the Majority Purchasers unless such action otherwise requires the consent of all Purchasers), but until the Administrator receives such directions, the Administrator may (but shall not be obligated to) take such action, or refrain from taking such action, as the Administrator deems advisable and in the best interests of the Purchasers and Purchaser Agents.</w:t>
      </w:r>
    </w:p>
    <w:p>
      <w:pPr>
        <w:spacing w:after="0" w:line="155" w:lineRule="exact"/>
        <w:rPr>
          <w:sz w:val="20"/>
          <w:szCs w:val="20"/>
          <w:color w:val="auto"/>
        </w:rPr>
      </w:pPr>
    </w:p>
    <w:p>
      <w:pPr>
        <w:jc w:val="both"/>
        <w:ind w:firstLine="572"/>
        <w:spacing w:after="0" w:line="285"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Non-Reliance on Administrator, Purchaser Agents and Other Purchasers</w:t>
      </w:r>
      <w:r>
        <w:rPr>
          <w:rFonts w:ascii="Arial" w:cs="Arial" w:eastAsia="Arial" w:hAnsi="Arial"/>
          <w:sz w:val="17"/>
          <w:szCs w:val="17"/>
          <w:color w:val="auto"/>
        </w:rPr>
        <w:t>.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the Seller, WESCO,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WESCO,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Seller, WESCO,</w:t>
      </w:r>
    </w:p>
    <w:p>
      <w:pPr>
        <w:sectPr>
          <w:pgSz w:w="11900" w:h="16838" w:orient="portrait"/>
          <w:cols w:equalWidth="0" w:num="1">
            <w:col w:w="11440"/>
          </w:cols>
          <w:pgMar w:left="240" w:top="132" w:right="219" w:bottom="0" w:gutter="0" w:footer="0" w:header="0"/>
        </w:sectPr>
      </w:pPr>
    </w:p>
    <w:bookmarkStart w:id="186" w:name="page187"/>
    <w:bookmarkEnd w:id="186"/>
    <w:p>
      <w:pPr>
        <w:jc w:val="both"/>
        <w:ind w:right="20"/>
        <w:spacing w:after="0" w:line="274" w:lineRule="auto"/>
        <w:rPr>
          <w:sz w:val="20"/>
          <w:szCs w:val="20"/>
          <w:color w:val="auto"/>
        </w:rPr>
      </w:pPr>
      <w:r>
        <w:rPr>
          <w:rFonts w:ascii="Arial" w:cs="Arial" w:eastAsia="Arial" w:hAnsi="Arial"/>
          <w:sz w:val="19"/>
          <w:szCs w:val="19"/>
          <w:color w:val="auto"/>
        </w:rPr>
        <w:t>Servicer or the Originators or any of their Affiliates that comes into the possession of the Administrator or any of its officers, directors, employees, agents, attorneys-in-fact or Affiliates.</w:t>
      </w:r>
    </w:p>
    <w:p>
      <w:pPr>
        <w:spacing w:after="0" w:line="144" w:lineRule="exact"/>
        <w:rPr>
          <w:sz w:val="20"/>
          <w:szCs w:val="20"/>
          <w:color w:val="auto"/>
        </w:rPr>
      </w:pPr>
    </w:p>
    <w:p>
      <w:pPr>
        <w:jc w:val="both"/>
        <w:ind w:right="20" w:firstLine="572"/>
        <w:spacing w:after="0" w:line="292"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Administrators and Affiliates</w:t>
      </w:r>
      <w:r>
        <w:rPr>
          <w:rFonts w:ascii="Arial" w:cs="Arial" w:eastAsia="Arial" w:hAnsi="Arial"/>
          <w:sz w:val="17"/>
          <w:szCs w:val="17"/>
          <w:color w:val="auto"/>
        </w:rPr>
        <w:t>. Each of the Purchasers and the Administrator and their Affiliates may extend credit to, accept deposits from and generally engage in any kind of banking, trust, debt, entity or other business with the Seller, WESCO, Servicer or any Originator or any of their Affiliates and PNC Bank, National Association may exercise or refrain from exercising its rights and powers as if it were not the Administrator.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“Purchaser” and “Purchasers” shall include each of the Purchaser Agents and the Administrator in their individual capacities.</w:t>
      </w:r>
    </w:p>
    <w:p>
      <w:pPr>
        <w:spacing w:after="0" w:line="134" w:lineRule="exact"/>
        <w:rPr>
          <w:sz w:val="20"/>
          <w:szCs w:val="20"/>
          <w:color w:val="auto"/>
        </w:rPr>
      </w:pPr>
    </w:p>
    <w:p>
      <w:pPr>
        <w:jc w:val="both"/>
        <w:ind w:firstLine="572"/>
        <w:spacing w:after="0" w:line="26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Purchaser Group shall indemnify and hold harmless the Administrator (but solely in its capacity as Administrator) and its officers, directors, employees, representatives and agents (to the extent not reimbursed by the Seller, WESCO or Servicer and without limiting the obligation of the Seller, WESCO or Servicer to do so), ratably in accordance with its Ratable Share from and against any and all liabilities, obligations, losses, damages, penalties, judgments, settlements, costs, expenses and disbursements of any kind whatsoever (including in connection with any investigative or threatened proceeding, whether or not the Administrator or such Person shall be designated a party thereto) that may at any time be imposed on, incurred by or asserted against the Administrator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or such Person as finally determined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each Purchaser that is a Conduit Purchaser, such indemnity shall be provided solely by the Committed Purchaser in such Conduit Purchaser’s Purchaser Group.</w:t>
      </w:r>
    </w:p>
    <w:p>
      <w:pPr>
        <w:spacing w:after="0" w:line="160"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9"/>
          <w:szCs w:val="19"/>
          <w:color w:val="auto"/>
        </w:rPr>
        <w:t>Section 5.10.</w:t>
      </w:r>
      <w:r>
        <w:rPr>
          <w:sz w:val="20"/>
          <w:szCs w:val="20"/>
          <w:color w:val="auto"/>
        </w:rPr>
        <w:tab/>
      </w:r>
      <w:r>
        <w:rPr>
          <w:rFonts w:ascii="Arial" w:cs="Arial" w:eastAsia="Arial" w:hAnsi="Arial"/>
          <w:sz w:val="17"/>
          <w:szCs w:val="17"/>
          <w:u w:val="single" w:color="auto"/>
          <w:color w:val="auto"/>
        </w:rPr>
        <w:t>Successor Administrator</w:t>
      </w:r>
      <w:r>
        <w:rPr>
          <w:rFonts w:ascii="Arial" w:cs="Arial" w:eastAsia="Arial" w:hAnsi="Arial"/>
          <w:sz w:val="17"/>
          <w:szCs w:val="17"/>
          <w:color w:val="auto"/>
        </w:rPr>
        <w:t>.</w:t>
      </w:r>
    </w:p>
    <w:p>
      <w:pPr>
        <w:spacing w:after="0" w:line="210" w:lineRule="exact"/>
        <w:rPr>
          <w:sz w:val="20"/>
          <w:szCs w:val="20"/>
          <w:color w:val="auto"/>
        </w:rPr>
      </w:pPr>
    </w:p>
    <w:p>
      <w:pPr>
        <w:jc w:val="both"/>
        <w:ind w:right="20" w:firstLine="1139"/>
        <w:spacing w:after="0" w:line="255" w:lineRule="auto"/>
        <w:tabs>
          <w:tab w:leader="none" w:pos="162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The Administrator may, upon at least five (5) days notice to the Seller and each Purchaser and Purchaser Agent, resign as Administrator. Except as provided below, such resignation shall not become effective until a successor agent is appointed by the Majority Purchasers and has accepted such appointment. If no successor Administrator shall have been so appointed by the Majority Purchasers, within thirty (30) days after the departing Administrator’s giving of notice of resignation, the departing Administrator may appoint a successor Administrator as successor Administrator. If no successor Administrator shall have been so appointed by the Majority Purchasers within sixty (60) days after the departing Administrator’s giving of notice of resignation, the departing Administrator may petition a court of competent jurisdiction to appoint a successor Administrator.</w:t>
      </w:r>
    </w:p>
    <w:p>
      <w:pPr>
        <w:spacing w:after="0" w:line="162" w:lineRule="exact"/>
        <w:rPr>
          <w:rFonts w:ascii="Arial" w:cs="Arial" w:eastAsia="Arial" w:hAnsi="Arial"/>
          <w:sz w:val="19"/>
          <w:szCs w:val="19"/>
          <w:color w:val="auto"/>
        </w:rPr>
      </w:pPr>
    </w:p>
    <w:p>
      <w:pPr>
        <w:jc w:val="both"/>
        <w:ind w:firstLine="1139"/>
        <w:spacing w:after="0" w:line="301" w:lineRule="auto"/>
        <w:tabs>
          <w:tab w:leader="none" w:pos="152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this Article V shall inure to its benefit as to any actions taken or omitted to be taken by it while it was the Administrator.</w:t>
      </w:r>
    </w:p>
    <w:p>
      <w:pPr>
        <w:spacing w:after="0" w:line="121"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VI.</w:t>
      </w:r>
    </w:p>
    <w:p>
      <w:pPr>
        <w:spacing w:after="0" w:line="29"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MISCELLANEOUS</w:t>
      </w:r>
    </w:p>
    <w:p>
      <w:pPr>
        <w:spacing w:after="0" w:line="195" w:lineRule="exact"/>
        <w:rPr>
          <w:sz w:val="20"/>
          <w:szCs w:val="20"/>
          <w:color w:val="auto"/>
        </w:rPr>
      </w:pPr>
    </w:p>
    <w:p>
      <w:pPr>
        <w:jc w:val="both"/>
        <w:ind w:firstLine="572"/>
        <w:spacing w:after="0" w:line="282"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Transaction Document, or consent to any departure by the Seller or the Servicer therefrom, shall be effective unless in a writing signed by the Administrator and each of the Majority Purchasers, and, in the case of any amendment, by the other parties thereto; and then such amendment,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amendment or waiver shall, without the consent of each affected Purchaser, (A) extend the date of any payment or deposit of Collections by the Seller or the Servicer, (B) reduce the rate or extend the time of payment of Discount, (C) reduce any fees payable to the Administrator, any Purchaser Agent or any Purchaser pursuant to the applicable Purchaser Group Fee Letter, (D) change the amount of Investment of any Purchaser, any Purchaser’s pro rata share of the Purchased Interest or any Committed Purchaser’s Commitment, (E) amend, modify or waive any provision of the definition of “Majority Purchaser”, “Simple Majority” or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(F) consent to or permit the assignment or transfer by the Seller of any of its rights and obligations under this Agreement, (G) change the definition of “Default Ratio”, “Eligible Receivable”, “Loss Reserve”, “Loss Reserve Percentage”, “Dilution Reserve”, “Dilution Reserve Percentage”, “Dilution Volatility Component”, “Minimum Dilution Reserve”, “Minimum Dilution Reserve Percentage”, “Termination Event”, “Yield Reserve”, “Yield Reserve Percentage”, “Total Reserves”, “Adjusted Net Receivables Pool Balance” or “Net Receivables Pool Balance”, (H) amend or modify any defined term (or any defined term used directly or indirectly in such defined term) used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in a manner that would circumvent the intention of the restrictions set forth in such clauses, or (I) otherwise materially and adversely affect the rights of any such Purchaser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amendment or waiver of any provision of any Lock-Box Agreement or the Lock-Box Schedule Letter Agreement shall require the consent of any Purchaser. No failure on the part of the Purchasers or the Administrator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43"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hereof (or in any Assignment Agreement or other document or agreement pursuant to which it is or became a party hereto), or at such other address or facsimile number as shall be designated by such party in a written notice to the other parties hereto. All such notices and communications shall be effective (i) if delivered by overnight mail, when received, and (ii) if transmitted by facsimile or electronic mail, when sent, receipt confirmed by telephone or electronic means.</w:t>
      </w:r>
    </w:p>
    <w:p>
      <w:pPr>
        <w:spacing w:after="0" w:line="162"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6"/>
          <w:szCs w:val="16"/>
          <w:u w:val="single" w:color="auto"/>
          <w:color w:val="auto"/>
        </w:rPr>
        <w:t>Successors and Assigns; Participations; Assignments</w:t>
      </w:r>
      <w:r>
        <w:rPr>
          <w:rFonts w:ascii="Arial" w:cs="Arial" w:eastAsia="Arial" w:hAnsi="Arial"/>
          <w:sz w:val="16"/>
          <w:szCs w:val="16"/>
          <w:color w:val="auto"/>
        </w:rPr>
        <w:t>.</w:t>
      </w:r>
    </w:p>
    <w:p>
      <w:pPr>
        <w:spacing w:after="0" w:line="210" w:lineRule="exact"/>
        <w:rPr>
          <w:sz w:val="20"/>
          <w:szCs w:val="20"/>
          <w:color w:val="auto"/>
        </w:rPr>
      </w:pPr>
    </w:p>
    <w:p>
      <w:pPr>
        <w:jc w:val="both"/>
        <w:ind w:firstLine="1139"/>
        <w:spacing w:after="0" w:line="313" w:lineRule="auto"/>
        <w:tabs>
          <w:tab w:leader="none" w:pos="1549"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hereto and their respective successors and assigns. Except as otherwise provided herein, the Seller may not assign or transfer any of its rights or delegate any of its duties hereunder or under any Transaction Document without the prior consent of the Administrator, the Purchaser Agents and the Purchasers.</w:t>
      </w:r>
    </w:p>
    <w:p>
      <w:pPr>
        <w:sectPr>
          <w:pgSz w:w="11900" w:h="16838" w:orient="portrait"/>
          <w:cols w:equalWidth="0" w:num="1">
            <w:col w:w="11440"/>
          </w:cols>
          <w:pgMar w:left="240" w:top="132" w:right="219" w:bottom="7" w:gutter="0" w:footer="0" w:header="0"/>
        </w:sectPr>
      </w:pPr>
    </w:p>
    <w:bookmarkStart w:id="187" w:name="page188"/>
    <w:bookmarkEnd w:id="187"/>
    <w:p>
      <w:pPr>
        <w:jc w:val="both"/>
        <w:ind w:firstLine="1139"/>
        <w:spacing w:after="0" w:line="273" w:lineRule="auto"/>
        <w:tabs>
          <w:tab w:leader="none" w:pos="158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Purchaser may sell to one or more Persons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participating interests in the interests of such Purchaser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Seller, each Purchaser Agent and the Administrator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w:t>
      </w:r>
    </w:p>
    <w:p>
      <w:pPr>
        <w:spacing w:after="0" w:line="148" w:lineRule="exact"/>
        <w:rPr>
          <w:rFonts w:ascii="Arial" w:cs="Arial" w:eastAsia="Arial" w:hAnsi="Arial"/>
          <w:sz w:val="18"/>
          <w:szCs w:val="18"/>
          <w:color w:val="auto"/>
        </w:rPr>
      </w:pPr>
    </w:p>
    <w:p>
      <w:pPr>
        <w:jc w:val="both"/>
        <w:ind w:firstLine="1139"/>
        <w:spacing w:after="0" w:line="283" w:lineRule="auto"/>
        <w:tabs>
          <w:tab w:leader="none" w:pos="1661"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Assignments by Certain Committed Purchasers</w:t>
      </w:r>
      <w:r>
        <w:rPr>
          <w:rFonts w:ascii="Arial" w:cs="Arial" w:eastAsia="Arial" w:hAnsi="Arial"/>
          <w:sz w:val="17"/>
          <w:szCs w:val="17"/>
          <w:color w:val="auto"/>
        </w:rPr>
        <w:t>. Any Committed Purchaser may assign to one or more Persons (each a “</w:t>
      </w:r>
      <w:r>
        <w:rPr>
          <w:rFonts w:ascii="Arial" w:cs="Arial" w:eastAsia="Arial" w:hAnsi="Arial"/>
          <w:sz w:val="17"/>
          <w:szCs w:val="17"/>
          <w:u w:val="single" w:color="auto"/>
          <w:color w:val="auto"/>
        </w:rPr>
        <w:t>Purchasing Committed Purchaser</w:t>
      </w:r>
      <w:r>
        <w:rPr>
          <w:rFonts w:ascii="Arial" w:cs="Arial" w:eastAsia="Arial" w:hAnsi="Arial"/>
          <w:sz w:val="17"/>
          <w:szCs w:val="17"/>
          <w:color w:val="auto"/>
        </w:rPr>
        <w:t xml:space="preserve">”), reasonably acceptable to the related Purchaser Agent in its sole discretion, any portion of its Commitment pursuant to a supplement hereto, substantially in the form of </w:t>
      </w:r>
      <w:r>
        <w:rPr>
          <w:rFonts w:ascii="Arial" w:cs="Arial" w:eastAsia="Arial" w:hAnsi="Arial"/>
          <w:sz w:val="17"/>
          <w:szCs w:val="17"/>
          <w:u w:val="single" w:color="auto"/>
          <w:color w:val="auto"/>
        </w:rPr>
        <w:t>Annex E</w:t>
      </w:r>
      <w:r>
        <w:rPr>
          <w:rFonts w:ascii="Arial" w:cs="Arial" w:eastAsia="Arial" w:hAnsi="Arial"/>
          <w:sz w:val="17"/>
          <w:szCs w:val="17"/>
          <w:color w:val="auto"/>
        </w:rPr>
        <w:t xml:space="preserve"> with any changes as have been approved by the parties thereto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Supplement</w:t>
      </w:r>
      <w:r>
        <w:rPr>
          <w:rFonts w:ascii="Arial" w:cs="Arial" w:eastAsia="Arial" w:hAnsi="Arial"/>
          <w:sz w:val="17"/>
          <w:szCs w:val="17"/>
          <w:color w:val="auto"/>
        </w:rPr>
        <w:t>”), executed by each such Purchasing Committed Purchaser, such selling Committed Purchaser, such related Purchaser Agent. Any such assignment by a Committed Purchaser cannot be for an amount less than the lesser of $30,000,000 and the amount of such Committed Purchaser’s Commitment. Upon (i) the execution of the Transfer Supplement, (ii) delivery of an executed copy thereof to the Seller, such related Purchaser Agent and the Administrator and (iii) payment by the Purchasing Committed Purchaser to the selling Committed Purchaser of the agreed purchase price, such selling Committed Purchaser shall be released from its obligations hereunder to the extent of such assignment and such Purchasing Committed Purchaser shall for all purposes be a Committed Purchaser party hereto and shall have all the rights and obligations of a Committed Purchaser hereunder to the same extent as if it were an original party hereto. The amount of the Commitment of the selling Committed Purchaser allocable to such Purchasing Committed Purchaser shall be equal to the amount of the Commitment of the selling Committed Purchaser transferred regardless of the purchase price paid therefor. The Transfer Supplement shall be an amendment hereof only to the extent necessary to reflect the addition of such Purchasing Committed Purchaser as a “Committed Purchaser” and any resulting adjustment of the selling Committed Purchaser’s Commitment.</w:t>
      </w:r>
    </w:p>
    <w:p>
      <w:pPr>
        <w:spacing w:after="0" w:line="148" w:lineRule="exact"/>
        <w:rPr>
          <w:rFonts w:ascii="Arial" w:cs="Arial" w:eastAsia="Arial" w:hAnsi="Arial"/>
          <w:sz w:val="17"/>
          <w:szCs w:val="17"/>
          <w:color w:val="auto"/>
        </w:rPr>
      </w:pPr>
    </w:p>
    <w:p>
      <w:pPr>
        <w:ind w:left="1480" w:hanging="341"/>
        <w:spacing w:after="0"/>
        <w:tabs>
          <w:tab w:leader="none" w:pos="1480"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jc w:val="both"/>
        <w:ind w:firstLine="1139"/>
        <w:spacing w:after="0" w:line="268" w:lineRule="auto"/>
        <w:tabs>
          <w:tab w:leader="none" w:pos="1715"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Assignment by Conduit Purchasers</w:t>
      </w:r>
      <w:r>
        <w:rPr>
          <w:rFonts w:ascii="Arial" w:cs="Arial" w:eastAsia="Arial" w:hAnsi="Arial"/>
          <w:sz w:val="18"/>
          <w:szCs w:val="18"/>
          <w:color w:val="auto"/>
        </w:rPr>
        <w:t>. Each party hereto agrees and consents (i) to any Conduit Purchaser’s assignment, participation, grant of security interests in or other transfers of any portion of, or any of its beneficial interest in, the Purchased Interest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Any assigning Conduit Purchaser shall deliver to any assignee a Transfer Supplement, duly executed by such Conduit Purchaser, assigning any portion of its interest in the Purchased Interest to its assignee. Such Conduit Purchaser shall promptly (i) notify each of the other parties hereto of such assignment and (ii) take all further action that the assignee reasonably requests in order to evidence the assignee’s right, title and interest in such interest in the Purchased Interest and to enable the assignee to exercise or enforce any rights of such Conduit Purchaser hereunder. Upon the assignment of any portion of its interest in the Purchased Interest, the assignee shall have all of the rights hereunder with respect to such interest.</w:t>
      </w:r>
    </w:p>
    <w:p>
      <w:pPr>
        <w:spacing w:after="0" w:line="154" w:lineRule="exact"/>
        <w:rPr>
          <w:rFonts w:ascii="Arial" w:cs="Arial" w:eastAsia="Arial" w:hAnsi="Arial"/>
          <w:sz w:val="18"/>
          <w:szCs w:val="18"/>
          <w:color w:val="auto"/>
        </w:rPr>
      </w:pPr>
    </w:p>
    <w:p>
      <w:pPr>
        <w:jc w:val="both"/>
        <w:ind w:right="20" w:firstLine="1139"/>
        <w:spacing w:after="0" w:line="270" w:lineRule="auto"/>
        <w:tabs>
          <w:tab w:leader="none" w:pos="153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Administrator shall, acting solely for this purpose as an agent of the Seller, maintain at its address referred to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of this Agreement (or such other address of the Administrator notified by the Administrator to the other parties hereto) a copy of each Transfer Supplement delivered to and accepted by it and a register for the recordation of the names and addresses of the Purchasers, the Commitment of each Committed Purchaser and the aggregate Investment of each Purchaser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Seller, the Servicer, the Administrator, the Purchaser Agents and the Purchasers may treat each Person whose name is recorded in the Register as a Purchaser, as a Purchaser under this Agreement for all purposes of this Agreement. The Register shall be available for inspection by the Seller, the Servicer, any Purchaser Agent or any Purchaser at any reasonable time and from time to time upon reasonable prior notice.</w:t>
      </w:r>
    </w:p>
    <w:p>
      <w:pPr>
        <w:spacing w:after="0" w:line="150" w:lineRule="exact"/>
        <w:rPr>
          <w:rFonts w:ascii="Arial" w:cs="Arial" w:eastAsia="Arial" w:hAnsi="Arial"/>
          <w:sz w:val="18"/>
          <w:szCs w:val="18"/>
          <w:color w:val="auto"/>
        </w:rPr>
      </w:pPr>
    </w:p>
    <w:p>
      <w:pPr>
        <w:jc w:val="both"/>
        <w:ind w:firstLine="1139"/>
        <w:spacing w:after="0" w:line="268" w:lineRule="auto"/>
        <w:tabs>
          <w:tab w:leader="none" w:pos="1578"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Upon its receipt of a Transfer Supplement executed and delivered by an assigning Purchaser, the Administrator shall, if such Transfer Supplement has been duly completed, (i) accept such Transfer Supplement and (ii) record the information contained therein in the Register.</w:t>
      </w:r>
    </w:p>
    <w:p>
      <w:pPr>
        <w:spacing w:after="0" w:line="150" w:lineRule="exact"/>
        <w:rPr>
          <w:sz w:val="20"/>
          <w:szCs w:val="20"/>
          <w:color w:val="auto"/>
        </w:rPr>
      </w:pPr>
    </w:p>
    <w:p>
      <w:pPr>
        <w:jc w:val="both"/>
        <w:ind w:firstLine="572"/>
        <w:spacing w:after="0" w:line="286"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Costs, Expenses and Taxes</w:t>
      </w:r>
      <w:r>
        <w:rPr>
          <w:rFonts w:ascii="Arial" w:cs="Arial" w:eastAsia="Arial" w:hAnsi="Arial"/>
          <w:sz w:val="17"/>
          <w:szCs w:val="17"/>
          <w:color w:val="auto"/>
        </w:rPr>
        <w:t xml:space="preserve">. In addition to the rights of indemnification granted under </w:t>
      </w:r>
      <w:r>
        <w:rPr>
          <w:rFonts w:ascii="Arial" w:cs="Arial" w:eastAsia="Arial" w:hAnsi="Arial"/>
          <w:sz w:val="17"/>
          <w:szCs w:val="17"/>
          <w:u w:val="single" w:color="auto"/>
          <w:color w:val="auto"/>
        </w:rPr>
        <w:t>Section 3.1</w:t>
      </w:r>
      <w:r>
        <w:rPr>
          <w:rFonts w:ascii="Arial" w:cs="Arial" w:eastAsia="Arial" w:hAnsi="Arial"/>
          <w:sz w:val="17"/>
          <w:szCs w:val="17"/>
          <w:color w:val="auto"/>
        </w:rPr>
        <w:t>, the Seller agrees to pay on demand (which demand shall be accompanied by documentation thereof in reasonable detail) all reasonable costs and expenses in connection with the preparation, execution, delivery and administration (including periodic internal audits by the Administrator of Pool Receivables) of this Agreement, the other Transaction Documents and the other documents and agreements to be delivered hereunder (and all reasonable costs and expenses in connection with any amendment, waiver or modification of any thereof), including: (i) Attorney Costs for the Administrator, each Purchaser Group and their respective Affiliates and agents with respect thereto and with respect to advising the Administrator, each Purchaser Group and their respective Affiliates and agents as to their rights and remedies under this Agreement and the other Transaction Documents, and (ii) all reasonable costs and expenses (including Attorney Costs), if any, of the Administrator, each Purchaser Group and their respective Affiliates and agents in connection with the enforcement of this Agreement and the other Transaction Documents.</w:t>
      </w:r>
    </w:p>
    <w:p>
      <w:pPr>
        <w:spacing w:after="0" w:line="143" w:lineRule="exact"/>
        <w:rPr>
          <w:sz w:val="20"/>
          <w:szCs w:val="20"/>
          <w:color w:val="auto"/>
        </w:rPr>
      </w:pPr>
    </w:p>
    <w:p>
      <w:pPr>
        <w:jc w:val="both"/>
        <w:ind w:right="20" w:firstLine="572"/>
        <w:spacing w:after="0" w:line="306" w:lineRule="auto"/>
        <w:rPr>
          <w:sz w:val="20"/>
          <w:szCs w:val="20"/>
          <w:color w:val="auto"/>
        </w:rPr>
      </w:pPr>
      <w:r>
        <w:rPr>
          <w:rFonts w:ascii="Arial" w:cs="Arial" w:eastAsia="Arial" w:hAnsi="Arial"/>
          <w:sz w:val="17"/>
          <w:szCs w:val="17"/>
          <w:color w:val="auto"/>
        </w:rPr>
        <w:t>In addition, the Seller shall pay on demand any and all stamp and other taxes and fees payable in connection with the execution, delivery, filing and recording of this Agreement or the other documents or agreements to be delivered hereunder, and agrees to save each Indemnified Party harmless from and against any liabilities with respect to or resulting from any delay in paying or omission to pay such taxes and fees.</w:t>
      </w:r>
    </w:p>
    <w:p>
      <w:pPr>
        <w:spacing w:after="0" w:line="122"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No Proceedings; Limitation on Payments</w:t>
      </w:r>
      <w:r>
        <w:rPr>
          <w:rFonts w:ascii="Arial" w:cs="Arial" w:eastAsia="Arial" w:hAnsi="Arial"/>
          <w:sz w:val="17"/>
          <w:szCs w:val="17"/>
          <w:color w:val="auto"/>
        </w:rPr>
        <w:t>.</w:t>
      </w:r>
    </w:p>
    <w:p>
      <w:pPr>
        <w:spacing w:after="0" w:line="210" w:lineRule="exact"/>
        <w:rPr>
          <w:sz w:val="20"/>
          <w:szCs w:val="20"/>
          <w:color w:val="auto"/>
        </w:rPr>
      </w:pPr>
    </w:p>
    <w:p>
      <w:pPr>
        <w:jc w:val="both"/>
        <w:ind w:right="20" w:firstLine="1139"/>
        <w:spacing w:after="0" w:line="280" w:lineRule="auto"/>
        <w:tabs>
          <w:tab w:leader="none" w:pos="166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of the Seller, WESCO,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Insolvency Proceeding, for one year and one day after the latest maturing Note issued by such Conduit Purchaser is paid in full.</w:t>
      </w:r>
    </w:p>
    <w:p>
      <w:pPr>
        <w:spacing w:after="0" w:line="142" w:lineRule="exact"/>
        <w:rPr>
          <w:rFonts w:ascii="Arial" w:cs="Arial" w:eastAsia="Arial" w:hAnsi="Arial"/>
          <w:sz w:val="18"/>
          <w:szCs w:val="18"/>
          <w:color w:val="auto"/>
        </w:rPr>
      </w:pPr>
    </w:p>
    <w:p>
      <w:pPr>
        <w:jc w:val="both"/>
        <w:ind w:firstLine="1139"/>
        <w:spacing w:after="0" w:line="301" w:lineRule="auto"/>
        <w:tabs>
          <w:tab w:leader="none" w:pos="160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Each of WESCO, the Servicer,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the Seller any Insolvency Proceeding until one year and one day after the Final Payout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Administrator may take any such action in its sole discretion following the occurrence of a Termination Event.</w:t>
      </w:r>
    </w:p>
    <w:p>
      <w:pPr>
        <w:sectPr>
          <w:pgSz w:w="11900" w:h="16838" w:orient="portrait"/>
          <w:cols w:equalWidth="0" w:num="1">
            <w:col w:w="11440"/>
          </w:cols>
          <w:pgMar w:left="240" w:top="132" w:right="219" w:bottom="18" w:gutter="0" w:footer="0" w:header="0"/>
        </w:sectPr>
      </w:pPr>
    </w:p>
    <w:bookmarkStart w:id="188" w:name="page189"/>
    <w:bookmarkEnd w:id="188"/>
    <w:p>
      <w:pPr>
        <w:spacing w:after="0" w:line="75" w:lineRule="exact"/>
        <w:rPr>
          <w:sz w:val="20"/>
          <w:szCs w:val="20"/>
          <w:color w:val="auto"/>
        </w:rPr>
      </w:pPr>
    </w:p>
    <w:p>
      <w:pPr>
        <w:jc w:val="both"/>
        <w:ind w:firstLine="1139"/>
        <w:spacing w:after="0" w:line="269" w:lineRule="auto"/>
        <w:tabs>
          <w:tab w:leader="none" w:pos="152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 (ii) 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 (y) 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provision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shall survive any termination of this Agreement.</w:t>
      </w:r>
    </w:p>
    <w:p>
      <w:pPr>
        <w:spacing w:after="0" w:line="152"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w:t>
      </w:r>
    </w:p>
    <w:p>
      <w:pPr>
        <w:spacing w:after="0" w:line="210" w:lineRule="exact"/>
        <w:rPr>
          <w:sz w:val="20"/>
          <w:szCs w:val="20"/>
          <w:color w:val="auto"/>
        </w:rPr>
      </w:pPr>
    </w:p>
    <w:p>
      <w:pPr>
        <w:jc w:val="both"/>
        <w:ind w:firstLine="1139"/>
        <w:spacing w:after="0" w:line="268" w:lineRule="auto"/>
        <w:tabs>
          <w:tab w:leader="none" w:pos="154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THIS AGREEMENT SHALL BE DEEMED TO BE A CONTRACT MADE UNDER AND GOVERNED BY THE LAWS OF THE STATE OF NEW YORK (INCLUDING FOR SUCH PURPOSE SECTIONS 5-1401 AND 5-1402 OF THE GENERAL OBLIGATIONS LAW OF THE STATE OF NEW YORK).</w:t>
      </w:r>
    </w:p>
    <w:p>
      <w:pPr>
        <w:spacing w:after="0" w:line="149" w:lineRule="exact"/>
        <w:rPr>
          <w:rFonts w:ascii="Arial" w:cs="Arial" w:eastAsia="Arial" w:hAnsi="Arial"/>
          <w:sz w:val="19"/>
          <w:szCs w:val="19"/>
          <w:color w:val="auto"/>
        </w:rPr>
      </w:pPr>
    </w:p>
    <w:p>
      <w:pPr>
        <w:jc w:val="both"/>
        <w:ind w:firstLine="1139"/>
        <w:spacing w:after="0" w:line="253" w:lineRule="auto"/>
        <w:tabs>
          <w:tab w:leader="none" w:pos="166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WAIVES PERSONAL SERVICE OF ANY SUMMONS, COMPLAINT OR OTHER PROCESS, WHICH SERVICE MAY BE MADE BY ANY OTHER MEANS PERMITTED BY NEW YORK LAW.</w:t>
      </w:r>
    </w:p>
    <w:p>
      <w:pPr>
        <w:spacing w:after="0" w:line="167" w:lineRule="exact"/>
        <w:rPr>
          <w:sz w:val="20"/>
          <w:szCs w:val="20"/>
          <w:color w:val="auto"/>
        </w:rPr>
      </w:pPr>
    </w:p>
    <w:p>
      <w:pPr>
        <w:jc w:val="both"/>
        <w:ind w:right="20" w:firstLine="572"/>
        <w:spacing w:after="0" w:line="287"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any number of counterparts, each of which, when so executed, shall be deemed to be an original, and all of which, when taken together, shall constitute one and the same agreement.</w:t>
      </w:r>
    </w:p>
    <w:p>
      <w:pPr>
        <w:spacing w:after="0" w:line="133" w:lineRule="exact"/>
        <w:rPr>
          <w:sz w:val="20"/>
          <w:szCs w:val="20"/>
          <w:color w:val="auto"/>
        </w:rPr>
      </w:pPr>
    </w:p>
    <w:p>
      <w:pPr>
        <w:jc w:val="both"/>
        <w:ind w:right="20" w:firstLine="572"/>
        <w:spacing w:after="0" w:line="287"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Survival of Termination</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1.7</w:t>
      </w:r>
      <w:r>
        <w:rPr>
          <w:rFonts w:ascii="Arial" w:cs="Arial" w:eastAsia="Arial" w:hAnsi="Arial"/>
          <w:sz w:val="19"/>
          <w:szCs w:val="19"/>
          <w:color w:val="auto"/>
        </w:rPr>
        <w:t xml:space="preserve">, </w:t>
      </w:r>
      <w:r>
        <w:rPr>
          <w:rFonts w:ascii="Arial" w:cs="Arial" w:eastAsia="Arial" w:hAnsi="Arial"/>
          <w:sz w:val="19"/>
          <w:szCs w:val="19"/>
          <w:u w:val="single" w:color="auto"/>
          <w:color w:val="auto"/>
        </w:rPr>
        <w:t>1.8</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6.4</w:t>
      </w:r>
      <w:r>
        <w:rPr>
          <w:rFonts w:ascii="Arial" w:cs="Arial" w:eastAsia="Arial" w:hAnsi="Arial"/>
          <w:sz w:val="19"/>
          <w:szCs w:val="19"/>
          <w:color w:val="auto"/>
        </w:rPr>
        <w:t xml:space="preserve">, </w:t>
      </w:r>
      <w:r>
        <w:rPr>
          <w:rFonts w:ascii="Arial" w:cs="Arial" w:eastAsia="Arial" w:hAnsi="Arial"/>
          <w:sz w:val="19"/>
          <w:szCs w:val="19"/>
          <w:u w:val="single" w:color="auto"/>
          <w:color w:val="auto"/>
        </w:rPr>
        <w:t>6.5</w:t>
      </w:r>
      <w:r>
        <w:rPr>
          <w:rFonts w:ascii="Arial" w:cs="Arial" w:eastAsia="Arial" w:hAnsi="Arial"/>
          <w:sz w:val="19"/>
          <w:szCs w:val="19"/>
          <w:color w:val="auto"/>
        </w:rPr>
        <w:t xml:space="preserve">, </w:t>
      </w:r>
      <w:r>
        <w:rPr>
          <w:rFonts w:ascii="Arial" w:cs="Arial" w:eastAsia="Arial" w:hAnsi="Arial"/>
          <w:sz w:val="19"/>
          <w:szCs w:val="19"/>
          <w:u w:val="single" w:color="auto"/>
          <w:color w:val="auto"/>
        </w:rPr>
        <w:t>6.6</w:t>
      </w:r>
      <w:r>
        <w:rPr>
          <w:rFonts w:ascii="Arial" w:cs="Arial" w:eastAsia="Arial" w:hAnsi="Arial"/>
          <w:sz w:val="19"/>
          <w:szCs w:val="19"/>
          <w:color w:val="auto"/>
        </w:rPr>
        <w:t xml:space="preserve">, </w:t>
      </w:r>
      <w:r>
        <w:rPr>
          <w:rFonts w:ascii="Arial" w:cs="Arial" w:eastAsia="Arial" w:hAnsi="Arial"/>
          <w:sz w:val="19"/>
          <w:szCs w:val="19"/>
          <w:u w:val="single" w:color="auto"/>
          <w:color w:val="auto"/>
        </w:rPr>
        <w:t>6.9</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shall survive any termination of this Agreement.</w:t>
      </w:r>
    </w:p>
    <w:p>
      <w:pPr>
        <w:spacing w:after="0" w:line="133" w:lineRule="exact"/>
        <w:rPr>
          <w:sz w:val="20"/>
          <w:szCs w:val="20"/>
          <w:color w:val="auto"/>
        </w:rPr>
      </w:pPr>
    </w:p>
    <w:p>
      <w:pPr>
        <w:jc w:val="both"/>
        <w:ind w:firstLine="572"/>
        <w:spacing w:after="0" w:line="252"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OF THE PARTIES HERETO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w:t>
      </w:r>
    </w:p>
    <w:p>
      <w:pPr>
        <w:spacing w:after="0" w:line="172" w:lineRule="exact"/>
        <w:rPr>
          <w:sz w:val="20"/>
          <w:szCs w:val="20"/>
          <w:color w:val="auto"/>
        </w:rPr>
      </w:pPr>
    </w:p>
    <w:p>
      <w:pPr>
        <w:jc w:val="both"/>
        <w:ind w:firstLine="572"/>
        <w:spacing w:after="0" w:line="271"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Sharing of Recoveries</w:t>
      </w:r>
      <w:r>
        <w:rPr>
          <w:rFonts w:ascii="Arial" w:cs="Arial" w:eastAsia="Arial" w:hAnsi="Arial"/>
          <w:sz w:val="18"/>
          <w:szCs w:val="18"/>
          <w:color w:val="auto"/>
        </w:rPr>
        <w:t>.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Investment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w:t>
      </w:r>
    </w:p>
    <w:p>
      <w:pPr>
        <w:spacing w:after="0" w:line="151"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Right of Setoff</w:t>
      </w:r>
      <w:r>
        <w:rPr>
          <w:rFonts w:ascii="Arial" w:cs="Arial" w:eastAsia="Arial" w:hAnsi="Arial"/>
          <w:sz w:val="19"/>
          <w:szCs w:val="19"/>
          <w:color w:val="auto"/>
        </w:rPr>
        <w:t>. During a Termination Event,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w:t>
      </w:r>
    </w:p>
    <w:p>
      <w:pPr>
        <w:spacing w:after="0" w:line="158" w:lineRule="exact"/>
        <w:rPr>
          <w:sz w:val="20"/>
          <w:szCs w:val="20"/>
          <w:color w:val="auto"/>
        </w:rPr>
      </w:pPr>
    </w:p>
    <w:p>
      <w:pPr>
        <w:jc w:val="both"/>
        <w:ind w:right="20" w:firstLine="572"/>
        <w:spacing w:after="0" w:line="268"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w:t>
      </w:r>
    </w:p>
    <w:p>
      <w:pPr>
        <w:spacing w:after="0" w:line="150" w:lineRule="exact"/>
        <w:rPr>
          <w:sz w:val="20"/>
          <w:szCs w:val="20"/>
          <w:color w:val="auto"/>
        </w:rPr>
      </w:pPr>
    </w:p>
    <w:p>
      <w:pPr>
        <w:jc w:val="both"/>
        <w:ind w:firstLine="572"/>
        <w:spacing w:after="0" w:line="28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Headings</w:t>
      </w:r>
      <w:r>
        <w:rPr>
          <w:rFonts w:ascii="Arial" w:cs="Arial" w:eastAsia="Arial" w:hAnsi="Arial"/>
          <w:sz w:val="19"/>
          <w:szCs w:val="19"/>
          <w:color w:val="auto"/>
        </w:rPr>
        <w:t>. The captions and headings of this Agreement and any Exhibit, Schedule or Annex hereto are for convenience of reference only and shall not affect the interpretation hereof or thereof.</w:t>
      </w:r>
    </w:p>
    <w:p>
      <w:pPr>
        <w:spacing w:after="0" w:line="133" w:lineRule="exact"/>
        <w:rPr>
          <w:sz w:val="20"/>
          <w:szCs w:val="20"/>
          <w:color w:val="auto"/>
        </w:rPr>
      </w:pPr>
    </w:p>
    <w:p>
      <w:pPr>
        <w:jc w:val="both"/>
        <w:ind w:firstLine="572"/>
        <w:spacing w:after="0" w:line="270"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Purchaser Groups’ Liabilities</w:t>
      </w:r>
      <w:r>
        <w:rPr>
          <w:rFonts w:ascii="Arial" w:cs="Arial" w:eastAsia="Arial" w:hAnsi="Arial"/>
          <w:sz w:val="18"/>
          <w:szCs w:val="18"/>
          <w:color w:val="auto"/>
        </w:rPr>
        <w:t>.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w:t>
      </w:r>
    </w:p>
    <w:p>
      <w:pPr>
        <w:spacing w:after="0" w:line="151" w:lineRule="exact"/>
        <w:rPr>
          <w:sz w:val="20"/>
          <w:szCs w:val="20"/>
          <w:color w:val="auto"/>
        </w:rPr>
      </w:pPr>
    </w:p>
    <w:p>
      <w:pPr>
        <w:jc w:val="both"/>
        <w:ind w:firstLine="572"/>
        <w:spacing w:after="0" w:line="349"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Pledge to a Federal Reserve Bank</w:t>
      </w:r>
      <w:r>
        <w:rPr>
          <w:rFonts w:ascii="Arial" w:cs="Arial" w:eastAsia="Arial" w:hAnsi="Arial"/>
          <w:sz w:val="17"/>
          <w:szCs w:val="17"/>
          <w:color w:val="auto"/>
        </w:rPr>
        <w:t>. Notwithstanding anything to the contrary set forth herein, (i) each Committed Purchaser may at any time pledge or grant a security interest in all or any portion of its interest in, to and under its undivided percentage ownership interest with</w:t>
      </w:r>
    </w:p>
    <w:p>
      <w:pPr>
        <w:sectPr>
          <w:pgSz w:w="11900" w:h="16914" w:orient="portrait"/>
          <w:cols w:equalWidth="0" w:num="1">
            <w:col w:w="11440"/>
          </w:cols>
          <w:pgMar w:left="240" w:top="132" w:right="219" w:bottom="0" w:gutter="0" w:footer="0" w:header="0"/>
        </w:sectPr>
      </w:pPr>
    </w:p>
    <w:bookmarkStart w:id="189" w:name="page190"/>
    <w:bookmarkEnd w:id="189"/>
    <w:p>
      <w:pPr>
        <w:jc w:val="both"/>
        <w:spacing w:after="0" w:line="253" w:lineRule="auto"/>
        <w:rPr>
          <w:sz w:val="20"/>
          <w:szCs w:val="20"/>
          <w:color w:val="auto"/>
        </w:rPr>
      </w:pPr>
      <w:r>
        <w:rPr>
          <w:rFonts w:ascii="Arial" w:cs="Arial" w:eastAsia="Arial" w:hAnsi="Arial"/>
          <w:sz w:val="19"/>
          <w:szCs w:val="19"/>
          <w:color w:val="auto"/>
        </w:rPr>
        <w:t>regard to the Purchased Interest or under this Agreement to secure its obligations to a Federal Reserve Bank, or (ii) in the event that any Conduit Purchaser assigns any interest in, to and under its undivided percentage ownership interest with regard to the Purchased Interest to any Program Support Provider pursuant to a Program Support Agreement, such Program Support Provider may at any time pledge or grant a security interest in all or any portion of its interest in, to and under such undivided percentage ownership interest with regard to the Purchased Interest or under this Agreement to secure the obligations of such Program Support Provider to a Federal Reserve Bank, in each case without notice to or the consent of the Seller.</w:t>
      </w:r>
    </w:p>
    <w:p>
      <w:pPr>
        <w:spacing w:after="0" w:line="167"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9"/>
          <w:szCs w:val="19"/>
          <w:color w:val="auto"/>
        </w:rPr>
        <w:t>Section 6.16.</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10" w:lineRule="exact"/>
        <w:rPr>
          <w:sz w:val="20"/>
          <w:szCs w:val="20"/>
          <w:color w:val="auto"/>
        </w:rPr>
      </w:pPr>
    </w:p>
    <w:p>
      <w:pPr>
        <w:jc w:val="both"/>
        <w:ind w:firstLine="1139"/>
        <w:spacing w:after="0" w:line="265" w:lineRule="auto"/>
        <w:tabs>
          <w:tab w:leader="none" w:pos="153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Each of the Seller and the Servicer covenants and agrees to hold in confidence, and not disclose to any Person, the terms of this Agreement or any Purchaser Group Fee Letter (including any fees payable in connection with this Agreement, any Purchaser Group Fee Letter or any other Transaction Document or the identity of the Administrator or any Purchaser or Purchaser Agent), except as the Administrator and each Purchaser Agent may have consented to in writing prior to any proposed disclosure;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the Seller and the Servicer will use reasonable efforts to maintain confidentiality and will (unless otherwise prohibited by Applicable Law) notify the Administrator and the affected Purchaser or Purchaser Agent of its intention to make any such disclosure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Notwithstanding the foregoing, it is expressly agreed that each of the Seller, the Servicer and their respective Affiliates may publish a press release or otherwise publicly announce the existence and principal amount of the Commitments under this Agreement and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shall be provided a reasonable opportunity to review such press release or other public announcement prior to its release and provide comment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press release shall name or otherwise identify the Administrator, any Purchaser, any Purchaser Agent or any of their respective Affiliates without such Person’s prior written consent (such consent not to be unreasonably withheld, conditioned or delayed).</w:t>
      </w:r>
    </w:p>
    <w:p>
      <w:pPr>
        <w:spacing w:after="0" w:line="165" w:lineRule="exact"/>
        <w:rPr>
          <w:rFonts w:ascii="Arial" w:cs="Arial" w:eastAsia="Arial" w:hAnsi="Arial"/>
          <w:sz w:val="18"/>
          <w:szCs w:val="18"/>
          <w:color w:val="auto"/>
        </w:rPr>
      </w:pPr>
    </w:p>
    <w:p>
      <w:pPr>
        <w:jc w:val="both"/>
        <w:ind w:firstLine="1139"/>
        <w:spacing w:after="0" w:line="301" w:lineRule="auto"/>
        <w:tabs>
          <w:tab w:leader="none" w:pos="164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As used in this Section, (i) “</w:t>
      </w:r>
      <w:r>
        <w:rPr>
          <w:rFonts w:ascii="Arial" w:cs="Arial" w:eastAsia="Arial" w:hAnsi="Arial"/>
          <w:sz w:val="17"/>
          <w:szCs w:val="17"/>
          <w:u w:val="single" w:color="auto"/>
          <w:color w:val="auto"/>
        </w:rPr>
        <w:t>Advisors</w:t>
      </w:r>
      <w:r>
        <w:rPr>
          <w:rFonts w:ascii="Arial" w:cs="Arial" w:eastAsia="Arial" w:hAnsi="Arial"/>
          <w:sz w:val="17"/>
          <w:szCs w:val="17"/>
          <w:color w:val="auto"/>
        </w:rPr>
        <w:t>” means, with respect to any Person, such Person’s accountants, attorneys and other confidential advisors and (ii)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means, with respect to any Person, such Person’s Affiliates, Subsidiaries, directors, managers, officers, employees, members, investors, financing sources, insurers, professional advisors, representatives and agents;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shall not be deemed to Representatives of a Person unless (and solely to the extent that) confidential information is furnished to such Person.</w:t>
      </w:r>
    </w:p>
    <w:p>
      <w:pPr>
        <w:spacing w:after="0" w:line="127" w:lineRule="exact"/>
        <w:rPr>
          <w:rFonts w:ascii="Arial" w:cs="Arial" w:eastAsia="Arial" w:hAnsi="Arial"/>
          <w:sz w:val="17"/>
          <w:szCs w:val="17"/>
          <w:color w:val="auto"/>
        </w:rPr>
      </w:pPr>
    </w:p>
    <w:p>
      <w:pPr>
        <w:jc w:val="both"/>
        <w:ind w:right="20" w:firstLine="1139"/>
        <w:spacing w:after="0" w:line="301" w:lineRule="auto"/>
        <w:tabs>
          <w:tab w:leader="none" w:pos="156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spacing w:after="0" w:line="127" w:lineRule="exact"/>
        <w:rPr>
          <w:sz w:val="20"/>
          <w:szCs w:val="20"/>
          <w:color w:val="auto"/>
        </w:rPr>
      </w:pPr>
    </w:p>
    <w:p>
      <w:pPr>
        <w:jc w:val="both"/>
        <w:ind w:firstLine="572"/>
        <w:spacing w:after="0" w:line="258"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Mutual Negotiations</w:t>
      </w:r>
      <w:r>
        <w:rPr>
          <w:rFonts w:ascii="Arial" w:cs="Arial" w:eastAsia="Arial" w:hAnsi="Arial"/>
          <w:sz w:val="19"/>
          <w:szCs w:val="19"/>
          <w:color w:val="auto"/>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160"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Credit Agreement</w:t>
      </w:r>
      <w:r>
        <w:rPr>
          <w:rFonts w:ascii="Arial" w:cs="Arial" w:eastAsia="Arial" w:hAnsi="Arial"/>
          <w:sz w:val="19"/>
          <w:szCs w:val="19"/>
          <w:color w:val="auto"/>
        </w:rPr>
        <w:t>. Notwithstanding anything to the contrary set forth herein, each reference to any definition, section or provision in the Credit Agreement shall be a reference thereto without giving effect to any amendments, supplements or other modifications thereto entered into at any time that PNC Bank, National Association is not a party to the Credit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28" w:lineRule="exact"/>
        <w:rPr>
          <w:sz w:val="20"/>
          <w:szCs w:val="20"/>
          <w:color w:val="auto"/>
        </w:rPr>
      </w:pPr>
    </w:p>
    <w:p>
      <w:pPr>
        <w:jc w:val="both"/>
        <w:ind w:right="20" w:firstLine="572"/>
        <w:spacing w:after="0" w:line="280"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Agreement to be executed by their respective officers thereunto duly authorized,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date first above written.</w:t>
      </w:r>
    </w:p>
    <w:p>
      <w:pPr>
        <w:spacing w:after="0" w:line="366"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WESCO RECEIVABLES CORP.,</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as Seller</w:t>
      </w:r>
    </w:p>
    <w:p>
      <w:pPr>
        <w:spacing w:after="0" w:line="200" w:lineRule="exact"/>
        <w:rPr>
          <w:sz w:val="20"/>
          <w:szCs w:val="20"/>
          <w:color w:val="auto"/>
        </w:rPr>
      </w:pPr>
    </w:p>
    <w:p>
      <w:pPr>
        <w:spacing w:after="0" w:line="245"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10934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0934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19"/>
          <w:szCs w:val="19"/>
          <w:color w:val="auto"/>
        </w:rPr>
        <w:t>Name:</w:t>
        <w:tab/>
        <w:t>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-22225</wp:posOffset>
            </wp:positionV>
            <wp:extent cx="9652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ind w:left="3420"/>
        <w:spacing w:after="0"/>
        <w:tabs>
          <w:tab w:leader="none" w:pos="4040" w:val="left"/>
        </w:tabs>
        <w:rPr>
          <w:sz w:val="20"/>
          <w:szCs w:val="20"/>
          <w:color w:val="auto"/>
        </w:rPr>
      </w:pPr>
      <w:r>
        <w:rPr>
          <w:rFonts w:ascii="Arial" w:cs="Arial" w:eastAsia="Arial" w:hAnsi="Arial"/>
          <w:sz w:val="19"/>
          <w:szCs w:val="19"/>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-22225</wp:posOffset>
            </wp:positionV>
            <wp:extent cx="6991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13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WESCO DISTRIBUTION, INC.,</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as Servicer</w:t>
      </w:r>
    </w:p>
    <w:p>
      <w:pPr>
        <w:spacing w:after="0" w:line="200" w:lineRule="exact"/>
        <w:rPr>
          <w:sz w:val="20"/>
          <w:szCs w:val="20"/>
          <w:color w:val="auto"/>
        </w:rPr>
      </w:pPr>
    </w:p>
    <w:p>
      <w:pPr>
        <w:spacing w:after="0" w:line="245"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10934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0934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19"/>
          <w:szCs w:val="19"/>
          <w:color w:val="auto"/>
        </w:rPr>
        <w:t>Name:</w:t>
        <w:tab/>
        <w:t>Brian M. Begg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-22225</wp:posOffset>
            </wp:positionV>
            <wp:extent cx="9652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ind w:left="3420"/>
        <w:spacing w:after="0"/>
        <w:tabs>
          <w:tab w:leader="none" w:pos="4040" w:val="left"/>
        </w:tabs>
        <w:rPr>
          <w:sz w:val="20"/>
          <w:szCs w:val="20"/>
          <w:color w:val="auto"/>
        </w:rPr>
      </w:pPr>
      <w:r>
        <w:rPr>
          <w:rFonts w:ascii="Arial" w:cs="Arial" w:eastAsia="Arial" w:hAnsi="Arial"/>
          <w:sz w:val="19"/>
          <w:szCs w:val="19"/>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-22225</wp:posOffset>
            </wp:positionV>
            <wp:extent cx="69913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135" cy="7620"/>
                    </a:xfrm>
                    <a:prstGeom prst="rect">
                      <a:avLst/>
                    </a:prstGeom>
                    <a:noFill/>
                  </pic:spPr>
                </pic:pic>
              </a:graphicData>
            </a:graphic>
          </wp:anchor>
        </w:drawing>
      </w:r>
    </w:p>
    <w:p>
      <w:pPr>
        <w:spacing w:after="0" w:line="199"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as a Committed Purchaser</w:t>
      </w:r>
    </w:p>
    <w:p>
      <w:pPr>
        <w:sectPr>
          <w:pgSz w:w="11900" w:h="16838" w:orient="portrait"/>
          <w:cols w:equalWidth="0" w:num="1">
            <w:col w:w="11440"/>
          </w:cols>
          <w:pgMar w:left="240" w:top="133" w:right="219" w:bottom="0" w:gutter="0" w:footer="0" w:header="0"/>
        </w:sectPr>
      </w:pPr>
    </w:p>
    <w:bookmarkStart w:id="190" w:name="page191"/>
    <w:bookmarkEnd w:id="190"/>
    <w:p>
      <w:pPr>
        <w:ind w:left="2220"/>
        <w:spacing w:after="0"/>
        <w:tabs>
          <w:tab w:leader="none" w:pos="2720" w:val="left"/>
        </w:tabs>
        <w:rPr>
          <w:sz w:val="20"/>
          <w:szCs w:val="20"/>
          <w:color w:val="auto"/>
        </w:rPr>
      </w:pPr>
      <w:r>
        <w:rPr>
          <w:rFonts w:ascii="Arial" w:cs="Arial" w:eastAsia="Arial" w:hAnsi="Arial"/>
          <w:sz w:val="19"/>
          <w:szCs w:val="19"/>
          <w:color w:val="auto"/>
        </w:rPr>
        <w:t>By:</w:t>
        <w:tab/>
        <w:t>/s/ 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1430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1195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950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12903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9032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as Purchaser Agent for PNC Bank, National Association</w:t>
      </w:r>
    </w:p>
    <w:p>
      <w:pPr>
        <w:spacing w:after="0" w:line="200" w:lineRule="exact"/>
        <w:rPr>
          <w:sz w:val="20"/>
          <w:szCs w:val="20"/>
          <w:color w:val="auto"/>
        </w:rPr>
      </w:pPr>
    </w:p>
    <w:p>
      <w:pPr>
        <w:spacing w:after="0" w:line="245"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1430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1195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950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129032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9032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as Administrator</w:t>
      </w:r>
    </w:p>
    <w:p>
      <w:pPr>
        <w:spacing w:after="0" w:line="200" w:lineRule="exact"/>
        <w:rPr>
          <w:sz w:val="20"/>
          <w:szCs w:val="20"/>
          <w:color w:val="auto"/>
        </w:rPr>
      </w:pPr>
    </w:p>
    <w:p>
      <w:pPr>
        <w:spacing w:after="0" w:line="245"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1430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1195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950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12903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90320" cy="7620"/>
                    </a:xfrm>
                    <a:prstGeom prst="rect">
                      <a:avLst/>
                    </a:prstGeom>
                    <a:noFill/>
                  </pic:spPr>
                </pic:pic>
              </a:graphicData>
            </a:graphic>
          </wp:anchor>
        </w:drawing>
      </w:r>
    </w:p>
    <w:p>
      <w:pPr>
        <w:spacing w:after="0" w:line="19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WELLS FARGO BANK, NATIONAL ASSOCIATION, as a Committed Purchaser</w:t>
      </w:r>
    </w:p>
    <w:p>
      <w:pPr>
        <w:spacing w:after="0" w:line="200" w:lineRule="exact"/>
        <w:rPr>
          <w:sz w:val="20"/>
          <w:szCs w:val="20"/>
          <w:color w:val="auto"/>
        </w:rPr>
      </w:pPr>
    </w:p>
    <w:p>
      <w:pPr>
        <w:spacing w:after="0" w:line="261"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4478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3011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94170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20"/>
        <w:spacing w:after="0" w:line="274" w:lineRule="auto"/>
        <w:rPr>
          <w:sz w:val="20"/>
          <w:szCs w:val="20"/>
          <w:color w:val="auto"/>
        </w:rPr>
      </w:pPr>
      <w:r>
        <w:rPr>
          <w:rFonts w:ascii="Arial" w:cs="Arial" w:eastAsia="Arial" w:hAnsi="Arial"/>
          <w:sz w:val="19"/>
          <w:szCs w:val="19"/>
          <w:color w:val="auto"/>
        </w:rPr>
        <w:t>WELLS FARGO BANK, NATIONAL ASSOCIATION, as Purchaser Agent for Wells Fargo Bank, National Association</w:t>
      </w:r>
    </w:p>
    <w:p>
      <w:pPr>
        <w:spacing w:after="0" w:line="200" w:lineRule="exact"/>
        <w:rPr>
          <w:sz w:val="20"/>
          <w:szCs w:val="20"/>
          <w:color w:val="auto"/>
        </w:rPr>
      </w:pPr>
    </w:p>
    <w:p>
      <w:pPr>
        <w:spacing w:after="0" w:line="207"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4478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30111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111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9417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19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FIFTH THIRD BANK, as a Committed Purchaser</w:t>
      </w:r>
    </w:p>
    <w:p>
      <w:pPr>
        <w:spacing w:after="0" w:line="200" w:lineRule="exact"/>
        <w:rPr>
          <w:sz w:val="20"/>
          <w:szCs w:val="20"/>
          <w:color w:val="auto"/>
        </w:rPr>
      </w:pPr>
    </w:p>
    <w:p>
      <w:pPr>
        <w:spacing w:after="0" w:line="261"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Andrew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22364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Andrew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0725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7251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6451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516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FIFTH THIRD BANK,</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as Purchaser Agent for Fifth Third Bank</w:t>
      </w:r>
    </w:p>
    <w:p>
      <w:pPr>
        <w:spacing w:after="0" w:line="200" w:lineRule="exact"/>
        <w:rPr>
          <w:sz w:val="20"/>
          <w:szCs w:val="20"/>
          <w:color w:val="auto"/>
        </w:rPr>
      </w:pPr>
    </w:p>
    <w:p>
      <w:pPr>
        <w:spacing w:after="0" w:line="245"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Andrew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22364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Andrew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107251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72515"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6451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5160" cy="7620"/>
                    </a:xfrm>
                    <a:prstGeom prst="rect">
                      <a:avLst/>
                    </a:prstGeom>
                    <a:noFill/>
                  </pic:spPr>
                </pic:pic>
              </a:graphicData>
            </a:graphic>
          </wp:anchor>
        </w:drawing>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HUNTINGTON NATIONAL BANK, as a Committed Purchaser</w:t>
      </w:r>
    </w:p>
    <w:p>
      <w:pPr>
        <w:spacing w:after="0" w:line="200" w:lineRule="exact"/>
        <w:rPr>
          <w:sz w:val="20"/>
          <w:szCs w:val="20"/>
          <w:color w:val="auto"/>
        </w:rPr>
      </w:pPr>
    </w:p>
    <w:p>
      <w:pPr>
        <w:spacing w:after="0" w:line="272"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028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88392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3920"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9417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THE HUNTINGTON NATIONAL BANK,</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as Purchaser Agent for The Huntington National Bank</w:t>
      </w:r>
    </w:p>
    <w:p>
      <w:pPr>
        <w:spacing w:after="0" w:line="200" w:lineRule="exact"/>
        <w:rPr>
          <w:sz w:val="20"/>
          <w:szCs w:val="20"/>
          <w:color w:val="auto"/>
        </w:rPr>
      </w:pPr>
    </w:p>
    <w:p>
      <w:pPr>
        <w:spacing w:after="0" w:line="245"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9"/>
          <w:szCs w:val="19"/>
          <w:color w:val="auto"/>
        </w:rPr>
        <w:t>By:</w:t>
        <w:tab/>
        <w:t>/s/ 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-12700</wp:posOffset>
            </wp:positionV>
            <wp:extent cx="1028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3" w:lineRule="exact"/>
        <w:rPr>
          <w:sz w:val="20"/>
          <w:szCs w:val="20"/>
          <w:color w:val="auto"/>
        </w:rPr>
      </w:pPr>
    </w:p>
    <w:p>
      <w:pPr>
        <w:ind w:left="2220"/>
        <w:spacing w:after="0"/>
        <w:tabs>
          <w:tab w:leader="none" w:pos="29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-22225</wp:posOffset>
            </wp:positionV>
            <wp:extent cx="88392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3920" cy="7620"/>
                    </a:xfrm>
                    <a:prstGeom prst="rect">
                      <a:avLst/>
                    </a:prstGeom>
                    <a:noFill/>
                  </pic:spPr>
                </pic:pic>
              </a:graphicData>
            </a:graphic>
          </wp:anchor>
        </w:drawing>
      </w:r>
    </w:p>
    <w:p>
      <w:pPr>
        <w:ind w:left="2220"/>
        <w:spacing w:after="0"/>
        <w:tabs>
          <w:tab w:leader="none" w:pos="28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-22225</wp:posOffset>
            </wp:positionV>
            <wp:extent cx="9417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19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LIBERTY STREET FUNDING LLC, as a Conduit Purchaser</w:t>
      </w:r>
    </w:p>
    <w:p>
      <w:pPr>
        <w:sectPr>
          <w:pgSz w:w="11900" w:h="16838" w:orient="portrait"/>
          <w:cols w:equalWidth="0" w:num="1">
            <w:col w:w="9780"/>
          </w:cols>
          <w:pgMar w:left="1440" w:top="359" w:right="679" w:bottom="0" w:gutter="0" w:footer="0" w:header="0"/>
        </w:sectPr>
      </w:pPr>
    </w:p>
    <w:bookmarkStart w:id="191" w:name="page192"/>
    <w:bookmarkEnd w:id="191"/>
    <w:p>
      <w:pPr>
        <w:ind w:left="3420"/>
        <w:spacing w:after="0"/>
        <w:tabs>
          <w:tab w:leader="none" w:pos="3920" w:val="left"/>
        </w:tabs>
        <w:rPr>
          <w:sz w:val="20"/>
          <w:szCs w:val="20"/>
          <w:color w:val="auto"/>
        </w:rPr>
      </w:pPr>
      <w:r>
        <w:rPr>
          <w:rFonts w:ascii="Arial" w:cs="Arial" w:eastAsia="Arial" w:hAnsi="Arial"/>
          <w:sz w:val="19"/>
          <w:szCs w:val="19"/>
          <w:color w:val="auto"/>
        </w:rPr>
        <w:t>By:</w:t>
        <w:tab/>
        <w:t>/s/ Jill 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00901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0901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Jill 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86423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4235"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9417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THE BANK OF NOVA SCOTIA, as a Committed Purchaser</w:t>
      </w:r>
    </w:p>
    <w:p>
      <w:pPr>
        <w:spacing w:after="0" w:line="200" w:lineRule="exact"/>
        <w:rPr>
          <w:sz w:val="20"/>
          <w:szCs w:val="20"/>
          <w:color w:val="auto"/>
        </w:rPr>
      </w:pPr>
    </w:p>
    <w:p>
      <w:pPr>
        <w:spacing w:after="0" w:line="261"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Paul J. Czach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04203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4203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6"/>
          <w:szCs w:val="16"/>
          <w:color w:val="auto"/>
        </w:rPr>
        <w:t>Paul J. Czach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8972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97255"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11664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20" w:right="200"/>
        <w:spacing w:after="0" w:line="274" w:lineRule="auto"/>
        <w:rPr>
          <w:sz w:val="20"/>
          <w:szCs w:val="20"/>
          <w:color w:val="auto"/>
        </w:rPr>
      </w:pPr>
      <w:r>
        <w:rPr>
          <w:rFonts w:ascii="Arial" w:cs="Arial" w:eastAsia="Arial" w:hAnsi="Arial"/>
          <w:sz w:val="19"/>
          <w:szCs w:val="19"/>
          <w:color w:val="auto"/>
        </w:rPr>
        <w:t>THE BANK OF NOVA SCOTIA, as Purchaser Agent for The Bank of Nova Scotia and Liberty Street Funding LLC</w:t>
      </w:r>
    </w:p>
    <w:p>
      <w:pPr>
        <w:spacing w:after="0" w:line="200" w:lineRule="exact"/>
        <w:rPr>
          <w:sz w:val="20"/>
          <w:szCs w:val="20"/>
          <w:color w:val="auto"/>
        </w:rPr>
      </w:pPr>
    </w:p>
    <w:p>
      <w:pPr>
        <w:spacing w:after="0" w:line="207"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Paul J. Czach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0420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4203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6"/>
          <w:szCs w:val="16"/>
          <w:color w:val="auto"/>
        </w:rPr>
        <w:t>Paul J. Czach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8972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97255"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116649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spacing w:after="0" w:line="199"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BRANCH BANKING AND TRUST COMPANY, as a Committed Purchaser</w:t>
      </w:r>
    </w:p>
    <w:p>
      <w:pPr>
        <w:spacing w:after="0" w:line="200" w:lineRule="exact"/>
        <w:rPr>
          <w:sz w:val="20"/>
          <w:szCs w:val="20"/>
          <w:color w:val="auto"/>
        </w:rPr>
      </w:pPr>
    </w:p>
    <w:p>
      <w:pPr>
        <w:spacing w:after="0" w:line="261"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John K.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0623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19"/>
          <w:szCs w:val="19"/>
          <w:color w:val="auto"/>
        </w:rPr>
        <w:t>Name:</w:t>
        <w:tab/>
        <w:t>John K.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9480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13208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BRANCH BANKING AND TRUST COMPANY,</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as Purchaser Agent for Branch Banking and Trust Company</w:t>
      </w:r>
    </w:p>
    <w:p>
      <w:pPr>
        <w:spacing w:after="0" w:line="200" w:lineRule="exact"/>
        <w:rPr>
          <w:sz w:val="20"/>
          <w:szCs w:val="20"/>
          <w:color w:val="auto"/>
        </w:rPr>
      </w:pPr>
    </w:p>
    <w:p>
      <w:pPr>
        <w:spacing w:after="0" w:line="245"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John K.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0623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19"/>
          <w:szCs w:val="19"/>
          <w:color w:val="auto"/>
        </w:rPr>
        <w:t>Name:</w:t>
        <w:tab/>
        <w:t>John K.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9480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13208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U.S. BANK NATIONAL ASSOCIATION, as a Committed Purchaser</w:t>
      </w:r>
    </w:p>
    <w:p>
      <w:pPr>
        <w:spacing w:after="0" w:line="200" w:lineRule="exact"/>
        <w:rPr>
          <w:sz w:val="20"/>
          <w:szCs w:val="20"/>
          <w:color w:val="auto"/>
        </w:rPr>
      </w:pPr>
    </w:p>
    <w:p>
      <w:pPr>
        <w:spacing w:after="0" w:line="261"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11823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9715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94170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BANK NATIONAL ASSOCIATION, as Purchaser Agent for U.S. Bank National Association</w:t>
      </w:r>
    </w:p>
    <w:p>
      <w:pPr>
        <w:spacing w:after="0" w:line="200" w:lineRule="exact"/>
        <w:rPr>
          <w:sz w:val="20"/>
          <w:szCs w:val="20"/>
          <w:color w:val="auto"/>
        </w:rPr>
      </w:pPr>
    </w:p>
    <w:p>
      <w:pPr>
        <w:spacing w:after="0" w:line="272"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19"/>
          <w:szCs w:val="19"/>
          <w:color w:val="auto"/>
        </w:rPr>
        <w:t>By:</w:t>
        <w:tab/>
        <w:t>/s/ 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-12700</wp:posOffset>
            </wp:positionV>
            <wp:extent cx="11182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William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-22225</wp:posOffset>
            </wp:positionV>
            <wp:extent cx="9715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ind w:left="3420"/>
        <w:spacing w:after="0"/>
        <w:tabs>
          <w:tab w:leader="none" w:pos="40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-22225</wp:posOffset>
            </wp:positionV>
            <wp:extent cx="94170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1705" cy="7620"/>
                    </a:xfrm>
                    <a:prstGeom prst="rect">
                      <a:avLst/>
                    </a:prstGeom>
                    <a:noFill/>
                  </pic:spPr>
                </pic:pic>
              </a:graphicData>
            </a:graphic>
          </wp:anchor>
        </w:drawing>
      </w:r>
    </w:p>
    <w:p>
      <w:pPr>
        <w:spacing w:after="0" w:line="199"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EXHIBIT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DEFINITIONS</w:t>
      </w:r>
    </w:p>
    <w:p>
      <w:pPr>
        <w:spacing w:after="0" w:line="374" w:lineRule="exact"/>
        <w:rPr>
          <w:sz w:val="20"/>
          <w:szCs w:val="20"/>
          <w:color w:val="auto"/>
        </w:rPr>
      </w:pPr>
    </w:p>
    <w:p>
      <w:pPr>
        <w:jc w:val="both"/>
        <w:ind w:right="20" w:firstLine="572"/>
        <w:spacing w:after="0" w:line="282" w:lineRule="auto"/>
        <w:rPr>
          <w:sz w:val="20"/>
          <w:szCs w:val="20"/>
          <w:color w:val="auto"/>
        </w:rPr>
      </w:pPr>
      <w:r>
        <w:rPr>
          <w:rFonts w:ascii="Arial" w:cs="Arial" w:eastAsia="Arial" w:hAnsi="Arial"/>
          <w:sz w:val="18"/>
          <w:szCs w:val="18"/>
          <w:color w:val="auto"/>
        </w:rPr>
        <w:t>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Dilution Ratio</w:t>
      </w:r>
      <w:r>
        <w:rPr>
          <w:rFonts w:ascii="Arial" w:cs="Arial" w:eastAsia="Arial" w:hAnsi="Arial"/>
          <w:sz w:val="19"/>
          <w:szCs w:val="19"/>
          <w:color w:val="auto"/>
        </w:rPr>
        <w:t>” means, at any time, the twelve-month rolling average of the Dilution Ratio.</w:t>
      </w:r>
    </w:p>
    <w:p>
      <w:pPr>
        <w:spacing w:after="0" w:line="199"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Net Receivables Pool Balance</w:t>
      </w:r>
      <w:r>
        <w:rPr>
          <w:rFonts w:ascii="Arial" w:cs="Arial" w:eastAsia="Arial" w:hAnsi="Arial"/>
          <w:sz w:val="19"/>
          <w:szCs w:val="19"/>
          <w:color w:val="auto"/>
        </w:rPr>
        <w:t xml:space="preserve">” means, at any time: (a) the Net Receivables Pool Balance,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sum of (i) the aggregate Outstanding Balance of all Affiliate Receivables then in the Receivables Pool, (ii) the Specifically Reserved Amount and (iii) the aggregate amount for each Obligor of the lesser of (x) the Contra Amount, if any, with respect to such Obligor at such time and (y) the aggregate Outstanding Balance of all Pool Receivables, the Obligor of which is such Obligor.</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has the meaning set forth in the preamble to this Agreement.</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Adverse Claim</w:t>
      </w:r>
      <w:r>
        <w:rPr>
          <w:rFonts w:ascii="Arial" w:cs="Arial" w:eastAsia="Arial" w:hAnsi="Arial"/>
          <w:sz w:val="19"/>
          <w:szCs w:val="19"/>
          <w:color w:val="auto"/>
        </w:rPr>
        <w:t xml:space="preserve">” means a lien, security interest or other charge or encumbrance, or any other type of preferential arrangement; </w:t>
      </w:r>
      <w:r>
        <w:rPr>
          <w:rFonts w:ascii="Arial" w:cs="Arial" w:eastAsia="Arial" w:hAnsi="Arial"/>
          <w:sz w:val="19"/>
          <w:szCs w:val="19"/>
          <w:u w:val="single" w:color="auto"/>
          <w:color w:val="auto"/>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w:t>
      </w:r>
      <w:r>
        <w:rPr>
          <w:rFonts w:ascii="Arial" w:cs="Arial" w:eastAsia="Arial" w:hAnsi="Arial"/>
          <w:sz w:val="19"/>
          <w:szCs w:val="19"/>
          <w:color w:val="auto"/>
        </w:rPr>
        <w:t xml:space="preserve"> that any thereof in favor of the Administrator (for the benefit of the Purchasers ) shall not constitute an Adverse Claim.</w:t>
      </w:r>
    </w:p>
    <w:p>
      <w:pPr>
        <w:sectPr>
          <w:pgSz w:w="11900" w:h="16838" w:orient="portrait"/>
          <w:cols w:equalWidth="0" w:num="1">
            <w:col w:w="11440"/>
          </w:cols>
          <w:pgMar w:left="240" w:top="359" w:right="219" w:bottom="0" w:gutter="0" w:footer="0" w:header="0"/>
        </w:sectPr>
      </w:pPr>
    </w:p>
    <w:bookmarkStart w:id="192" w:name="page193"/>
    <w:bookmarkEnd w:id="192"/>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Person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of this Agreement.</w:t>
      </w:r>
    </w:p>
    <w:p>
      <w:pPr>
        <w:spacing w:after="0" w:line="199" w:lineRule="exact"/>
        <w:rPr>
          <w:sz w:val="20"/>
          <w:szCs w:val="20"/>
          <w:color w:val="auto"/>
        </w:rPr>
      </w:pPr>
    </w:p>
    <w:p>
      <w:pPr>
        <w:jc w:val="both"/>
        <w:ind w:firstLine="57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as to any Person: (a) any Person that, directly or indirectly, is in control of, is controlled by or is under common control with such Person, or (b) who is a director or officer: (i) of such Person or (ii) of any Person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except that, in the case of each Conduit Purchaser, Affiliate shall mean the holder of its capital stock. For purposes of this definition, control of a Person shall mean the power, direct or indirect: (x) to vote 25% or more of the securities having ordinary voting power for the election of directors of such Person, or (y) to direct or cause the direction of the management and policies of such Person, in either case whether by ownership of securities, contract, proxy or otherwise.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Receivable</w:t>
      </w:r>
      <w:r>
        <w:rPr>
          <w:rFonts w:ascii="Arial" w:cs="Arial" w:eastAsia="Arial" w:hAnsi="Arial"/>
          <w:sz w:val="19"/>
          <w:szCs w:val="19"/>
          <w:color w:val="auto"/>
        </w:rPr>
        <w:t>” means any Receivable, the Obligor of which is an Affiliate of WESCO or any Originator.</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Discount</w:t>
      </w:r>
      <w:r>
        <w:rPr>
          <w:rFonts w:ascii="Arial" w:cs="Arial" w:eastAsia="Arial" w:hAnsi="Arial"/>
          <w:sz w:val="19"/>
          <w:szCs w:val="19"/>
          <w:color w:val="auto"/>
        </w:rPr>
        <w:t>” at any time, means the sum of the aggregate for each Purchaser of the accrued and unpaid Discount with respect to each such Purchaser’s Investment at such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Investment</w:t>
      </w:r>
      <w:r>
        <w:rPr>
          <w:rFonts w:ascii="Arial" w:cs="Arial" w:eastAsia="Arial" w:hAnsi="Arial"/>
          <w:sz w:val="19"/>
          <w:szCs w:val="19"/>
          <w:color w:val="auto"/>
        </w:rPr>
        <w:t>” means, at any time, the aggregate of the Investments of each Purchaser at such time.</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set forth in the preamble to this Agreement.</w:t>
      </w:r>
    </w:p>
    <w:p>
      <w:pPr>
        <w:spacing w:after="0" w:line="199" w:lineRule="exact"/>
        <w:rPr>
          <w:sz w:val="20"/>
          <w:szCs w:val="20"/>
          <w:color w:val="auto"/>
        </w:rPr>
      </w:pPr>
    </w:p>
    <w:p>
      <w:pPr>
        <w:jc w:val="both"/>
        <w:ind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Yield Rate</w:t>
      </w:r>
      <w:r>
        <w:rPr>
          <w:rFonts w:ascii="Arial" w:cs="Arial" w:eastAsia="Arial" w:hAnsi="Arial"/>
          <w:sz w:val="18"/>
          <w:szCs w:val="18"/>
          <w:color w:val="auto"/>
        </w:rPr>
        <w:t xml:space="preserve">” for any day in any Yield Period, means an interest rate per annum equal to LMIR for such day or if LMIR is unavailable pursuant to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the Base Rate for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“Alternate Yield Rate” for each Purchaser on any day while a Termination Event or an Unmatured Termination Event exists shall be an interest rate equal to the greater of (x) 2.0% per annum above the Base Rate in effect on such day and (y) the “Alternate Yield Rate” as calculated above.</w:t>
      </w:r>
    </w:p>
    <w:p>
      <w:pPr>
        <w:spacing w:after="0" w:line="147"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Anti-Terrorism Laws</w:t>
      </w:r>
      <w:r>
        <w:rPr>
          <w:rFonts w:ascii="Arial" w:cs="Arial" w:eastAsia="Arial" w:hAnsi="Arial"/>
          <w:sz w:val="19"/>
          <w:szCs w:val="19"/>
          <w:color w:val="auto"/>
        </w:rPr>
        <w:t>” means any Applicable Law relating to terrorism, trade sanctions programs and embargoes, import/export licensing, money laundering or bribery, and any regulation, order, or directive promulgated, issued or enforced pursuant to such Applicable Laws, all as amended, supplemented or replaced from time to time.</w:t>
      </w:r>
    </w:p>
    <w:p>
      <w:pPr>
        <w:spacing w:after="0" w:line="157"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with respect to any Person, (x) all provisions of law, statute, treaty, constitution, ordinance, rule, regulation,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w:t>
      </w:r>
    </w:p>
    <w:p>
      <w:pPr>
        <w:spacing w:after="0" w:line="160"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 System</w:t>
      </w:r>
      <w:r>
        <w:rPr>
          <w:rFonts w:ascii="Arial" w:cs="Arial" w:eastAsia="Arial" w:hAnsi="Arial"/>
          <w:sz w:val="19"/>
          <w:szCs w:val="19"/>
          <w:color w:val="auto"/>
        </w:rPr>
        <w:t>” means the Oracle accounts receivable system which is used by the on-system originators, the accounts receivables systems which are used by the off-system originators, or any system or systems which replace any of the foregoing.</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means an agreement substantially in the form set forth in Annex D to this Agreement.</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 the reasonable allocated cost of internal legal services and all reasonable disbursements of internal counsel.</w:t>
      </w:r>
    </w:p>
    <w:p>
      <w:pPr>
        <w:spacing w:after="0" w:line="144"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Liquidity</w:t>
      </w:r>
      <w:r>
        <w:rPr>
          <w:rFonts w:ascii="Arial" w:cs="Arial" w:eastAsia="Arial" w:hAnsi="Arial"/>
          <w:sz w:val="19"/>
          <w:szCs w:val="19"/>
          <w:color w:val="auto"/>
        </w:rPr>
        <w:t>” means, on any date of determination, the sum of (i) the Maximum Incremental Purchase, (ii) the amount of borrowing availability under the Credit Agreement and (iii) cash balances and liquid investments held by WESCO and its Affiliates.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Reform Act of 1978 (11 U.S.C. § 101, et seq.), as amended from time to time.</w:t>
      </w:r>
    </w:p>
    <w:p>
      <w:pPr>
        <w:spacing w:after="0" w:line="21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any Purchaser, for any day (a) a fluctuating interest rate per annum as shall be in effect from time to time, which rate shall be at all times equal to the higher of:</w:t>
      </w:r>
    </w:p>
    <w:p>
      <w:pPr>
        <w:spacing w:after="0" w:line="144" w:lineRule="exact"/>
        <w:rPr>
          <w:sz w:val="20"/>
          <w:szCs w:val="20"/>
          <w:color w:val="auto"/>
        </w:rPr>
      </w:pPr>
    </w:p>
    <w:p>
      <w:pPr>
        <w:jc w:val="both"/>
        <w:ind w:left="560" w:right="20" w:firstLine="579"/>
        <w:spacing w:after="0" w:line="261" w:lineRule="auto"/>
        <w:tabs>
          <w:tab w:leader="none" w:pos="1567"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the rate of interest in effect for such day as publicly announced from time to time by such Purchaser’s Purchaser Agent as its “prime rate”, “base rate” or similarly designate rate and which is used as a general reference point for pricing some loans, which may be priced at, above or below such announced rate, and</w:t>
      </w:r>
    </w:p>
    <w:p>
      <w:pPr>
        <w:spacing w:after="0" w:line="156" w:lineRule="exact"/>
        <w:rPr>
          <w:rFonts w:ascii="Arial" w:cs="Arial" w:eastAsia="Arial" w:hAnsi="Arial"/>
          <w:sz w:val="19"/>
          <w:szCs w:val="19"/>
          <w:color w:val="auto"/>
        </w:rPr>
      </w:pPr>
    </w:p>
    <w:p>
      <w:pPr>
        <w:ind w:left="1560" w:hanging="421"/>
        <w:spacing w:after="0"/>
        <w:tabs>
          <w:tab w:leader="none" w:pos="156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0.50% per annum above the latest Federal Funds Rate; or</w:t>
      </w:r>
    </w:p>
    <w:p>
      <w:pPr>
        <w:spacing w:after="0" w:line="199" w:lineRule="exact"/>
        <w:rPr>
          <w:sz w:val="20"/>
          <w:szCs w:val="20"/>
          <w:color w:val="auto"/>
        </w:rPr>
      </w:pPr>
    </w:p>
    <w:p>
      <w:pPr>
        <w:ind w:right="20" w:firstLine="567"/>
        <w:spacing w:after="0" w:line="274" w:lineRule="auto"/>
        <w:tabs>
          <w:tab w:leader="none" w:pos="104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such other rate set forth as the “Base Rate” for such Purchaser in its Purchaser Group Fee Letter, or any other document pursuant to which is became a party hereto.</w:t>
      </w:r>
    </w:p>
    <w:p>
      <w:pPr>
        <w:spacing w:after="0" w:line="144"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employee benefit pension plan as defined in Section 3(2) of ERISA in respect of which the Seller, any Originator, WESCO or any ERISA Affiliate is, or at any time during the immediately preceding six years was, an “employer” as defined in Section 3(5) of ERISA.</w:t>
      </w:r>
    </w:p>
    <w:p>
      <w:pPr>
        <w:spacing w:after="0" w:line="157"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or Sunday) on which: (a) banks are not authorized or required to close in New York City, New York or Pittsburgh, Pennsylvania, and (b) if this definition of “Business Day” is utilized in connection with the Euro-Rate or the LMIR, dealings are carried out in the London interbank market.</w:t>
      </w:r>
    </w:p>
    <w:p>
      <w:pPr>
        <w:spacing w:after="0" w:line="157" w:lineRule="exact"/>
        <w:rPr>
          <w:sz w:val="20"/>
          <w:szCs w:val="20"/>
          <w:color w:val="auto"/>
        </w:rPr>
      </w:pPr>
    </w:p>
    <w:p>
      <w:pPr>
        <w:jc w:val="both"/>
        <w:ind w:firstLine="572"/>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(i) Holdings ceases to own, directly or indirectly, 100% of the capital stock of WESCO or (ii) WESCO ceases to own, directly or indirectly (including through one or more of its Subsidiaries), (a) 100% of the capital stock of the Seller free and clear of all Adverse Claims or (b) a majority of the capital stock of any Originator, in the case of each of (i) and (ii)(b) above, free and clear of all Adverse Claims other than the pledges or grants of security interest by WESCO or one or more of its Subsidiaries to (x) JPMorgan or any other Person that assumes its obligations under the Intercreditor Agreement, as agent for itself and various lenders pursuant to one or more pledge agreements and security agreements as required under the Credit Agreement as such pledge agreements or security agreements may be amended, restated, supplemented or otherwise modified from time to time, (y) Credit Suisse or any other Person that assumes its obligations under the Intercreditor Agreement, as agent for itself and various lenders pursuant to one or more pledge agreements and security agreements as required under the Term Loan Agreement as such pledge agreements or security agreements may be amended, restated, supplemented or otherwise modified from time to time and (z) such other lenders to WESCO and its Subsidiaries so long as such lenders enter into an intercreditor agreement in form and substance reasonably satisfactory to the to the Administrator (it being agreed that the Intercreditor Agreement is a form reasonably satisfactory to the Administrator).</w:t>
      </w:r>
    </w:p>
    <w:p>
      <w:pPr>
        <w:sectPr>
          <w:pgSz w:w="11900" w:h="16838" w:orient="portrait"/>
          <w:cols w:equalWidth="0" w:num="1">
            <w:col w:w="11440"/>
          </w:cols>
          <w:pgMar w:left="240" w:top="133" w:right="219" w:bottom="0" w:gutter="0" w:footer="0" w:header="0"/>
        </w:sectPr>
      </w:pPr>
    </w:p>
    <w:bookmarkStart w:id="193" w:name="page194"/>
    <w:bookmarkEnd w:id="193"/>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September 24, 2015.</w:t>
      </w:r>
    </w:p>
    <w:p>
      <w:pPr>
        <w:spacing w:after="0" w:line="199" w:lineRule="exact"/>
        <w:rPr>
          <w:sz w:val="20"/>
          <w:szCs w:val="20"/>
          <w:color w:val="auto"/>
        </w:rPr>
      </w:pPr>
    </w:p>
    <w:p>
      <w:pPr>
        <w:jc w:val="both"/>
        <w:ind w:left="5" w:firstLine="5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Collections</w:t>
      </w:r>
      <w:r>
        <w:rPr>
          <w:rFonts w:ascii="Arial" w:cs="Arial" w:eastAsia="Arial" w:hAnsi="Arial"/>
          <w:sz w:val="19"/>
          <w:szCs w:val="19"/>
          <w:color w:val="auto"/>
        </w:rPr>
        <w:t xml:space="preserve">” means, with respect to any Pool Receivable: (a) all funds that are received by any Originator, WESCO, the Seller or the Servicer in payment of any amounts owed in respect of such Receivable (including purchase price,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amounts deemed to have been received pursuant to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of this Agreement and (c) all other proceeds of such Pool Receivable.</w:t>
      </w:r>
    </w:p>
    <w:p>
      <w:pPr>
        <w:spacing w:after="0" w:line="167" w:lineRule="exact"/>
        <w:rPr>
          <w:sz w:val="20"/>
          <w:szCs w:val="20"/>
          <w:color w:val="auto"/>
        </w:rPr>
      </w:pPr>
    </w:p>
    <w:p>
      <w:pPr>
        <w:jc w:val="both"/>
        <w:ind w:left="5"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Committed Purchaser, the maximum amount which such Purchaser is obligated to pay hereunder on account of any Purchase, as set forth below its name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hereto to this Agreement or in the Assumption Agreement or any similar document pursuant to which it became a Purchaser, as such amount may be modified in connection with any subsequent assignment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or in connection with a change in the Purchase Limit pursuant to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4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Increase Effective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1.11(c)</w:t>
      </w:r>
      <w:r>
        <w:rPr>
          <w:rFonts w:ascii="Arial" w:cs="Arial" w:eastAsia="Arial" w:hAnsi="Arial"/>
          <w:sz w:val="19"/>
          <w:szCs w:val="19"/>
          <w:color w:val="auto"/>
        </w:rPr>
        <w:t>.</w:t>
      </w:r>
    </w:p>
    <w:p>
      <w:pPr>
        <w:spacing w:after="0" w:line="199"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Percentage</w:t>
      </w:r>
      <w:r>
        <w:rPr>
          <w:rFonts w:ascii="Arial" w:cs="Arial" w:eastAsia="Arial" w:hAnsi="Arial"/>
          <w:sz w:val="19"/>
          <w:szCs w:val="19"/>
          <w:color w:val="auto"/>
        </w:rPr>
        <w:t>” means, at any time, for each Committed Purchaser in a Purchaser Group, such Committed Purchaser’s Commitment divided by the total of all Commitments of all Committed Purchasers in such Purchaser Group.</w:t>
      </w:r>
    </w:p>
    <w:p>
      <w:pPr>
        <w:spacing w:after="0" w:line="144"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Purchaser</w:t>
      </w:r>
      <w:r>
        <w:rPr>
          <w:rFonts w:ascii="Arial" w:cs="Arial" w:eastAsia="Arial" w:hAnsi="Arial"/>
          <w:sz w:val="19"/>
          <w:szCs w:val="19"/>
          <w:color w:val="auto"/>
        </w:rPr>
        <w:t>” means each Person listed as such on the signature pages of this Agreement or in any Assumption Agreement or Transfer Supplement.</w:t>
      </w:r>
    </w:p>
    <w:p>
      <w:pPr>
        <w:spacing w:after="0" w:line="144"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Note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jc w:val="both"/>
        <w:ind w:left="5" w:firstLine="5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Concentration Percentage</w:t>
      </w:r>
      <w:r>
        <w:rPr>
          <w:rFonts w:ascii="Arial" w:cs="Arial" w:eastAsia="Arial" w:hAnsi="Arial"/>
          <w:sz w:val="19"/>
          <w:szCs w:val="19"/>
          <w:color w:val="auto"/>
        </w:rPr>
        <w:t xml:space="preserve">” means: (a) for any Obligor that is not a Special Obligor, the Normal Concentration Percentage and (b) for any Special Obligor, the “Special Obligor Concentration Percentage”, approved in writing by each Purchaser Agent, and set forth as such opposite its name on Annex C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Administrator may, if each of the Purchasers has so consented, approve higher Concentration Percentages for selected Obligors (which approved percentage shall become the “Concentration Percentage” applicable to such Obligor).</w:t>
      </w:r>
    </w:p>
    <w:p>
      <w:pPr>
        <w:spacing w:after="0" w:line="162" w:lineRule="exact"/>
        <w:rPr>
          <w:sz w:val="20"/>
          <w:szCs w:val="20"/>
          <w:color w:val="auto"/>
        </w:rPr>
      </w:pPr>
    </w:p>
    <w:p>
      <w:pPr>
        <w:jc w:val="both"/>
        <w:ind w:left="5"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Conduit Purchasers</w:t>
      </w:r>
      <w:r>
        <w:rPr>
          <w:rFonts w:ascii="Arial" w:cs="Arial" w:eastAsia="Arial" w:hAnsi="Arial"/>
          <w:sz w:val="19"/>
          <w:szCs w:val="19"/>
          <w:color w:val="auto"/>
        </w:rPr>
        <w:t>” means each commercial paper conduit or other entity that is a party to this Agreement, as a purchaser, or that becomes a party to this Agreement, as a purchaser pursuant to an Assumption Agreement. Any reference to the “related” Conduit Purchaser of any Committed Purchaser (or words to similar effect) shall be deemed to be a reference to the Conduit Purchaser (if any) in such Committed Purchaser’s Purchaser Group.</w:t>
      </w:r>
    </w:p>
    <w:p>
      <w:pPr>
        <w:spacing w:after="0" w:line="160" w:lineRule="exact"/>
        <w:rPr>
          <w:sz w:val="20"/>
          <w:szCs w:val="20"/>
          <w:color w:val="auto"/>
        </w:rPr>
      </w:pPr>
    </w:p>
    <w:p>
      <w:pPr>
        <w:jc w:val="both"/>
        <w:ind w:left="5"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157" w:lineRule="exact"/>
        <w:rPr>
          <w:sz w:val="20"/>
          <w:szCs w:val="20"/>
          <w:color w:val="auto"/>
        </w:rPr>
      </w:pPr>
    </w:p>
    <w:p>
      <w:pPr>
        <w:jc w:val="both"/>
        <w:ind w:left="5"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 Amount</w:t>
      </w:r>
      <w:r>
        <w:rPr>
          <w:rFonts w:ascii="Arial" w:cs="Arial" w:eastAsia="Arial" w:hAnsi="Arial"/>
          <w:sz w:val="19"/>
          <w:szCs w:val="19"/>
          <w:color w:val="auto"/>
        </w:rPr>
        <w:t>” means at any time of determination and with respect to any Obligor, the aggregate amounts of indebtedness and other obligations owed to such Obligor and its Affiliates by any Originator or any of its Affiliates, including, without limitation, any such indebtedness or obligations arising in connection with the sale of goods or rendering of services by such Obligor or its Affiliates to any Originator or any of its Affiliates.</w:t>
      </w:r>
    </w:p>
    <w:p>
      <w:pPr>
        <w:spacing w:after="0" w:line="196" w:lineRule="exact"/>
        <w:rPr>
          <w:sz w:val="20"/>
          <w:szCs w:val="20"/>
          <w:color w:val="auto"/>
        </w:rPr>
      </w:pPr>
    </w:p>
    <w:p>
      <w:pPr>
        <w:jc w:val="both"/>
        <w:ind w:left="5" w:right="20"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xml:space="preserve">” shall mean (a) each of Seller, Servicer, each Originator and each of WESCO’s Subsidiaries and (b) each Person that, directly or indirectly, is in control of a Person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For purposes of this definition, control of a Person shall mean the direct or indirect power to direct or cause the direction of the management and policies of such Person whether by ownership of equity interests, contract or otherwise.</w:t>
      </w:r>
    </w:p>
    <w:p>
      <w:pPr>
        <w:spacing w:after="0" w:line="196" w:lineRule="exact"/>
        <w:rPr>
          <w:sz w:val="20"/>
          <w:szCs w:val="20"/>
          <w:color w:val="auto"/>
        </w:rPr>
      </w:pPr>
    </w:p>
    <w:p>
      <w:pPr>
        <w:jc w:val="both"/>
        <w:ind w:left="5" w:firstLine="57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Rate</w:t>
      </w:r>
      <w:r>
        <w:rPr>
          <w:rFonts w:ascii="Arial" w:cs="Arial" w:eastAsia="Arial" w:hAnsi="Arial"/>
          <w:sz w:val="17"/>
          <w:szCs w:val="17"/>
          <w:color w:val="auto"/>
        </w:rPr>
        <w:t>” means, with respect to (I) Liberty Street for each day during any Yield Period with respect to any Portion of Investment, the applicable Alternative Yield Rate for such day and (II) any other Conduit Purchaser for any Yield Period with respect to any Portion of Investment</w:t>
      </w:r>
    </w:p>
    <w:p>
      <w:pPr>
        <w:spacing w:after="0" w:line="1" w:lineRule="exact"/>
        <w:rPr>
          <w:sz w:val="20"/>
          <w:szCs w:val="20"/>
          <w:color w:val="auto"/>
        </w:rPr>
      </w:pPr>
    </w:p>
    <w:p>
      <w:pPr>
        <w:jc w:val="both"/>
        <w:ind w:left="5" w:hanging="5"/>
        <w:spacing w:after="0" w:line="263" w:lineRule="auto"/>
        <w:tabs>
          <w:tab w:leader="none" w:pos="26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rate equivalent to the “weighted average cost” (as defined below) related to the issuance of such Conduit Purchaser’s Notes that are allocated, in whole or in part, by it (or by its Purchaser Agent) to fund or maintain such Portion of Investment (and which may also be allocated in part to the funding of other Portions of Investment hereunder or of other assets of such Conduit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component of such rate is a discount rate, in calculating the “</w:t>
      </w:r>
      <w:r>
        <w:rPr>
          <w:rFonts w:ascii="Arial" w:cs="Arial" w:eastAsia="Arial" w:hAnsi="Arial"/>
          <w:sz w:val="18"/>
          <w:szCs w:val="18"/>
          <w:u w:val="single" w:color="auto"/>
          <w:color w:val="auto"/>
        </w:rPr>
        <w:t>CP Rate</w:t>
      </w:r>
      <w:r>
        <w:rPr>
          <w:rFonts w:ascii="Arial" w:cs="Arial" w:eastAsia="Arial" w:hAnsi="Arial"/>
          <w:sz w:val="18"/>
          <w:szCs w:val="18"/>
          <w:color w:val="auto"/>
        </w:rPr>
        <w:t xml:space="preserve">” for such Portion of Investment for such Yield Period, such Conduit Purchaser shall for such component use the rate resulting from converting such discount rate to an interest bearing equivalent rate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anything in this Agreement or the other Transaction Documents to the contrary, the Seller agrees that any amounts payable to the Purchasers in respect of Discount for any Yield Period with respect to any Portion of Investment funded by such Purchaser at the CP Rate shall include an amount equal to the portion of the face amount of the outstanding Notes issued to fund or maintain such Portion of Investment that corresponds to the portion of the proceeds of such Notes that was used to pay the interest component of maturing Notes issued to fund or maintain such Portion of Investment,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Purchaser from the issuance of Notes, except that if such Notes are issued on an interest-bearing basis its “interest component” will equal the amount of interest accruing on such Notes through maturity) (as used in this definition, “</w:t>
      </w:r>
      <w:r>
        <w:rPr>
          <w:rFonts w:ascii="Arial" w:cs="Arial" w:eastAsia="Arial" w:hAnsi="Arial"/>
          <w:sz w:val="18"/>
          <w:szCs w:val="18"/>
          <w:u w:val="single" w:color="auto"/>
          <w:color w:val="auto"/>
        </w:rPr>
        <w:t>weighted average cost</w:t>
      </w:r>
      <w:r>
        <w:rPr>
          <w:rFonts w:ascii="Arial" w:cs="Arial" w:eastAsia="Arial" w:hAnsi="Arial"/>
          <w:sz w:val="18"/>
          <w:szCs w:val="18"/>
          <w:color w:val="auto"/>
        </w:rPr>
        <w:t>” shall consist of (x) the actual interest rate (or discount) paid to purchasers of Conduit Purchaser’s Notes, together with the commissions of placement agents and dealers in respect of such Notes, to the extent such commissions are allocated, in whole or in part, to such Notes by such Conduit Purchaser (or by its Purchaser Agent) and (y) any incremental carrying costs incurred with respect to such Conduit Purchaser’s Notes maturing on dates other than those on which corresponding funds are received by such Conduit Purchaser), or (b) such other rate set forth as the “CP Rate” for such Conduit Purchaser in its Purchaser Group Fee Letter or any other document. Notwithstanding the foregoing, the “CP Rate” for any day while a Termination Event or an Unmatured Termination Event exists shall be an interest rate equal to 2.00% per annum above the Base Rate in effect on such day.</w:t>
      </w:r>
    </w:p>
    <w:p>
      <w:pPr>
        <w:spacing w:after="0" w:line="166" w:lineRule="exact"/>
        <w:rPr>
          <w:sz w:val="20"/>
          <w:szCs w:val="20"/>
          <w:color w:val="auto"/>
        </w:rPr>
      </w:pPr>
    </w:p>
    <w:p>
      <w:pPr>
        <w:ind w:left="5" w:firstLine="572"/>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means that certain Second Amended and Restated Credit Agreement, dated as of September 24, 2015, among WESCO, certain Subsidiaries and Affiliates of WESCO, JPMorgan and the other Persons parties thereto, without giving effect to any termination thereof, as</w:t>
      </w:r>
    </w:p>
    <w:p>
      <w:pPr>
        <w:sectPr>
          <w:pgSz w:w="11900" w:h="16838" w:orient="portrait"/>
          <w:cols w:equalWidth="0" w:num="1">
            <w:col w:w="11445"/>
          </w:cols>
          <w:pgMar w:left="235" w:top="132" w:right="219" w:bottom="0" w:gutter="0" w:footer="0" w:header="0"/>
        </w:sectPr>
      </w:pPr>
    </w:p>
    <w:bookmarkStart w:id="194" w:name="page195"/>
    <w:bookmarkEnd w:id="194"/>
    <w:p>
      <w:pPr>
        <w:spacing w:after="0"/>
        <w:rPr>
          <w:sz w:val="20"/>
          <w:szCs w:val="20"/>
          <w:color w:val="auto"/>
        </w:rPr>
      </w:pPr>
      <w:r>
        <w:rPr>
          <w:rFonts w:ascii="Arial" w:cs="Arial" w:eastAsia="Arial" w:hAnsi="Arial"/>
          <w:sz w:val="19"/>
          <w:szCs w:val="19"/>
          <w:color w:val="auto"/>
        </w:rPr>
        <w:t>amended, restated, amended and restated, supplemented, renewed, refinanced, replaced or otherwise modified from time to time.</w:t>
      </w:r>
    </w:p>
    <w:p>
      <w:pPr>
        <w:spacing w:after="0" w:line="199"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and Collection Policy</w:t>
      </w:r>
      <w:r>
        <w:rPr>
          <w:rFonts w:ascii="Arial" w:cs="Arial" w:eastAsia="Arial" w:hAnsi="Arial"/>
          <w:sz w:val="19"/>
          <w:szCs w:val="19"/>
          <w:color w:val="auto"/>
        </w:rPr>
        <w:t xml:space="preserve">” means, as the context may require, those receivables credit and collection policies and practices of each Originator and of WESCO in effect on the date of this Agreement and described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Agreement, as modified in compliance with this Agreement.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Suisse</w:t>
      </w:r>
      <w:r>
        <w:rPr>
          <w:rFonts w:ascii="Arial" w:cs="Arial" w:eastAsia="Arial" w:hAnsi="Arial"/>
          <w:sz w:val="19"/>
          <w:szCs w:val="19"/>
          <w:color w:val="auto"/>
        </w:rPr>
        <w:t>” means Credit Suisse AG, Cayman Islands Branch.</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Cut-off Date</w:t>
      </w:r>
      <w:r>
        <w:rPr>
          <w:rFonts w:ascii="Arial" w:cs="Arial" w:eastAsia="Arial" w:hAnsi="Arial"/>
          <w:sz w:val="19"/>
          <w:szCs w:val="19"/>
          <w:color w:val="auto"/>
        </w:rPr>
        <w:t>” has the meaning set forth in the Sale Agreement.</w:t>
      </w:r>
    </w:p>
    <w:p>
      <w:pPr>
        <w:spacing w:after="0" w:line="199"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Days’ Sales Outstanding</w:t>
      </w:r>
      <w:r>
        <w:rPr>
          <w:rFonts w:ascii="Arial" w:cs="Arial" w:eastAsia="Arial" w:hAnsi="Arial"/>
          <w:sz w:val="19"/>
          <w:szCs w:val="19"/>
          <w:color w:val="auto"/>
        </w:rPr>
        <w:t>” means, for any calendar month, an amount computed as of the last day of such calendar month equal to: (a) the average of the Outstanding Balance of all Pool Receivables as of the last day of each of the three most recent calendar months ended on the last day of such calendar month divided by (b)(i) the aggregate credit sales made by the Originators during the three calendar months ended on the last day of such calendar month divided by (ii) 90.</w:t>
      </w:r>
    </w:p>
    <w:p>
      <w:pPr>
        <w:spacing w:after="0" w:line="160"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xml:space="preserve">” means: (a) indebtedness for borrowed money, (b) obligations evidenced by bonds, debentures, notes or other similar instruments, (c) obligations to pay the deferred purchase price of property or services, (d) obligations as lessee under leases that shall have been or should be, in accordance with generally accepted accounting principles, recorded as capital leases, and (e) obligations under direct or indirect guaranties in respect of, and obligations (contingent or otherwise) to purchase or otherwise acquire, or otherwise to assure a creditor against loss in respect of, indebtedness or obligations of others of the kinds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62" w:lineRule="exact"/>
        <w:rPr>
          <w:sz w:val="20"/>
          <w:szCs w:val="20"/>
          <w:color w:val="auto"/>
        </w:rPr>
      </w:pPr>
    </w:p>
    <w:p>
      <w:pPr>
        <w:jc w:val="both"/>
        <w:ind w:right="20" w:firstLine="572"/>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Ratio</w:t>
      </w:r>
      <w:r>
        <w:rPr>
          <w:rFonts w:ascii="Arial" w:cs="Arial" w:eastAsia="Arial" w:hAnsi="Arial"/>
          <w:sz w:val="17"/>
          <w:szCs w:val="17"/>
          <w:color w:val="auto"/>
        </w:rPr>
        <w:t>” means the ratio (expressed as a percentage and rounded to the nearest 1/100 of 1%, with 5/1000th of 1% rounded upward) computed as of the last day of each calendar month by dividing: (a) the aggregate Outstanding Balance of all Pool Receivables that became Defaulted Receivables during such month, by (b) the aggregate credit sales made by the Originators during the month that is six months prior to such month.</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Defaulted Receivable</w:t>
      </w:r>
      <w:r>
        <w:rPr>
          <w:rFonts w:ascii="Arial" w:cs="Arial" w:eastAsia="Arial" w:hAnsi="Arial"/>
          <w:sz w:val="19"/>
          <w:szCs w:val="19"/>
          <w:color w:val="auto"/>
        </w:rPr>
        <w:t>” means a Receivable:</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 as to which any payment, or part thereof, remains unpaid for more than 180 days from the original invoice date for such payment,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or</w:t>
      </w:r>
    </w:p>
    <w:p>
      <w:pPr>
        <w:spacing w:after="0" w:line="183" w:lineRule="exact"/>
        <w:rPr>
          <w:sz w:val="20"/>
          <w:szCs w:val="20"/>
          <w:color w:val="auto"/>
        </w:rPr>
      </w:pPr>
    </w:p>
    <w:p>
      <w:pPr>
        <w:jc w:val="both"/>
        <w:ind w:left="560" w:firstLine="579"/>
        <w:spacing w:after="0" w:line="282" w:lineRule="auto"/>
        <w:tabs>
          <w:tab w:leader="none" w:pos="14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without duplication (i) as to which an Event of Bankruptcy shall have occurred with respect to the Obligor thereof or any other Person obligated thereon or owning any Related Security with respect thereto, (ii) that has been written off the Seller’s books as uncollectible or (iii) that should have been written off the Seller’s books as uncollectible pursuant to the Credit and Collection Policy.</w:t>
      </w:r>
    </w:p>
    <w:p>
      <w:pPr>
        <w:spacing w:after="0" w:line="140" w:lineRule="exact"/>
        <w:rPr>
          <w:sz w:val="20"/>
          <w:szCs w:val="20"/>
          <w:color w:val="auto"/>
        </w:rPr>
      </w:pPr>
    </w:p>
    <w:p>
      <w:pPr>
        <w:jc w:val="both"/>
        <w:ind w:firstLine="5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Delinquency Ratio</w:t>
      </w:r>
      <w:r>
        <w:rPr>
          <w:rFonts w:ascii="Arial" w:cs="Arial" w:eastAsia="Arial" w:hAnsi="Arial"/>
          <w:sz w:val="18"/>
          <w:szCs w:val="18"/>
          <w:color w:val="auto"/>
        </w:rPr>
        <w:t>” means the ratio (expressed as a percentage and rounded to the nearest 1/100 of 1%, with 5/1000th of 1% rounded upward), computed as of the last day of each calendar month by dividing: (a) the aggregate Outstanding Balance of all Pool Receivables that became Delinquent Receivables during such month, by (b) the aggregate Outstanding Balance of all Pool Receivables on such day.</w:t>
      </w:r>
    </w:p>
    <w:p>
      <w:pPr>
        <w:spacing w:after="0" w:line="140"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Delinquent Receivable</w:t>
      </w:r>
      <w:r>
        <w:rPr>
          <w:rFonts w:ascii="Arial" w:cs="Arial" w:eastAsia="Arial" w:hAnsi="Arial"/>
          <w:sz w:val="19"/>
          <w:szCs w:val="19"/>
          <w:color w:val="auto"/>
        </w:rPr>
        <w:t>” means a Receivable (a) as to which any payment, or part thereof, remains unpaid for more than 150 days from the original invoice date for such payment or (b) without duplication, which has been (or consistent with the Credit and Collection Policy, would be) classified as a Delinquent Receivable by the applicable Originator.</w:t>
      </w:r>
    </w:p>
    <w:p>
      <w:pPr>
        <w:spacing w:after="0" w:line="157"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Horizon Ratio</w:t>
      </w:r>
      <w:r>
        <w:rPr>
          <w:rFonts w:ascii="Arial" w:cs="Arial" w:eastAsia="Arial" w:hAnsi="Arial"/>
          <w:sz w:val="18"/>
          <w:szCs w:val="18"/>
          <w:color w:val="auto"/>
        </w:rPr>
        <w:t>” means, for any calendar month, the ratio (expressed as a percentage and rounded to the nearest 1/100th of 1%, with 5/1000th of 1% rounded upward) computed as of the last day of such calendar month of: (a) the aggregate credit sales made by the Originators during the two most recent calendar months (or such greater number of days or months as determined by the Administrator from time to time with the consent or at the direction of the Purchaser Agents following any periodic audit conducted pursuant to the Transaction Documents), to (b) the Adjusted Net Receivables Pool Balance at the last day of the most recent calendar month.</w:t>
      </w:r>
    </w:p>
    <w:p>
      <w:pPr>
        <w:spacing w:after="0" w:line="54"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Ratio</w:t>
      </w:r>
      <w:r>
        <w:rPr>
          <w:rFonts w:ascii="Arial" w:cs="Arial" w:eastAsia="Arial" w:hAnsi="Arial"/>
          <w:sz w:val="19"/>
          <w:szCs w:val="19"/>
          <w:color w:val="auto"/>
        </w:rPr>
        <w:t xml:space="preserve">” means the ratio (expressed as a percentage and rounded to the nearest 1/100th of 1%, with 5/1000th of 1% rounded upward), computed as of the last day of each calendar month by dividing: (a) the aggregate amount of payments made or owed by the Seller pursuant to </w:t>
      </w:r>
      <w:r>
        <w:rPr>
          <w:rFonts w:ascii="Arial" w:cs="Arial" w:eastAsia="Arial" w:hAnsi="Arial"/>
          <w:sz w:val="19"/>
          <w:szCs w:val="19"/>
          <w:u w:val="single" w:color="auto"/>
          <w:color w:val="auto"/>
        </w:rPr>
        <w:t>Section 1.4(e)(i)</w:t>
      </w:r>
      <w:r>
        <w:rPr>
          <w:rFonts w:ascii="Arial" w:cs="Arial" w:eastAsia="Arial" w:hAnsi="Arial"/>
          <w:sz w:val="19"/>
          <w:szCs w:val="19"/>
          <w:color w:val="auto"/>
        </w:rPr>
        <w:t xml:space="preserve"> of this Agreement during such calendar month by (b) the aggregate credit sales made by all the Originators during the calendar month that is one month prior to such calendar month.</w:t>
      </w:r>
    </w:p>
    <w:p>
      <w:pPr>
        <w:spacing w:after="0" w:line="16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Reserve</w:t>
      </w:r>
      <w:r>
        <w:rPr>
          <w:rFonts w:ascii="Arial" w:cs="Arial" w:eastAsia="Arial" w:hAnsi="Arial"/>
          <w:sz w:val="19"/>
          <w:szCs w:val="19"/>
          <w:color w:val="auto"/>
        </w:rPr>
        <w:t xml:space="preserve">” means, on any date, an amount equal to: (a) the Aggregate Investments on such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(i) the Dilution Reserve Percentage on such date,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100% minus the Dilution Reserve Percentage on such date.</w:t>
      </w:r>
    </w:p>
    <w:p>
      <w:pPr>
        <w:spacing w:after="0" w:line="144"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Reserve Percentage</w:t>
      </w:r>
      <w:r>
        <w:rPr>
          <w:rFonts w:ascii="Arial" w:cs="Arial" w:eastAsia="Arial" w:hAnsi="Arial"/>
          <w:sz w:val="19"/>
          <w:szCs w:val="19"/>
          <w:color w:val="auto"/>
        </w:rPr>
        <w:t xml:space="preserve">” means, on any date, the product of (i) the sum of (A) 2.00 times the Adjusted Dilution Ratio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Dilution Volatility Component,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Dilution Horizon Ratio.</w:t>
      </w:r>
    </w:p>
    <w:p>
      <w:pPr>
        <w:spacing w:after="0" w:line="144"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Volatility Component</w:t>
      </w:r>
      <w:r>
        <w:rPr>
          <w:rFonts w:ascii="Arial" w:cs="Arial" w:eastAsia="Arial" w:hAnsi="Arial"/>
          <w:sz w:val="19"/>
          <w:szCs w:val="19"/>
          <w:color w:val="auto"/>
        </w:rPr>
        <w:t>” means, for any calendar month, the product of (a) the difference of (i) the highest three-month rolling average Dilution Ratio during the twelve most recent calendar months (the “</w:t>
      </w:r>
      <w:r>
        <w:rPr>
          <w:rFonts w:ascii="Arial" w:cs="Arial" w:eastAsia="Arial" w:hAnsi="Arial"/>
          <w:sz w:val="19"/>
          <w:szCs w:val="19"/>
          <w:u w:val="single" w:color="auto"/>
          <w:color w:val="auto"/>
        </w:rPr>
        <w:t>Highest 3-Month Rolling Average Dilution Ratio</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Adjusted Dilution Ratio for such calendar month,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a fraction (i) the numerator of which is the Highest 3-Month Rolling Average Dilution Ratio during the twelve most recent calendar months and (ii) the denominator of which is the Adjusted Dilution Ratio for such calendar month.</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w:t>
      </w:r>
      <w:r>
        <w:rPr>
          <w:rFonts w:ascii="Arial" w:cs="Arial" w:eastAsia="Arial" w:hAnsi="Arial"/>
          <w:sz w:val="19"/>
          <w:szCs w:val="19"/>
          <w:color w:val="auto"/>
        </w:rPr>
        <w:t>” means with respect to any Purchaser:</w:t>
      </w:r>
    </w:p>
    <w:p>
      <w:pPr>
        <w:spacing w:after="0" w:line="199" w:lineRule="exact"/>
        <w:rPr>
          <w:sz w:val="20"/>
          <w:szCs w:val="20"/>
          <w:color w:val="auto"/>
        </w:rPr>
      </w:pPr>
    </w:p>
    <w:p>
      <w:pPr>
        <w:ind w:left="560" w:right="20" w:firstLine="579"/>
        <w:spacing w:after="0" w:line="274" w:lineRule="auto"/>
        <w:tabs>
          <w:tab w:leader="none" w:pos="140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for any Portion of Investment for any Yield Period with respect to any Purchaser to the extent such Portion of Investment will be funded by such Purchaser during such Yield Period through the issuance of Notes: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CPR x I x ED/360</w:t>
      </w:r>
    </w:p>
    <w:p>
      <w:pPr>
        <w:spacing w:after="0" w:line="199" w:lineRule="exact"/>
        <w:rPr>
          <w:sz w:val="20"/>
          <w:szCs w:val="20"/>
          <w:color w:val="auto"/>
        </w:rPr>
      </w:pPr>
    </w:p>
    <w:p>
      <w:pPr>
        <w:ind w:left="560" w:right="20" w:firstLine="579"/>
        <w:spacing w:after="0" w:line="274" w:lineRule="auto"/>
        <w:tabs>
          <w:tab w:leader="none" w:pos="1405" w:val="left"/>
        </w:tabs>
        <w:numPr>
          <w:ilvl w:val="0"/>
          <w:numId w:val="283"/>
        </w:numPr>
        <w:rPr>
          <w:rFonts w:ascii="Arial" w:cs="Arial" w:eastAsia="Arial" w:hAnsi="Arial"/>
          <w:sz w:val="19"/>
          <w:szCs w:val="19"/>
          <w:color w:val="auto"/>
        </w:rPr>
      </w:pPr>
      <w:r>
        <w:rPr>
          <w:rFonts w:ascii="Arial" w:cs="Arial" w:eastAsia="Arial" w:hAnsi="Arial"/>
          <w:sz w:val="19"/>
          <w:szCs w:val="19"/>
          <w:color w:val="auto"/>
        </w:rPr>
        <w:t>for any Portion of Investment for any day with respect to any Purchaser to the extent such Portion of Investment will be funded by such Purchaser during such day other than through the issuance of Notes: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I x AYR/Year</w:t>
      </w:r>
    </w:p>
    <w:p>
      <w:pPr>
        <w:sectPr>
          <w:pgSz w:w="11900" w:h="16838" w:orient="portrait"/>
          <w:cols w:equalWidth="0" w:num="1">
            <w:col w:w="11440"/>
          </w:cols>
          <w:pgMar w:left="240" w:top="132" w:right="219" w:bottom="0" w:gutter="0" w:footer="0" w:header="0"/>
        </w:sectPr>
      </w:pPr>
    </w:p>
    <w:bookmarkStart w:id="195" w:name="page196"/>
    <w:bookmarkEnd w:id="195"/>
    <w:p>
      <w:pPr>
        <w:spacing w:after="0" w:line="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where:</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AYR =the “Alternate Yield Rate” as defined herein, for such Portion of Investment for such day with respect to such Purchaser,</w:t>
      </w:r>
    </w:p>
    <w:p>
      <w:pPr>
        <w:spacing w:after="0" w:line="210" w:lineRule="exact"/>
        <w:rPr>
          <w:sz w:val="20"/>
          <w:szCs w:val="20"/>
          <w:color w:val="auto"/>
        </w:rPr>
      </w:pPr>
    </w:p>
    <w:p>
      <w:pPr>
        <w:ind w:left="1140"/>
        <w:spacing w:after="0"/>
        <w:tabs>
          <w:tab w:leader="none" w:pos="1500" w:val="left"/>
        </w:tabs>
        <w:rPr>
          <w:sz w:val="20"/>
          <w:szCs w:val="20"/>
          <w:color w:val="auto"/>
        </w:rPr>
      </w:pPr>
      <w:r>
        <w:rPr>
          <w:rFonts w:ascii="Arial" w:cs="Arial" w:eastAsia="Arial" w:hAnsi="Arial"/>
          <w:sz w:val="17"/>
          <w:szCs w:val="17"/>
          <w:color w:val="auto"/>
        </w:rPr>
        <w:t>I=</w:t>
        <w:tab/>
        <w:t>the Investment with respect to such Portion of Investment on such day or during such Yield Period, as applicable, with respect to</w:t>
      </w:r>
    </w:p>
    <w:p>
      <w:pPr>
        <w:spacing w:after="0" w:line="46"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such Purchaser,</w:t>
      </w:r>
    </w:p>
    <w:p>
      <w:pPr>
        <w:sectPr>
          <w:pgSz w:w="11900" w:h="16902" w:orient="portrait"/>
          <w:cols w:equalWidth="0" w:num="1">
            <w:col w:w="11440"/>
          </w:cols>
          <w:pgMar w:left="240" w:top="132" w:right="219" w:bottom="0" w:gutter="0" w:footer="0" w:header="0"/>
        </w:sectPr>
      </w:pP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CPR=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CP Rate for the Portion of Investment for such Yield Period with respect to such Purchaser,</w:t>
      </w:r>
    </w:p>
    <w:p>
      <w:pPr>
        <w:spacing w:after="0" w:line="200" w:lineRule="exact"/>
        <w:rPr>
          <w:sz w:val="20"/>
          <w:szCs w:val="20"/>
          <w:color w:val="auto"/>
        </w:rPr>
      </w:pPr>
    </w:p>
    <w:p>
      <w:pPr>
        <w:sectPr>
          <w:pgSz w:w="11900" w:h="16902" w:orient="portrait"/>
          <w:cols w:equalWidth="0" w:num="2">
            <w:col w:w="1620" w:space="180"/>
            <w:col w:w="9640"/>
          </w:cols>
          <w:pgMar w:left="240" w:top="132" w:right="219" w:bottom="0" w:gutter="0" w:footer="0" w:header="0"/>
          <w:type w:val="continuous"/>
        </w:sectPr>
      </w:pP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actual number of days during such Yield Period, and</w:t>
      </w:r>
    </w:p>
    <w:p>
      <w:pPr>
        <w:spacing w:after="0" w:line="211" w:lineRule="exact"/>
        <w:rPr>
          <w:sz w:val="20"/>
          <w:szCs w:val="20"/>
          <w:color w:val="auto"/>
        </w:rPr>
      </w:pPr>
    </w:p>
    <w:p>
      <w:pPr>
        <w:sectPr>
          <w:pgSz w:w="11900" w:h="16902" w:orient="portrait"/>
          <w:cols w:equalWidth="0" w:num="2">
            <w:col w:w="1500" w:space="200"/>
            <w:col w:w="9740"/>
          </w:cols>
          <w:pgMar w:left="240" w:top="132" w:right="219" w:bottom="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Year=</w:t>
      </w:r>
    </w:p>
    <w:p>
      <w:pPr>
        <w:spacing w:after="0" w:line="20" w:lineRule="exact"/>
        <w:rPr>
          <w:sz w:val="20"/>
          <w:szCs w:val="20"/>
          <w:color w:val="auto"/>
        </w:rPr>
      </w:pPr>
      <w:r>
        <w:rPr>
          <w:sz w:val="20"/>
          <w:szCs w:val="20"/>
          <w:color w:val="auto"/>
        </w:rPr>
        <w:br w:type="column"/>
      </w:r>
    </w:p>
    <w:p>
      <w:pPr>
        <w:ind w:right="20" w:hanging="1955"/>
        <w:spacing w:after="0" w:line="274" w:lineRule="auto"/>
        <w:rPr>
          <w:sz w:val="20"/>
          <w:szCs w:val="20"/>
          <w:color w:val="auto"/>
        </w:rPr>
      </w:pPr>
      <w:r>
        <w:rPr>
          <w:rFonts w:ascii="Arial" w:cs="Arial" w:eastAsia="Arial" w:hAnsi="Arial"/>
          <w:sz w:val="19"/>
          <w:szCs w:val="19"/>
          <w:color w:val="auto"/>
        </w:rPr>
        <w:t>if such Portion of Investment is funded based upon: (i) the Euro-Rate or the LMIR, 360 days, and (ii) the Base Rate, 365 or 366 days, as applicable.</w:t>
      </w:r>
    </w:p>
    <w:p>
      <w:pPr>
        <w:spacing w:after="0" w:line="144" w:lineRule="exact"/>
        <w:rPr>
          <w:sz w:val="20"/>
          <w:szCs w:val="20"/>
          <w:color w:val="auto"/>
        </w:rPr>
      </w:pPr>
    </w:p>
    <w:p>
      <w:pPr>
        <w:sectPr>
          <w:pgSz w:w="11900" w:h="16902" w:orient="portrait"/>
          <w:cols w:equalWidth="0" w:num="2">
            <w:col w:w="3060" w:space="720"/>
            <w:col w:w="7660"/>
          </w:cols>
          <w:pgMar w:left="240" w:top="132" w:right="219" w:bottom="0" w:gutter="0" w:footer="0" w:header="0"/>
          <w:type w:val="continuous"/>
        </w:sectPr>
      </w:pPr>
    </w:p>
    <w:p>
      <w:pPr>
        <w:jc w:val="both"/>
        <w:spacing w:after="0" w:line="25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provision of this Agreement shall require the payment or permit the collection of Discount in excess of the maximum permitted by Applicable Law;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Discount for any Portion of Investment shall not be considered paid by any distribution to the extent that at any time all or a portion of such distribution is rescinded or must otherwise be returned for any reason. In addition to the foregoing, any interest accrued and payable by the Seller to the Administrator pursuant to </w:t>
      </w:r>
      <w:r>
        <w:rPr>
          <w:rFonts w:ascii="Arial" w:cs="Arial" w:eastAsia="Arial" w:hAnsi="Arial"/>
          <w:sz w:val="19"/>
          <w:szCs w:val="19"/>
          <w:u w:val="single" w:color="auto"/>
          <w:color w:val="auto"/>
        </w:rPr>
        <w:t>Section 1.2(b)(ii)</w:t>
      </w:r>
      <w:r>
        <w:rPr>
          <w:rFonts w:ascii="Arial" w:cs="Arial" w:eastAsia="Arial" w:hAnsi="Arial"/>
          <w:sz w:val="19"/>
          <w:szCs w:val="19"/>
          <w:color w:val="auto"/>
        </w:rPr>
        <w:t xml:space="preserve"> shall constitute “Discount” payable to the Administrator hereunder for all purposes.</w:t>
      </w:r>
    </w:p>
    <w:p>
      <w:pPr>
        <w:spacing w:after="0" w:line="162"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Foreign Obligor</w:t>
      </w:r>
      <w:r>
        <w:rPr>
          <w:rFonts w:ascii="Arial" w:cs="Arial" w:eastAsia="Arial" w:hAnsi="Arial"/>
          <w:sz w:val="19"/>
          <w:szCs w:val="19"/>
          <w:color w:val="auto"/>
        </w:rPr>
        <w:t>” means an Obligor which is a resident of any country (other than the United States) that has a long-term currency rating of at least “A” by Standard and Poor’s and “A2” by Moody’s.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Receivable</w:t>
      </w:r>
      <w:r>
        <w:rPr>
          <w:rFonts w:ascii="Arial" w:cs="Arial" w:eastAsia="Arial" w:hAnsi="Arial"/>
          <w:sz w:val="19"/>
          <w:szCs w:val="19"/>
          <w:color w:val="auto"/>
        </w:rPr>
        <w:t>” means, at any time, a Pool Receivable:</w:t>
      </w:r>
    </w:p>
    <w:p>
      <w:pPr>
        <w:spacing w:after="0" w:line="199" w:lineRule="exact"/>
        <w:rPr>
          <w:sz w:val="20"/>
          <w:szCs w:val="20"/>
          <w:color w:val="auto"/>
        </w:rPr>
      </w:pPr>
    </w:p>
    <w:p>
      <w:pPr>
        <w:jc w:val="both"/>
        <w:ind w:left="560" w:right="20" w:firstLine="579"/>
        <w:spacing w:after="0" w:line="334" w:lineRule="auto"/>
        <w:tabs>
          <w:tab w:leader="none" w:pos="142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the Obligor of which is (i) a United States resident or an Eligible Foreign Obligor, (ii) not subject to any action of the type described in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V</w:t>
      </w:r>
      <w:r>
        <w:rPr>
          <w:rFonts w:ascii="Arial" w:cs="Arial" w:eastAsia="Arial" w:hAnsi="Arial"/>
          <w:sz w:val="17"/>
          <w:szCs w:val="17"/>
          <w:color w:val="auto"/>
        </w:rPr>
        <w:t xml:space="preserve"> to this Agreement, (iii) not an Affiliate of WESCO or any Originator and (iv) not a Sanctioned Person,</w:t>
      </w:r>
    </w:p>
    <w:p>
      <w:pPr>
        <w:spacing w:after="0" w:line="99" w:lineRule="exact"/>
        <w:rPr>
          <w:rFonts w:ascii="Arial" w:cs="Arial" w:eastAsia="Arial" w:hAnsi="Arial"/>
          <w:sz w:val="17"/>
          <w:szCs w:val="17"/>
          <w:color w:val="auto"/>
        </w:rPr>
      </w:pPr>
    </w:p>
    <w:p>
      <w:pPr>
        <w:ind w:left="1400" w:hanging="261"/>
        <w:spacing w:after="0"/>
        <w:tabs>
          <w:tab w:leader="none" w:pos="14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is denominated and payable only in U.S. dollars in the United States to a Lock-Box Account,</w:t>
      </w:r>
    </w:p>
    <w:p>
      <w:pPr>
        <w:spacing w:after="0" w:line="198" w:lineRule="exact"/>
        <w:rPr>
          <w:rFonts w:ascii="Arial" w:cs="Arial" w:eastAsia="Arial" w:hAnsi="Arial"/>
          <w:sz w:val="19"/>
          <w:szCs w:val="19"/>
          <w:color w:val="auto"/>
        </w:rPr>
      </w:pPr>
    </w:p>
    <w:p>
      <w:pPr>
        <w:jc w:val="both"/>
        <w:ind w:left="560" w:firstLine="579"/>
        <w:spacing w:after="0" w:line="261" w:lineRule="auto"/>
        <w:tabs>
          <w:tab w:leader="none" w:pos="1398"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does not have a stated maturity which is more than 90 days after the original invoice date of such Receivable, unless a longer stated maturity is approved by and in the sole discretion of the Administrator and all of the Purchasers in writing, prior to the acquisition of such Receivable (or any interest therein),</w:t>
      </w:r>
    </w:p>
    <w:p>
      <w:pPr>
        <w:spacing w:after="0" w:line="156" w:lineRule="exact"/>
        <w:rPr>
          <w:rFonts w:ascii="Arial" w:cs="Arial" w:eastAsia="Arial" w:hAnsi="Arial"/>
          <w:sz w:val="19"/>
          <w:szCs w:val="19"/>
          <w:color w:val="auto"/>
        </w:rPr>
      </w:pPr>
    </w:p>
    <w:p>
      <w:pPr>
        <w:ind w:left="560" w:firstLine="579"/>
        <w:spacing w:after="0" w:line="274" w:lineRule="auto"/>
        <w:tabs>
          <w:tab w:leader="none" w:pos="1446"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arises under a duly authorized Contract for the sale and delivery of goods and services in the ordinary course of an Originator’s business,</w:t>
      </w:r>
    </w:p>
    <w:p>
      <w:pPr>
        <w:spacing w:after="0" w:line="144" w:lineRule="exact"/>
        <w:rPr>
          <w:rFonts w:ascii="Arial" w:cs="Arial" w:eastAsia="Arial" w:hAnsi="Arial"/>
          <w:sz w:val="19"/>
          <w:szCs w:val="19"/>
          <w:color w:val="auto"/>
        </w:rPr>
      </w:pPr>
    </w:p>
    <w:p>
      <w:pPr>
        <w:ind w:left="560" w:firstLine="579"/>
        <w:spacing w:after="0" w:line="274" w:lineRule="auto"/>
        <w:tabs>
          <w:tab w:leader="none" w:pos="1404"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arises under a duly authorized Contract that is in full force and effect and that is a legal, valid and binding obligation of the related Obligor, enforceable against such Obligor in accordance with its terms,</w:t>
      </w:r>
    </w:p>
    <w:p>
      <w:pPr>
        <w:spacing w:after="0" w:line="144" w:lineRule="exact"/>
        <w:rPr>
          <w:rFonts w:ascii="Arial" w:cs="Arial" w:eastAsia="Arial" w:hAnsi="Arial"/>
          <w:sz w:val="19"/>
          <w:szCs w:val="19"/>
          <w:color w:val="auto"/>
        </w:rPr>
      </w:pPr>
    </w:p>
    <w:p>
      <w:pPr>
        <w:ind w:left="1380" w:hanging="241"/>
        <w:spacing w:after="0"/>
        <w:tabs>
          <w:tab w:leader="none" w:pos="138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conforms in all material respects with all Applicable Laws in effect,</w:t>
      </w:r>
    </w:p>
    <w:p>
      <w:pPr>
        <w:spacing w:after="0" w:line="198" w:lineRule="exact"/>
        <w:rPr>
          <w:rFonts w:ascii="Arial" w:cs="Arial" w:eastAsia="Arial" w:hAnsi="Arial"/>
          <w:sz w:val="19"/>
          <w:szCs w:val="19"/>
          <w:color w:val="auto"/>
        </w:rPr>
      </w:pPr>
    </w:p>
    <w:p>
      <w:pPr>
        <w:ind w:left="1400" w:hanging="261"/>
        <w:spacing w:after="0"/>
        <w:tabs>
          <w:tab w:leader="none" w:pos="14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is not the subject of any asserted dispute, offset, hold back defense, Adverse Claim or other claim,</w:t>
      </w:r>
    </w:p>
    <w:p>
      <w:pPr>
        <w:spacing w:after="0" w:line="198" w:lineRule="exact"/>
        <w:rPr>
          <w:rFonts w:ascii="Arial" w:cs="Arial" w:eastAsia="Arial" w:hAnsi="Arial"/>
          <w:sz w:val="19"/>
          <w:szCs w:val="19"/>
          <w:color w:val="auto"/>
        </w:rPr>
      </w:pPr>
    </w:p>
    <w:p>
      <w:pPr>
        <w:ind w:left="1400" w:hanging="261"/>
        <w:spacing w:after="0"/>
        <w:tabs>
          <w:tab w:leader="none" w:pos="140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satisfies all applicable requirements of the applicable Credit and Collection Policy,</w:t>
      </w:r>
    </w:p>
    <w:p>
      <w:pPr>
        <w:spacing w:after="0" w:line="198" w:lineRule="exact"/>
        <w:rPr>
          <w:rFonts w:ascii="Arial" w:cs="Arial" w:eastAsia="Arial" w:hAnsi="Arial"/>
          <w:sz w:val="19"/>
          <w:szCs w:val="19"/>
          <w:color w:val="auto"/>
        </w:rPr>
      </w:pPr>
    </w:p>
    <w:p>
      <w:pPr>
        <w:ind w:left="1360" w:hanging="221"/>
        <w:spacing w:after="0"/>
        <w:tabs>
          <w:tab w:leader="none" w:pos="13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that has not been modified, waived or restructured since its creation, except as permitted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this Agreement,</w:t>
      </w:r>
    </w:p>
    <w:p>
      <w:pPr>
        <w:spacing w:after="0" w:line="221" w:lineRule="exact"/>
        <w:rPr>
          <w:rFonts w:ascii="Arial" w:cs="Arial" w:eastAsia="Arial" w:hAnsi="Arial"/>
          <w:sz w:val="17"/>
          <w:szCs w:val="17"/>
          <w:color w:val="auto"/>
        </w:rPr>
      </w:pPr>
    </w:p>
    <w:p>
      <w:pPr>
        <w:ind w:left="560" w:right="20" w:firstLine="579"/>
        <w:spacing w:after="0" w:line="274" w:lineRule="auto"/>
        <w:tabs>
          <w:tab w:leader="none" w:pos="136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in which the Seller owns good and marketable title, free and clear of any Adverse Claims, and that is freely assignable by the Seller (including without any consent of the related Obligor),</w:t>
      </w:r>
    </w:p>
    <w:p>
      <w:pPr>
        <w:spacing w:after="0" w:line="144" w:lineRule="exact"/>
        <w:rPr>
          <w:rFonts w:ascii="Arial" w:cs="Arial" w:eastAsia="Arial" w:hAnsi="Arial"/>
          <w:sz w:val="19"/>
          <w:szCs w:val="19"/>
          <w:color w:val="auto"/>
        </w:rPr>
      </w:pPr>
    </w:p>
    <w:p>
      <w:pPr>
        <w:jc w:val="both"/>
        <w:ind w:left="560" w:firstLine="579"/>
        <w:spacing w:after="0" w:line="282" w:lineRule="auto"/>
        <w:tabs>
          <w:tab w:leader="none" w:pos="140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for which the Administrator (for the benefit of each Purchaser) shall have a valid and enforceable undivided percentage ownership or security interest, to the extent of the Purchased Interest, and a valid and enforceable first priority perfected security interest therein and in the Related Security and Collections with respect thereto, in each case free and clear of any Adverse Claim,</w:t>
      </w:r>
    </w:p>
    <w:p>
      <w:pPr>
        <w:spacing w:after="0" w:line="140" w:lineRule="exact"/>
        <w:rPr>
          <w:rFonts w:ascii="Arial" w:cs="Arial" w:eastAsia="Arial" w:hAnsi="Arial"/>
          <w:sz w:val="18"/>
          <w:szCs w:val="18"/>
          <w:color w:val="auto"/>
        </w:rPr>
      </w:pPr>
    </w:p>
    <w:p>
      <w:pPr>
        <w:ind w:left="1360" w:hanging="221"/>
        <w:spacing w:after="0"/>
        <w:tabs>
          <w:tab w:leader="none" w:pos="136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constitutes an account as defined in the UCC, and that is not evidenced by instruments or chattel paper,</w:t>
      </w:r>
    </w:p>
    <w:p>
      <w:pPr>
        <w:spacing w:after="0" w:line="198" w:lineRule="exact"/>
        <w:rPr>
          <w:rFonts w:ascii="Arial" w:cs="Arial" w:eastAsia="Arial" w:hAnsi="Arial"/>
          <w:sz w:val="19"/>
          <w:szCs w:val="19"/>
          <w:color w:val="auto"/>
        </w:rPr>
      </w:pPr>
    </w:p>
    <w:p>
      <w:pPr>
        <w:ind w:left="1460" w:hanging="321"/>
        <w:spacing w:after="0"/>
        <w:tabs>
          <w:tab w:leader="none" w:pos="146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is not a Defaulted Receivable or a Delinquent Receivable,</w:t>
      </w:r>
    </w:p>
    <w:p>
      <w:pPr>
        <w:spacing w:after="0" w:line="234" w:lineRule="exact"/>
        <w:rPr>
          <w:rFonts w:ascii="Arial" w:cs="Arial" w:eastAsia="Arial" w:hAnsi="Arial"/>
          <w:sz w:val="19"/>
          <w:szCs w:val="19"/>
          <w:color w:val="auto"/>
        </w:rPr>
      </w:pPr>
    </w:p>
    <w:p>
      <w:pPr>
        <w:ind w:left="1400" w:hanging="261"/>
        <w:spacing w:after="0"/>
        <w:tabs>
          <w:tab w:leader="none" w:pos="14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for which none the Originator thereof, the Seller and the Servicer has established any offset arrangements with the related Obligor,</w:t>
      </w:r>
    </w:p>
    <w:p>
      <w:pPr>
        <w:spacing w:after="0" w:line="221" w:lineRule="exact"/>
        <w:rPr>
          <w:rFonts w:ascii="Arial" w:cs="Arial" w:eastAsia="Arial" w:hAnsi="Arial"/>
          <w:sz w:val="17"/>
          <w:szCs w:val="17"/>
          <w:color w:val="auto"/>
        </w:rPr>
      </w:pPr>
    </w:p>
    <w:p>
      <w:pPr>
        <w:ind w:left="560" w:right="20" w:firstLine="579"/>
        <w:spacing w:after="0" w:line="274" w:lineRule="auto"/>
        <w:tabs>
          <w:tab w:leader="none" w:pos="143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for which Defaulted Receivables of the related Obligor do not exceed 50% of the Outstanding Balance of all such Obligor’s Receivables,</w:t>
      </w:r>
    </w:p>
    <w:p>
      <w:pPr>
        <w:spacing w:after="0" w:line="144" w:lineRule="exact"/>
        <w:rPr>
          <w:rFonts w:ascii="Arial" w:cs="Arial" w:eastAsia="Arial" w:hAnsi="Arial"/>
          <w:sz w:val="19"/>
          <w:szCs w:val="19"/>
          <w:color w:val="auto"/>
        </w:rPr>
      </w:pPr>
    </w:p>
    <w:p>
      <w:pPr>
        <w:ind w:left="560" w:right="20" w:firstLine="579"/>
        <w:spacing w:after="0" w:line="274" w:lineRule="auto"/>
        <w:tabs>
          <w:tab w:leader="none" w:pos="141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that represents amounts earned and payable by the Obligor that are not subject to the performance of additional services by the Originator thereof or the Seller, and</w:t>
      </w:r>
    </w:p>
    <w:p>
      <w:pPr>
        <w:spacing w:after="0" w:line="144" w:lineRule="exact"/>
        <w:rPr>
          <w:rFonts w:ascii="Arial" w:cs="Arial" w:eastAsia="Arial" w:hAnsi="Arial"/>
          <w:sz w:val="19"/>
          <w:szCs w:val="19"/>
          <w:color w:val="auto"/>
        </w:rPr>
      </w:pPr>
    </w:p>
    <w:p>
      <w:pPr>
        <w:ind w:left="560" w:firstLine="579"/>
        <w:spacing w:after="0" w:line="274" w:lineRule="auto"/>
        <w:tabs>
          <w:tab w:leader="none" w:pos="1411"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which (i) does not relate to the sale of any consigned goods or finished goods which have incorporated any consigned goods into such finished goods and (ii) is not owed to any Originator or the Seller as a bailee or consignee for another Person.</w:t>
      </w:r>
    </w:p>
    <w:p>
      <w:pPr>
        <w:spacing w:after="0" w:line="144"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 and any successor statute of similar import, together with the regulations thereunder, in each case as in effect from time to time. References to sections of ERISA also refer to any successor sections.</w:t>
      </w:r>
    </w:p>
    <w:p>
      <w:pPr>
        <w:spacing w:after="0" w:line="157" w:lineRule="exact"/>
        <w:rPr>
          <w:sz w:val="20"/>
          <w:szCs w:val="20"/>
          <w:color w:val="auto"/>
        </w:rPr>
      </w:pPr>
    </w:p>
    <w:p>
      <w:pPr>
        <w:jc w:val="both"/>
        <w:ind w:right="20" w:firstLine="572"/>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 any corporation that is a member of the same controlled group of corporations (within the meaning of Section 414(b) of the Internal Revenue Code) as the Seller, any Originator or WESCO, (b) a trade or business (whether or not incorporated) under common control (within the meaning of Section 414(c) of the Internal Revenue Code) with the Seller, any Originator or WESCO, or (c) a member of</w:t>
      </w:r>
    </w:p>
    <w:p>
      <w:pPr>
        <w:sectPr>
          <w:pgSz w:w="11900" w:h="16902" w:orient="portrait"/>
          <w:cols w:equalWidth="0" w:num="1">
            <w:col w:w="11440"/>
          </w:cols>
          <w:pgMar w:left="240" w:top="132" w:right="219" w:bottom="0" w:gutter="0" w:footer="0" w:header="0"/>
          <w:type w:val="continuous"/>
        </w:sectPr>
      </w:pPr>
    </w:p>
    <w:bookmarkStart w:id="196" w:name="page197"/>
    <w:bookmarkEnd w:id="196"/>
    <w:p>
      <w:pPr>
        <w:jc w:val="both"/>
        <w:ind w:left="5"/>
        <w:spacing w:after="0" w:line="274" w:lineRule="auto"/>
        <w:rPr>
          <w:sz w:val="20"/>
          <w:szCs w:val="20"/>
          <w:color w:val="auto"/>
        </w:rPr>
      </w:pPr>
      <w:r>
        <w:rPr>
          <w:rFonts w:ascii="Arial" w:cs="Arial" w:eastAsia="Arial" w:hAnsi="Arial"/>
          <w:sz w:val="19"/>
          <w:szCs w:val="19"/>
          <w:color w:val="auto"/>
        </w:rPr>
        <w:t xml:space="preserve">the same affiliated service group (within the meaning of Section 414(m) of the Internal Revenue Code) as the Seller, any Originator, any corporation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any trade or business described in </w:t>
      </w:r>
      <w:r>
        <w:rPr>
          <w:rFonts w:ascii="Arial" w:cs="Arial" w:eastAsia="Arial" w:hAnsi="Arial"/>
          <w:sz w:val="19"/>
          <w:szCs w:val="19"/>
          <w:u w:val="single" w:color="auto"/>
          <w:color w:val="auto"/>
        </w:rPr>
        <w:t>clause (b)</w:t>
      </w:r>
      <w:r>
        <w:rPr>
          <w:rFonts w:ascii="Arial" w:cs="Arial" w:eastAsia="Arial" w:hAnsi="Arial"/>
          <w:sz w:val="19"/>
          <w:szCs w:val="19"/>
          <w:color w:val="auto"/>
        </w:rPr>
        <w:t>.</w:t>
      </w:r>
    </w:p>
    <w:p>
      <w:pPr>
        <w:spacing w:after="0" w:line="144" w:lineRule="exact"/>
        <w:rPr>
          <w:sz w:val="20"/>
          <w:szCs w:val="20"/>
          <w:color w:val="auto"/>
        </w:rPr>
      </w:pPr>
    </w:p>
    <w:p>
      <w:pPr>
        <w:jc w:val="both"/>
        <w:ind w:left="5" w:firstLine="57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Euro-Rate</w:t>
      </w:r>
      <w:r>
        <w:rPr>
          <w:rFonts w:ascii="Arial" w:cs="Arial" w:eastAsia="Arial" w:hAnsi="Arial"/>
          <w:sz w:val="19"/>
          <w:szCs w:val="19"/>
          <w:color w:val="auto"/>
        </w:rPr>
        <w:t>” means with respect to any Yield Period, the greater of (a) 0.00% and (b) the interest rate per annum determined by the Administrator by dividing (the resulting quotient rounded upwards, if necessary, to the nearest 1/100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1% per annum) (i) the rate of interest determined by the applicable Purchaser Agent in accordance with its usual procedures (which determination shall be conclusive absent manifest error) to be the average of the London interbank market offered rates for U.S. dollars as reported on the Reuters Screen LIBOR01 Page or any other page that may replace such page from time to time for the purpose of displaying offered rates of leading banks for London interbank deposits in United States dollars at or about 11:00 a.m. (London time) on the Business Day which is two (2) Business Days prior to the first day of such Yield Period for an amount comparable to the Portion of Investment to be funded at the Alternate Yield Rate determined by reference to the Euro-Rate during such Yield Period by (ii) a number equal to 1.00 minus the Euro-Rate Reserve Percentage. The Euro-Rate may also be expressed by the following formula:</w:t>
      </w:r>
    </w:p>
    <w:p>
      <w:pPr>
        <w:spacing w:after="0" w:line="170" w:lineRule="exact"/>
        <w:rPr>
          <w:sz w:val="20"/>
          <w:szCs w:val="20"/>
          <w:color w:val="auto"/>
        </w:rPr>
      </w:pPr>
    </w:p>
    <w:p>
      <w:pPr>
        <w:ind w:left="1725"/>
        <w:spacing w:after="0"/>
        <w:rPr>
          <w:sz w:val="20"/>
          <w:szCs w:val="20"/>
          <w:color w:val="auto"/>
        </w:rPr>
      </w:pPr>
      <w:r>
        <w:rPr>
          <w:rFonts w:ascii="Arial" w:cs="Arial" w:eastAsia="Arial" w:hAnsi="Arial"/>
          <w:sz w:val="16"/>
          <w:szCs w:val="16"/>
          <w:color w:val="auto"/>
        </w:rPr>
        <w:t>Average of London interbank offered rates as reported on</w:t>
      </w:r>
    </w:p>
    <w:p>
      <w:pPr>
        <w:spacing w:after="0" w:line="18" w:lineRule="exact"/>
        <w:rPr>
          <w:sz w:val="20"/>
          <w:szCs w:val="20"/>
          <w:color w:val="auto"/>
        </w:rPr>
      </w:pPr>
    </w:p>
    <w:p>
      <w:pPr>
        <w:ind w:left="1725"/>
        <w:spacing w:after="0"/>
        <w:rPr>
          <w:sz w:val="20"/>
          <w:szCs w:val="20"/>
          <w:color w:val="auto"/>
        </w:rPr>
      </w:pPr>
      <w:r>
        <w:rPr>
          <w:rFonts w:ascii="Arial" w:cs="Arial" w:eastAsia="Arial" w:hAnsi="Arial"/>
          <w:sz w:val="16"/>
          <w:szCs w:val="16"/>
          <w:color w:val="auto"/>
        </w:rPr>
        <w:t>the Reuters Screen LIBOR01 Page or appropriate successor</w:t>
      </w:r>
    </w:p>
    <w:p>
      <w:pPr>
        <w:spacing w:after="0" w:line="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Euro-Rate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-16510</wp:posOffset>
            </wp:positionV>
            <wp:extent cx="22936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93620" cy="7620"/>
                    </a:xfrm>
                    <a:prstGeom prst="rect">
                      <a:avLst/>
                    </a:prstGeom>
                    <a:noFill/>
                  </pic:spPr>
                </pic:pic>
              </a:graphicData>
            </a:graphic>
          </wp:anchor>
        </w:drawing>
      </w:r>
    </w:p>
    <w:p>
      <w:pPr>
        <w:spacing w:after="0" w:line="166" w:lineRule="exact"/>
        <w:rPr>
          <w:sz w:val="20"/>
          <w:szCs w:val="20"/>
          <w:color w:val="auto"/>
        </w:rPr>
      </w:pPr>
    </w:p>
    <w:p>
      <w:pPr>
        <w:ind w:left="2285"/>
        <w:spacing w:after="0"/>
        <w:rPr>
          <w:sz w:val="20"/>
          <w:szCs w:val="20"/>
          <w:color w:val="auto"/>
        </w:rPr>
      </w:pPr>
      <w:r>
        <w:rPr>
          <w:rFonts w:ascii="Arial" w:cs="Arial" w:eastAsia="Arial" w:hAnsi="Arial"/>
          <w:sz w:val="16"/>
          <w:szCs w:val="16"/>
          <w:color w:val="auto"/>
        </w:rPr>
        <w:t>1.00 - Euro-Rate Reserve Percentage</w:t>
      </w:r>
    </w:p>
    <w:p>
      <w:pPr>
        <w:spacing w:after="0" w:line="203" w:lineRule="exact"/>
        <w:rPr>
          <w:sz w:val="20"/>
          <w:szCs w:val="20"/>
          <w:color w:val="auto"/>
        </w:rPr>
      </w:pPr>
    </w:p>
    <w:p>
      <w:pPr>
        <w:jc w:val="both"/>
        <w:ind w:left="5" w:firstLine="572"/>
        <w:spacing w:after="0" w:line="252" w:lineRule="auto"/>
        <w:rPr>
          <w:sz w:val="20"/>
          <w:szCs w:val="20"/>
          <w:color w:val="auto"/>
        </w:rPr>
      </w:pPr>
      <w:r>
        <w:rPr>
          <w:rFonts w:ascii="Arial" w:cs="Arial" w:eastAsia="Arial" w:hAnsi="Arial"/>
          <w:sz w:val="19"/>
          <w:szCs w:val="19"/>
          <w:color w:val="auto"/>
        </w:rPr>
        <w:t>where “</w:t>
      </w:r>
      <w:r>
        <w:rPr>
          <w:rFonts w:ascii="Arial" w:cs="Arial" w:eastAsia="Arial" w:hAnsi="Arial"/>
          <w:sz w:val="19"/>
          <w:szCs w:val="19"/>
          <w:u w:val="single" w:color="auto"/>
          <w:color w:val="auto"/>
        </w:rPr>
        <w:t>Euro-Rate Reserve Percentage</w:t>
      </w:r>
      <w:r>
        <w:rPr>
          <w:rFonts w:ascii="Arial" w:cs="Arial" w:eastAsia="Arial" w:hAnsi="Arial"/>
          <w:sz w:val="19"/>
          <w:szCs w:val="19"/>
          <w:color w:val="auto"/>
        </w:rPr>
        <w:t>” means, the maximum effective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“Eurocurrency Liabilities”). The Euro-Rate shall be adjusted with respect to any Portion of Investment funded at the Alternate Yield Rate and based upon the Euro-Rate that is outstanding on the effective date of any change in the Euro-Rate Reserve Percentage as of such effective date. The applicable Purchaser Agent shall give prompt notice to the Administrator and the Seller of the Euro-Rate as determined or adjusted in accordance herewith (which determination shall be conclusive absent manifest error).</w:t>
      </w:r>
    </w:p>
    <w:p>
      <w:pPr>
        <w:spacing w:after="0" w:line="169" w:lineRule="exact"/>
        <w:rPr>
          <w:sz w:val="20"/>
          <w:szCs w:val="20"/>
          <w:color w:val="auto"/>
        </w:rPr>
      </w:pPr>
    </w:p>
    <w:p>
      <w:pPr>
        <w:jc w:val="both"/>
        <w:ind w:left="5" w:right="20" w:firstLine="5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Bankruptcy</w:t>
      </w:r>
      <w:r>
        <w:rPr>
          <w:rFonts w:ascii="Arial" w:cs="Arial" w:eastAsia="Arial" w:hAnsi="Arial"/>
          <w:sz w:val="19"/>
          <w:szCs w:val="19"/>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of cases (a) and (b) undertaken under U.S. Federal, state or foreign law, including the U.S. Bankruptcy Code.</w:t>
      </w:r>
    </w:p>
    <w:p>
      <w:pPr>
        <w:spacing w:after="0" w:line="162" w:lineRule="exact"/>
        <w:rPr>
          <w:sz w:val="20"/>
          <w:szCs w:val="20"/>
          <w:color w:val="auto"/>
        </w:rPr>
      </w:pPr>
    </w:p>
    <w:p>
      <w:pPr>
        <w:jc w:val="both"/>
        <w:ind w:left="5"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Exception Account</w:t>
      </w:r>
      <w:r>
        <w:rPr>
          <w:rFonts w:ascii="Arial" w:cs="Arial" w:eastAsia="Arial" w:hAnsi="Arial"/>
          <w:sz w:val="19"/>
          <w:szCs w:val="19"/>
          <w:color w:val="auto"/>
        </w:rPr>
        <w:t xml:space="preserve">” means each account identified as such in the Lock-Box Schedule Letter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“Exception Account” may be added to the Lock-Box Schedule Letter Agreement without the prior written consent of the Administrator in its sole discretion.</w:t>
      </w:r>
    </w:p>
    <w:p>
      <w:pPr>
        <w:spacing w:after="0" w:line="157" w:lineRule="exact"/>
        <w:rPr>
          <w:sz w:val="20"/>
          <w:szCs w:val="20"/>
          <w:color w:val="auto"/>
        </w:rPr>
      </w:pPr>
    </w:p>
    <w:p>
      <w:pPr>
        <w:jc w:val="both"/>
        <w:ind w:left="5" w:right="20" w:firstLine="5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Exception Account Conditions</w:t>
      </w:r>
      <w:r>
        <w:rPr>
          <w:rFonts w:ascii="Arial" w:cs="Arial" w:eastAsia="Arial" w:hAnsi="Arial"/>
          <w:sz w:val="18"/>
          <w:szCs w:val="18"/>
          <w:color w:val="auto"/>
        </w:rPr>
        <w:t>” means (a) with respect to the Frost Bank Lock-Box Account, the Frost Bank Conditions and (b) with respect to each other Exception Account, (i) the amount of Collections received in (A) such Exception Account during each calendar month does not exceed $10,000,000 and (B) all Exception Accounts, in the aggregate, during each calendar month does not exceed $15,000,000, (ii) no Termination Event has occurred and is continuing and (iii) all Collections received in such Exception Account are being automatically transferred directly to a Lock-Box Account (other than an Exception Account) no later than one (1) Business Day following receipt thereof.</w:t>
      </w:r>
    </w:p>
    <w:p>
      <w:pPr>
        <w:spacing w:after="0" w:line="150"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Concentration</w:t>
      </w:r>
      <w:r>
        <w:rPr>
          <w:rFonts w:ascii="Arial" w:cs="Arial" w:eastAsia="Arial" w:hAnsi="Arial"/>
          <w:sz w:val="19"/>
          <w:szCs w:val="19"/>
          <w:color w:val="auto"/>
        </w:rPr>
        <w:t>” means, without duplication, the sum of the following amounts:</w:t>
      </w:r>
    </w:p>
    <w:p>
      <w:pPr>
        <w:spacing w:after="0" w:line="199" w:lineRule="exact"/>
        <w:rPr>
          <w:sz w:val="20"/>
          <w:szCs w:val="20"/>
          <w:color w:val="auto"/>
        </w:rPr>
      </w:pPr>
    </w:p>
    <w:p>
      <w:pPr>
        <w:jc w:val="both"/>
        <w:ind w:left="565" w:firstLine="579"/>
        <w:spacing w:after="0" w:line="261" w:lineRule="auto"/>
        <w:tabs>
          <w:tab w:leader="none" w:pos="154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amount by which the Outstanding Balance of Eligible Receivables of each Obligor then in the Receivables Pool exceeds an amount equal to: (a) the applicable Concentration Percentage for such Obligor multiplied by (b) the Outstanding Balance of all Eligible Receivables then in the Receivables Pool;</w:t>
      </w:r>
    </w:p>
    <w:p>
      <w:pPr>
        <w:spacing w:after="0" w:line="156" w:lineRule="exact"/>
        <w:rPr>
          <w:rFonts w:ascii="Arial" w:cs="Arial" w:eastAsia="Arial" w:hAnsi="Arial"/>
          <w:sz w:val="19"/>
          <w:szCs w:val="19"/>
          <w:color w:val="auto"/>
        </w:rPr>
      </w:pPr>
    </w:p>
    <w:p>
      <w:pPr>
        <w:jc w:val="both"/>
        <w:ind w:left="565" w:right="20" w:firstLine="579"/>
        <w:spacing w:after="0" w:line="261" w:lineRule="auto"/>
        <w:tabs>
          <w:tab w:leader="none" w:pos="1577"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amount by which the aggregate Outstanding Balance of all Eligible Receivables then in the Receivables Pool, the Obligor of which is an Eligible Foreign Obligor, exceeds 3.00% of the aggregate Outstanding Balance of all Eligible Receivables then in the Receivables Pool;</w:t>
      </w:r>
    </w:p>
    <w:p>
      <w:pPr>
        <w:spacing w:after="0" w:line="156" w:lineRule="exact"/>
        <w:rPr>
          <w:rFonts w:ascii="Arial" w:cs="Arial" w:eastAsia="Arial" w:hAnsi="Arial"/>
          <w:sz w:val="19"/>
          <w:szCs w:val="19"/>
          <w:color w:val="auto"/>
        </w:rPr>
      </w:pPr>
    </w:p>
    <w:p>
      <w:pPr>
        <w:jc w:val="both"/>
        <w:ind w:left="565" w:firstLine="579"/>
        <w:spacing w:after="0" w:line="261" w:lineRule="auto"/>
        <w:tabs>
          <w:tab w:leader="none" w:pos="1705"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amount by which the aggregate Outstanding Balance of all Eligible Receivables then in the Receivables Pool, the Obligor of which is a government or governmental subdivision, affiliate or agency, exceeds 1.00% of the aggregate Outstanding Balance of all Eligible Receivables then in the Receivables Pool;</w:t>
      </w:r>
    </w:p>
    <w:p>
      <w:pPr>
        <w:spacing w:after="0" w:line="156" w:lineRule="exact"/>
        <w:rPr>
          <w:rFonts w:ascii="Arial" w:cs="Arial" w:eastAsia="Arial" w:hAnsi="Arial"/>
          <w:sz w:val="19"/>
          <w:szCs w:val="19"/>
          <w:color w:val="auto"/>
        </w:rPr>
      </w:pPr>
    </w:p>
    <w:p>
      <w:pPr>
        <w:ind w:left="565" w:right="20" w:firstLine="579"/>
        <w:spacing w:after="0" w:line="334" w:lineRule="auto"/>
        <w:tabs>
          <w:tab w:leader="none" w:pos="167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amount by which the aggregate Outstanding Balance of all Eligible Receivables then in the Receivables Pool, of which are Off-System Receivables, exceeds 30.00% of the aggregate Outstanding Balance of all Eligible Receivables then in the Receivables Pool;</w:t>
      </w:r>
    </w:p>
    <w:p>
      <w:pPr>
        <w:spacing w:after="0" w:line="99" w:lineRule="exact"/>
        <w:rPr>
          <w:rFonts w:ascii="Arial" w:cs="Arial" w:eastAsia="Arial" w:hAnsi="Arial"/>
          <w:sz w:val="17"/>
          <w:szCs w:val="17"/>
          <w:color w:val="auto"/>
        </w:rPr>
      </w:pPr>
    </w:p>
    <w:p>
      <w:pPr>
        <w:jc w:val="both"/>
        <w:ind w:left="565" w:right="20" w:firstLine="579"/>
        <w:spacing w:after="0" w:line="257" w:lineRule="auto"/>
        <w:tabs>
          <w:tab w:leader="none" w:pos="1562"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amount by which the aggregate Outstanding Balance of all Eligible Receivables then in the Receivables Pool which are aged greater than 90 days from the original invoice date for such payment and without duplication less than 121 days from the original invoice date for such payment, exceeds 5.00% of the aggregate credit sales made by the Originators in the month that is three months prior to the current month; and</w:t>
      </w:r>
    </w:p>
    <w:p>
      <w:pPr>
        <w:spacing w:after="0" w:line="160" w:lineRule="exact"/>
        <w:rPr>
          <w:rFonts w:ascii="Arial" w:cs="Arial" w:eastAsia="Arial" w:hAnsi="Arial"/>
          <w:sz w:val="19"/>
          <w:szCs w:val="19"/>
          <w:color w:val="auto"/>
        </w:rPr>
      </w:pPr>
    </w:p>
    <w:p>
      <w:pPr>
        <w:jc w:val="both"/>
        <w:ind w:left="565" w:firstLine="579"/>
        <w:spacing w:after="0" w:line="257" w:lineRule="auto"/>
        <w:tabs>
          <w:tab w:leader="none" w:pos="160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amount by which the aggregate Outstanding Balance of all Eligible Receivables then in the Receivables Pool which are aged greater than 120 days from the original invoice date for such payment and without duplication less than 151 days from the original invoice date for such payment, exceeds 5.00% of the aggregate credit sales made by the Originators in the month that is four months prior to the current month.</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Receivable</w:t>
      </w:r>
      <w:r>
        <w:rPr>
          <w:rFonts w:ascii="Arial" w:cs="Arial" w:eastAsia="Arial" w:hAnsi="Arial"/>
          <w:sz w:val="17"/>
          <w:szCs w:val="17"/>
          <w:color w:val="auto"/>
        </w:rPr>
        <w:t>” means any Receivable (without giving effect to the exclusion of “Excluded Receivables” from the definition thereof)</w:t>
      </w:r>
    </w:p>
    <w:p>
      <w:pPr>
        <w:spacing w:after="0" w:line="46" w:lineRule="exact"/>
        <w:rPr>
          <w:sz w:val="20"/>
          <w:szCs w:val="20"/>
          <w:color w:val="auto"/>
        </w:rPr>
      </w:pPr>
    </w:p>
    <w:p>
      <w:pPr>
        <w:jc w:val="both"/>
        <w:ind w:left="5" w:hanging="5"/>
        <w:spacing w:after="0" w:line="290" w:lineRule="auto"/>
        <w:tabs>
          <w:tab w:leader="none" w:pos="23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owed by an Obligor not a resident of the United States and denominated in a currency other than U.S. dollars, (ii) originated by the Tampa Major Projects Branch, identified on WESCO’s system as Branch No. 3840, (iii) originated by Communications Supply Corporation, the Obligor of which is The Stanley Works Co., (iv) originated by an Originator, the Obligor of which is Siemens AG or any Subsidiary thereof or (v) originated by an Originator, the Obligor of which is any of Stanley Black &amp; Decker, Inc., Thomson Reuters Corporation, Bayer AG or any Subsidiary thereof,</w:t>
      </w:r>
    </w:p>
    <w:p>
      <w:pPr>
        <w:sectPr>
          <w:pgSz w:w="11900" w:h="16838" w:orient="portrait"/>
          <w:cols w:equalWidth="0" w:num="1">
            <w:col w:w="11445"/>
          </w:cols>
          <w:pgMar w:left="235" w:top="132" w:right="219" w:bottom="0" w:gutter="0" w:footer="0" w:header="0"/>
        </w:sectPr>
      </w:pPr>
    </w:p>
    <w:bookmarkStart w:id="197" w:name="page198"/>
    <w:bookmarkEnd w:id="197"/>
    <w:p>
      <w:pPr>
        <w:spacing w:after="0" w:line="39"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Caterpillar Inc. or any Subsidiary thereof, Kraft Heinz Company or any Subsidiary thereof, Bombardier Inc. or any Subsidiary thereof, Mondelez International Inc. or any Subsidiary thereof or Atlas Copco Drilling Solutions LLC or any Subsidiary thereof.</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Exiting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1.4(b)(ii)</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Exiting Purchaser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1.4(b)(ii)</w:t>
      </w:r>
      <w:r>
        <w:rPr>
          <w:rFonts w:ascii="Arial" w:cs="Arial" w:eastAsia="Arial" w:hAnsi="Arial"/>
          <w:sz w:val="19"/>
          <w:szCs w:val="19"/>
          <w:color w:val="auto"/>
        </w:rPr>
        <w:t xml:space="preserve"> of this Agreement.</w:t>
      </w:r>
    </w:p>
    <w:p>
      <w:pPr>
        <w:spacing w:after="0" w:line="199" w:lineRule="exact"/>
        <w:rPr>
          <w:sz w:val="20"/>
          <w:szCs w:val="20"/>
          <w:color w:val="auto"/>
        </w:rPr>
      </w:pPr>
    </w:p>
    <w:p>
      <w:pPr>
        <w:jc w:val="both"/>
        <w:ind w:firstLine="57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Termination Date</w:t>
      </w:r>
      <w:r>
        <w:rPr>
          <w:rFonts w:ascii="Arial" w:cs="Arial" w:eastAsia="Arial" w:hAnsi="Arial"/>
          <w:sz w:val="17"/>
          <w:szCs w:val="17"/>
          <w:color w:val="auto"/>
        </w:rPr>
        <w:t xml:space="preserve">” means the earliest to occur of: (a) with respect to any Purchaser, the applicable Scheduled Commitment Termination Date with respect to such Purchaser, subject to any extension thereof pursuant to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of this Agreement (it being understood that if any such Purchaser does not extend its Commitment hereunder then the Purchase Limit shall be reduced ratably with respect to the Purchasers in each Purchaser Group by an amount equal to the Commitment of such non-extending Purchaser and the Commitment Percentages and Group Commitments of the Purchasers within each Purchaser Group shall be appropriately adjusted), (b) the date determined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Agreement, (c) the date the Purchase Limit reduces to zero pursuant to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of this Agreement and (d) with respect to each Purchaser Group, the date that the commitment, of all of the Committed Purchasers of such Purchaser Group terminate pursuant to </w:t>
      </w:r>
      <w:r>
        <w:rPr>
          <w:rFonts w:ascii="Arial" w:cs="Arial" w:eastAsia="Arial" w:hAnsi="Arial"/>
          <w:sz w:val="17"/>
          <w:szCs w:val="17"/>
          <w:u w:val="single" w:color="auto"/>
          <w:color w:val="auto"/>
        </w:rPr>
        <w:t>Section 1.10</w:t>
      </w:r>
      <w:r>
        <w:rPr>
          <w:rFonts w:ascii="Arial" w:cs="Arial" w:eastAsia="Arial" w:hAnsi="Arial"/>
          <w:sz w:val="17"/>
          <w:szCs w:val="17"/>
          <w:color w:val="auto"/>
        </w:rPr>
        <w:t>.</w:t>
      </w:r>
    </w:p>
    <w:p>
      <w:pPr>
        <w:spacing w:after="0" w:line="139" w:lineRule="exact"/>
        <w:rPr>
          <w:sz w:val="20"/>
          <w:szCs w:val="20"/>
          <w:color w:val="auto"/>
        </w:rPr>
      </w:pPr>
    </w:p>
    <w:p>
      <w:pPr>
        <w:jc w:val="both"/>
        <w:ind w:firstLine="57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the per annum rate set forth in the weekly statistical release designated as H.15(519), or any successor publication, published by the Federal Reserve Board (including any such successor, “H.15(519)”) for such day opposite the caption “Federal Funds (Effective).” If on any relevant day such rate is not yet published in H.15(519), the rate for such day will be the rate set forth in the daily statistical release designated as the Composite 3:30 p.m. Quotations for U.S. Government Securities, or any successor publication, published by the Federal Reserve Bank of New York (including any such successor, the “Composite 3:30 p.m. Quotations”) for such day under the caption “Federal Funds Effective Rate.” If on any relevant day the appropriate rate is not yet published in either H.15(519) or the Composite 3:30 p.m. Quotations, the rate for such day will be the arithmetic mean as determined by the Administrator of the rates for the last transaction in overnight Federal funds arranged before 9:00 a.m. (New York time) on that day by each of three leading brokers of Federal funds transactions in New York City selected by the Administrator.</w:t>
      </w:r>
    </w:p>
    <w:p>
      <w:pPr>
        <w:spacing w:after="0" w:line="171"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or any entity succeeding to any of its principal functions.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means the fees payable by the Seller to each Purchaser Group pursuant to the applicable Purchaser Group Fee Letter.</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Fifth Third</w:t>
      </w:r>
      <w:r>
        <w:rPr>
          <w:rFonts w:ascii="Arial" w:cs="Arial" w:eastAsia="Arial" w:hAnsi="Arial"/>
          <w:sz w:val="19"/>
          <w:szCs w:val="19"/>
          <w:color w:val="auto"/>
        </w:rPr>
        <w:t>” means Fifth Third Bank.</w:t>
      </w:r>
    </w:p>
    <w:p>
      <w:pPr>
        <w:spacing w:after="0" w:line="199"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Payout Date</w:t>
      </w:r>
      <w:r>
        <w:rPr>
          <w:rFonts w:ascii="Arial" w:cs="Arial" w:eastAsia="Arial" w:hAnsi="Arial"/>
          <w:sz w:val="19"/>
          <w:szCs w:val="19"/>
          <w:color w:val="auto"/>
        </w:rPr>
        <w:t>” means the date on or after the Facility Termination Date when (i) no Investment of or Discount in respect of the Purchased Interest shall be outstanding, (ii) all other amounts owing to each Indemnified Party and Affected Person hereunder and under the other Transaction Documents have been paid in full and (iii) all accrued Servicing Fees have been paid in full.</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Frost Bank Lock-Box Account</w:t>
      </w:r>
      <w:r>
        <w:rPr>
          <w:rFonts w:ascii="Arial" w:cs="Arial" w:eastAsia="Arial" w:hAnsi="Arial"/>
          <w:sz w:val="18"/>
          <w:szCs w:val="18"/>
          <w:color w:val="auto"/>
        </w:rPr>
        <w:t>” means the account maintained at Frost Bank and identified in the Lock-Box Schedule Letter Agreement.</w:t>
      </w:r>
    </w:p>
    <w:p>
      <w:pPr>
        <w:spacing w:after="0" w:line="210" w:lineRule="exact"/>
        <w:rPr>
          <w:sz w:val="20"/>
          <w:szCs w:val="20"/>
          <w:color w:val="auto"/>
        </w:rPr>
      </w:pPr>
    </w:p>
    <w:p>
      <w:pPr>
        <w:jc w:val="both"/>
        <w:ind w:firstLine="57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Frost Bank Conditions</w:t>
      </w:r>
      <w:r>
        <w:rPr>
          <w:rFonts w:ascii="Arial" w:cs="Arial" w:eastAsia="Arial" w:hAnsi="Arial"/>
          <w:sz w:val="17"/>
          <w:szCs w:val="17"/>
          <w:color w:val="auto"/>
        </w:rPr>
        <w:t>” means, at any time of determination, the satisfaction of each of the following conditions: (a) after December 31, 2015, the Frost Bank Lock-Box Account is maintained in the name of the Seller, (b) after December 31, 2015, no funds other than Collections on Receivables originated by Hill Country Electric Supply, L.P. are being remitted to the Frost Bank Lock-Box Account, (c) the amount of Collections received in the Frost Bank Lock-Box Account during each calendar month does not exceed $20,000,000 in the aggregate, (d) no Termination Event has occurred and is continuing and (e) all Collections received in the Frost Bank Lock-Box Account are being automatically transferred directly to a Lock-Box Account (other than the Frost Bank Lock-Box Account) no later than one (1) Business Day following receipt thereof.</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the generally accepted accounting principles and practices in the United States, consistently applied.</w:t>
      </w:r>
    </w:p>
    <w:p>
      <w:pPr>
        <w:spacing w:after="0" w:line="199"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0"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 Commitment</w:t>
      </w:r>
      <w:r>
        <w:rPr>
          <w:rFonts w:ascii="Arial" w:cs="Arial" w:eastAsia="Arial" w:hAnsi="Arial"/>
          <w:sz w:val="19"/>
          <w:szCs w:val="19"/>
          <w:color w:val="auto"/>
        </w:rPr>
        <w:t>” means with respect to any Purchaser Group the aggregate of the Commitments of each Purchaser within such Purchaser Group.</w:t>
      </w:r>
    </w:p>
    <w:p>
      <w:pPr>
        <w:spacing w:after="0" w:line="144"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 Investment</w:t>
      </w:r>
      <w:r>
        <w:rPr>
          <w:rFonts w:ascii="Arial" w:cs="Arial" w:eastAsia="Arial" w:hAnsi="Arial"/>
          <w:sz w:val="19"/>
          <w:szCs w:val="19"/>
          <w:color w:val="auto"/>
        </w:rPr>
        <w:t>” means with respect to any Purchaser Group, an amount equal to the aggregate of all Investments of the Purchasers within such Purchaser Group.</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w:t>
      </w:r>
      <w:r>
        <w:rPr>
          <w:rFonts w:ascii="Arial" w:cs="Arial" w:eastAsia="Arial" w:hAnsi="Arial"/>
          <w:sz w:val="19"/>
          <w:szCs w:val="19"/>
          <w:color w:val="auto"/>
        </w:rPr>
        <w:t>” means WESCO International, Inc., a Delaware corporation.</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Amounts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paragraph 3(c)</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IV</w:t>
      </w:r>
      <w:r>
        <w:rPr>
          <w:rFonts w:ascii="Arial" w:cs="Arial" w:eastAsia="Arial" w:hAnsi="Arial"/>
          <w:sz w:val="19"/>
          <w:szCs w:val="19"/>
          <w:color w:val="auto"/>
        </w:rPr>
        <w:t xml:space="preserve"> to this Agreement.</w:t>
      </w:r>
    </w:p>
    <w:p>
      <w:pPr>
        <w:spacing w:after="0" w:line="199"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Package</w:t>
      </w:r>
      <w:r>
        <w:rPr>
          <w:rFonts w:ascii="Arial" w:cs="Arial" w:eastAsia="Arial" w:hAnsi="Arial"/>
          <w:sz w:val="19"/>
          <w:szCs w:val="19"/>
          <w:color w:val="auto"/>
        </w:rPr>
        <w:t>” means a report, in substantially the form of Annex A to this Agreement, furnished to the Administrator pursuant to this Agreement.</w:t>
      </w:r>
    </w:p>
    <w:p>
      <w:pPr>
        <w:spacing w:after="0" w:line="144" w:lineRule="exact"/>
        <w:rPr>
          <w:sz w:val="20"/>
          <w:szCs w:val="20"/>
          <w:color w:val="auto"/>
        </w:rPr>
      </w:pPr>
    </w:p>
    <w:p>
      <w:pPr>
        <w:jc w:val="both"/>
        <w:ind w:right="20"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47" w:lineRule="exact"/>
        <w:rPr>
          <w:sz w:val="20"/>
          <w:szCs w:val="20"/>
          <w:color w:val="auto"/>
        </w:rPr>
      </w:pPr>
    </w:p>
    <w:p>
      <w:pPr>
        <w:jc w:val="both"/>
        <w:ind w:right="20" w:firstLine="572"/>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that certain Amended and Restated Intercreditor Agreement, dated on or about December 12, 2012, by and among the Administrator, as receivables agent, JPMorgan, as ABL lenders agent, Credit Suisse, as term lenders agent, WESCO, the Seller, and the</w:t>
      </w:r>
    </w:p>
    <w:p>
      <w:pPr>
        <w:sectPr>
          <w:pgSz w:w="11900" w:h="16877" w:orient="portrait"/>
          <w:cols w:equalWidth="0" w:num="1">
            <w:col w:w="11440"/>
          </w:cols>
          <w:pgMar w:left="240" w:top="132" w:right="219" w:bottom="0" w:gutter="0" w:footer="0" w:header="0"/>
        </w:sectPr>
      </w:pPr>
    </w:p>
    <w:bookmarkStart w:id="198" w:name="page199"/>
    <w:bookmarkEnd w:id="198"/>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other Persons party thereto, as amended, restated, supplemented or otherwise modified from time to time.</w:t>
      </w:r>
    </w:p>
    <w:p>
      <w:pPr>
        <w:spacing w:after="0" w:line="199"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Code</w:t>
      </w:r>
      <w:r>
        <w:rPr>
          <w:rFonts w:ascii="Arial" w:cs="Arial" w:eastAsia="Arial" w:hAnsi="Arial"/>
          <w:sz w:val="19"/>
          <w:szCs w:val="19"/>
          <w:color w:val="auto"/>
        </w:rPr>
        <w:t>”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w:t>
      </w:r>
    </w:p>
    <w:p>
      <w:pPr>
        <w:spacing w:after="0" w:line="157" w:lineRule="exact"/>
        <w:rPr>
          <w:sz w:val="20"/>
          <w:szCs w:val="20"/>
          <w:color w:val="auto"/>
        </w:rPr>
      </w:pPr>
    </w:p>
    <w:p>
      <w:pPr>
        <w:jc w:val="both"/>
        <w:ind w:right="20" w:firstLine="572"/>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with respect to any Purchaser the amount paid to the Seller by such Purchaser pursuant to this Agreement as reduced from time to time by Collections distributed and applied on account of such Investment pursuant to </w:t>
      </w:r>
      <w:r>
        <w:rPr>
          <w:rFonts w:ascii="Arial" w:cs="Arial" w:eastAsia="Arial" w:hAnsi="Arial"/>
          <w:sz w:val="17"/>
          <w:szCs w:val="17"/>
          <w:u w:val="single" w:color="auto"/>
          <w:color w:val="auto"/>
        </w:rPr>
        <w:t>Section 1.4(d)</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Investment shall have been reduced by any distribution and thereafter all or a portion of such distribution is rescinded or must otherwise be returned for any reason, such Investment shall be increased by the amount of such rescinded or returned distribution as though it had not been made.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JPMorgan</w:t>
      </w:r>
      <w:r>
        <w:rPr>
          <w:rFonts w:ascii="Arial" w:cs="Arial" w:eastAsia="Arial" w:hAnsi="Arial"/>
          <w:sz w:val="19"/>
          <w:szCs w:val="19"/>
          <w:color w:val="auto"/>
        </w:rPr>
        <w:t>” means JPMorgan Chase Bank, N.A.</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Liberty Street</w:t>
      </w:r>
      <w:r>
        <w:rPr>
          <w:rFonts w:ascii="Arial" w:cs="Arial" w:eastAsia="Arial" w:hAnsi="Arial"/>
          <w:sz w:val="19"/>
          <w:szCs w:val="19"/>
          <w:color w:val="auto"/>
        </w:rPr>
        <w:t>” means Liberty Street Funding LLC.</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Agent</w:t>
      </w:r>
      <w:r>
        <w:rPr>
          <w:rFonts w:ascii="Arial" w:cs="Arial" w:eastAsia="Arial" w:hAnsi="Arial"/>
          <w:sz w:val="17"/>
          <w:szCs w:val="17"/>
          <w:color w:val="auto"/>
        </w:rPr>
        <w:t>” means each of the banks acting or other Persons as agent for the various Liquidity Banks under each Liquidity Agreement.</w:t>
      </w:r>
    </w:p>
    <w:p>
      <w:pPr>
        <w:spacing w:after="0" w:line="222" w:lineRule="exact"/>
        <w:rPr>
          <w:sz w:val="20"/>
          <w:szCs w:val="20"/>
          <w:color w:val="auto"/>
        </w:rPr>
      </w:pPr>
    </w:p>
    <w:p>
      <w:pPr>
        <w:jc w:val="both"/>
        <w:ind w:right="20" w:firstLine="572"/>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Agreement</w:t>
      </w:r>
      <w:r>
        <w:rPr>
          <w:rFonts w:ascii="Arial" w:cs="Arial" w:eastAsia="Arial" w:hAnsi="Arial"/>
          <w:sz w:val="17"/>
          <w:szCs w:val="17"/>
          <w:color w:val="auto"/>
        </w:rPr>
        <w:t>” means any agreement entered into in connection with this Agreement pursuant to which a Liquidity Provider agrees to make purchases or advances to, or purchase assets from, any Conduit Purchaser in order to provide liquidity for such Conduit Purchaser’s Purchases.</w:t>
      </w:r>
    </w:p>
    <w:p>
      <w:pPr>
        <w:spacing w:after="0" w:line="99"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 Provider</w:t>
      </w:r>
      <w:r>
        <w:rPr>
          <w:rFonts w:ascii="Arial" w:cs="Arial" w:eastAsia="Arial" w:hAnsi="Arial"/>
          <w:sz w:val="19"/>
          <w:szCs w:val="19"/>
          <w:color w:val="auto"/>
        </w:rPr>
        <w:t>” means each bank or other financial institution that provides liquidity support to any Conduit Purchaser pursuant to the terms of a Liquidity Agreement.</w:t>
      </w:r>
    </w:p>
    <w:p>
      <w:pPr>
        <w:spacing w:after="0" w:line="144"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LMIR</w:t>
      </w:r>
      <w:r>
        <w:rPr>
          <w:rFonts w:ascii="Arial" w:cs="Arial" w:eastAsia="Arial" w:hAnsi="Arial"/>
          <w:sz w:val="18"/>
          <w:szCs w:val="18"/>
          <w:color w:val="auto"/>
        </w:rPr>
        <w:t>” means, for any day, the greater of (a) 0.00% and (b) the one-month Eurodollar rate for U.S. dollar deposits as reported on the Reuters Screen LIBOR01 Page or any other page that may replace such page from time to time for the purpose of displaying offered rates of leading banks for London interbank deposits in United States dollars, as of 11:00 a.m. (London time) on such date, or if such day is not a Business Day, then the immediately preceding Business Day (or if not so reported, then as determined by the applicable Purchaser or its Purchaser Agent from another recognized source for interbank quotation), in each case, changing when and as such rate changes.</w:t>
      </w:r>
    </w:p>
    <w:p>
      <w:pPr>
        <w:spacing w:after="0" w:line="150"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Lock-Box Account</w:t>
      </w:r>
      <w:r>
        <w:rPr>
          <w:rFonts w:ascii="Arial" w:cs="Arial" w:eastAsia="Arial" w:hAnsi="Arial"/>
          <w:sz w:val="19"/>
          <w:szCs w:val="19"/>
          <w:color w:val="auto"/>
        </w:rPr>
        <w:t>” means an account maintained in the name of the Seller (or solely with respect to any Exception Account, in the name of the Seller or an Originator) at a bank or other financial institution for the purpose of receiving Collections.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Lock-Box Agreement</w:t>
      </w:r>
      <w:r>
        <w:rPr>
          <w:rFonts w:ascii="Arial" w:cs="Arial" w:eastAsia="Arial" w:hAnsi="Arial"/>
          <w:sz w:val="19"/>
          <w:szCs w:val="19"/>
          <w:color w:val="auto"/>
        </w:rPr>
        <w:t>” means an agreement, among the Seller, the Servicer and a Lock-Box Bank.</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Lock-Box Bank</w:t>
      </w:r>
      <w:r>
        <w:rPr>
          <w:rFonts w:ascii="Arial" w:cs="Arial" w:eastAsia="Arial" w:hAnsi="Arial"/>
          <w:sz w:val="19"/>
          <w:szCs w:val="19"/>
          <w:color w:val="auto"/>
        </w:rPr>
        <w:t>” means any of the banks or other financial institutions holding one or more Lock-Box Accounts.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Lock-Box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this Agreement.</w:t>
      </w:r>
    </w:p>
    <w:p>
      <w:pPr>
        <w:spacing w:after="0" w:line="199" w:lineRule="exact"/>
        <w:rPr>
          <w:sz w:val="20"/>
          <w:szCs w:val="20"/>
          <w:color w:val="auto"/>
        </w:rPr>
      </w:pPr>
    </w:p>
    <w:p>
      <w:pPr>
        <w:jc w:val="both"/>
        <w:ind w:right="20" w:firstLine="572"/>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Lock-Box Schedule Letter Agreement</w:t>
      </w:r>
      <w:r>
        <w:rPr>
          <w:rFonts w:ascii="Arial" w:cs="Arial" w:eastAsia="Arial" w:hAnsi="Arial"/>
          <w:sz w:val="18"/>
          <w:szCs w:val="18"/>
          <w:color w:val="auto"/>
        </w:rPr>
        <w:t>” means that certain letter agreement, dated as of December 16, 2010 and as amended from time to time, among the Seller, the Servicer, the Administrator and each of the Purchasers and Purchaser Agents party thereto, as amended.</w:t>
      </w:r>
    </w:p>
    <w:p>
      <w:pPr>
        <w:spacing w:after="0" w:line="122"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 Reserve</w:t>
      </w:r>
      <w:r>
        <w:rPr>
          <w:rFonts w:ascii="Arial" w:cs="Arial" w:eastAsia="Arial" w:hAnsi="Arial"/>
          <w:sz w:val="19"/>
          <w:szCs w:val="19"/>
          <w:color w:val="auto"/>
        </w:rPr>
        <w:t>” means, on any date, an amount equal to (i) the aggregate of the Investment of all Purchasers set forth in the definition thereof at the close of business of the Servicer on such date multiplied by (ii)(A) the Loss Reserve Percentage on such date divided by (B) 100% minus the Loss Reserve Percentage on such date.</w:t>
      </w:r>
    </w:p>
    <w:p>
      <w:pPr>
        <w:spacing w:after="0" w:line="157" w:lineRule="exact"/>
        <w:rPr>
          <w:sz w:val="20"/>
          <w:szCs w:val="20"/>
          <w:color w:val="auto"/>
        </w:rPr>
      </w:pPr>
    </w:p>
    <w:p>
      <w:pPr>
        <w:jc w:val="both"/>
        <w:ind w:right="20"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Reserve Percentage</w:t>
      </w:r>
      <w:r>
        <w:rPr>
          <w:rFonts w:ascii="Arial" w:cs="Arial" w:eastAsia="Arial" w:hAnsi="Arial"/>
          <w:sz w:val="18"/>
          <w:szCs w:val="18"/>
          <w:color w:val="auto"/>
        </w:rPr>
        <w:t>” means, on any date, (i) the product of (A) 2.00 times the highest average of the Default Ratios for any three consecutive calendar months during the twelve most recent calendar months multiplied by (B) the sum of (x) the aggregate credit sales made by the Originators during the four most recent calendar months and (y) the product of 0.1 and the aggregate credit sales made by the Originators during the fifth most recent calendar month, divided by (ii) the Adjusted Net Receivables Pool Balance as of such date.</w:t>
      </w:r>
    </w:p>
    <w:p>
      <w:pPr>
        <w:spacing w:after="0" w:line="147"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Purchasers</w:t>
      </w:r>
      <w:r>
        <w:rPr>
          <w:rFonts w:ascii="Arial" w:cs="Arial" w:eastAsia="Arial" w:hAnsi="Arial"/>
          <w:sz w:val="19"/>
          <w:szCs w:val="19"/>
          <w:color w:val="auto"/>
        </w:rPr>
        <w:t xml:space="preserve">” means, at any time, Purchasers whose Commitments aggregate more than 66.67% of the aggregate of the Commitments of all Purchasers;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any Purchaser’s Commitment is greater than 66.67% of the aggregate Commitments, then “Majority Purchasers” shall mean a minimum of two Purchasers whose Commitments aggregate more than 66.67% of the aggregate Commitments.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relative to any Person with respect to any event or circumstance, a material adverse effect on:</w:t>
      </w:r>
    </w:p>
    <w:p>
      <w:pPr>
        <w:spacing w:after="0" w:line="199" w:lineRule="exact"/>
        <w:rPr>
          <w:sz w:val="20"/>
          <w:szCs w:val="20"/>
          <w:color w:val="auto"/>
        </w:rPr>
      </w:pPr>
    </w:p>
    <w:p>
      <w:pPr>
        <w:ind w:left="1400" w:hanging="261"/>
        <w:spacing w:after="0"/>
        <w:tabs>
          <w:tab w:leader="none" w:pos="140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assets, operations, business or financial condition of such Person,</w:t>
      </w:r>
    </w:p>
    <w:p>
      <w:pPr>
        <w:spacing w:after="0" w:line="198" w:lineRule="exact"/>
        <w:rPr>
          <w:rFonts w:ascii="Arial" w:cs="Arial" w:eastAsia="Arial" w:hAnsi="Arial"/>
          <w:sz w:val="19"/>
          <w:szCs w:val="19"/>
          <w:color w:val="auto"/>
        </w:rPr>
      </w:pPr>
    </w:p>
    <w:p>
      <w:pPr>
        <w:ind w:left="1420" w:hanging="281"/>
        <w:spacing w:after="0"/>
        <w:tabs>
          <w:tab w:leader="none" w:pos="14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ability of any of such Person to perform its obligations under this Agreement or any other Transaction Document to which it is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 party,</w:t>
      </w:r>
    </w:p>
    <w:p>
      <w:pPr>
        <w:spacing w:after="0" w:line="183" w:lineRule="exact"/>
        <w:rPr>
          <w:sz w:val="20"/>
          <w:szCs w:val="20"/>
          <w:color w:val="auto"/>
        </w:rPr>
      </w:pPr>
    </w:p>
    <w:p>
      <w:pPr>
        <w:ind w:left="560" w:firstLine="579"/>
        <w:spacing w:after="0" w:line="274" w:lineRule="auto"/>
        <w:tabs>
          <w:tab w:leader="none" w:pos="1423"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validity or enforceability of any other Transaction Document, or the validity, enforceability or collectibility of a material portion of the Pool Receivables, or</w:t>
      </w:r>
    </w:p>
    <w:p>
      <w:pPr>
        <w:spacing w:after="0" w:line="144" w:lineRule="exact"/>
        <w:rPr>
          <w:rFonts w:ascii="Arial" w:cs="Arial" w:eastAsia="Arial" w:hAnsi="Arial"/>
          <w:sz w:val="19"/>
          <w:szCs w:val="19"/>
          <w:color w:val="auto"/>
        </w:rPr>
      </w:pPr>
    </w:p>
    <w:p>
      <w:pPr>
        <w:ind w:left="1400" w:hanging="261"/>
        <w:spacing w:after="0"/>
        <w:tabs>
          <w:tab w:leader="none" w:pos="140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status, perfection, enforceability or priority of any Purchaser’s or the Seller’s interest in the Pool Assets.</w:t>
      </w:r>
    </w:p>
    <w:p>
      <w:pPr>
        <w:spacing w:after="0" w:line="199" w:lineRule="exact"/>
        <w:rPr>
          <w:sz w:val="20"/>
          <w:szCs w:val="20"/>
          <w:color w:val="auto"/>
        </w:rPr>
      </w:pPr>
    </w:p>
    <w:p>
      <w:pPr>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Incremental Purchase</w:t>
      </w:r>
      <w:r>
        <w:rPr>
          <w:rFonts w:ascii="Arial" w:cs="Arial" w:eastAsia="Arial" w:hAnsi="Arial"/>
          <w:sz w:val="19"/>
          <w:szCs w:val="19"/>
          <w:color w:val="auto"/>
        </w:rPr>
        <w:t>” means, on any date, the additional incremental increase in the Aggregate Investment that would cause the Aggregate Investment plus the Total Reserves to equal the Net Receivables Pool Balance.</w:t>
      </w:r>
    </w:p>
    <w:p>
      <w:pPr>
        <w:spacing w:after="0" w:line="144" w:lineRule="exact"/>
        <w:rPr>
          <w:sz w:val="20"/>
          <w:szCs w:val="20"/>
          <w:color w:val="auto"/>
        </w:rPr>
      </w:pPr>
    </w:p>
    <w:p>
      <w:pPr>
        <w:ind w:right="20" w:firstLine="572"/>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Dilution Reserve</w:t>
      </w:r>
      <w:r>
        <w:rPr>
          <w:rFonts w:ascii="Arial" w:cs="Arial" w:eastAsia="Arial" w:hAnsi="Arial"/>
          <w:sz w:val="18"/>
          <w:szCs w:val="18"/>
          <w:color w:val="auto"/>
        </w:rPr>
        <w:t xml:space="preserve">” means, on any date, an amount equal to: (a) the Aggregate Investment on such date,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(i) the Minimum Dilution Reserve Percentage on such date,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100% minus the Minimum Dilution Reserve Percentage on such date.</w:t>
      </w:r>
    </w:p>
    <w:p>
      <w:pPr>
        <w:spacing w:after="0" w:line="122" w:lineRule="exact"/>
        <w:rPr>
          <w:sz w:val="20"/>
          <w:szCs w:val="20"/>
          <w:color w:val="auto"/>
        </w:rPr>
      </w:pPr>
    </w:p>
    <w:p>
      <w:pPr>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Dilution Reserve Percentage</w:t>
      </w:r>
      <w:r>
        <w:rPr>
          <w:rFonts w:ascii="Arial" w:cs="Arial" w:eastAsia="Arial" w:hAnsi="Arial"/>
          <w:sz w:val="19"/>
          <w:szCs w:val="19"/>
          <w:color w:val="auto"/>
        </w:rPr>
        <w:t xml:space="preserve">” means, on any date, the product of (i) Adjusted Dilution Ratio,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Dilution Horizon Ratio.</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w:t>
      </w:r>
    </w:p>
    <w:p>
      <w:pPr>
        <w:sectPr>
          <w:pgSz w:w="11900" w:h="16862" w:orient="portrait"/>
          <w:cols w:equalWidth="0" w:num="1">
            <w:col w:w="11440"/>
          </w:cols>
          <w:pgMar w:left="240" w:top="132" w:right="219" w:bottom="0" w:gutter="0" w:footer="0" w:header="0"/>
        </w:sectPr>
      </w:pPr>
    </w:p>
    <w:bookmarkStart w:id="199" w:name="page200"/>
    <w:bookmarkEnd w:id="199"/>
    <w:p>
      <w:pPr>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Receivables Pool Balance</w:t>
      </w:r>
      <w:r>
        <w:rPr>
          <w:rFonts w:ascii="Arial" w:cs="Arial" w:eastAsia="Arial" w:hAnsi="Arial"/>
          <w:sz w:val="19"/>
          <w:szCs w:val="19"/>
          <w:color w:val="auto"/>
        </w:rPr>
        <w:t>” means, at any time: (a) the Outstanding Balance of Eligible Receivables then in the Receivables Pool minus (b) the Excess Concentration.</w:t>
      </w:r>
    </w:p>
    <w:p>
      <w:pPr>
        <w:spacing w:after="0" w:line="144"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Concentration Percentage</w:t>
      </w:r>
      <w:r>
        <w:rPr>
          <w:rFonts w:ascii="Arial" w:cs="Arial" w:eastAsia="Arial" w:hAnsi="Arial"/>
          <w:sz w:val="19"/>
          <w:szCs w:val="19"/>
          <w:color w:val="auto"/>
        </w:rPr>
        <w:t>” means, at any time, 2.0%.</w:t>
      </w:r>
    </w:p>
    <w:p>
      <w:pPr>
        <w:spacing w:after="0" w:line="199" w:lineRule="exact"/>
        <w:rPr>
          <w:sz w:val="20"/>
          <w:szCs w:val="20"/>
          <w:color w:val="auto"/>
        </w:rPr>
      </w:pPr>
    </w:p>
    <w:p>
      <w:pPr>
        <w:jc w:val="both"/>
        <w:ind w:left="5" w:right="20" w:firstLine="572"/>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means short-term promissory notes issued, or to be issued, by each Conduit Purchaser (or, if applicable, issued by the funding source pursuant to which such Conduit Purchaser finances its Investment hereunder) to fund its investments in accounts receivable or other financial assets.</w:t>
      </w:r>
    </w:p>
    <w:p>
      <w:pPr>
        <w:spacing w:after="0" w:line="99"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Obligor</w:t>
      </w:r>
      <w:r>
        <w:rPr>
          <w:rFonts w:ascii="Arial" w:cs="Arial" w:eastAsia="Arial" w:hAnsi="Arial"/>
          <w:sz w:val="19"/>
          <w:szCs w:val="19"/>
          <w:color w:val="auto"/>
        </w:rPr>
        <w:t>” means, with respect to any Receivable, the Person obligated to make payments pursuant to the Contract relating to such Receivable.</w:t>
      </w:r>
    </w:p>
    <w:p>
      <w:pPr>
        <w:spacing w:after="0" w:line="144"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Off-System Receivable</w:t>
      </w:r>
      <w:r>
        <w:rPr>
          <w:rFonts w:ascii="Arial" w:cs="Arial" w:eastAsia="Arial" w:hAnsi="Arial"/>
          <w:sz w:val="19"/>
          <w:szCs w:val="19"/>
          <w:color w:val="auto"/>
        </w:rPr>
        <w:t>” means each Receivable originated by a branch or Subsidiary of WESCO which does not utilize the HQ Oracle E-business Suite system.</w:t>
      </w:r>
    </w:p>
    <w:p>
      <w:pPr>
        <w:spacing w:after="0" w:line="144"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Off-System Pool Receivable</w:t>
      </w:r>
      <w:r>
        <w:rPr>
          <w:rFonts w:ascii="Arial" w:cs="Arial" w:eastAsia="Arial" w:hAnsi="Arial"/>
          <w:sz w:val="19"/>
          <w:szCs w:val="19"/>
          <w:color w:val="auto"/>
        </w:rPr>
        <w:t>” means each Pool Receivable originated by a branch or Subsidiary of WESCO which does not utilize the HQ Oracle E-business Suite system.</w:t>
      </w:r>
    </w:p>
    <w:p>
      <w:pPr>
        <w:spacing w:after="0" w:line="144"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Agreement</w:t>
      </w:r>
      <w:r>
        <w:rPr>
          <w:rFonts w:ascii="Arial" w:cs="Arial" w:eastAsia="Arial" w:hAnsi="Arial"/>
          <w:sz w:val="19"/>
          <w:szCs w:val="19"/>
          <w:color w:val="auto"/>
        </w:rPr>
        <w:t>” has the meaning set forth in the preliminary statements of this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Originator</w:t>
      </w:r>
      <w:r>
        <w:rPr>
          <w:rFonts w:ascii="Arial" w:cs="Arial" w:eastAsia="Arial" w:hAnsi="Arial"/>
          <w:sz w:val="19"/>
          <w:szCs w:val="19"/>
          <w:color w:val="auto"/>
        </w:rPr>
        <w:t>” has the meaning set forth in the Sale Agreement.</w:t>
      </w:r>
    </w:p>
    <w:p>
      <w:pPr>
        <w:spacing w:after="0" w:line="199" w:lineRule="exact"/>
        <w:rPr>
          <w:sz w:val="20"/>
          <w:szCs w:val="20"/>
          <w:color w:val="auto"/>
        </w:rPr>
      </w:pPr>
    </w:p>
    <w:p>
      <w:pPr>
        <w:jc w:val="both"/>
        <w:ind w:left="5"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Originator Assignment Certificate</w:t>
      </w:r>
      <w:r>
        <w:rPr>
          <w:rFonts w:ascii="Arial" w:cs="Arial" w:eastAsia="Arial" w:hAnsi="Arial"/>
          <w:sz w:val="19"/>
          <w:szCs w:val="19"/>
          <w:color w:val="auto"/>
        </w:rPr>
        <w:t xml:space="preserve">” means each assignment,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Sale Agreement, evidencing Seller’s ownership of the Receivables generated by Originator, as the same may be amended, supplemented, amended and restated, or otherwise modified from time to time in accordance with the Sale Agreement.</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Balance</w:t>
      </w:r>
      <w:r>
        <w:rPr>
          <w:rFonts w:ascii="Arial" w:cs="Arial" w:eastAsia="Arial" w:hAnsi="Arial"/>
          <w:sz w:val="19"/>
          <w:szCs w:val="19"/>
          <w:color w:val="auto"/>
        </w:rPr>
        <w:t>” of any Receivable at any time means the then outstanding principal balance thereof.</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44"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PNC</w:t>
      </w:r>
      <w:r>
        <w:rPr>
          <w:rFonts w:ascii="Arial" w:cs="Arial" w:eastAsia="Arial" w:hAnsi="Arial"/>
          <w:sz w:val="19"/>
          <w:szCs w:val="19"/>
          <w:color w:val="auto"/>
        </w:rPr>
        <w:t>” means PNC Bank, National Association.</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Pool Assets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1.2(d)</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Pool Receivable</w:t>
      </w:r>
      <w:r>
        <w:rPr>
          <w:rFonts w:ascii="Arial" w:cs="Arial" w:eastAsia="Arial" w:hAnsi="Arial"/>
          <w:sz w:val="19"/>
          <w:szCs w:val="19"/>
          <w:color w:val="auto"/>
        </w:rPr>
        <w:t>” means a Receivable in the Receivables Pool.</w:t>
      </w:r>
    </w:p>
    <w:p>
      <w:pPr>
        <w:spacing w:after="0" w:line="199" w:lineRule="exact"/>
        <w:rPr>
          <w:sz w:val="20"/>
          <w:szCs w:val="20"/>
          <w:color w:val="auto"/>
        </w:rPr>
      </w:pPr>
    </w:p>
    <w:p>
      <w:pPr>
        <w:jc w:val="both"/>
        <w:ind w:left="5"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Portion of Investment</w:t>
      </w:r>
      <w:r>
        <w:rPr>
          <w:rFonts w:ascii="Arial" w:cs="Arial" w:eastAsia="Arial" w:hAnsi="Arial"/>
          <w:sz w:val="19"/>
          <w:szCs w:val="19"/>
          <w:color w:val="auto"/>
        </w:rPr>
        <w:t>” means, with respect to any Purchaser and its related Investment, the portion of such Investment being funded or maintained by such Purchaser by reference to a particular interest rate basis.</w:t>
      </w:r>
    </w:p>
    <w:p>
      <w:pPr>
        <w:spacing w:after="0" w:line="144" w:lineRule="exact"/>
        <w:rPr>
          <w:sz w:val="20"/>
          <w:szCs w:val="20"/>
          <w:color w:val="auto"/>
        </w:rPr>
      </w:pPr>
    </w:p>
    <w:p>
      <w:pPr>
        <w:jc w:val="both"/>
        <w:ind w:left="5" w:firstLine="572"/>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Program Support Agreement</w:t>
      </w:r>
      <w:r>
        <w:rPr>
          <w:rFonts w:ascii="Arial" w:cs="Arial" w:eastAsia="Arial" w:hAnsi="Arial"/>
          <w:sz w:val="17"/>
          <w:szCs w:val="17"/>
          <w:color w:val="auto"/>
        </w:rPr>
        <w:t>” 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w:t>
      </w:r>
    </w:p>
    <w:p>
      <w:pPr>
        <w:spacing w:after="0" w:line="1" w:lineRule="exact"/>
        <w:rPr>
          <w:sz w:val="20"/>
          <w:szCs w:val="20"/>
          <w:color w:val="auto"/>
        </w:rPr>
      </w:pPr>
    </w:p>
    <w:p>
      <w:pPr>
        <w:jc w:val="both"/>
        <w:ind w:left="5" w:hanging="5"/>
        <w:spacing w:after="0" w:line="251" w:lineRule="auto"/>
        <w:tabs>
          <w:tab w:leader="none" w:pos="273" w:val="left"/>
        </w:tabs>
        <w:numPr>
          <w:ilvl w:val="0"/>
          <w:numId w:val="289"/>
        </w:numPr>
        <w:rPr>
          <w:rFonts w:ascii="Arial" w:cs="Arial" w:eastAsia="Arial" w:hAnsi="Arial"/>
          <w:sz w:val="19"/>
          <w:szCs w:val="19"/>
          <w:color w:val="auto"/>
        </w:rPr>
      </w:pPr>
      <w:r>
        <w:rPr>
          <w:rFonts w:ascii="Arial" w:cs="Arial" w:eastAsia="Arial" w:hAnsi="Arial"/>
          <w:sz w:val="19"/>
          <w:szCs w:val="19"/>
          <w:color w:val="auto"/>
        </w:rPr>
        <w:t>the sale by such Conduit Purchaser to any Program Support Provider of the Purchased Interest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(but excluding any discretionary advance facility provided by the Administrator).</w:t>
      </w:r>
    </w:p>
    <w:p>
      <w:pPr>
        <w:spacing w:after="0" w:line="167" w:lineRule="exact"/>
        <w:rPr>
          <w:sz w:val="20"/>
          <w:szCs w:val="20"/>
          <w:color w:val="auto"/>
        </w:rPr>
      </w:pPr>
    </w:p>
    <w:p>
      <w:pPr>
        <w:jc w:val="both"/>
        <w:ind w:left="5"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Support Provider</w:t>
      </w:r>
      <w:r>
        <w:rPr>
          <w:rFonts w:ascii="Arial" w:cs="Arial" w:eastAsia="Arial" w:hAnsi="Arial"/>
          <w:sz w:val="19"/>
          <w:szCs w:val="19"/>
          <w:color w:val="auto"/>
        </w:rPr>
        <w:t>”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and Sale Indemnified Amounts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and Sale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and Sale Termination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and Sale Termination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Date</w:t>
      </w:r>
      <w:r>
        <w:rPr>
          <w:rFonts w:ascii="Arial" w:cs="Arial" w:eastAsia="Arial" w:hAnsi="Arial"/>
          <w:sz w:val="19"/>
          <w:szCs w:val="19"/>
          <w:color w:val="auto"/>
        </w:rPr>
        <w:t>” means the date of which a Purchase or a reinvestment is made pursuant to this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Facility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jc w:val="both"/>
        <w:ind w:left="5"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Limit</w:t>
      </w:r>
      <w:r>
        <w:rPr>
          <w:rFonts w:ascii="Arial" w:cs="Arial" w:eastAsia="Arial" w:hAnsi="Arial"/>
          <w:sz w:val="18"/>
          <w:szCs w:val="18"/>
          <w:color w:val="auto"/>
        </w:rPr>
        <w:t xml:space="preserve">” means, at any time, the aggregate of all Group Commitments (which, on September 24, 2015, shall be $550,000,000), as such amount may be reduced pursuant to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this Agreement or increased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any such increase cause the Purchase Limit to exceed $650,000,000. References to the unused portion of the Purchase Limit shall mean, at any time, the Purchase Limit minus the then outstanding Aggregate Investment.</w:t>
      </w:r>
    </w:p>
    <w:p>
      <w:pPr>
        <w:spacing w:after="0" w:line="14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Report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the Sale Agreement.</w:t>
      </w:r>
    </w:p>
    <w:p>
      <w:pPr>
        <w:sectPr>
          <w:pgSz w:w="11900" w:h="16838" w:orient="portrait"/>
          <w:cols w:equalWidth="0" w:num="1">
            <w:col w:w="11445"/>
          </w:cols>
          <w:pgMar w:left="235" w:top="287" w:right="219" w:bottom="0" w:gutter="0" w:footer="0" w:header="0"/>
        </w:sectPr>
      </w:pPr>
    </w:p>
    <w:bookmarkStart w:id="200" w:name="page201"/>
    <w:bookmarkEnd w:id="200"/>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Interest</w:t>
      </w:r>
      <w:r>
        <w:rPr>
          <w:rFonts w:ascii="Arial" w:cs="Arial" w:eastAsia="Arial" w:hAnsi="Arial"/>
          <w:sz w:val="19"/>
          <w:szCs w:val="19"/>
          <w:color w:val="auto"/>
        </w:rPr>
        <w:t>” means, at any time, the undivided percentage ownership interest in: (a) each and every Pool Receivable now existing or hereafter arising, (b) all Related Security with respect to such Pool Receivables and (c) all Collections with respect to, and other proceeds of, such Pool Receivables and Related Security. Such undivided percentage interest shall be computed as:</w:t>
      </w:r>
    </w:p>
    <w:p>
      <w:pPr>
        <w:spacing w:after="0" w:line="157" w:lineRule="exact"/>
        <w:rPr>
          <w:sz w:val="20"/>
          <w:szCs w:val="20"/>
          <w:color w:val="auto"/>
        </w:rPr>
      </w:pPr>
    </w:p>
    <w:p>
      <w:pPr>
        <w:ind w:left="4300"/>
        <w:spacing w:after="0"/>
        <w:rPr>
          <w:sz w:val="20"/>
          <w:szCs w:val="20"/>
          <w:color w:val="auto"/>
        </w:rPr>
      </w:pPr>
      <w:r>
        <w:rPr>
          <w:rFonts w:ascii="Arial" w:cs="Arial" w:eastAsia="Arial" w:hAnsi="Arial"/>
          <w:sz w:val="19"/>
          <w:szCs w:val="19"/>
          <w:u w:val="single" w:color="auto"/>
          <w:color w:val="auto"/>
        </w:rPr>
        <w:t>Aggregate Investment + Total Reserves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Net Receivables Pool Balance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Purchased Interest shall be determined from time to time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w:t>
      </w:r>
      <w:r>
        <w:rPr>
          <w:rFonts w:ascii="Arial" w:cs="Arial" w:eastAsia="Arial" w:hAnsi="Arial"/>
          <w:sz w:val="19"/>
          <w:szCs w:val="19"/>
          <w:color w:val="auto"/>
        </w:rPr>
        <w:t>” means each Conduit Purchaser and/or each Committed Purchaser, as applicable.</w:t>
      </w:r>
    </w:p>
    <w:p>
      <w:pPr>
        <w:spacing w:after="0" w:line="199"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Agent</w:t>
      </w:r>
      <w:r>
        <w:rPr>
          <w:rFonts w:ascii="Arial" w:cs="Arial" w:eastAsia="Arial" w:hAnsi="Arial"/>
          <w:sz w:val="19"/>
          <w:szCs w:val="19"/>
          <w:color w:val="auto"/>
        </w:rPr>
        <w:t>”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w:t>
      </w:r>
    </w:p>
    <w:p>
      <w:pPr>
        <w:spacing w:after="0" w:line="157" w:lineRule="exact"/>
        <w:rPr>
          <w:sz w:val="20"/>
          <w:szCs w:val="20"/>
          <w:color w:val="auto"/>
        </w:rPr>
      </w:pPr>
    </w:p>
    <w:p>
      <w:pPr>
        <w:jc w:val="both"/>
        <w:ind w:right="20" w:firstLine="572"/>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Group</w:t>
      </w:r>
      <w:r>
        <w:rPr>
          <w:rFonts w:ascii="Arial" w:cs="Arial" w:eastAsia="Arial" w:hAnsi="Arial"/>
          <w:sz w:val="18"/>
          <w:szCs w:val="18"/>
          <w:color w:val="auto"/>
        </w:rPr>
        <w:t>” means, (i) for each Conduit Purchaser, such Conduit Purchaser, its Committed Purchasers (if any) and its related Purchaser Agent and (ii) for any Purchaser that does not have a related Conduit Purchaser, such Purchaser and its related Purchaser Agent.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Group Fee Letter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of this Agreement.</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Ratable Share</w:t>
      </w:r>
      <w:r>
        <w:rPr>
          <w:rFonts w:ascii="Arial" w:cs="Arial" w:eastAsia="Arial" w:hAnsi="Arial"/>
          <w:sz w:val="19"/>
          <w:szCs w:val="19"/>
          <w:color w:val="auto"/>
        </w:rPr>
        <w:t>” means, for each Purchaser Group, such Purchaser Group’s aggregate Commitments divided by the aggregate Commitments of all Purchaser Groups.</w:t>
      </w:r>
    </w:p>
    <w:p>
      <w:pPr>
        <w:spacing w:after="0" w:line="144" w:lineRule="exact"/>
        <w:rPr>
          <w:sz w:val="20"/>
          <w:szCs w:val="20"/>
          <w:color w:val="auto"/>
        </w:rPr>
      </w:pPr>
    </w:p>
    <w:p>
      <w:pPr>
        <w:jc w:val="both"/>
        <w:ind w:firstLine="57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means any indebtedness and other obligations (other than Excluded Receivables) owed to the Seller or any Originator by, or any right of the Seller or any Originator to payment from or on behalf of, an Obligor, whether constituting an account, chattel paper, instrument or general intangible, arising in connection with the sale of goods or the rendering of services by an Originator (whether or not earned by performance), and includes the obligation to pay any finance charges, fees and other charges with respect thereto. Indebtedness and other obligations arising from any one transaction, including indebtedness and other obligations represented by an individual invoice or agreement, shall constitute a Receivable separate from a Receivable consisting of the indebtedness and other obligations arising from any other transaction.</w:t>
      </w:r>
    </w:p>
    <w:p>
      <w:pPr>
        <w:spacing w:after="0" w:line="137"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Pool</w:t>
      </w:r>
      <w:r>
        <w:rPr>
          <w:rFonts w:ascii="Arial" w:cs="Arial" w:eastAsia="Arial" w:hAnsi="Arial"/>
          <w:sz w:val="19"/>
          <w:szCs w:val="19"/>
          <w:color w:val="auto"/>
        </w:rPr>
        <w:t>” means, at any time, all of the then outstanding Receivables purchased by the Seller pursuant to the Sale Agreement prior to the Facility Termination Date.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6.3(f)</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Sale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Security</w:t>
      </w:r>
      <w:r>
        <w:rPr>
          <w:rFonts w:ascii="Arial" w:cs="Arial" w:eastAsia="Arial" w:hAnsi="Arial"/>
          <w:sz w:val="19"/>
          <w:szCs w:val="19"/>
          <w:color w:val="auto"/>
        </w:rPr>
        <w:t>” means, with respect to any Receivable:</w:t>
      </w:r>
    </w:p>
    <w:p>
      <w:pPr>
        <w:spacing w:after="0" w:line="199" w:lineRule="exact"/>
        <w:rPr>
          <w:sz w:val="20"/>
          <w:szCs w:val="20"/>
          <w:color w:val="auto"/>
        </w:rPr>
      </w:pPr>
    </w:p>
    <w:p>
      <w:pPr>
        <w:ind w:left="560" w:right="20" w:firstLine="579"/>
        <w:spacing w:after="0" w:line="302" w:lineRule="auto"/>
        <w:tabs>
          <w:tab w:leader="none" w:pos="143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of the Seller’s and the Originator thereof’s interest in any goods (including returned goods), and documentation of title evidencing the shipment or storage of any goods (including returned goods), relating to any sale giving rise to such Receivable,</w:t>
      </w:r>
    </w:p>
    <w:p>
      <w:pPr>
        <w:spacing w:after="0" w:line="122" w:lineRule="exact"/>
        <w:rPr>
          <w:rFonts w:ascii="Arial" w:cs="Arial" w:eastAsia="Arial" w:hAnsi="Arial"/>
          <w:sz w:val="18"/>
          <w:szCs w:val="18"/>
          <w:color w:val="auto"/>
        </w:rPr>
      </w:pPr>
    </w:p>
    <w:p>
      <w:pPr>
        <w:ind w:left="1400" w:hanging="261"/>
        <w:spacing w:after="0"/>
        <w:tabs>
          <w:tab w:leader="none" w:pos="140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all instruments and chattel paper that may evidence such Receivable,</w:t>
      </w:r>
    </w:p>
    <w:p>
      <w:pPr>
        <w:spacing w:after="0" w:line="198" w:lineRule="exact"/>
        <w:rPr>
          <w:rFonts w:ascii="Arial" w:cs="Arial" w:eastAsia="Arial" w:hAnsi="Arial"/>
          <w:sz w:val="19"/>
          <w:szCs w:val="19"/>
          <w:color w:val="auto"/>
        </w:rPr>
      </w:pPr>
    </w:p>
    <w:p>
      <w:pPr>
        <w:jc w:val="both"/>
        <w:ind w:left="560" w:firstLine="579"/>
        <w:spacing w:after="0" w:line="261" w:lineRule="auto"/>
        <w:tabs>
          <w:tab w:leader="none" w:pos="1393"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and</w:t>
      </w:r>
    </w:p>
    <w:p>
      <w:pPr>
        <w:spacing w:after="0" w:line="156" w:lineRule="exact"/>
        <w:rPr>
          <w:rFonts w:ascii="Arial" w:cs="Arial" w:eastAsia="Arial" w:hAnsi="Arial"/>
          <w:sz w:val="19"/>
          <w:szCs w:val="19"/>
          <w:color w:val="auto"/>
        </w:rPr>
      </w:pPr>
    </w:p>
    <w:p>
      <w:pPr>
        <w:jc w:val="both"/>
        <w:ind w:left="560" w:right="20" w:firstLine="579"/>
        <w:spacing w:after="0" w:line="257" w:lineRule="auto"/>
        <w:tabs>
          <w:tab w:leader="none" w:pos="142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all of the Seller’s and the Originator thereof’s rights, interests and claims under the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spacing w:after="0" w:line="160" w:lineRule="exact"/>
        <w:rPr>
          <w:sz w:val="20"/>
          <w:szCs w:val="20"/>
          <w:color w:val="auto"/>
        </w:rPr>
      </w:pPr>
    </w:p>
    <w:p>
      <w:pPr>
        <w:jc w:val="both"/>
        <w:ind w:right="20" w:firstLine="572"/>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Compliance Event</w:t>
      </w:r>
      <w:r>
        <w:rPr>
          <w:rFonts w:ascii="Arial" w:cs="Arial" w:eastAsia="Arial" w:hAnsi="Arial"/>
          <w:sz w:val="19"/>
          <w:szCs w:val="19"/>
          <w:color w:val="auto"/>
        </w:rPr>
        <w:t>” shall mean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 in any material respects.</w:t>
      </w:r>
    </w:p>
    <w:p>
      <w:pPr>
        <w:spacing w:after="0" w:line="160"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Agreement</w:t>
      </w:r>
      <w:r>
        <w:rPr>
          <w:rFonts w:ascii="Arial" w:cs="Arial" w:eastAsia="Arial" w:hAnsi="Arial"/>
          <w:sz w:val="19"/>
          <w:szCs w:val="19"/>
          <w:color w:val="auto"/>
        </w:rPr>
        <w:t>” means the Purchase and Sale Agreement, dated as of June 30, 1999, among the Seller, the Originators and the Servicer as amended through the date of this Agreement and as such agreement may be amended, amended and restated, supplemented or otherwise modified from time to time.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 country subject to a sanctions program maintained under any Anti-Terrorism Law.</w:t>
      </w:r>
    </w:p>
    <w:p>
      <w:pPr>
        <w:spacing w:after="0" w:line="199"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57" w:lineRule="exact"/>
        <w:rPr>
          <w:sz w:val="20"/>
          <w:szCs w:val="20"/>
          <w:color w:val="auto"/>
        </w:rPr>
      </w:pPr>
    </w:p>
    <w:p>
      <w:pPr>
        <w:jc w:val="both"/>
        <w:ind w:right="20" w:firstLine="572"/>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Commitment Termination Date</w:t>
      </w:r>
      <w:r>
        <w:rPr>
          <w:rFonts w:ascii="Arial" w:cs="Arial" w:eastAsia="Arial" w:hAnsi="Arial"/>
          <w:sz w:val="17"/>
          <w:szCs w:val="17"/>
          <w:color w:val="auto"/>
        </w:rPr>
        <w:t xml:space="preserve">” means with respect to any Committed Purchaser, the date set forth as such below its name on </w:t>
      </w:r>
      <w:r>
        <w:rPr>
          <w:rFonts w:ascii="Arial" w:cs="Arial" w:eastAsia="Arial" w:hAnsi="Arial"/>
          <w:sz w:val="17"/>
          <w:szCs w:val="17"/>
          <w:u w:val="single" w:color="auto"/>
          <w:color w:val="auto"/>
        </w:rPr>
        <w:t>Schedule VII</w:t>
      </w:r>
      <w:r>
        <w:rPr>
          <w:rFonts w:ascii="Arial" w:cs="Arial" w:eastAsia="Arial" w:hAnsi="Arial"/>
          <w:sz w:val="17"/>
          <w:szCs w:val="17"/>
          <w:color w:val="auto"/>
        </w:rPr>
        <w:t xml:space="preserve"> to this Agreement or in any Assumption Agreement or other document pursuant to which such Purchaser became a party hereto.</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w:t>
      </w:r>
      <w:r>
        <w:rPr>
          <w:rFonts w:ascii="Arial" w:cs="Arial" w:eastAsia="Arial" w:hAnsi="Arial"/>
          <w:sz w:val="19"/>
          <w:szCs w:val="19"/>
          <w:color w:val="auto"/>
        </w:rPr>
        <w:t>” has the meaning set forth in the preamble to this Agreement.</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Seller’s Share</w:t>
      </w:r>
      <w:r>
        <w:rPr>
          <w:rFonts w:ascii="Arial" w:cs="Arial" w:eastAsia="Arial" w:hAnsi="Arial"/>
          <w:sz w:val="19"/>
          <w:szCs w:val="19"/>
          <w:color w:val="auto"/>
        </w:rPr>
        <w:t>” of any amount means the greater of: (a) $0 and (b) such amount minus the product of (i) such amount multiplied by (ii) the Purchased Interest.</w:t>
      </w:r>
    </w:p>
    <w:p>
      <w:pPr>
        <w:sectPr>
          <w:pgSz w:w="11900" w:h="16838" w:orient="portrait"/>
          <w:cols w:equalWidth="0" w:num="1">
            <w:col w:w="11440"/>
          </w:cols>
          <w:pgMar w:left="240" w:top="132" w:right="219" w:bottom="0" w:gutter="0" w:footer="0" w:header="0"/>
        </w:sectPr>
      </w:pPr>
    </w:p>
    <w:bookmarkStart w:id="201" w:name="page202"/>
    <w:bookmarkEnd w:id="201"/>
    <w:p>
      <w:pPr>
        <w:spacing w:after="0" w:line="5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Servicer</w:t>
      </w:r>
      <w:r>
        <w:rPr>
          <w:rFonts w:ascii="Arial" w:cs="Arial" w:eastAsia="Arial" w:hAnsi="Arial"/>
          <w:sz w:val="19"/>
          <w:szCs w:val="19"/>
          <w:color w:val="auto"/>
        </w:rPr>
        <w:t>” has the meaning set forth in the preamble to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Servicing Fee</w:t>
      </w:r>
      <w:r>
        <w:rPr>
          <w:rFonts w:ascii="Arial" w:cs="Arial" w:eastAsia="Arial" w:hAnsi="Arial"/>
          <w:sz w:val="19"/>
          <w:szCs w:val="19"/>
          <w:color w:val="auto"/>
        </w:rPr>
        <w:t xml:space="preserve">” shall mean the fee referred to in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of this Agreement.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Servicing Fee Rate</w:t>
      </w:r>
      <w:r>
        <w:rPr>
          <w:rFonts w:ascii="Arial" w:cs="Arial" w:eastAsia="Arial" w:hAnsi="Arial"/>
          <w:sz w:val="19"/>
          <w:szCs w:val="19"/>
          <w:color w:val="auto"/>
        </w:rPr>
        <w:t>” means, at any time, 1.0%.</w:t>
      </w:r>
    </w:p>
    <w:p>
      <w:pPr>
        <w:spacing w:after="0" w:line="190" w:lineRule="exact"/>
        <w:rPr>
          <w:sz w:val="20"/>
          <w:szCs w:val="20"/>
          <w:color w:val="auto"/>
        </w:rPr>
      </w:pPr>
    </w:p>
    <w:p>
      <w:pPr>
        <w:jc w:val="both"/>
        <w:ind w:firstLine="57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Date</w:t>
      </w:r>
      <w:r>
        <w:rPr>
          <w:rFonts w:ascii="Arial" w:cs="Arial" w:eastAsia="Arial" w:hAnsi="Arial"/>
          <w:sz w:val="17"/>
          <w:szCs w:val="17"/>
          <w:color w:val="auto"/>
        </w:rPr>
        <w:t>” means the 22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day of each calendar month (or, if such day is not a Business Day, the next occurring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pursuant to </w:t>
      </w:r>
      <w:r>
        <w:rPr>
          <w:rFonts w:ascii="Arial" w:cs="Arial" w:eastAsia="Arial" w:hAnsi="Arial"/>
          <w:sz w:val="17"/>
          <w:szCs w:val="17"/>
          <w:u w:val="single" w:color="auto"/>
          <w:color w:val="auto"/>
        </w:rPr>
        <w:t>Section 2(i)(iii)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IV</w:t>
      </w:r>
      <w:r>
        <w:rPr>
          <w:rFonts w:ascii="Arial" w:cs="Arial" w:eastAsia="Arial" w:hAnsi="Arial"/>
          <w:sz w:val="17"/>
          <w:szCs w:val="17"/>
          <w:color w:val="auto"/>
        </w:rPr>
        <w:t xml:space="preserve">, the Servicer is required to provide Information Packages on a more frequent than monthly basis, then the “Settlement Date”, solely for purposes of amounts distributable in respect of principal pursuant to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 the event the Purchased Interest exceeds 100% at such time, shall (in addition to the monthly Settlement Date described above, in the case of all other distributions) be the Wednesday of each calendar week (or if such day is not a Business Day, the next occurring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else in this definition to the contrary, on and after the occurrence and continuation of any Termination Event, the Settlement Date shall be the date selected as such by the Administrator (with the consent or at the direction of the Majority Purchasers) from time to time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the Administrator (with the consent or at the direction of the Majority Purchasers) may select such Settlement Date to occur as frequently as daily) or, in the absence of any such selection, the date which would be the Settlement Date pursuant to this definition.</w:t>
      </w:r>
    </w:p>
    <w:p>
      <w:pPr>
        <w:spacing w:after="0" w:line="147"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Simple Majority</w:t>
      </w:r>
      <w:r>
        <w:rPr>
          <w:rFonts w:ascii="Arial" w:cs="Arial" w:eastAsia="Arial" w:hAnsi="Arial"/>
          <w:sz w:val="19"/>
          <w:szCs w:val="19"/>
          <w:color w:val="auto"/>
        </w:rPr>
        <w:t>” means, at any time, Purchasers whose Commitments aggregate more than 50% of the aggregate of the Commitments of all Purchasers.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at any time, a condition under which:</w:t>
      </w:r>
    </w:p>
    <w:p>
      <w:pPr>
        <w:spacing w:after="0" w:line="199" w:lineRule="exact"/>
        <w:rPr>
          <w:sz w:val="20"/>
          <w:szCs w:val="20"/>
          <w:color w:val="auto"/>
        </w:rPr>
      </w:pPr>
    </w:p>
    <w:p>
      <w:pPr>
        <w:ind w:left="560" w:right="20" w:firstLine="579"/>
        <w:spacing w:after="0" w:line="274" w:lineRule="auto"/>
        <w:tabs>
          <w:tab w:leader="none" w:pos="1592"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fair value and present fair saleable value of such Person’s total assets is, on the date of determination, greater than such Person’s total liabilities (including contingent and unliquidated liabilities) at such time;</w:t>
      </w:r>
    </w:p>
    <w:p>
      <w:pPr>
        <w:spacing w:after="0" w:line="144" w:lineRule="exact"/>
        <w:rPr>
          <w:rFonts w:ascii="Arial" w:cs="Arial" w:eastAsia="Arial" w:hAnsi="Arial"/>
          <w:sz w:val="19"/>
          <w:szCs w:val="19"/>
          <w:color w:val="auto"/>
        </w:rPr>
      </w:pPr>
    </w:p>
    <w:p>
      <w:pPr>
        <w:jc w:val="both"/>
        <w:ind w:left="560" w:right="20" w:firstLine="579"/>
        <w:spacing w:after="0" w:line="261" w:lineRule="auto"/>
        <w:tabs>
          <w:tab w:leader="none" w:pos="1582"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fair value and present fair saleable value of such Person’s assets is greater than the amount that will be required to pay such Person’s probable liability on its existing debts as they become absolute and matured (“</w:t>
      </w:r>
      <w:r>
        <w:rPr>
          <w:rFonts w:ascii="Arial" w:cs="Arial" w:eastAsia="Arial" w:hAnsi="Arial"/>
          <w:sz w:val="19"/>
          <w:szCs w:val="19"/>
          <w:u w:val="single" w:color="auto"/>
          <w:color w:val="auto"/>
        </w:rPr>
        <w:t>debts</w:t>
      </w:r>
      <w:r>
        <w:rPr>
          <w:rFonts w:ascii="Arial" w:cs="Arial" w:eastAsia="Arial" w:hAnsi="Arial"/>
          <w:sz w:val="19"/>
          <w:szCs w:val="19"/>
          <w:color w:val="auto"/>
        </w:rPr>
        <w:t>,” for this purpose, includes all legal liabilities, whether matured or unmatured, liquidated or unliquidated, absolute, fixed, or contingent);</w:t>
      </w:r>
    </w:p>
    <w:p>
      <w:pPr>
        <w:spacing w:after="0" w:line="156" w:lineRule="exact"/>
        <w:rPr>
          <w:rFonts w:ascii="Arial" w:cs="Arial" w:eastAsia="Arial" w:hAnsi="Arial"/>
          <w:sz w:val="19"/>
          <w:szCs w:val="19"/>
          <w:color w:val="auto"/>
        </w:rPr>
      </w:pPr>
    </w:p>
    <w:p>
      <w:pPr>
        <w:ind w:left="1620" w:hanging="481"/>
        <w:spacing w:after="0"/>
        <w:tabs>
          <w:tab w:leader="none" w:pos="1620" w:val="left"/>
        </w:tabs>
        <w:numPr>
          <w:ilvl w:val="0"/>
          <w:numId w:val="291"/>
        </w:numPr>
        <w:rPr>
          <w:rFonts w:ascii="Arial" w:cs="Arial" w:eastAsia="Arial" w:hAnsi="Arial"/>
          <w:sz w:val="19"/>
          <w:szCs w:val="19"/>
          <w:color w:val="auto"/>
        </w:rPr>
      </w:pPr>
      <w:r>
        <w:rPr>
          <w:rFonts w:ascii="Arial" w:cs="Arial" w:eastAsia="Arial" w:hAnsi="Arial"/>
          <w:sz w:val="19"/>
          <w:szCs w:val="19"/>
          <w:color w:val="auto"/>
        </w:rPr>
        <w:t>such Person is and shall continue to be able to pay all of its liabilities as such liabilities mature; and</w:t>
      </w:r>
    </w:p>
    <w:p>
      <w:pPr>
        <w:spacing w:after="0" w:line="198" w:lineRule="exact"/>
        <w:rPr>
          <w:rFonts w:ascii="Arial" w:cs="Arial" w:eastAsia="Arial" w:hAnsi="Arial"/>
          <w:sz w:val="19"/>
          <w:szCs w:val="19"/>
          <w:color w:val="auto"/>
        </w:rPr>
      </w:pPr>
    </w:p>
    <w:p>
      <w:pPr>
        <w:ind w:left="1600" w:hanging="461"/>
        <w:spacing w:after="0"/>
        <w:tabs>
          <w:tab w:leader="none" w:pos="16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such Person does not have unreasonably small capital with which to engage in its current and in its anticipated business.</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For purposes of this definition:</w:t>
      </w:r>
    </w:p>
    <w:p>
      <w:pPr>
        <w:spacing w:after="0" w:line="199" w:lineRule="exact"/>
        <w:rPr>
          <w:sz w:val="20"/>
          <w:szCs w:val="20"/>
          <w:color w:val="auto"/>
        </w:rPr>
      </w:pPr>
    </w:p>
    <w:p>
      <w:pPr>
        <w:jc w:val="both"/>
        <w:ind w:left="1140" w:firstLine="571"/>
        <w:spacing w:after="0" w:line="261" w:lineRule="auto"/>
        <w:tabs>
          <w:tab w:leader="none" w:pos="220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amount of a Person’s contingent or unliquidated liabilities at any time shall be that amount which, in light of all the facts and circumstances then existing, represents the amount which can reasonably be expected to become an actual or matured liability;</w:t>
      </w:r>
    </w:p>
    <w:p>
      <w:pPr>
        <w:spacing w:after="0" w:line="156" w:lineRule="exact"/>
        <w:rPr>
          <w:rFonts w:ascii="Arial" w:cs="Arial" w:eastAsia="Arial" w:hAnsi="Arial"/>
          <w:sz w:val="19"/>
          <w:szCs w:val="19"/>
          <w:color w:val="auto"/>
        </w:rPr>
      </w:pPr>
    </w:p>
    <w:p>
      <w:pPr>
        <w:ind w:left="1140" w:firstLine="571"/>
        <w:spacing w:after="0" w:line="274" w:lineRule="auto"/>
        <w:tabs>
          <w:tab w:leader="none" w:pos="2175"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“fair value” of an asset shall be the amount which may be realized within a reasonable time either through collection or sale of such asset at its regular market value;</w:t>
      </w:r>
    </w:p>
    <w:p>
      <w:pPr>
        <w:spacing w:after="0" w:line="144" w:lineRule="exact"/>
        <w:rPr>
          <w:rFonts w:ascii="Arial" w:cs="Arial" w:eastAsia="Arial" w:hAnsi="Arial"/>
          <w:sz w:val="19"/>
          <w:szCs w:val="19"/>
          <w:color w:val="auto"/>
        </w:rPr>
      </w:pPr>
    </w:p>
    <w:p>
      <w:pPr>
        <w:ind w:left="1140" w:firstLine="571"/>
        <w:spacing w:after="0" w:line="274" w:lineRule="auto"/>
        <w:tabs>
          <w:tab w:leader="none" w:pos="217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“regular market value” of an asset shall be the amount which a capable and diligent business person could obtain for such asset from an interested buyer who is willing to Purchase such asset under ordinary selling conditions; and</w:t>
      </w:r>
    </w:p>
    <w:p>
      <w:pPr>
        <w:spacing w:after="0" w:line="144" w:lineRule="exact"/>
        <w:rPr>
          <w:rFonts w:ascii="Arial" w:cs="Arial" w:eastAsia="Arial" w:hAnsi="Arial"/>
          <w:sz w:val="19"/>
          <w:szCs w:val="19"/>
          <w:color w:val="auto"/>
        </w:rPr>
      </w:pPr>
    </w:p>
    <w:p>
      <w:pPr>
        <w:ind w:left="1140" w:right="20" w:firstLine="571"/>
        <w:spacing w:after="0" w:line="274" w:lineRule="auto"/>
        <w:tabs>
          <w:tab w:leader="none" w:pos="216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“present fair saleable value” of an asset means the amount which can be obtained if such asset is sold with reasonable promptness in an arm’s-length transaction in an existing and not theoretical market.</w:t>
      </w:r>
    </w:p>
    <w:p>
      <w:pPr>
        <w:spacing w:after="0" w:line="144"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Obligor</w:t>
      </w:r>
      <w:r>
        <w:rPr>
          <w:rFonts w:ascii="Arial" w:cs="Arial" w:eastAsia="Arial" w:hAnsi="Arial"/>
          <w:sz w:val="19"/>
          <w:szCs w:val="19"/>
          <w:color w:val="auto"/>
        </w:rPr>
        <w:t>” means an Obligor (i) specifically approved in writing by the Administrator and all of the Purchasers, (ii) that is set forth on Annex C to this Agreement and (iii) that has a rating of at least “BBB-” by Standard &amp; Poor’s on its corporate credit rating and a rating of at least “Baa3” by Moody’s on its corporate credit rating.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Obligor Concentration Percentage</w:t>
      </w:r>
      <w:r>
        <w:rPr>
          <w:rFonts w:ascii="Arial" w:cs="Arial" w:eastAsia="Arial" w:hAnsi="Arial"/>
          <w:sz w:val="19"/>
          <w:szCs w:val="19"/>
          <w:color w:val="auto"/>
        </w:rPr>
        <w:t>” has the meaning set forth in the definition of Concentration Percentage.</w:t>
      </w:r>
    </w:p>
    <w:p>
      <w:pPr>
        <w:spacing w:after="0" w:line="199"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Specifically Reserved Amount</w:t>
      </w:r>
      <w:r>
        <w:rPr>
          <w:rFonts w:ascii="Arial" w:cs="Arial" w:eastAsia="Arial" w:hAnsi="Arial"/>
          <w:sz w:val="19"/>
          <w:szCs w:val="19"/>
          <w:color w:val="auto"/>
        </w:rPr>
        <w:t>” means, at any time, the aggregate amount then recorded on the books and records of the Originators as the sum of (i) the aggregate accrued rebate payments owing to Obligors related to the purchase volumes by such Obligors with respect to the Pool Receivables and (ii) deferred revenue reserves with respect to the Pool Receivables.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Standard &amp; Poor’s, a division of The McGraw-Hill Companies, Inc.</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UCC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1(u)</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III</w:t>
      </w:r>
      <w:r>
        <w:rPr>
          <w:rFonts w:ascii="Arial" w:cs="Arial" w:eastAsia="Arial" w:hAnsi="Arial"/>
          <w:sz w:val="19"/>
          <w:szCs w:val="19"/>
          <w:color w:val="auto"/>
        </w:rPr>
        <w:t xml:space="preserve"> to this Agreement.</w:t>
      </w:r>
    </w:p>
    <w:p>
      <w:pPr>
        <w:spacing w:after="0" w:line="199" w:lineRule="exact"/>
        <w:rPr>
          <w:sz w:val="20"/>
          <w:szCs w:val="20"/>
          <w:color w:val="auto"/>
        </w:rPr>
      </w:pPr>
    </w:p>
    <w:p>
      <w:pPr>
        <w:jc w:val="both"/>
        <w:ind w:firstLine="57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Tangible Net Worth</w:t>
      </w:r>
      <w:r>
        <w:rPr>
          <w:rFonts w:ascii="Arial" w:cs="Arial" w:eastAsia="Arial" w:hAnsi="Arial"/>
          <w:sz w:val="17"/>
          <w:szCs w:val="17"/>
          <w:color w:val="auto"/>
        </w:rPr>
        <w:t>” means, with respect to any Person, the tangible net worth of such Person as determined in accordance with GAAP.</w:t>
      </w:r>
    </w:p>
    <w:p>
      <w:pPr>
        <w:spacing w:after="0" w:line="222"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Agreement</w:t>
      </w:r>
      <w:r>
        <w:rPr>
          <w:rFonts w:ascii="Arial" w:cs="Arial" w:eastAsia="Arial" w:hAnsi="Arial"/>
          <w:sz w:val="19"/>
          <w:szCs w:val="19"/>
          <w:color w:val="auto"/>
        </w:rPr>
        <w:t>” means that certain Term Loan Agreement, dated on or about December 12, 2012, among WESCO, certain Subsidiaries and Affiliates of WESCO, Credit Suisse and the other Persons from time to time parties thereto, as amended, restated, amended and restated, supplemented, renewed, refinanced, replaced or otherwise modified from time to time.</w:t>
      </w:r>
    </w:p>
    <w:p>
      <w:pPr>
        <w:spacing w:after="0" w:line="157"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Day</w:t>
      </w:r>
      <w:r>
        <w:rPr>
          <w:rFonts w:ascii="Arial" w:cs="Arial" w:eastAsia="Arial" w:hAnsi="Arial"/>
          <w:sz w:val="19"/>
          <w:szCs w:val="19"/>
          <w:color w:val="auto"/>
        </w:rPr>
        <w:t xml:space="preserve">” means: (a) each day on which the conditions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to this Agreement are not satisfied or (b) each day that occurs on or after the Facility Termination Date.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Event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Exhibit V</w:t>
      </w:r>
      <w:r>
        <w:rPr>
          <w:rFonts w:ascii="Arial" w:cs="Arial" w:eastAsia="Arial" w:hAnsi="Arial"/>
          <w:sz w:val="19"/>
          <w:szCs w:val="19"/>
          <w:color w:val="auto"/>
        </w:rPr>
        <w:t xml:space="preserve"> to this Agreement.</w:t>
      </w:r>
    </w:p>
    <w:p>
      <w:pPr>
        <w:sectPr>
          <w:pgSz w:w="11900" w:h="16897" w:orient="portrait"/>
          <w:cols w:equalWidth="0" w:num="1">
            <w:col w:w="11440"/>
          </w:cols>
          <w:pgMar w:left="240" w:top="132" w:right="219" w:bottom="0" w:gutter="0" w:footer="0" w:header="0"/>
        </w:sectPr>
      </w:pPr>
    </w:p>
    <w:bookmarkStart w:id="202" w:name="page203"/>
    <w:bookmarkEnd w:id="202"/>
    <w:p>
      <w:pPr>
        <w:jc w:val="both"/>
        <w:ind w:firstLine="572"/>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Fee</w:t>
      </w:r>
      <w:r>
        <w:rPr>
          <w:rFonts w:ascii="Arial" w:cs="Arial" w:eastAsia="Arial" w:hAnsi="Arial"/>
          <w:sz w:val="17"/>
          <w:szCs w:val="17"/>
          <w:color w:val="auto"/>
        </w:rPr>
        <w:t>” means, for any Yield Period, with respect to any Purchaser, the amount, if any, by which: (a) the additional Discount related to such Purchaser’s Investment (calculated without taking into account any Termination Fee or any shortened duration of such Yield Period) that would have accrued during such Yield Period on the reductions of Investment relating to such Yield Period had such reductions not been made, exceeds (b) the income, if any, received by such Purchaser from investing the proceeds of such reductions of Investment, as determined by the such Purchaser’s Purchaser Agent, which determination shall be binding and conclusive for all purposes, absent manifest error.</w:t>
      </w:r>
    </w:p>
    <w:p>
      <w:pPr>
        <w:spacing w:after="0" w:line="133"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Reserves</w:t>
      </w:r>
      <w:r>
        <w:rPr>
          <w:rFonts w:ascii="Arial" w:cs="Arial" w:eastAsia="Arial" w:hAnsi="Arial"/>
          <w:sz w:val="19"/>
          <w:szCs w:val="19"/>
          <w:color w:val="auto"/>
        </w:rPr>
        <w:t>” means, at any time the sum of: (a) the Yield Reserve, plus (b) the greater of (i) the Dilution Reserve plus the Loss Reserve and (ii) the Minimum Dilution Reserve plus 10%.</w:t>
      </w:r>
    </w:p>
    <w:p>
      <w:pPr>
        <w:spacing w:after="0" w:line="144" w:lineRule="exact"/>
        <w:rPr>
          <w:sz w:val="20"/>
          <w:szCs w:val="20"/>
          <w:color w:val="auto"/>
        </w:rPr>
      </w:pPr>
    </w:p>
    <w:p>
      <w:pPr>
        <w:jc w:val="both"/>
        <w:ind w:right="20" w:firstLine="57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Lock-Box Agreements, the Lock-Box Schedule Letter Agreement, each Purchaser Group Fee Letter, the Sale Agreement, the Intercreditor Agreement and all other certificates, instruments, UCC financing statements, reports, notices, agreements and documents executed or delivered under or in connection with this Agreement or such other agreement, in each case as the same may be amended, supplemented or otherwise modified from time to time in accordance with this Agreement.</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Supplement</w:t>
      </w:r>
      <w:r>
        <w:rPr>
          <w:rFonts w:ascii="Arial" w:cs="Arial" w:eastAsia="Arial" w:hAnsi="Arial"/>
          <w:sz w:val="19"/>
          <w:szCs w:val="19"/>
          <w:color w:val="auto"/>
        </w:rPr>
        <w:t xml:space="preserve">” has the respective meanings set forth in </w:t>
      </w:r>
      <w:r>
        <w:rPr>
          <w:rFonts w:ascii="Arial" w:cs="Arial" w:eastAsia="Arial" w:hAnsi="Arial"/>
          <w:sz w:val="19"/>
          <w:szCs w:val="19"/>
          <w:u w:val="single" w:color="auto"/>
          <w:color w:val="auto"/>
        </w:rPr>
        <w:t>Sections 6.3(c)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6.3(e)</w:t>
      </w:r>
      <w:r>
        <w:rPr>
          <w:rFonts w:ascii="Arial" w:cs="Arial" w:eastAsia="Arial" w:hAnsi="Arial"/>
          <w:sz w:val="19"/>
          <w:szCs w:val="19"/>
          <w:color w:val="auto"/>
        </w:rPr>
        <w:t>.</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from time to time in effect in the applicable jurisdiction.</w:t>
      </w:r>
    </w:p>
    <w:p>
      <w:pPr>
        <w:spacing w:after="0" w:line="199"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Unmatured Purchase and Sale Termination Event</w:t>
      </w:r>
      <w:r>
        <w:rPr>
          <w:rFonts w:ascii="Arial" w:cs="Arial" w:eastAsia="Arial" w:hAnsi="Arial"/>
          <w:sz w:val="19"/>
          <w:szCs w:val="19"/>
          <w:color w:val="auto"/>
        </w:rPr>
        <w:t>” means any event which, with the giving of notice or lapse of time, or both, would become a Purchase and Sale Termination Event.</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Termination Event</w:t>
      </w:r>
      <w:r>
        <w:rPr>
          <w:rFonts w:ascii="Arial" w:cs="Arial" w:eastAsia="Arial" w:hAnsi="Arial"/>
          <w:sz w:val="18"/>
          <w:szCs w:val="18"/>
          <w:color w:val="auto"/>
        </w:rPr>
        <w:t>” means an event that, with the giving of notice or lapse of time, or both, would constitute a Termination</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Event.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Wells</w:t>
      </w:r>
      <w:r>
        <w:rPr>
          <w:rFonts w:ascii="Arial" w:cs="Arial" w:eastAsia="Arial" w:hAnsi="Arial"/>
          <w:sz w:val="19"/>
          <w:szCs w:val="19"/>
          <w:color w:val="auto"/>
        </w:rPr>
        <w:t>” means Wells Fargo Bank, National Association.</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WESCO</w:t>
      </w:r>
      <w:r>
        <w:rPr>
          <w:rFonts w:ascii="Arial" w:cs="Arial" w:eastAsia="Arial" w:hAnsi="Arial"/>
          <w:sz w:val="19"/>
          <w:szCs w:val="19"/>
          <w:color w:val="auto"/>
        </w:rPr>
        <w:t>” has the meaning set forth in the preamble to this Agreement.</w:t>
      </w:r>
    </w:p>
    <w:p>
      <w:pPr>
        <w:spacing w:after="0" w:line="199" w:lineRule="exact"/>
        <w:rPr>
          <w:sz w:val="20"/>
          <w:szCs w:val="20"/>
          <w:color w:val="auto"/>
        </w:rPr>
      </w:pPr>
    </w:p>
    <w:p>
      <w:pPr>
        <w:jc w:val="both"/>
        <w:ind w:firstLine="572"/>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Period</w:t>
      </w:r>
      <w:r>
        <w:rPr>
          <w:rFonts w:ascii="Arial" w:cs="Arial" w:eastAsia="Arial" w:hAnsi="Arial"/>
          <w:sz w:val="19"/>
          <w:szCs w:val="19"/>
          <w:color w:val="auto"/>
        </w:rPr>
        <w:t xml:space="preserve">” means, with respect to each Portion of Investment: (a) before the Facility Termination Date: (i) initially the period commencing on the date of the initial Purchase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 (or in the case of any fees payable hereunder, commencing on the Closing Date) and ending on (but not including) the next Settlement Date, and (ii) thereafter, each period commencing on such Settlement Date and ending on (but not including) the next Settlement Date, and (b) on and after the Facility Termination Date: such period (including a period of one day) as shall be selected from time to time by the Administrator or, in the absence of any such selection, each period of 30 days from the last day of the preceding Yield Period.</w:t>
      </w:r>
    </w:p>
    <w:p>
      <w:pPr>
        <w:spacing w:after="0" w:line="167"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Reserve</w:t>
      </w:r>
      <w:r>
        <w:rPr>
          <w:rFonts w:ascii="Arial" w:cs="Arial" w:eastAsia="Arial" w:hAnsi="Arial"/>
          <w:sz w:val="19"/>
          <w:szCs w:val="19"/>
          <w:color w:val="auto"/>
        </w:rPr>
        <w:t xml:space="preserve">” means, on any date, an amount equal to: (a) the Aggregate Investment on such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(i) the Yield Reserve Percentage on such date,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100% minus the Yield Reserve Percentage on such date.</w:t>
      </w:r>
    </w:p>
    <w:p>
      <w:pPr>
        <w:spacing w:after="0" w:line="144" w:lineRule="exact"/>
        <w:rPr>
          <w:sz w:val="20"/>
          <w:szCs w:val="20"/>
          <w:color w:val="auto"/>
        </w:rPr>
      </w:pPr>
    </w:p>
    <w:p>
      <w:pPr>
        <w:jc w:val="both"/>
        <w:ind w:firstLine="57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Reserve Percentage</w:t>
      </w:r>
      <w:r>
        <w:rPr>
          <w:rFonts w:ascii="Arial" w:cs="Arial" w:eastAsia="Arial" w:hAnsi="Arial"/>
          <w:sz w:val="19"/>
          <w:szCs w:val="19"/>
          <w:color w:val="auto"/>
        </w:rPr>
        <w:t xml:space="preserve">” means, on any date, the product of (a) 1.5,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sum of (i) the Base Rate with respect to the most recent Yield Period and (ii) the Servicing Fee Rate,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(c) a fraction (i) the numerator of which is the highest Days’ Sales Outstanding for the twelve most recent calendar months and (ii) the denominator of which is 360.</w:t>
      </w:r>
    </w:p>
    <w:p>
      <w:pPr>
        <w:spacing w:after="0" w:line="157" w:lineRule="exact"/>
        <w:rPr>
          <w:sz w:val="20"/>
          <w:szCs w:val="20"/>
          <w:color w:val="auto"/>
        </w:rPr>
      </w:pPr>
    </w:p>
    <w:p>
      <w:pPr>
        <w:jc w:val="both"/>
        <w:ind w:right="20" w:firstLine="572"/>
        <w:spacing w:after="0" w:line="257" w:lineRule="auto"/>
        <w:rPr>
          <w:sz w:val="20"/>
          <w:szCs w:val="20"/>
          <w:color w:val="auto"/>
        </w:rPr>
      </w:pPr>
      <w:r>
        <w:rPr>
          <w:rFonts w:ascii="Arial" w:cs="Arial" w:eastAsia="Arial" w:hAnsi="Arial"/>
          <w:sz w:val="19"/>
          <w:szCs w:val="19"/>
          <w:u w:val="single" w:color="auto"/>
          <w:color w:val="auto"/>
        </w:rPr>
        <w:t>Other Terms</w:t>
      </w:r>
      <w:r>
        <w:rPr>
          <w:rFonts w:ascii="Arial" w:cs="Arial" w:eastAsia="Arial" w:hAnsi="Arial"/>
          <w:sz w:val="19"/>
          <w:szCs w:val="19"/>
          <w:color w:val="auto"/>
        </w:rPr>
        <w:t>. All accounting terms not specifically defined herein shall be construed in accordance with generally accepted accounting principles.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II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CONDITIONS PRECEDENT</w:t>
      </w:r>
    </w:p>
    <w:p>
      <w:pPr>
        <w:spacing w:after="0" w:line="389" w:lineRule="exact"/>
        <w:rPr>
          <w:sz w:val="20"/>
          <w:szCs w:val="20"/>
          <w:color w:val="auto"/>
        </w:rPr>
      </w:pPr>
    </w:p>
    <w:p>
      <w:pPr>
        <w:jc w:val="both"/>
        <w:ind w:right="20" w:firstLine="567"/>
        <w:spacing w:after="0" w:line="261" w:lineRule="auto"/>
        <w:tabs>
          <w:tab w:leader="none" w:pos="905"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Conditions Precedent to Initial Purchase</w:t>
      </w:r>
      <w:r>
        <w:rPr>
          <w:rFonts w:ascii="Arial" w:cs="Arial" w:eastAsia="Arial" w:hAnsi="Arial"/>
          <w:sz w:val="19"/>
          <w:szCs w:val="19"/>
          <w:color w:val="auto"/>
        </w:rPr>
        <w:t>. The effectiveness of this Agreement is subject to the conditions precedent that the Administrator and each Purchaser Agent shall have received the following items, each in form and substance (including the date thereof) satisfactory to the Administrator and each such Purchaser Agent:</w:t>
      </w:r>
    </w:p>
    <w:p>
      <w:pPr>
        <w:spacing w:after="0" w:line="157" w:lineRule="exact"/>
        <w:rPr>
          <w:sz w:val="20"/>
          <w:szCs w:val="20"/>
          <w:color w:val="auto"/>
        </w:rPr>
      </w:pPr>
    </w:p>
    <w:p>
      <w:pPr>
        <w:ind w:right="20" w:firstLine="567"/>
        <w:spacing w:after="0" w:line="287" w:lineRule="auto"/>
        <w:tabs>
          <w:tab w:leader="none" w:pos="1061" w:val="left"/>
        </w:tabs>
        <w:numPr>
          <w:ilvl w:val="0"/>
          <w:numId w:val="294"/>
        </w:numPr>
        <w:rPr>
          <w:rFonts w:ascii="Arial" w:cs="Arial" w:eastAsia="Arial" w:hAnsi="Arial"/>
          <w:sz w:val="19"/>
          <w:szCs w:val="19"/>
          <w:color w:val="auto"/>
        </w:rPr>
      </w:pPr>
      <w:r>
        <w:rPr>
          <w:rFonts w:ascii="Arial" w:cs="Arial" w:eastAsia="Arial" w:hAnsi="Arial"/>
          <w:sz w:val="19"/>
          <w:szCs w:val="19"/>
          <w:color w:val="auto"/>
        </w:rPr>
        <w:t>One or more counterparts of this Agreement and each other Transaction Document (including all amendments, modifications and supplements thereto executed on or prior to the Closing Date), in each case executed by each of the parties thereto.</w:t>
      </w:r>
    </w:p>
    <w:p>
      <w:pPr>
        <w:spacing w:after="0" w:line="132" w:lineRule="exact"/>
        <w:rPr>
          <w:rFonts w:ascii="Arial" w:cs="Arial" w:eastAsia="Arial" w:hAnsi="Arial"/>
          <w:sz w:val="19"/>
          <w:szCs w:val="19"/>
          <w:color w:val="auto"/>
        </w:rPr>
      </w:pPr>
    </w:p>
    <w:p>
      <w:pPr>
        <w:jc w:val="both"/>
        <w:ind w:firstLine="567"/>
        <w:spacing w:after="0" w:line="301" w:lineRule="auto"/>
        <w:tabs>
          <w:tab w:leader="none" w:pos="104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Certified copies of: (i) the resolutions of the Board of Directors of each of the Seller, the Originators and WESCO authorizing the execution, delivery and performance by the Seller, such Originator and WESCO, as the case may be, of this Agreement and the other Transaction Documents to which it is a party; (ii) all documents evidencing other necessary corporate action and governmental approvals, if any, with respect to this Agreement and the other Transaction Documents and (iii) the certificate of incorporation and by-laws of the Seller, each Originator and WESCO.</w:t>
      </w:r>
    </w:p>
    <w:p>
      <w:pPr>
        <w:spacing w:after="0" w:line="127" w:lineRule="exact"/>
        <w:rPr>
          <w:rFonts w:ascii="Arial" w:cs="Arial" w:eastAsia="Arial" w:hAnsi="Arial"/>
          <w:sz w:val="17"/>
          <w:szCs w:val="17"/>
          <w:color w:val="auto"/>
        </w:rPr>
      </w:pPr>
    </w:p>
    <w:p>
      <w:pPr>
        <w:jc w:val="both"/>
        <w:ind w:firstLine="567"/>
        <w:spacing w:after="0" w:line="301" w:lineRule="auto"/>
        <w:tabs>
          <w:tab w:leader="none" w:pos="942"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 certificate of the Secretary or Assistant Secretary of the Seller, the Originators and WESCO certifying the names and true signatures of its officers who are authorized to sign this Agreement and the other Transaction Documents. Until the Administrator and each Purchaser Agent receives a subsequent incumbency certificate from the Seller, an Originator or WESCO, as the case may be, the Administrator and each Purchaser Agent shall be entitled to rely on the last such certificate delivered to it by the Seller, such Originator or WESCO, as the case may be.</w:t>
      </w:r>
    </w:p>
    <w:p>
      <w:pPr>
        <w:spacing w:after="0" w:line="127" w:lineRule="exact"/>
        <w:rPr>
          <w:rFonts w:ascii="Arial" w:cs="Arial" w:eastAsia="Arial" w:hAnsi="Arial"/>
          <w:sz w:val="17"/>
          <w:szCs w:val="17"/>
          <w:color w:val="auto"/>
        </w:rPr>
      </w:pPr>
    </w:p>
    <w:p>
      <w:pPr>
        <w:jc w:val="both"/>
        <w:ind w:firstLine="567"/>
        <w:spacing w:after="0" w:line="261" w:lineRule="auto"/>
        <w:tabs>
          <w:tab w:leader="none" w:pos="977" w:val="left"/>
        </w:tabs>
        <w:numPr>
          <w:ilvl w:val="0"/>
          <w:numId w:val="294"/>
        </w:numPr>
        <w:rPr>
          <w:rFonts w:ascii="Arial" w:cs="Arial" w:eastAsia="Arial" w:hAnsi="Arial"/>
          <w:sz w:val="19"/>
          <w:szCs w:val="19"/>
          <w:color w:val="auto"/>
        </w:rPr>
      </w:pPr>
      <w:r>
        <w:rPr>
          <w:rFonts w:ascii="Arial" w:cs="Arial" w:eastAsia="Arial" w:hAnsi="Arial"/>
          <w:sz w:val="19"/>
          <w:szCs w:val="19"/>
          <w:color w:val="auto"/>
        </w:rPr>
        <w:t>Acknowledgment copies, or time stamped receipt copies, of proper financing statements (and/or amendments to, or assignments of, the financing statements filed in connection with the Original Agreement), duly filed on or before the date hereof under the UCC of all jurisdictions that the Administrator or any Purchaser Agent may deem necessary or desirable in order to perfect the interests of the Seller and the Administrator (on behalf of each Purchaser) contemplated by this Agreement and the Sale Agreement.</w:t>
      </w:r>
    </w:p>
    <w:p>
      <w:pPr>
        <w:sectPr>
          <w:pgSz w:w="11900" w:h="16838" w:orient="portrait"/>
          <w:cols w:equalWidth="0" w:num="1">
            <w:col w:w="11440"/>
          </w:cols>
          <w:pgMar w:left="240" w:top="323" w:right="219" w:bottom="0" w:gutter="0" w:footer="0" w:header="0"/>
        </w:sectPr>
      </w:pPr>
    </w:p>
    <w:bookmarkStart w:id="203" w:name="page204"/>
    <w:bookmarkEnd w:id="203"/>
    <w:p>
      <w:pPr>
        <w:spacing w:after="0" w:line="87" w:lineRule="exact"/>
        <w:rPr>
          <w:sz w:val="20"/>
          <w:szCs w:val="20"/>
          <w:color w:val="auto"/>
        </w:rPr>
      </w:pPr>
    </w:p>
    <w:p>
      <w:pPr>
        <w:ind w:left="940" w:hanging="373"/>
        <w:spacing w:after="0"/>
        <w:tabs>
          <w:tab w:leader="none" w:pos="9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0" w:lineRule="exact"/>
        <w:rPr>
          <w:rFonts w:ascii="Arial" w:cs="Arial" w:eastAsia="Arial" w:hAnsi="Arial"/>
          <w:sz w:val="19"/>
          <w:szCs w:val="19"/>
          <w:color w:val="auto"/>
        </w:rPr>
      </w:pPr>
    </w:p>
    <w:p>
      <w:pPr>
        <w:jc w:val="both"/>
        <w:ind w:firstLine="567"/>
        <w:spacing w:after="0" w:line="261" w:lineRule="auto"/>
        <w:tabs>
          <w:tab w:leader="none" w:pos="96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Completed UCC search reports, dated on or shortly before the date hereof, listing the financing statements filed in all applicable UCC jurisdictions that name the Originators or the Seller as debtor, together with copies of such other financing statements, and similar search reports with respect to judgment liens, federal tax liens and liens of the Pension Benefit Guaranty Corporation in such jurisdictions, as the Administrator or any Purchaser Agent may request, showing no Adverse Claims on any Pool Assets.</w:t>
      </w:r>
    </w:p>
    <w:p>
      <w:pPr>
        <w:spacing w:after="0" w:line="157" w:lineRule="exact"/>
        <w:rPr>
          <w:rFonts w:ascii="Arial" w:cs="Arial" w:eastAsia="Arial" w:hAnsi="Arial"/>
          <w:sz w:val="19"/>
          <w:szCs w:val="19"/>
          <w:color w:val="auto"/>
        </w:rPr>
      </w:pPr>
    </w:p>
    <w:p>
      <w:pPr>
        <w:ind w:left="940" w:hanging="373"/>
        <w:spacing w:after="0"/>
        <w:tabs>
          <w:tab w:leader="none" w:pos="9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0" w:lineRule="exact"/>
        <w:rPr>
          <w:rFonts w:ascii="Arial" w:cs="Arial" w:eastAsia="Arial" w:hAnsi="Arial"/>
          <w:sz w:val="19"/>
          <w:szCs w:val="19"/>
          <w:color w:val="auto"/>
        </w:rPr>
      </w:pPr>
    </w:p>
    <w:p>
      <w:pPr>
        <w:ind w:right="20" w:firstLine="567"/>
        <w:spacing w:after="0" w:line="287" w:lineRule="auto"/>
        <w:tabs>
          <w:tab w:leader="none" w:pos="977" w:val="left"/>
        </w:tabs>
        <w:numPr>
          <w:ilvl w:val="0"/>
          <w:numId w:val="295"/>
        </w:numPr>
        <w:rPr>
          <w:rFonts w:ascii="Arial" w:cs="Arial" w:eastAsia="Arial" w:hAnsi="Arial"/>
          <w:sz w:val="19"/>
          <w:szCs w:val="19"/>
          <w:color w:val="auto"/>
        </w:rPr>
      </w:pPr>
      <w:r>
        <w:rPr>
          <w:rFonts w:ascii="Arial" w:cs="Arial" w:eastAsia="Arial" w:hAnsi="Arial"/>
          <w:sz w:val="19"/>
          <w:szCs w:val="19"/>
          <w:color w:val="auto"/>
        </w:rPr>
        <w:t>Favorable opinions (including any applicable bring-down opinions), in form and substance reasonably satisfactory to the Administrator and each Purchaser Agent in each case as the Administrator or any Purchaser Agent may reasonably request.</w:t>
      </w:r>
    </w:p>
    <w:p>
      <w:pPr>
        <w:spacing w:after="0" w:line="132" w:lineRule="exact"/>
        <w:rPr>
          <w:rFonts w:ascii="Arial" w:cs="Arial" w:eastAsia="Arial" w:hAnsi="Arial"/>
          <w:sz w:val="19"/>
          <w:szCs w:val="19"/>
          <w:color w:val="auto"/>
        </w:rPr>
      </w:pPr>
    </w:p>
    <w:p>
      <w:pPr>
        <w:ind w:left="900" w:hanging="333"/>
        <w:spacing w:after="0"/>
        <w:tabs>
          <w:tab w:leader="none" w:pos="9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0" w:lineRule="exact"/>
        <w:rPr>
          <w:rFonts w:ascii="Arial" w:cs="Arial" w:eastAsia="Arial" w:hAnsi="Arial"/>
          <w:sz w:val="19"/>
          <w:szCs w:val="19"/>
          <w:color w:val="auto"/>
        </w:rPr>
      </w:pPr>
    </w:p>
    <w:p>
      <w:pPr>
        <w:ind w:left="900" w:hanging="333"/>
        <w:spacing w:after="0"/>
        <w:tabs>
          <w:tab w:leader="none" w:pos="9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0" w:lineRule="exact"/>
        <w:rPr>
          <w:rFonts w:ascii="Arial" w:cs="Arial" w:eastAsia="Arial" w:hAnsi="Arial"/>
          <w:sz w:val="19"/>
          <w:szCs w:val="19"/>
          <w:color w:val="auto"/>
        </w:rPr>
      </w:pPr>
    </w:p>
    <w:p>
      <w:pPr>
        <w:jc w:val="both"/>
        <w:ind w:firstLine="567"/>
        <w:spacing w:after="0" w:line="268" w:lineRule="auto"/>
        <w:tabs>
          <w:tab w:leader="none" w:pos="98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Evidence of payment by the Seller of all accrued and unpaid fees (including those contemplated by each Purchaser Group Fee Letter), costs and expenses to the extent then due and payable on the date thereof, including any such costs, fees and expenses arising under or referenced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of this Agreement and the Fee Letter.</w:t>
      </w:r>
    </w:p>
    <w:p>
      <w:pPr>
        <w:spacing w:after="0" w:line="149" w:lineRule="exact"/>
        <w:rPr>
          <w:rFonts w:ascii="Arial" w:cs="Arial" w:eastAsia="Arial" w:hAnsi="Arial"/>
          <w:sz w:val="19"/>
          <w:szCs w:val="19"/>
          <w:color w:val="auto"/>
        </w:rPr>
      </w:pPr>
    </w:p>
    <w:p>
      <w:pPr>
        <w:ind w:right="20" w:firstLine="567"/>
        <w:spacing w:after="0" w:line="287" w:lineRule="auto"/>
        <w:tabs>
          <w:tab w:leader="none" w:pos="94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Each applicable Purchaser Group Fee Letter and/or any amendments thereto or amendments and restatements thereof (received only by the related Purchaser Group Agent) duly executed by the Seller and the Servicer.</w:t>
      </w:r>
    </w:p>
    <w:p>
      <w:pPr>
        <w:spacing w:after="0" w:line="132" w:lineRule="exact"/>
        <w:rPr>
          <w:rFonts w:ascii="Arial" w:cs="Arial" w:eastAsia="Arial" w:hAnsi="Arial"/>
          <w:sz w:val="19"/>
          <w:szCs w:val="19"/>
          <w:color w:val="auto"/>
        </w:rPr>
      </w:pPr>
    </w:p>
    <w:p>
      <w:pPr>
        <w:ind w:right="20" w:firstLine="567"/>
        <w:spacing w:after="0" w:line="287" w:lineRule="auto"/>
        <w:tabs>
          <w:tab w:leader="none" w:pos="100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Good standing certificates with respect to each of the Seller, the Originators and the Servicer issued by the Secretary of State (or similar official) of the state of each such Person’s organization and principal place of business.</w:t>
      </w:r>
    </w:p>
    <w:p>
      <w:pPr>
        <w:spacing w:after="0" w:line="132" w:lineRule="exact"/>
        <w:rPr>
          <w:rFonts w:ascii="Arial" w:cs="Arial" w:eastAsia="Arial" w:hAnsi="Arial"/>
          <w:sz w:val="19"/>
          <w:szCs w:val="19"/>
          <w:color w:val="auto"/>
        </w:rPr>
      </w:pPr>
    </w:p>
    <w:p>
      <w:pPr>
        <w:ind w:left="940" w:hanging="373"/>
        <w:spacing w:after="0"/>
        <w:tabs>
          <w:tab w:leader="none" w:pos="9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0" w:lineRule="exact"/>
        <w:rPr>
          <w:rFonts w:ascii="Arial" w:cs="Arial" w:eastAsia="Arial" w:hAnsi="Arial"/>
          <w:sz w:val="19"/>
          <w:szCs w:val="19"/>
          <w:color w:val="auto"/>
        </w:rPr>
      </w:pPr>
    </w:p>
    <w:p>
      <w:pPr>
        <w:ind w:left="940" w:hanging="373"/>
        <w:spacing w:after="0"/>
        <w:tabs>
          <w:tab w:leader="none" w:pos="9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Such other approvals, opinions or documents as the Administrator or any Purchaser Agent may reasonably request.</w:t>
      </w:r>
    </w:p>
    <w:p>
      <w:pPr>
        <w:spacing w:after="0" w:line="210" w:lineRule="exact"/>
        <w:rPr>
          <w:sz w:val="20"/>
          <w:szCs w:val="20"/>
          <w:color w:val="auto"/>
        </w:rPr>
      </w:pPr>
    </w:p>
    <w:p>
      <w:pPr>
        <w:ind w:right="20" w:firstLine="567"/>
        <w:spacing w:after="0" w:line="274" w:lineRule="auto"/>
        <w:tabs>
          <w:tab w:leader="none" w:pos="965"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Conditions Precedent to All Purchases and Reinvestments</w:t>
      </w:r>
      <w:r>
        <w:rPr>
          <w:rFonts w:ascii="Arial" w:cs="Arial" w:eastAsia="Arial" w:hAnsi="Arial"/>
          <w:sz w:val="19"/>
          <w:szCs w:val="19"/>
          <w:color w:val="auto"/>
        </w:rPr>
        <w:t>. Each Purchase (including the initial Purchase) and each reinvestment shall be subject to the further conditions precedent that:</w:t>
      </w:r>
    </w:p>
    <w:p>
      <w:pPr>
        <w:spacing w:after="0" w:line="144" w:lineRule="exact"/>
        <w:rPr>
          <w:sz w:val="20"/>
          <w:szCs w:val="20"/>
          <w:color w:val="auto"/>
        </w:rPr>
      </w:pPr>
    </w:p>
    <w:p>
      <w:pPr>
        <w:jc w:val="both"/>
        <w:ind w:right="20" w:firstLine="567"/>
        <w:spacing w:after="0" w:line="282" w:lineRule="auto"/>
        <w:tabs>
          <w:tab w:leader="none" w:pos="83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case of each purchase, the Servicer shall have delivered to the Administrator and each Purchaser Agent on or before such purchase, in form and substance satisfactory to the Administrator and such Purchaser Agent, a completed pro forma Information Package to reflect the level of Investment with respect to each Purchaser Group and related reserves after such subsequent purchase; and</w:t>
      </w:r>
    </w:p>
    <w:p>
      <w:pPr>
        <w:spacing w:after="0" w:line="140" w:lineRule="exact"/>
        <w:rPr>
          <w:rFonts w:ascii="Arial" w:cs="Arial" w:eastAsia="Arial" w:hAnsi="Arial"/>
          <w:sz w:val="18"/>
          <w:szCs w:val="18"/>
          <w:color w:val="auto"/>
        </w:rPr>
      </w:pPr>
    </w:p>
    <w:p>
      <w:pPr>
        <w:ind w:firstLine="567"/>
        <w:spacing w:after="0" w:line="274" w:lineRule="auto"/>
        <w:tabs>
          <w:tab w:leader="none" w:pos="85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on the date of such purchase or reinvestment the following statements shall be true (and acceptance of the proceeds of such purchase or reinvestment shall be deemed a representation and warranty by the Seller that such statements are then true):</w:t>
      </w:r>
    </w:p>
    <w:p>
      <w:pPr>
        <w:spacing w:after="0" w:line="144" w:lineRule="exact"/>
        <w:rPr>
          <w:sz w:val="20"/>
          <w:szCs w:val="20"/>
          <w:color w:val="auto"/>
        </w:rPr>
      </w:pPr>
    </w:p>
    <w:p>
      <w:pPr>
        <w:ind w:right="20" w:firstLine="567"/>
        <w:spacing w:after="0" w:line="274" w:lineRule="auto"/>
        <w:tabs>
          <w:tab w:leader="none" w:pos="995"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w:t>
      </w:r>
      <w:r>
        <w:rPr>
          <w:rFonts w:ascii="Arial" w:cs="Arial" w:eastAsia="Arial" w:hAnsi="Arial"/>
          <w:sz w:val="19"/>
          <w:szCs w:val="19"/>
          <w:u w:val="single" w:color="auto"/>
          <w:color w:val="auto"/>
        </w:rPr>
        <w:t>Exhibit III</w:t>
      </w:r>
      <w:r>
        <w:rPr>
          <w:rFonts w:ascii="Arial" w:cs="Arial" w:eastAsia="Arial" w:hAnsi="Arial"/>
          <w:sz w:val="19"/>
          <w:szCs w:val="19"/>
          <w:color w:val="auto"/>
        </w:rPr>
        <w:t xml:space="preserve"> to this Agreement are true and correct in all material respects on and as of the date of such purchase or reinvestment as though made on and as of such date;</w:t>
      </w:r>
    </w:p>
    <w:p>
      <w:pPr>
        <w:spacing w:after="0" w:line="144" w:lineRule="exact"/>
        <w:rPr>
          <w:rFonts w:ascii="Arial" w:cs="Arial" w:eastAsia="Arial" w:hAnsi="Arial"/>
          <w:sz w:val="19"/>
          <w:szCs w:val="19"/>
          <w:color w:val="auto"/>
        </w:rPr>
      </w:pPr>
    </w:p>
    <w:p>
      <w:pPr>
        <w:ind w:right="20" w:firstLine="567"/>
        <w:spacing w:after="0" w:line="274" w:lineRule="auto"/>
        <w:tabs>
          <w:tab w:leader="none" w:pos="105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no event has occurred and is continuing, or would result from such purchase or reinvestment, that constitutes a Termination Event or an Unmatured Termination Event; and</w:t>
      </w:r>
    </w:p>
    <w:p>
      <w:pPr>
        <w:spacing w:after="0" w:line="144" w:lineRule="exact"/>
        <w:rPr>
          <w:rFonts w:ascii="Arial" w:cs="Arial" w:eastAsia="Arial" w:hAnsi="Arial"/>
          <w:sz w:val="19"/>
          <w:szCs w:val="19"/>
          <w:color w:val="auto"/>
        </w:rPr>
      </w:pPr>
    </w:p>
    <w:p>
      <w:pPr>
        <w:ind w:left="1040" w:hanging="473"/>
        <w:spacing w:after="0"/>
        <w:tabs>
          <w:tab w:leader="none" w:pos="104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Aggregate Investment shall not exceed the Purchase Limit, and the Purchased Interest shall not exceed 100%.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III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REPRESENTATIONS AND WARRANTIES</w:t>
      </w:r>
    </w:p>
    <w:p>
      <w:pPr>
        <w:spacing w:after="0" w:line="3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Representations and Warranties of the Seller</w:t>
      </w:r>
      <w:r>
        <w:rPr>
          <w:rFonts w:ascii="Arial" w:cs="Arial" w:eastAsia="Arial" w:hAnsi="Arial"/>
          <w:sz w:val="19"/>
          <w:szCs w:val="19"/>
          <w:color w:val="auto"/>
        </w:rPr>
        <w:t>. The Seller represents and warrants as follows:</w:t>
      </w:r>
    </w:p>
    <w:p>
      <w:pPr>
        <w:spacing w:after="0" w:line="199" w:lineRule="exact"/>
        <w:rPr>
          <w:sz w:val="20"/>
          <w:szCs w:val="20"/>
          <w:color w:val="auto"/>
        </w:rPr>
      </w:pPr>
    </w:p>
    <w:p>
      <w:pPr>
        <w:jc w:val="both"/>
        <w:ind w:firstLine="567"/>
        <w:spacing w:after="0" w:line="268" w:lineRule="auto"/>
        <w:tabs>
          <w:tab w:leader="none" w:pos="96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The Seller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149" w:lineRule="exact"/>
        <w:rPr>
          <w:rFonts w:ascii="Arial" w:cs="Arial" w:eastAsia="Arial" w:hAnsi="Arial"/>
          <w:sz w:val="19"/>
          <w:szCs w:val="19"/>
          <w:color w:val="auto"/>
        </w:rPr>
      </w:pPr>
    </w:p>
    <w:p>
      <w:pPr>
        <w:jc w:val="both"/>
        <w:ind w:firstLine="567"/>
        <w:spacing w:after="0" w:line="271" w:lineRule="auto"/>
        <w:tabs>
          <w:tab w:leader="none" w:pos="10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execution, delivery and performance by the Seller of this Agreement and the other Transaction Documents to which it is a party, including its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it is a party have been duly executed and delivered by the Seller.</w:t>
      </w:r>
    </w:p>
    <w:p>
      <w:pPr>
        <w:spacing w:after="0" w:line="151" w:lineRule="exact"/>
        <w:rPr>
          <w:rFonts w:ascii="Arial" w:cs="Arial" w:eastAsia="Arial" w:hAnsi="Arial"/>
          <w:sz w:val="18"/>
          <w:szCs w:val="18"/>
          <w:color w:val="auto"/>
        </w:rPr>
      </w:pPr>
    </w:p>
    <w:p>
      <w:pPr>
        <w:jc w:val="both"/>
        <w:ind w:right="20" w:firstLine="567"/>
        <w:spacing w:after="0" w:line="261" w:lineRule="auto"/>
        <w:tabs>
          <w:tab w:leader="none" w:pos="94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No authorization, approval or other action by, and no notice to or filing with, any Governmental Authority or other Person is required for its due execution, delivery and performance by the Seller of this Agreement or any other Transaction Document to which it is a party, other than the Uniform Commercial Code filings referred to in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to this Agreement, all of which shall have been filed on or before the date of the first purchase hereunder.</w:t>
      </w:r>
    </w:p>
    <w:p>
      <w:pPr>
        <w:spacing w:after="0" w:line="157" w:lineRule="exact"/>
        <w:rPr>
          <w:rFonts w:ascii="Arial" w:cs="Arial" w:eastAsia="Arial" w:hAnsi="Arial"/>
          <w:sz w:val="19"/>
          <w:szCs w:val="19"/>
          <w:color w:val="auto"/>
        </w:rPr>
      </w:pPr>
    </w:p>
    <w:p>
      <w:pPr>
        <w:jc w:val="both"/>
        <w:ind w:right="20" w:firstLine="567"/>
        <w:spacing w:after="0" w:line="349" w:lineRule="auto"/>
        <w:tabs>
          <w:tab w:leader="none" w:pos="104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Each of this Agreement and the other Transaction Documents to which the Seller is a party constitutes its legal, valid and binding obligation of the Seller enforceable against the Seller in accordance with its terms, except as enforceability may be limited by bankruptcy, insolvency,</w:t>
      </w:r>
    </w:p>
    <w:p>
      <w:pPr>
        <w:sectPr>
          <w:pgSz w:w="11900" w:h="16926" w:orient="portrait"/>
          <w:cols w:equalWidth="0" w:num="1">
            <w:col w:w="11440"/>
          </w:cols>
          <w:pgMar w:left="240" w:top="132" w:right="219" w:bottom="0" w:gutter="0" w:footer="0" w:header="0"/>
        </w:sectPr>
      </w:pPr>
    </w:p>
    <w:bookmarkStart w:id="204" w:name="page205"/>
    <w:bookmarkEnd w:id="204"/>
    <w:p>
      <w:pPr>
        <w:ind w:left="5" w:right="20"/>
        <w:spacing w:after="0" w:line="274" w:lineRule="auto"/>
        <w:rPr>
          <w:sz w:val="20"/>
          <w:szCs w:val="20"/>
          <w:color w:val="auto"/>
        </w:rPr>
      </w:pPr>
      <w:r>
        <w:rPr>
          <w:rFonts w:ascii="Arial" w:cs="Arial" w:eastAsia="Arial" w:hAnsi="Arial"/>
          <w:sz w:val="19"/>
          <w:szCs w:val="19"/>
          <w:color w:val="auto"/>
        </w:rPr>
        <w:t>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44" w:lineRule="exact"/>
        <w:rPr>
          <w:sz w:val="20"/>
          <w:szCs w:val="20"/>
          <w:color w:val="auto"/>
        </w:rPr>
      </w:pPr>
    </w:p>
    <w:p>
      <w:pPr>
        <w:ind w:left="5" w:right="20" w:firstLine="567"/>
        <w:spacing w:after="0" w:line="287" w:lineRule="auto"/>
        <w:tabs>
          <w:tab w:leader="none" w:pos="994" w:val="left"/>
        </w:tabs>
        <w:numPr>
          <w:ilvl w:val="1"/>
          <w:numId w:val="300"/>
        </w:numPr>
        <w:rPr>
          <w:rFonts w:ascii="Arial" w:cs="Arial" w:eastAsia="Arial" w:hAnsi="Arial"/>
          <w:sz w:val="19"/>
          <w:szCs w:val="19"/>
          <w:color w:val="auto"/>
        </w:rPr>
      </w:pPr>
      <w:r>
        <w:rPr>
          <w:rFonts w:ascii="Arial" w:cs="Arial" w:eastAsia="Arial" w:hAnsi="Arial"/>
          <w:sz w:val="19"/>
          <w:szCs w:val="19"/>
          <w:color w:val="auto"/>
        </w:rPr>
        <w:t>There is no pending or, to Seller’s best knowledge, threatened action or proceeding affecting Seller or any of its properties before any Governmental Authority or arbitrator.</w:t>
      </w:r>
    </w:p>
    <w:p>
      <w:pPr>
        <w:spacing w:after="0" w:line="132" w:lineRule="exact"/>
        <w:rPr>
          <w:rFonts w:ascii="Arial" w:cs="Arial" w:eastAsia="Arial" w:hAnsi="Arial"/>
          <w:sz w:val="19"/>
          <w:szCs w:val="19"/>
          <w:color w:val="auto"/>
        </w:rPr>
      </w:pPr>
    </w:p>
    <w:p>
      <w:pPr>
        <w:ind w:left="5" w:right="20" w:firstLine="567"/>
        <w:spacing w:after="0" w:line="287" w:lineRule="auto"/>
        <w:tabs>
          <w:tab w:leader="none" w:pos="1045" w:val="left"/>
        </w:tabs>
        <w:numPr>
          <w:ilvl w:val="1"/>
          <w:numId w:val="300"/>
        </w:numPr>
        <w:rPr>
          <w:rFonts w:ascii="Arial" w:cs="Arial" w:eastAsia="Arial" w:hAnsi="Arial"/>
          <w:sz w:val="19"/>
          <w:szCs w:val="19"/>
          <w:color w:val="auto"/>
        </w:rPr>
      </w:pPr>
      <w:r>
        <w:rPr>
          <w:rFonts w:ascii="Arial" w:cs="Arial" w:eastAsia="Arial" w:hAnsi="Arial"/>
          <w:sz w:val="19"/>
          <w:szCs w:val="19"/>
          <w:color w:val="auto"/>
        </w:rPr>
        <w:t>No proceeds of any Purchase or reinvestment will be used to acquire any equity security of a class that is registered pursuant to Section 12 of the Securities Exchange Act of 1934.</w:t>
      </w:r>
    </w:p>
    <w:p>
      <w:pPr>
        <w:spacing w:after="0" w:line="132" w:lineRule="exact"/>
        <w:rPr>
          <w:rFonts w:ascii="Arial" w:cs="Arial" w:eastAsia="Arial" w:hAnsi="Arial"/>
          <w:sz w:val="19"/>
          <w:szCs w:val="19"/>
          <w:color w:val="auto"/>
        </w:rPr>
      </w:pPr>
    </w:p>
    <w:p>
      <w:pPr>
        <w:jc w:val="both"/>
        <w:ind w:left="5" w:firstLine="567"/>
        <w:spacing w:after="0" w:line="268" w:lineRule="auto"/>
        <w:tabs>
          <w:tab w:leader="none" w:pos="100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Seller is the legal and beneficial owner of the Pool Receivables and Related Security, free and clear of any Adverse Claim. Upon each purchase or reinvestment, Administrator (for the benefit of each Purchaser) shall acquire a valid and enforceable perfected undivided percentage ownership or security interest, to the extent of the Purchased Interest, in each Pool Receivable then existing or thereafter arising and in the Related Security, Collections and other proceeds with respect thereto, free and clear of any Adverse Claim. This Agreement creates a security interest in favor of the Administrator (for the benefit of each Purchaser) in the Pool Assets, and the Administrator (for the benefit of each Purchaser) has a first priority perfected security interest in the Pool Assets, free and clear of any Adverse Claims. No effective financing statement or other instrument similar in effect covering any Pool Asset is on file in any recording office, except those filed in favor of the Seller pursuant to the Sale Agreement and the Administrator (for the benefit of each Purchaser) relating to this Agreement, or in respect of which the Administrator has received evidence satisfactory to the Administrator of acknowledgment copies, or time-stamped receipt copies, of proper financing statements releasing or terminating, as applicable, all security interests and other rights of any Person in such Pool Asset.</w:t>
      </w:r>
    </w:p>
    <w:p>
      <w:pPr>
        <w:spacing w:after="0" w:line="154" w:lineRule="exact"/>
        <w:rPr>
          <w:rFonts w:ascii="Arial" w:cs="Arial" w:eastAsia="Arial" w:hAnsi="Arial"/>
          <w:sz w:val="18"/>
          <w:szCs w:val="18"/>
          <w:color w:val="auto"/>
        </w:rPr>
      </w:pPr>
    </w:p>
    <w:p>
      <w:pPr>
        <w:jc w:val="both"/>
        <w:ind w:left="5" w:firstLine="567"/>
        <w:spacing w:after="0" w:line="292" w:lineRule="auto"/>
        <w:tabs>
          <w:tab w:leader="none" w:pos="957" w:val="left"/>
        </w:tabs>
        <w:numPr>
          <w:ilvl w:val="1"/>
          <w:numId w:val="300"/>
        </w:numPr>
        <w:rPr>
          <w:rFonts w:ascii="Arial" w:cs="Arial" w:eastAsia="Arial" w:hAnsi="Arial"/>
          <w:sz w:val="17"/>
          <w:szCs w:val="17"/>
          <w:color w:val="auto"/>
        </w:rPr>
      </w:pPr>
      <w:r>
        <w:rPr>
          <w:rFonts w:ascii="Arial" w:cs="Arial" w:eastAsia="Arial" w:hAnsi="Arial"/>
          <w:sz w:val="17"/>
          <w:szCs w:val="17"/>
          <w:color w:val="auto"/>
        </w:rPr>
        <w:t>Each Information Package (if prepared by the Seller or one of its Affiliates, or to the extent that information contained therein is supplied by the Seller or an Affiliate), information, exhibit, financial statement, document, book, record or report furnished or to be furnished at any time by or on behalf of the Seller to the Administrator or any Purchaser Agent in connection with this Agreement or any other Transaction Document to which it is a party is or will be, when taken as a whole, complete and accurate in all material respects as of its date or as of the date so furnished, and does not and will not, when taken as a whole, contain any material misstatement of fact or omit to state a material fact or any fact necessary to make the statements contained therein, in light of the circumstances under which they were made, not materially misleading.</w:t>
      </w:r>
    </w:p>
    <w:p>
      <w:pPr>
        <w:spacing w:after="0" w:line="133" w:lineRule="exact"/>
        <w:rPr>
          <w:rFonts w:ascii="Arial" w:cs="Arial" w:eastAsia="Arial" w:hAnsi="Arial"/>
          <w:sz w:val="17"/>
          <w:szCs w:val="17"/>
          <w:color w:val="auto"/>
        </w:rPr>
      </w:pPr>
    </w:p>
    <w:p>
      <w:pPr>
        <w:jc w:val="both"/>
        <w:ind w:left="5" w:right="20" w:firstLine="567"/>
        <w:spacing w:after="0" w:line="268" w:lineRule="auto"/>
        <w:tabs>
          <w:tab w:leader="none" w:pos="915" w:val="left"/>
        </w:tabs>
        <w:numPr>
          <w:ilvl w:val="1"/>
          <w:numId w:val="300"/>
        </w:numPr>
        <w:rPr>
          <w:rFonts w:ascii="Arial" w:cs="Arial" w:eastAsia="Arial" w:hAnsi="Arial"/>
          <w:sz w:val="19"/>
          <w:szCs w:val="19"/>
          <w:color w:val="auto"/>
        </w:rPr>
      </w:pPr>
      <w:r>
        <w:rPr>
          <w:rFonts w:ascii="Arial" w:cs="Arial" w:eastAsia="Arial" w:hAnsi="Arial"/>
          <w:sz w:val="19"/>
          <w:szCs w:val="19"/>
          <w:color w:val="auto"/>
        </w:rPr>
        <w:t xml:space="preserve">The Seller’s (x) principal place of business and chief executive office and the office where it keeps its records concerning the Receivables and (y) “location” (as such term is used in the UCC), are, in each case, located at the addresses referred to in </w:t>
      </w:r>
      <w:r>
        <w:rPr>
          <w:rFonts w:ascii="Arial" w:cs="Arial" w:eastAsia="Arial" w:hAnsi="Arial"/>
          <w:sz w:val="19"/>
          <w:szCs w:val="19"/>
          <w:u w:val="single" w:color="auto"/>
          <w:color w:val="auto"/>
        </w:rPr>
        <w:t>Sections 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IV</w:t>
      </w:r>
      <w:r>
        <w:rPr>
          <w:rFonts w:ascii="Arial" w:cs="Arial" w:eastAsia="Arial" w:hAnsi="Arial"/>
          <w:sz w:val="19"/>
          <w:szCs w:val="19"/>
          <w:color w:val="auto"/>
        </w:rPr>
        <w:t xml:space="preserve"> to this Agreement.</w:t>
      </w:r>
    </w:p>
    <w:p>
      <w:pPr>
        <w:spacing w:after="0" w:line="149" w:lineRule="exact"/>
        <w:rPr>
          <w:rFonts w:ascii="Arial" w:cs="Arial" w:eastAsia="Arial" w:hAnsi="Arial"/>
          <w:sz w:val="19"/>
          <w:szCs w:val="19"/>
          <w:color w:val="auto"/>
        </w:rPr>
      </w:pPr>
    </w:p>
    <w:p>
      <w:pPr>
        <w:jc w:val="both"/>
        <w:ind w:left="5" w:firstLine="567"/>
        <w:spacing w:after="0" w:line="254" w:lineRule="auto"/>
        <w:tabs>
          <w:tab w:leader="none" w:pos="963" w:val="left"/>
        </w:tabs>
        <w:numPr>
          <w:ilvl w:val="1"/>
          <w:numId w:val="300"/>
        </w:numPr>
        <w:rPr>
          <w:rFonts w:ascii="Arial" w:cs="Arial" w:eastAsia="Arial" w:hAnsi="Arial"/>
          <w:sz w:val="19"/>
          <w:szCs w:val="19"/>
          <w:color w:val="auto"/>
        </w:rPr>
      </w:pPr>
      <w:r>
        <w:rPr>
          <w:rFonts w:ascii="Arial" w:cs="Arial" w:eastAsia="Arial" w:hAnsi="Arial"/>
          <w:sz w:val="19"/>
          <w:szCs w:val="19"/>
          <w:color w:val="auto"/>
        </w:rPr>
        <w:t xml:space="preserve">The names and addresses of all the Lock-Box Banks, together with the account numbers of the Lock-Box Accounts at such Lock-Box Banks, are specified in the Lock-Box Schedule Letter Agreement (or at such other Lock-Box Banks and/or with such other Lock-Box Accounts as have been notified to the Administrator in accordance with this Agreement) and all Lock-Box Accounts are subject to Lock-Box Agreements (except as otherwise agreed to in writing by the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Exception Account Conditions are then satisfied with respect to an Exception Account, such Exception Account need not be subject to a Lock-Box Agreement. Seller has not granted to any Person, other than the Administrator as contemplated by this Agreement, dominion and control of any Lock-Box Account, or the right to take dominion and control of any such account at a future time or upon the occurrence of a future event. The Seller is not in violation of any order of any court, arbitrator or Governmental Authority.</w:t>
      </w:r>
    </w:p>
    <w:p>
      <w:pPr>
        <w:spacing w:after="0" w:line="163" w:lineRule="exact"/>
        <w:rPr>
          <w:rFonts w:ascii="Arial" w:cs="Arial" w:eastAsia="Arial" w:hAnsi="Arial"/>
          <w:sz w:val="19"/>
          <w:szCs w:val="19"/>
          <w:color w:val="auto"/>
        </w:rPr>
      </w:pPr>
    </w:p>
    <w:p>
      <w:pPr>
        <w:ind w:left="945" w:hanging="373"/>
        <w:spacing w:after="0"/>
        <w:tabs>
          <w:tab w:leader="none" w:pos="945" w:val="left"/>
        </w:tabs>
        <w:numPr>
          <w:ilvl w:val="1"/>
          <w:numId w:val="300"/>
        </w:numPr>
        <w:rPr>
          <w:rFonts w:ascii="Arial" w:cs="Arial" w:eastAsia="Arial" w:hAnsi="Arial"/>
          <w:sz w:val="19"/>
          <w:szCs w:val="19"/>
          <w:color w:val="auto"/>
        </w:rPr>
      </w:pPr>
      <w:r>
        <w:rPr>
          <w:rFonts w:ascii="Arial" w:cs="Arial" w:eastAsia="Arial" w:hAnsi="Arial"/>
          <w:sz w:val="19"/>
          <w:szCs w:val="19"/>
          <w:color w:val="auto"/>
        </w:rPr>
        <w:t>Neither the Seller nor any of its Affiliates has any direct or indirect ownership or other financial interest in any Purchaser.</w:t>
      </w:r>
    </w:p>
    <w:p>
      <w:pPr>
        <w:spacing w:after="0" w:line="210" w:lineRule="exact"/>
        <w:rPr>
          <w:rFonts w:ascii="Arial" w:cs="Arial" w:eastAsia="Arial" w:hAnsi="Arial"/>
          <w:sz w:val="19"/>
          <w:szCs w:val="19"/>
          <w:color w:val="auto"/>
        </w:rPr>
      </w:pPr>
    </w:p>
    <w:p>
      <w:pPr>
        <w:ind w:left="5" w:right="20" w:firstLine="567"/>
        <w:spacing w:after="0" w:line="287" w:lineRule="auto"/>
        <w:tabs>
          <w:tab w:leader="none" w:pos="927" w:val="left"/>
        </w:tabs>
        <w:numPr>
          <w:ilvl w:val="1"/>
          <w:numId w:val="300"/>
        </w:numPr>
        <w:rPr>
          <w:rFonts w:ascii="Arial" w:cs="Arial" w:eastAsia="Arial" w:hAnsi="Arial"/>
          <w:sz w:val="19"/>
          <w:szCs w:val="19"/>
          <w:color w:val="auto"/>
        </w:rPr>
      </w:pPr>
      <w:r>
        <w:rPr>
          <w:rFonts w:ascii="Arial" w:cs="Arial" w:eastAsia="Arial" w:hAnsi="Arial"/>
          <w:sz w:val="19"/>
          <w:szCs w:val="19"/>
          <w:color w:val="auto"/>
        </w:rPr>
        <w:t>No proceeds of any Purchase or reinvestment will be used for any purpose that violates any Applicable Law, including Regulations T, U or X of the Federal Reserve Board.</w:t>
      </w:r>
    </w:p>
    <w:p>
      <w:pPr>
        <w:spacing w:after="0" w:line="132" w:lineRule="exact"/>
        <w:rPr>
          <w:rFonts w:ascii="Arial" w:cs="Arial" w:eastAsia="Arial" w:hAnsi="Arial"/>
          <w:sz w:val="19"/>
          <w:szCs w:val="19"/>
          <w:color w:val="auto"/>
        </w:rPr>
      </w:pPr>
    </w:p>
    <w:p>
      <w:pPr>
        <w:ind w:left="1145" w:hanging="573"/>
        <w:spacing w:after="0"/>
        <w:tabs>
          <w:tab w:leader="none" w:pos="114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Each Pool Receivable included as an Eligible Receivable in the calculation of the Net Receivables Pool Balance is an Eligible</w:t>
      </w:r>
    </w:p>
    <w:p>
      <w:pPr>
        <w:spacing w:after="0" w:line="3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9"/>
          <w:szCs w:val="19"/>
          <w:color w:val="auto"/>
        </w:rPr>
        <w:t>Receivable.</w:t>
      </w:r>
    </w:p>
    <w:p>
      <w:pPr>
        <w:spacing w:after="0" w:line="194" w:lineRule="exact"/>
        <w:rPr>
          <w:rFonts w:ascii="Arial" w:cs="Arial" w:eastAsia="Arial" w:hAnsi="Arial"/>
          <w:sz w:val="18"/>
          <w:szCs w:val="18"/>
          <w:color w:val="auto"/>
        </w:rPr>
      </w:pPr>
    </w:p>
    <w:p>
      <w:pPr>
        <w:jc w:val="both"/>
        <w:ind w:left="5" w:firstLine="567"/>
        <w:spacing w:after="0" w:line="268" w:lineRule="auto"/>
        <w:tabs>
          <w:tab w:leader="none" w:pos="993" w:val="left"/>
        </w:tabs>
        <w:numPr>
          <w:ilvl w:val="1"/>
          <w:numId w:val="300"/>
        </w:numPr>
        <w:rPr>
          <w:rFonts w:ascii="Arial" w:cs="Arial" w:eastAsia="Arial" w:hAnsi="Arial"/>
          <w:sz w:val="19"/>
          <w:szCs w:val="19"/>
          <w:color w:val="auto"/>
        </w:rPr>
      </w:pPr>
      <w:r>
        <w:rPr>
          <w:rFonts w:ascii="Arial" w:cs="Arial" w:eastAsia="Arial" w:hAnsi="Arial"/>
          <w:sz w:val="19"/>
          <w:szCs w:val="19"/>
          <w:color w:val="auto"/>
        </w:rPr>
        <w:t>No event has occurred and is continuing that constitutes a Termination Event or an Unmatured Termination Event and no event would result from a purchase in respect of, or reinvestment in respect of, the Purchased Interest or from the application of the proceeds therefrom that constitutes a Termination Event or an Unmatured Termination Event.</w:t>
      </w:r>
    </w:p>
    <w:p>
      <w:pPr>
        <w:spacing w:after="0" w:line="149" w:lineRule="exact"/>
        <w:rPr>
          <w:rFonts w:ascii="Arial" w:cs="Arial" w:eastAsia="Arial" w:hAnsi="Arial"/>
          <w:sz w:val="19"/>
          <w:szCs w:val="19"/>
          <w:color w:val="auto"/>
        </w:rPr>
      </w:pPr>
    </w:p>
    <w:p>
      <w:pPr>
        <w:ind w:left="5" w:firstLine="567"/>
        <w:spacing w:after="0" w:line="287" w:lineRule="auto"/>
        <w:tabs>
          <w:tab w:leader="none" w:pos="981" w:val="left"/>
        </w:tabs>
        <w:numPr>
          <w:ilvl w:val="1"/>
          <w:numId w:val="300"/>
        </w:numPr>
        <w:rPr>
          <w:rFonts w:ascii="Arial" w:cs="Arial" w:eastAsia="Arial" w:hAnsi="Arial"/>
          <w:sz w:val="19"/>
          <w:szCs w:val="19"/>
          <w:color w:val="auto"/>
        </w:rPr>
      </w:pPr>
      <w:r>
        <w:rPr>
          <w:rFonts w:ascii="Arial" w:cs="Arial" w:eastAsia="Arial" w:hAnsi="Arial"/>
          <w:sz w:val="19"/>
          <w:szCs w:val="19"/>
          <w:color w:val="auto"/>
        </w:rPr>
        <w:t>The Seller has accounted for each sale of undivided percentage ownership interests in Receivables in its books and financial statements as sales, consistent with generally accepted accounting principles.</w:t>
      </w:r>
    </w:p>
    <w:p>
      <w:pPr>
        <w:spacing w:after="0" w:line="132" w:lineRule="exact"/>
        <w:rPr>
          <w:rFonts w:ascii="Arial" w:cs="Arial" w:eastAsia="Arial" w:hAnsi="Arial"/>
          <w:sz w:val="19"/>
          <w:szCs w:val="19"/>
          <w:color w:val="auto"/>
        </w:rPr>
      </w:pPr>
    </w:p>
    <w:p>
      <w:pPr>
        <w:ind w:left="5" w:right="20" w:firstLine="567"/>
        <w:spacing w:after="0" w:line="287" w:lineRule="auto"/>
        <w:tabs>
          <w:tab w:leader="none" w:pos="969" w:val="left"/>
        </w:tabs>
        <w:numPr>
          <w:ilvl w:val="1"/>
          <w:numId w:val="300"/>
        </w:numPr>
        <w:rPr>
          <w:rFonts w:ascii="Arial" w:cs="Arial" w:eastAsia="Arial" w:hAnsi="Arial"/>
          <w:sz w:val="19"/>
          <w:szCs w:val="19"/>
          <w:color w:val="auto"/>
        </w:rPr>
      </w:pPr>
      <w:r>
        <w:rPr>
          <w:rFonts w:ascii="Arial" w:cs="Arial" w:eastAsia="Arial" w:hAnsi="Arial"/>
          <w:sz w:val="19"/>
          <w:szCs w:val="19"/>
          <w:color w:val="auto"/>
        </w:rPr>
        <w:t>The Seller has complied in all material respects with the Credit and Collection Policy of each Originator with regard to each Receivable originated by such Originator.</w:t>
      </w:r>
    </w:p>
    <w:p>
      <w:pPr>
        <w:spacing w:after="0" w:line="132" w:lineRule="exact"/>
        <w:rPr>
          <w:rFonts w:ascii="Arial" w:cs="Arial" w:eastAsia="Arial" w:hAnsi="Arial"/>
          <w:sz w:val="19"/>
          <w:szCs w:val="19"/>
          <w:color w:val="auto"/>
        </w:rPr>
      </w:pPr>
    </w:p>
    <w:p>
      <w:pPr>
        <w:ind w:left="5" w:right="20" w:firstLine="567"/>
        <w:spacing w:after="0" w:line="316" w:lineRule="auto"/>
        <w:tabs>
          <w:tab w:leader="none" w:pos="101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Seller has complied in all material respects with all of the terms, covenants and agreements contained in this Agreement and the other Transaction Documents that are applicable to it and all laws, rules, regulations and orders that are applicable to it.</w:t>
      </w:r>
    </w:p>
    <w:p>
      <w:pPr>
        <w:spacing w:after="0" w:line="110" w:lineRule="exact"/>
        <w:rPr>
          <w:rFonts w:ascii="Arial" w:cs="Arial" w:eastAsia="Arial" w:hAnsi="Arial"/>
          <w:sz w:val="18"/>
          <w:szCs w:val="18"/>
          <w:color w:val="auto"/>
        </w:rPr>
      </w:pPr>
    </w:p>
    <w:p>
      <w:pPr>
        <w:jc w:val="both"/>
        <w:ind w:left="5" w:firstLine="567"/>
        <w:spacing w:after="0" w:line="261" w:lineRule="auto"/>
        <w:tabs>
          <w:tab w:leader="none" w:pos="949" w:val="left"/>
        </w:tabs>
        <w:numPr>
          <w:ilvl w:val="1"/>
          <w:numId w:val="300"/>
        </w:numPr>
        <w:rPr>
          <w:rFonts w:ascii="Arial" w:cs="Arial" w:eastAsia="Arial" w:hAnsi="Arial"/>
          <w:sz w:val="19"/>
          <w:szCs w:val="19"/>
          <w:color w:val="auto"/>
        </w:rPr>
      </w:pPr>
      <w:r>
        <w:rPr>
          <w:rFonts w:ascii="Arial" w:cs="Arial" w:eastAsia="Arial" w:hAnsi="Arial"/>
          <w:sz w:val="19"/>
          <w:szCs w:val="19"/>
          <w:color w:val="auto"/>
        </w:rPr>
        <w:t xml:space="preserve">The Seller’s complete corporate name is set forth in the preamble to this Agreement, and it does not use and has not during the last five years used any other corporate name, trade name, doing-business name or fictitious name, except as set forth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to this Agreement and except for names first used after the date of this Agreement and set forth in a notice delivered to the Administrator pursuant to </w:t>
      </w:r>
      <w:r>
        <w:rPr>
          <w:rFonts w:ascii="Arial" w:cs="Arial" w:eastAsia="Arial" w:hAnsi="Arial"/>
          <w:sz w:val="19"/>
          <w:szCs w:val="19"/>
          <w:u w:val="single" w:color="auto"/>
          <w:color w:val="auto"/>
        </w:rPr>
        <w:t>Section 1(k)(iv)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IV</w:t>
      </w:r>
      <w:r>
        <w:rPr>
          <w:rFonts w:ascii="Arial" w:cs="Arial" w:eastAsia="Arial" w:hAnsi="Arial"/>
          <w:sz w:val="19"/>
          <w:szCs w:val="19"/>
          <w:color w:val="auto"/>
        </w:rPr>
        <w:t xml:space="preserve"> to this Agreement.</w:t>
      </w:r>
    </w:p>
    <w:p>
      <w:pPr>
        <w:spacing w:after="0" w:line="157" w:lineRule="exact"/>
        <w:rPr>
          <w:rFonts w:ascii="Arial" w:cs="Arial" w:eastAsia="Arial" w:hAnsi="Arial"/>
          <w:sz w:val="19"/>
          <w:szCs w:val="19"/>
          <w:color w:val="auto"/>
        </w:rPr>
      </w:pPr>
    </w:p>
    <w:p>
      <w:pPr>
        <w:jc w:val="both"/>
        <w:ind w:left="5" w:firstLine="567"/>
        <w:spacing w:after="0" w:line="286" w:lineRule="auto"/>
        <w:tabs>
          <w:tab w:leader="none" w:pos="107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Seller is not an “investment company,” or a company “controlled” by an “investment company” within the meaning of the Investment Company Act of 1940, as amended. The Seller is not a “covered fund” under Section 619 of the Dodd-Frank Wall Street Reform and Consumer Protection Act and the regulations implemented thereunder (the “</w:t>
      </w:r>
      <w:r>
        <w:rPr>
          <w:rFonts w:ascii="Arial" w:cs="Arial" w:eastAsia="Arial" w:hAnsi="Arial"/>
          <w:sz w:val="17"/>
          <w:szCs w:val="17"/>
          <w:u w:val="single" w:color="auto"/>
          <w:color w:val="auto"/>
        </w:rPr>
        <w:t>Volcker Rule</w:t>
      </w:r>
      <w:r>
        <w:rPr>
          <w:rFonts w:ascii="Arial" w:cs="Arial" w:eastAsia="Arial" w:hAnsi="Arial"/>
          <w:sz w:val="17"/>
          <w:szCs w:val="17"/>
          <w:color w:val="auto"/>
        </w:rPr>
        <w:t>”). In determining that the Seller is not a “covered fund” under the Volcker Rule, the Seller is entitled to rely on the exemption from the definition of “investment company” set forth in Section 3(c)(5)(A) or</w:t>
      </w:r>
    </w:p>
    <w:p>
      <w:pPr>
        <w:spacing w:after="0" w:line="1" w:lineRule="exact"/>
        <w:rPr>
          <w:rFonts w:ascii="Arial" w:cs="Arial" w:eastAsia="Arial" w:hAnsi="Arial"/>
          <w:sz w:val="17"/>
          <w:szCs w:val="17"/>
          <w:color w:val="auto"/>
        </w:rPr>
      </w:pPr>
    </w:p>
    <w:p>
      <w:pPr>
        <w:ind w:left="305" w:hanging="305"/>
        <w:spacing w:after="0"/>
        <w:tabs>
          <w:tab w:leader="none" w:pos="305" w:val="left"/>
        </w:tabs>
        <w:numPr>
          <w:ilvl w:val="0"/>
          <w:numId w:val="301"/>
        </w:numPr>
        <w:rPr>
          <w:rFonts w:ascii="Arial" w:cs="Arial" w:eastAsia="Arial" w:hAnsi="Arial"/>
          <w:sz w:val="19"/>
          <w:szCs w:val="19"/>
          <w:color w:val="auto"/>
        </w:rPr>
      </w:pPr>
      <w:r>
        <w:rPr>
          <w:rFonts w:ascii="Arial" w:cs="Arial" w:eastAsia="Arial" w:hAnsi="Arial"/>
          <w:sz w:val="19"/>
          <w:szCs w:val="19"/>
          <w:color w:val="auto"/>
        </w:rPr>
        <w:t>of the Investment Company Act of 1940, as amended.</w:t>
      </w:r>
    </w:p>
    <w:p>
      <w:pPr>
        <w:spacing w:after="0" w:line="183" w:lineRule="exact"/>
        <w:rPr>
          <w:rFonts w:ascii="Arial" w:cs="Arial" w:eastAsia="Arial" w:hAnsi="Arial"/>
          <w:sz w:val="19"/>
          <w:szCs w:val="19"/>
          <w:color w:val="auto"/>
        </w:rPr>
      </w:pPr>
    </w:p>
    <w:p>
      <w:pPr>
        <w:jc w:val="both"/>
        <w:ind w:left="5" w:right="20" w:firstLine="567"/>
        <w:spacing w:after="0" w:line="349" w:lineRule="auto"/>
        <w:tabs>
          <w:tab w:leader="none" w:pos="975"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None of the consignments, inventory financings, or other arrangements covered by the financing statement specified in </w:t>
      </w:r>
      <w:r>
        <w:rPr>
          <w:rFonts w:ascii="Arial" w:cs="Arial" w:eastAsia="Arial" w:hAnsi="Arial"/>
          <w:sz w:val="17"/>
          <w:szCs w:val="17"/>
          <w:u w:val="single" w:color="auto"/>
          <w:color w:val="auto"/>
        </w:rPr>
        <w:t>Schedule VIII</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Subject UCC</w:t>
      </w:r>
      <w:r>
        <w:rPr>
          <w:rFonts w:ascii="Arial" w:cs="Arial" w:eastAsia="Arial" w:hAnsi="Arial"/>
          <w:sz w:val="17"/>
          <w:szCs w:val="17"/>
          <w:color w:val="auto"/>
        </w:rPr>
        <w:t>”) relates or will relate to commingled goods or inventory the sale of which gives rise to any Receivable. The</w:t>
      </w:r>
    </w:p>
    <w:p>
      <w:pPr>
        <w:sectPr>
          <w:pgSz w:w="11900" w:h="16838" w:orient="portrait"/>
          <w:cols w:equalWidth="0" w:num="1">
            <w:col w:w="11445"/>
          </w:cols>
          <w:pgMar w:left="235" w:top="133" w:right="219" w:bottom="0" w:gutter="0" w:footer="0" w:header="0"/>
        </w:sectPr>
      </w:pPr>
    </w:p>
    <w:bookmarkStart w:id="205" w:name="page206"/>
    <w:bookmarkEnd w:id="205"/>
    <w:p>
      <w:pPr>
        <w:ind w:left="5" w:right="20"/>
        <w:spacing w:after="0" w:line="274" w:lineRule="auto"/>
        <w:rPr>
          <w:sz w:val="20"/>
          <w:szCs w:val="20"/>
          <w:color w:val="auto"/>
        </w:rPr>
      </w:pPr>
      <w:r>
        <w:rPr>
          <w:rFonts w:ascii="Arial" w:cs="Arial" w:eastAsia="Arial" w:hAnsi="Arial"/>
          <w:sz w:val="19"/>
          <w:szCs w:val="19"/>
          <w:color w:val="auto"/>
        </w:rPr>
        <w:t>secured party set forth on the Subject UCC does not have, nor will it have, any Adverse Claim on, or with respect to, any Pool Receivables or Related Assets.</w:t>
      </w:r>
    </w:p>
    <w:p>
      <w:pPr>
        <w:spacing w:after="0" w:line="144" w:lineRule="exact"/>
        <w:rPr>
          <w:sz w:val="20"/>
          <w:szCs w:val="20"/>
          <w:color w:val="auto"/>
        </w:rPr>
      </w:pPr>
    </w:p>
    <w:p>
      <w:pPr>
        <w:jc w:val="both"/>
        <w:ind w:left="5" w:right="20" w:firstLine="567"/>
        <w:spacing w:after="0" w:line="289" w:lineRule="auto"/>
        <w:tabs>
          <w:tab w:leader="none" w:pos="98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With respect to each Receivable transferred to the Seller under the Sale Agreement, Seller has given reasonably equivalent value to the Originator thereof in consideration therefor and such transfer was not made for or on account of an antecedent debt. No transfer by any Originator of any Receivable under the Sale Agreement is or may be voidable under any Section of the Bankruptcy Code.</w:t>
      </w:r>
    </w:p>
    <w:p>
      <w:pPr>
        <w:spacing w:after="0" w:line="133" w:lineRule="exact"/>
        <w:rPr>
          <w:rFonts w:ascii="Arial" w:cs="Arial" w:eastAsia="Arial" w:hAnsi="Arial"/>
          <w:sz w:val="18"/>
          <w:szCs w:val="18"/>
          <w:color w:val="auto"/>
        </w:rPr>
      </w:pPr>
    </w:p>
    <w:p>
      <w:pPr>
        <w:jc w:val="both"/>
        <w:ind w:left="5" w:firstLine="567"/>
        <w:spacing w:after="0" w:line="258" w:lineRule="auto"/>
        <w:tabs>
          <w:tab w:leader="none" w:pos="981" w:val="left"/>
        </w:tabs>
        <w:numPr>
          <w:ilvl w:val="1"/>
          <w:numId w:val="302"/>
        </w:numPr>
        <w:rPr>
          <w:rFonts w:ascii="Arial" w:cs="Arial" w:eastAsia="Arial" w:hAnsi="Arial"/>
          <w:sz w:val="19"/>
          <w:szCs w:val="19"/>
          <w:color w:val="auto"/>
        </w:rPr>
      </w:pPr>
      <w:r>
        <w:rPr>
          <w:rFonts w:ascii="Arial" w:cs="Arial" w:eastAsia="Arial" w:hAnsi="Arial"/>
          <w:sz w:val="19"/>
          <w:szCs w:val="19"/>
          <w:color w:val="auto"/>
        </w:rPr>
        <w:t>Each Contract with respect to each Receivable is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59" w:lineRule="exact"/>
        <w:rPr>
          <w:rFonts w:ascii="Arial" w:cs="Arial" w:eastAsia="Arial" w:hAnsi="Arial"/>
          <w:sz w:val="19"/>
          <w:szCs w:val="19"/>
          <w:color w:val="auto"/>
        </w:rPr>
      </w:pPr>
    </w:p>
    <w:p>
      <w:pPr>
        <w:jc w:val="both"/>
        <w:ind w:left="5" w:firstLine="567"/>
        <w:spacing w:after="0" w:line="313" w:lineRule="auto"/>
        <w:tabs>
          <w:tab w:leader="none" w:pos="100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Since its most recent fiscal year end, there has been no change in the business, operations, financial condition, properties or assets of the Seller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116" w:lineRule="exact"/>
        <w:rPr>
          <w:rFonts w:ascii="Arial" w:cs="Arial" w:eastAsia="Arial" w:hAnsi="Arial"/>
          <w:sz w:val="17"/>
          <w:szCs w:val="17"/>
          <w:color w:val="auto"/>
        </w:rPr>
      </w:pPr>
    </w:p>
    <w:p>
      <w:pPr>
        <w:jc w:val="both"/>
        <w:ind w:left="5" w:firstLine="567"/>
        <w:spacing w:after="0" w:line="261" w:lineRule="auto"/>
        <w:tabs>
          <w:tab w:leader="none" w:pos="957" w:val="left"/>
        </w:tabs>
        <w:numPr>
          <w:ilvl w:val="1"/>
          <w:numId w:val="302"/>
        </w:numPr>
        <w:rPr>
          <w:rFonts w:ascii="Arial" w:cs="Arial" w:eastAsia="Arial" w:hAnsi="Arial"/>
          <w:sz w:val="19"/>
          <w:szCs w:val="19"/>
          <w:color w:val="auto"/>
        </w:rPr>
      </w:pPr>
      <w:r>
        <w:rPr>
          <w:rFonts w:ascii="Arial" w:cs="Arial" w:eastAsia="Arial" w:hAnsi="Arial"/>
          <w:sz w:val="19"/>
          <w:szCs w:val="19"/>
          <w:color w:val="auto"/>
        </w:rPr>
        <w:t>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spacing w:after="0" w:line="157" w:lineRule="exact"/>
        <w:rPr>
          <w:rFonts w:ascii="Arial" w:cs="Arial" w:eastAsia="Arial" w:hAnsi="Arial"/>
          <w:sz w:val="19"/>
          <w:szCs w:val="19"/>
          <w:color w:val="auto"/>
        </w:rPr>
      </w:pPr>
    </w:p>
    <w:p>
      <w:pPr>
        <w:jc w:val="both"/>
        <w:ind w:left="5" w:firstLine="567"/>
        <w:spacing w:after="0" w:line="286" w:lineRule="auto"/>
        <w:tabs>
          <w:tab w:leader="none" w:pos="1017"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Seller has not, does not and will not during the term of this Agreement (x) issue any obligations that (A) constitute asset-backed commercial paper, or (B) are securities required to be registered under the Securities Act of 1933 (the "</w:t>
      </w:r>
      <w:r>
        <w:rPr>
          <w:rFonts w:ascii="Arial" w:cs="Arial" w:eastAsia="Arial" w:hAnsi="Arial"/>
          <w:sz w:val="17"/>
          <w:szCs w:val="17"/>
          <w:u w:val="single" w:color="auto"/>
          <w:color w:val="auto"/>
        </w:rPr>
        <w:t>33 Act</w:t>
      </w:r>
      <w:r>
        <w:rPr>
          <w:rFonts w:ascii="Arial" w:cs="Arial" w:eastAsia="Arial" w:hAnsi="Arial"/>
          <w:sz w:val="17"/>
          <w:szCs w:val="17"/>
          <w:color w:val="auto"/>
        </w:rPr>
        <w:t>") or that may be offered for sale under Rule 144A or a similar exemption from registration under the 33 Act or the rules promulgated thereunder, or (y) issue any other debt obligations or equity interests other than the Company Notes or debt obligations substantially similar to the obligations of the Seller under this Agreement that are</w:t>
      </w:r>
    </w:p>
    <w:p>
      <w:pPr>
        <w:spacing w:after="0" w:line="1" w:lineRule="exact"/>
        <w:rPr>
          <w:rFonts w:ascii="Arial" w:cs="Arial" w:eastAsia="Arial" w:hAnsi="Arial"/>
          <w:sz w:val="17"/>
          <w:szCs w:val="17"/>
          <w:color w:val="auto"/>
        </w:rPr>
      </w:pPr>
    </w:p>
    <w:p>
      <w:pPr>
        <w:jc w:val="both"/>
        <w:ind w:left="5" w:hanging="5"/>
        <w:spacing w:after="0" w:line="252" w:lineRule="auto"/>
        <w:tabs>
          <w:tab w:leader="none" w:pos="342"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issued to other banks or asset-backed commercial paper conduits in privately negotiated transactions, and (B) subject to transfer restrictions substantially similar to the transfer restrictions set forth in this Agreement. The Seller further represents and warrants that its assets and liabilities are consolidated with the assets and liabilities of WESCO for purposes of generally accepted accounting principles.</w:t>
      </w:r>
    </w:p>
    <w:p>
      <w:pPr>
        <w:spacing w:after="0" w:line="166" w:lineRule="exact"/>
        <w:rPr>
          <w:sz w:val="20"/>
          <w:szCs w:val="20"/>
          <w:color w:val="auto"/>
        </w:rPr>
      </w:pPr>
    </w:p>
    <w:p>
      <w:pPr>
        <w:ind w:left="5" w:firstLine="567"/>
        <w:spacing w:after="0" w:line="274" w:lineRule="auto"/>
        <w:tabs>
          <w:tab w:leader="none" w:pos="79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WESCO (including in its capacity as the Servicer)</w:t>
      </w:r>
      <w:r>
        <w:rPr>
          <w:rFonts w:ascii="Arial" w:cs="Arial" w:eastAsia="Arial" w:hAnsi="Arial"/>
          <w:sz w:val="19"/>
          <w:szCs w:val="19"/>
          <w:color w:val="auto"/>
        </w:rPr>
        <w:t>. WESCO, individually and in its capacity as the Servicer, represents and warrants as follows:</w:t>
      </w:r>
    </w:p>
    <w:p>
      <w:pPr>
        <w:spacing w:after="0" w:line="144" w:lineRule="exact"/>
        <w:rPr>
          <w:sz w:val="20"/>
          <w:szCs w:val="20"/>
          <w:color w:val="auto"/>
        </w:rPr>
      </w:pPr>
    </w:p>
    <w:p>
      <w:pPr>
        <w:jc w:val="both"/>
        <w:ind w:left="5" w:firstLine="567"/>
        <w:spacing w:after="0" w:line="268" w:lineRule="auto"/>
        <w:tabs>
          <w:tab w:leader="none" w:pos="982" w:val="left"/>
        </w:tabs>
        <w:numPr>
          <w:ilvl w:val="0"/>
          <w:numId w:val="305"/>
        </w:numPr>
        <w:rPr>
          <w:rFonts w:ascii="Arial" w:cs="Arial" w:eastAsia="Arial" w:hAnsi="Arial"/>
          <w:sz w:val="19"/>
          <w:szCs w:val="19"/>
          <w:color w:val="auto"/>
        </w:rPr>
      </w:pPr>
      <w:r>
        <w:rPr>
          <w:rFonts w:ascii="Arial" w:cs="Arial" w:eastAsia="Arial" w:hAnsi="Arial"/>
          <w:sz w:val="19"/>
          <w:szCs w:val="19"/>
          <w:color w:val="auto"/>
        </w:rPr>
        <w:t>WESCO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w:t>
      </w:r>
    </w:p>
    <w:p>
      <w:pPr>
        <w:spacing w:after="0" w:line="149" w:lineRule="exact"/>
        <w:rPr>
          <w:rFonts w:ascii="Arial" w:cs="Arial" w:eastAsia="Arial" w:hAnsi="Arial"/>
          <w:sz w:val="19"/>
          <w:szCs w:val="19"/>
          <w:color w:val="auto"/>
        </w:rPr>
      </w:pPr>
    </w:p>
    <w:p>
      <w:pPr>
        <w:jc w:val="both"/>
        <w:ind w:left="5" w:firstLine="567"/>
        <w:spacing w:after="0" w:line="271" w:lineRule="auto"/>
        <w:tabs>
          <w:tab w:leader="none" w:pos="101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execution, delivery and performance by WESCO of this Agreement and the other Transaction Documents to which it is a party, including the Servicer’s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WESCO is a party have been duly executed and delivered by WESCO.</w:t>
      </w:r>
    </w:p>
    <w:p>
      <w:pPr>
        <w:spacing w:after="0" w:line="151" w:lineRule="exact"/>
        <w:rPr>
          <w:rFonts w:ascii="Arial" w:cs="Arial" w:eastAsia="Arial" w:hAnsi="Arial"/>
          <w:sz w:val="18"/>
          <w:szCs w:val="18"/>
          <w:color w:val="auto"/>
        </w:rPr>
      </w:pPr>
    </w:p>
    <w:p>
      <w:pPr>
        <w:ind w:left="5" w:right="20" w:firstLine="567"/>
        <w:spacing w:after="0" w:line="316" w:lineRule="auto"/>
        <w:tabs>
          <w:tab w:leader="none" w:pos="9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Governmental Authority or other Person, is required for the due execution, delivery and performance by WESCO of this Agreement or any other Transaction Document to which it is a party.</w:t>
      </w:r>
    </w:p>
    <w:p>
      <w:pPr>
        <w:spacing w:after="0" w:line="110" w:lineRule="exact"/>
        <w:rPr>
          <w:rFonts w:ascii="Arial" w:cs="Arial" w:eastAsia="Arial" w:hAnsi="Arial"/>
          <w:sz w:val="18"/>
          <w:szCs w:val="18"/>
          <w:color w:val="auto"/>
        </w:rPr>
      </w:pPr>
    </w:p>
    <w:p>
      <w:pPr>
        <w:jc w:val="both"/>
        <w:ind w:left="5" w:right="20" w:firstLine="567"/>
        <w:spacing w:after="0" w:line="261" w:lineRule="auto"/>
        <w:tabs>
          <w:tab w:leader="none" w:pos="1053"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Each of this Agreement and the other Transaction Documents to which WESCO is a party constitutes the legal, valid and binding obligation of WESCO enforceable against WESCO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57" w:lineRule="exact"/>
        <w:rPr>
          <w:rFonts w:ascii="Arial" w:cs="Arial" w:eastAsia="Arial" w:hAnsi="Arial"/>
          <w:sz w:val="19"/>
          <w:szCs w:val="19"/>
          <w:color w:val="auto"/>
        </w:rPr>
      </w:pPr>
    </w:p>
    <w:p>
      <w:pPr>
        <w:jc w:val="both"/>
        <w:ind w:left="5" w:right="20" w:firstLine="567"/>
        <w:spacing w:after="0" w:line="276" w:lineRule="auto"/>
        <w:tabs>
          <w:tab w:leader="none" w:pos="100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balance sheets of Holdings and its consolidated Subsidiaries as at December 31, 2014, and the related statements of income and retained earnings for the fiscal year then ended, copies of which have been furnished to the Administrator and each Purchaser Agent, fairly present the financial condition of Holdings and its consolidated Subsidiaries as at such date and the results of the operations of Holdings and its Subsidiaries for the period ended on such date, all in accordance with generally accepted accounting principles consistently applied, and since December 31, 2014 there has been no event or circumstances which have had a Material Adverse Effect.</w:t>
      </w:r>
    </w:p>
    <w:p>
      <w:pPr>
        <w:spacing w:after="0" w:line="144" w:lineRule="exact"/>
        <w:rPr>
          <w:rFonts w:ascii="Arial" w:cs="Arial" w:eastAsia="Arial" w:hAnsi="Arial"/>
          <w:sz w:val="18"/>
          <w:szCs w:val="18"/>
          <w:color w:val="auto"/>
        </w:rPr>
      </w:pPr>
    </w:p>
    <w:p>
      <w:pPr>
        <w:jc w:val="both"/>
        <w:ind w:left="5" w:right="20" w:firstLine="567"/>
        <w:spacing w:after="0" w:line="268" w:lineRule="auto"/>
        <w:tabs>
          <w:tab w:leader="none" w:pos="1045"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Except as disclosed in the most recent audited financial statements of Holdings and its consolidated Subsidiaries furnished to the Administrator and each Purchaser Agent, there is no pending or, to its best knowledge, threatened action or proceeding affecting it or any of its Subsidiaries before any Governmental Authority or arbitrator that could have a Material Adverse Effect.</w:t>
      </w:r>
    </w:p>
    <w:p>
      <w:pPr>
        <w:spacing w:after="0" w:line="149" w:lineRule="exact"/>
        <w:rPr>
          <w:rFonts w:ascii="Arial" w:cs="Arial" w:eastAsia="Arial" w:hAnsi="Arial"/>
          <w:sz w:val="19"/>
          <w:szCs w:val="19"/>
          <w:color w:val="auto"/>
        </w:rPr>
      </w:pPr>
    </w:p>
    <w:p>
      <w:pPr>
        <w:ind w:left="5" w:firstLine="567"/>
        <w:spacing w:after="0" w:line="287" w:lineRule="auto"/>
        <w:tabs>
          <w:tab w:leader="none" w:pos="1077" w:val="left"/>
        </w:tabs>
        <w:numPr>
          <w:ilvl w:val="0"/>
          <w:numId w:val="305"/>
        </w:numPr>
        <w:rPr>
          <w:rFonts w:ascii="Arial" w:cs="Arial" w:eastAsia="Arial" w:hAnsi="Arial"/>
          <w:sz w:val="19"/>
          <w:szCs w:val="19"/>
          <w:color w:val="auto"/>
        </w:rPr>
      </w:pPr>
      <w:r>
        <w:rPr>
          <w:rFonts w:ascii="Arial" w:cs="Arial" w:eastAsia="Arial" w:hAnsi="Arial"/>
          <w:sz w:val="19"/>
          <w:szCs w:val="19"/>
          <w:color w:val="auto"/>
        </w:rPr>
        <w:t>No proceeds of any Purchase or reinvestment will be used to acquire any equity security of a class that is registered pursuant to Section 12 of the Securities Exchange Act of 1934.</w:t>
      </w:r>
    </w:p>
    <w:p>
      <w:pPr>
        <w:spacing w:after="0" w:line="132" w:lineRule="exact"/>
        <w:rPr>
          <w:rFonts w:ascii="Arial" w:cs="Arial" w:eastAsia="Arial" w:hAnsi="Arial"/>
          <w:sz w:val="19"/>
          <w:szCs w:val="19"/>
          <w:color w:val="auto"/>
        </w:rPr>
      </w:pPr>
    </w:p>
    <w:p>
      <w:pPr>
        <w:jc w:val="both"/>
        <w:ind w:left="5" w:right="20" w:firstLine="567"/>
        <w:spacing w:after="0" w:line="276" w:lineRule="auto"/>
        <w:tabs>
          <w:tab w:leader="none" w:pos="96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Information Package (if prepared by WESCO or one of its Affiliates, or to the extent that information contained therein is supplied by WESCO or an Affiliate), information, exhibit, financial statement, document, book, record or report furnished or to be furnished at any time by or on behalf of the Servicer to the Administrator, any Purchaser or any Purchaser Agent in connection with this Agreement is or will be complete and accurate in all material respects as of its date or as of the date so furnished and does not and will not contain any material misstatement of fact or omit to state a material fact or any fact necessary to make the statements contained therein not misleading.</w:t>
      </w:r>
    </w:p>
    <w:p>
      <w:pPr>
        <w:spacing w:after="0" w:line="144" w:lineRule="exact"/>
        <w:rPr>
          <w:rFonts w:ascii="Arial" w:cs="Arial" w:eastAsia="Arial" w:hAnsi="Arial"/>
          <w:sz w:val="18"/>
          <w:szCs w:val="18"/>
          <w:color w:val="auto"/>
        </w:rPr>
      </w:pPr>
    </w:p>
    <w:p>
      <w:pPr>
        <w:ind w:left="5" w:right="20" w:firstLine="567"/>
        <w:spacing w:after="0" w:line="287" w:lineRule="auto"/>
        <w:tabs>
          <w:tab w:leader="none" w:pos="951" w:val="left"/>
        </w:tabs>
        <w:numPr>
          <w:ilvl w:val="0"/>
          <w:numId w:val="305"/>
        </w:numPr>
        <w:rPr>
          <w:rFonts w:ascii="Arial" w:cs="Arial" w:eastAsia="Arial" w:hAnsi="Arial"/>
          <w:sz w:val="19"/>
          <w:szCs w:val="19"/>
          <w:color w:val="auto"/>
        </w:rPr>
      </w:pPr>
      <w:r>
        <w:rPr>
          <w:rFonts w:ascii="Arial" w:cs="Arial" w:eastAsia="Arial" w:hAnsi="Arial"/>
          <w:sz w:val="19"/>
          <w:szCs w:val="19"/>
          <w:color w:val="auto"/>
        </w:rPr>
        <w:t xml:space="preserve">The office where WESCO keeps its records concerning the Receivables are located at the address referred to in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to this Agreement.</w:t>
      </w:r>
    </w:p>
    <w:p>
      <w:pPr>
        <w:sectPr>
          <w:pgSz w:w="11900" w:h="16838" w:orient="portrait"/>
          <w:cols w:equalWidth="0" w:num="1">
            <w:col w:w="11445"/>
          </w:cols>
          <w:pgMar w:left="235" w:top="132" w:right="219" w:bottom="0" w:gutter="0" w:footer="0" w:header="0"/>
        </w:sectPr>
      </w:pPr>
    </w:p>
    <w:bookmarkStart w:id="206" w:name="page207"/>
    <w:bookmarkEnd w:id="206"/>
    <w:p>
      <w:pPr>
        <w:spacing w:after="0" w:line="53" w:lineRule="exact"/>
        <w:rPr>
          <w:sz w:val="20"/>
          <w:szCs w:val="20"/>
          <w:color w:val="auto"/>
        </w:rPr>
      </w:pPr>
    </w:p>
    <w:p>
      <w:pPr>
        <w:ind w:left="900" w:hanging="333"/>
        <w:spacing w:after="0"/>
        <w:tabs>
          <w:tab w:leader="none" w:pos="9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WESCO is not in violation of any order of any court, arbitrator or Governmental Authority, which could have a Material Adverse Effect.</w:t>
      </w:r>
    </w:p>
    <w:p>
      <w:pPr>
        <w:spacing w:after="0" w:line="233" w:lineRule="exact"/>
        <w:rPr>
          <w:rFonts w:ascii="Arial" w:cs="Arial" w:eastAsia="Arial" w:hAnsi="Arial"/>
          <w:sz w:val="17"/>
          <w:szCs w:val="17"/>
          <w:color w:val="auto"/>
        </w:rPr>
      </w:pPr>
    </w:p>
    <w:p>
      <w:pPr>
        <w:ind w:left="940" w:hanging="373"/>
        <w:spacing w:after="0"/>
        <w:tabs>
          <w:tab w:leader="none" w:pos="9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Neither WESCO nor any of its Affiliates has any direct or indirect ownership or other financial interest in any Purchaser.</w:t>
      </w:r>
    </w:p>
    <w:p>
      <w:pPr>
        <w:spacing w:after="0" w:line="210" w:lineRule="exact"/>
        <w:rPr>
          <w:rFonts w:ascii="Arial" w:cs="Arial" w:eastAsia="Arial" w:hAnsi="Arial"/>
          <w:sz w:val="19"/>
          <w:szCs w:val="19"/>
          <w:color w:val="auto"/>
        </w:rPr>
      </w:pPr>
    </w:p>
    <w:p>
      <w:pPr>
        <w:ind w:firstLine="567"/>
        <w:spacing w:after="0" w:line="287" w:lineRule="auto"/>
        <w:tabs>
          <w:tab w:leader="none" w:pos="105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Servicer has complied in all material respects with the Credit and Collection Policy of each Originator with regard to each Receivable originated by such Originator.</w:t>
      </w:r>
    </w:p>
    <w:p>
      <w:pPr>
        <w:spacing w:after="0" w:line="132" w:lineRule="exact"/>
        <w:rPr>
          <w:rFonts w:ascii="Arial" w:cs="Arial" w:eastAsia="Arial" w:hAnsi="Arial"/>
          <w:sz w:val="19"/>
          <w:szCs w:val="19"/>
          <w:color w:val="auto"/>
        </w:rPr>
      </w:pPr>
    </w:p>
    <w:p>
      <w:pPr>
        <w:ind w:firstLine="567"/>
        <w:spacing w:after="0" w:line="287" w:lineRule="auto"/>
        <w:tabs>
          <w:tab w:leader="none" w:pos="1006"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WESCO has complied in all material respects with all of the terms, covenants and agreements contained in this Agreement and the other Transaction Documents that are applicable to it.</w:t>
      </w:r>
    </w:p>
    <w:p>
      <w:pPr>
        <w:spacing w:after="0" w:line="132" w:lineRule="exact"/>
        <w:rPr>
          <w:rFonts w:ascii="Arial" w:cs="Arial" w:eastAsia="Arial" w:hAnsi="Arial"/>
          <w:sz w:val="19"/>
          <w:szCs w:val="19"/>
          <w:color w:val="auto"/>
        </w:rPr>
      </w:pPr>
    </w:p>
    <w:p>
      <w:pPr>
        <w:ind w:right="20" w:firstLine="567"/>
        <w:spacing w:after="0" w:line="287" w:lineRule="auto"/>
        <w:tabs>
          <w:tab w:leader="none" w:pos="965"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WESCO is not an “investment company” or a company “controlled” by an “investment company” within the meaning of the Investment Company Act of 1940, as amended.</w:t>
      </w:r>
    </w:p>
    <w:p>
      <w:pPr>
        <w:spacing w:after="0" w:line="132" w:lineRule="exact"/>
        <w:rPr>
          <w:rFonts w:ascii="Arial" w:cs="Arial" w:eastAsia="Arial" w:hAnsi="Arial"/>
          <w:sz w:val="19"/>
          <w:szCs w:val="19"/>
          <w:color w:val="auto"/>
        </w:rPr>
      </w:pPr>
    </w:p>
    <w:p>
      <w:pPr>
        <w:jc w:val="both"/>
        <w:ind w:right="20" w:firstLine="567"/>
        <w:spacing w:after="0" w:line="289" w:lineRule="auto"/>
        <w:tabs>
          <w:tab w:leader="none" w:pos="96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None of the consignments, inventory financings, or other arrangements covered by the financing statement specified in the Subject UCC relates or will relate to commingled goods or inventory the sale of which gives rise to any Receivable. The secured party set forth on the Subject UCC does not have, nor will it have, any Adverse Claim on, or with respect to, any Pool Receivables or Related Assets.</w:t>
      </w:r>
    </w:p>
    <w:p>
      <w:pPr>
        <w:spacing w:after="0" w:line="133" w:lineRule="exact"/>
        <w:rPr>
          <w:rFonts w:ascii="Arial" w:cs="Arial" w:eastAsia="Arial" w:hAnsi="Arial"/>
          <w:sz w:val="18"/>
          <w:szCs w:val="18"/>
          <w:color w:val="auto"/>
        </w:rPr>
      </w:pPr>
    </w:p>
    <w:p>
      <w:pPr>
        <w:jc w:val="both"/>
        <w:ind w:right="20" w:firstLine="567"/>
        <w:spacing w:after="0" w:line="261" w:lineRule="auto"/>
        <w:tabs>
          <w:tab w:leader="none" w:pos="965" w:val="left"/>
        </w:tabs>
        <w:numPr>
          <w:ilvl w:val="0"/>
          <w:numId w:val="306"/>
        </w:numPr>
        <w:rPr>
          <w:rFonts w:ascii="Arial" w:cs="Arial" w:eastAsia="Arial" w:hAnsi="Arial"/>
          <w:sz w:val="19"/>
          <w:szCs w:val="19"/>
          <w:color w:val="auto"/>
        </w:rPr>
      </w:pPr>
      <w:r>
        <w:rPr>
          <w:rFonts w:ascii="Arial" w:cs="Arial" w:eastAsia="Arial" w:hAnsi="Arial"/>
          <w:sz w:val="19"/>
          <w:szCs w:val="19"/>
          <w:color w:val="auto"/>
        </w:rPr>
        <w:t>Since its most recent fiscal year end, there has been no change in the business, operations, financial condition, properties or assets of the Servicer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w:t>
      </w:r>
    </w:p>
    <w:p>
      <w:pPr>
        <w:spacing w:after="0" w:line="157" w:lineRule="exact"/>
        <w:rPr>
          <w:rFonts w:ascii="Arial" w:cs="Arial" w:eastAsia="Arial" w:hAnsi="Arial"/>
          <w:sz w:val="19"/>
          <w:szCs w:val="19"/>
          <w:color w:val="auto"/>
        </w:rPr>
      </w:pPr>
    </w:p>
    <w:p>
      <w:pPr>
        <w:ind w:right="20" w:firstLine="567"/>
        <w:spacing w:after="0" w:line="287" w:lineRule="auto"/>
        <w:tabs>
          <w:tab w:leader="none" w:pos="104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No license or approval is required for the Administrator or any successor Servicer to use any program used by the Servicer in the servicing of the Receivables.</w:t>
      </w:r>
    </w:p>
    <w:p>
      <w:pPr>
        <w:spacing w:after="0" w:line="132" w:lineRule="exact"/>
        <w:rPr>
          <w:rFonts w:ascii="Arial" w:cs="Arial" w:eastAsia="Arial" w:hAnsi="Arial"/>
          <w:sz w:val="19"/>
          <w:szCs w:val="19"/>
          <w:color w:val="auto"/>
        </w:rPr>
      </w:pPr>
    </w:p>
    <w:p>
      <w:pPr>
        <w:jc w:val="both"/>
        <w:ind w:right="20" w:firstLine="567"/>
        <w:spacing w:after="0" w:line="261" w:lineRule="auto"/>
        <w:tabs>
          <w:tab w:leader="none" w:pos="92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spacing w:after="0" w:line="158" w:lineRule="exact"/>
        <w:rPr>
          <w:sz w:val="20"/>
          <w:szCs w:val="20"/>
          <w:color w:val="auto"/>
        </w:rPr>
      </w:pPr>
    </w:p>
    <w:p>
      <w:pPr>
        <w:jc w:val="both"/>
        <w:ind w:right="20" w:firstLine="567"/>
        <w:spacing w:after="0" w:line="257" w:lineRule="auto"/>
        <w:tabs>
          <w:tab w:leader="none" w:pos="762"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xml:space="preserve"> Each of the Seller and the Purchasers represents and warrants, as to itself, that each remittance of Collections by or on behalf of the Seller to the Purchasers under this Agreement will have been (i) in payment of a debt incurred by the Seller in the ordinary course of business or financial affairs of the Seller and the Purchasers and (ii) made in the ordinary course of business or financial affairs of the Seller and the Purchasers.</w:t>
      </w:r>
    </w:p>
    <w:p>
      <w:pPr>
        <w:spacing w:after="0" w:line="154"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IV</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COVENANTS</w:t>
      </w:r>
    </w:p>
    <w:p>
      <w:pPr>
        <w:spacing w:after="0" w:line="3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Covenants of the Seller</w:t>
      </w:r>
      <w:r>
        <w:rPr>
          <w:rFonts w:ascii="Arial" w:cs="Arial" w:eastAsia="Arial" w:hAnsi="Arial"/>
          <w:sz w:val="19"/>
          <w:szCs w:val="19"/>
          <w:color w:val="auto"/>
        </w:rPr>
        <w:t>. Until the Final Payout Date:</w:t>
      </w:r>
    </w:p>
    <w:p>
      <w:pPr>
        <w:spacing w:after="0" w:line="199" w:lineRule="exact"/>
        <w:rPr>
          <w:sz w:val="20"/>
          <w:szCs w:val="20"/>
          <w:color w:val="auto"/>
        </w:rPr>
      </w:pPr>
    </w:p>
    <w:p>
      <w:pPr>
        <w:jc w:val="both"/>
        <w:ind w:right="20" w:firstLine="567"/>
        <w:spacing w:after="0" w:line="289" w:lineRule="auto"/>
        <w:tabs>
          <w:tab w:leader="none" w:pos="94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The Seller shall comply with all Applicable Laws, and preserve and maintain its corporate existence, rights, franchises, qualifications and privileges, except to the extent that the failure so to comply with such laws, rules and regulations or the failure so to preserve and maintain such rights, franchises, qualifications and privileges would not have a Material Adverse Effect.</w:t>
      </w:r>
    </w:p>
    <w:p>
      <w:pPr>
        <w:spacing w:after="0" w:line="133" w:lineRule="exact"/>
        <w:rPr>
          <w:rFonts w:ascii="Arial" w:cs="Arial" w:eastAsia="Arial" w:hAnsi="Arial"/>
          <w:sz w:val="18"/>
          <w:szCs w:val="18"/>
          <w:color w:val="auto"/>
        </w:rPr>
      </w:pPr>
    </w:p>
    <w:p>
      <w:pPr>
        <w:jc w:val="both"/>
        <w:ind w:firstLine="567"/>
        <w:spacing w:after="0" w:line="282" w:lineRule="auto"/>
        <w:tabs>
          <w:tab w:leader="none" w:pos="1072"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Offices, Records and Books of Account, Etc.</w:t>
      </w:r>
      <w:r>
        <w:rPr>
          <w:rFonts w:ascii="Arial" w:cs="Arial" w:eastAsia="Arial" w:hAnsi="Arial"/>
          <w:sz w:val="17"/>
          <w:szCs w:val="17"/>
          <w:color w:val="auto"/>
        </w:rPr>
        <w:t xml:space="preserve"> The Seller: (i) shall keep its principal place of business, chief executive office and “location” (as such term is used in the UCC) and the office where it keeps its records concerning the Receivables at the addresses and locations of the Seller set forth under its name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to this Agreement or, pursuant to </w:t>
      </w:r>
      <w:r>
        <w:rPr>
          <w:rFonts w:ascii="Arial" w:cs="Arial" w:eastAsia="Arial" w:hAnsi="Arial"/>
          <w:sz w:val="17"/>
          <w:szCs w:val="17"/>
          <w:u w:val="single" w:color="auto"/>
          <w:color w:val="auto"/>
        </w:rPr>
        <w:t>clause (k)(iv)</w:t>
      </w:r>
      <w:r>
        <w:rPr>
          <w:rFonts w:ascii="Arial" w:cs="Arial" w:eastAsia="Arial" w:hAnsi="Arial"/>
          <w:sz w:val="17"/>
          <w:szCs w:val="17"/>
          <w:color w:val="auto"/>
        </w:rPr>
        <w:t xml:space="preserve"> below, at any other locations in jurisdictions where all actions reasonably requested by the Administrator to protect and perfect the interest of the Administrator (for the benefit of the Purchasers) in the Receivables and related items (including the Pool Assets) have been taken and completed and (ii) shall provide the Administrator with at least 30 days’ written notice before making any change in the Seller’s name or making any other change in the Seller’s identity or corporate structure (including a Change in Control) that could render any UCC financing statement filed in connection with this Agreement “seriously misleading” as such term (or similar term) is used in the UCC; each notice to the Administrator pursuant to this sentence shall set forth the applicable change and the effective date thereof. The Seller also will maintain and implement (or cause the Servicer to maintain and implement) administrative and operating procedures (including an ability to recreate records evidencing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 The Seller will (and will cause each Originator to) on or prior to the date of this Agreement, mark its master data processing records and other books and records relating to the Purchased Interest (and at all times thereafter (until the latest of the Facility Termination Date or the date all other amounts owed by the Seller under this Agreement shall be paid in full) continue to maintain such records) with a legend, acceptable to the Administrator, describing the Purchased Interest.</w:t>
      </w:r>
    </w:p>
    <w:p>
      <w:pPr>
        <w:spacing w:after="0" w:line="149" w:lineRule="exact"/>
        <w:rPr>
          <w:rFonts w:ascii="Arial" w:cs="Arial" w:eastAsia="Arial" w:hAnsi="Arial"/>
          <w:sz w:val="17"/>
          <w:szCs w:val="17"/>
          <w:color w:val="auto"/>
        </w:rPr>
      </w:pPr>
    </w:p>
    <w:p>
      <w:pPr>
        <w:jc w:val="both"/>
        <w:ind w:right="20" w:firstLine="567"/>
        <w:spacing w:after="0" w:line="261" w:lineRule="auto"/>
        <w:tabs>
          <w:tab w:leader="none" w:pos="978"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Performance and Compliance with Contracts and Credit and Collection Policy</w:t>
      </w:r>
      <w:r>
        <w:rPr>
          <w:rFonts w:ascii="Arial" w:cs="Arial" w:eastAsia="Arial" w:hAnsi="Arial"/>
          <w:sz w:val="19"/>
          <w:szCs w:val="19"/>
          <w:color w:val="auto"/>
        </w:rPr>
        <w:t>. The Seller shall (and shall cause the Servicer to), at its expense, timely and fully perform and comply with all material provisions, covenants and other promises required to be observed by it under the Contracts related to the Receivables, and timely and fully comply in all material respects with the applicable Credit and Collection Policies with regard to each Receivable and the related Contract.</w:t>
      </w:r>
    </w:p>
    <w:p>
      <w:pPr>
        <w:spacing w:after="0" w:line="157" w:lineRule="exact"/>
        <w:rPr>
          <w:rFonts w:ascii="Arial" w:cs="Arial" w:eastAsia="Arial" w:hAnsi="Arial"/>
          <w:sz w:val="19"/>
          <w:szCs w:val="19"/>
          <w:color w:val="auto"/>
        </w:rPr>
      </w:pPr>
    </w:p>
    <w:p>
      <w:pPr>
        <w:jc w:val="both"/>
        <w:ind w:firstLine="567"/>
        <w:spacing w:after="0" w:line="295" w:lineRule="auto"/>
        <w:tabs>
          <w:tab w:leader="none" w:pos="106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Ownership Interest, Etc</w:t>
      </w:r>
      <w:r>
        <w:rPr>
          <w:rFonts w:ascii="Arial" w:cs="Arial" w:eastAsia="Arial" w:hAnsi="Arial"/>
          <w:sz w:val="17"/>
          <w:szCs w:val="17"/>
          <w:color w:val="auto"/>
        </w:rPr>
        <w:t>. The Seller shall (and shall cause the Servicer to),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(for the benefit of the Purchasers), including taking such action to perfect, protect or more fully evidence the interest of the Administrator (for the benefit of the Purchasers) as the Administrator, may reasonably request.</w:t>
      </w:r>
    </w:p>
    <w:p>
      <w:pPr>
        <w:sectPr>
          <w:pgSz w:w="11900" w:h="16891" w:orient="portrait"/>
          <w:cols w:equalWidth="0" w:num="1">
            <w:col w:w="11440"/>
          </w:cols>
          <w:pgMar w:left="240" w:top="132" w:right="219" w:bottom="0" w:gutter="0" w:footer="0" w:header="0"/>
        </w:sectPr>
      </w:pPr>
    </w:p>
    <w:bookmarkStart w:id="207" w:name="page208"/>
    <w:bookmarkEnd w:id="207"/>
    <w:p>
      <w:pPr>
        <w:spacing w:after="0" w:line="1" w:lineRule="exact"/>
        <w:rPr>
          <w:sz w:val="20"/>
          <w:szCs w:val="20"/>
          <w:color w:val="auto"/>
        </w:rPr>
      </w:pPr>
    </w:p>
    <w:p>
      <w:pPr>
        <w:jc w:val="both"/>
        <w:ind w:left="-560" w:right="20" w:firstLine="567"/>
        <w:spacing w:after="0" w:line="261" w:lineRule="auto"/>
        <w:tabs>
          <w:tab w:leader="none" w:pos="406"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Sales, Liens, Etc</w:t>
      </w:r>
      <w:r>
        <w:rPr>
          <w:rFonts w:ascii="Arial" w:cs="Arial" w:eastAsia="Arial" w:hAnsi="Arial"/>
          <w:sz w:val="19"/>
          <w:szCs w:val="19"/>
          <w:color w:val="auto"/>
        </w:rPr>
        <w:t>. The Seller shall not sell, assign (by operation of law or otherwise) or otherwise dispose of, or create or suffer to exist any Adverse Claim upon or with respect to, any or all of its right, title or interest in, to or under any Pool Assets (including the Seller’s undivided interest in any Receivable, Related Security or Collections, or upon or with respect to any account to which any Collections of any Receivables are sent), or assign any right to receive income in respect thereof.</w:t>
      </w:r>
    </w:p>
    <w:p>
      <w:pPr>
        <w:spacing w:after="0" w:line="157" w:lineRule="exact"/>
        <w:rPr>
          <w:rFonts w:ascii="Arial" w:cs="Arial" w:eastAsia="Arial" w:hAnsi="Arial"/>
          <w:sz w:val="19"/>
          <w:szCs w:val="19"/>
          <w:color w:val="auto"/>
        </w:rPr>
      </w:pPr>
    </w:p>
    <w:p>
      <w:pPr>
        <w:jc w:val="both"/>
        <w:ind w:left="-560" w:firstLine="567"/>
        <w:spacing w:after="0" w:line="268" w:lineRule="auto"/>
        <w:tabs>
          <w:tab w:leader="none" w:pos="361"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Extension or Amendment of Receivables</w:t>
      </w:r>
      <w:r>
        <w:rPr>
          <w:rFonts w:ascii="Arial" w:cs="Arial" w:eastAsia="Arial" w:hAnsi="Arial"/>
          <w:sz w:val="19"/>
          <w:szCs w:val="19"/>
          <w:color w:val="auto"/>
        </w:rPr>
        <w:t>. Except as provided in this Agreement, the Seller shall not, and shall not permit the Servicer to, extend the maturity or adjust the Outstanding Balance or otherwise modify the terms of any Pool Receivable, or amend, modify or waive any term or condition of any related Contract.</w:t>
      </w:r>
    </w:p>
    <w:p>
      <w:pPr>
        <w:spacing w:after="0" w:line="149" w:lineRule="exact"/>
        <w:rPr>
          <w:rFonts w:ascii="Arial" w:cs="Arial" w:eastAsia="Arial" w:hAnsi="Arial"/>
          <w:sz w:val="19"/>
          <w:szCs w:val="19"/>
          <w:color w:val="auto"/>
        </w:rPr>
      </w:pPr>
    </w:p>
    <w:p>
      <w:pPr>
        <w:jc w:val="both"/>
        <w:ind w:left="-560" w:right="20" w:firstLine="567"/>
        <w:spacing w:after="0" w:line="261" w:lineRule="auto"/>
        <w:tabs>
          <w:tab w:leader="none" w:pos="417"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Change in Business or Credit and Collection Policy</w:t>
      </w:r>
      <w:r>
        <w:rPr>
          <w:rFonts w:ascii="Arial" w:cs="Arial" w:eastAsia="Arial" w:hAnsi="Arial"/>
          <w:sz w:val="19"/>
          <w:szCs w:val="19"/>
          <w:color w:val="auto"/>
        </w:rPr>
        <w:t>. The Seller shall not make (or agree with any Originator to make) any change (i) in the character of its business or (ii) in any Credit and Collection Policy that would have a Material Adverse Effect with respect to the Receivables. The Seller shall not make (or agree with any Originator to make) any other change in any Credit and Collection Policy without giving prior written notice thereof to the Administrator and each Purchaser Agent.</w:t>
      </w:r>
    </w:p>
    <w:p>
      <w:pPr>
        <w:spacing w:after="0" w:line="157" w:lineRule="exact"/>
        <w:rPr>
          <w:rFonts w:ascii="Arial" w:cs="Arial" w:eastAsia="Arial" w:hAnsi="Arial"/>
          <w:sz w:val="19"/>
          <w:szCs w:val="19"/>
          <w:color w:val="auto"/>
        </w:rPr>
      </w:pPr>
    </w:p>
    <w:p>
      <w:pPr>
        <w:jc w:val="both"/>
        <w:ind w:left="-560" w:firstLine="567"/>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Audits</w:t>
      </w:r>
      <w:r>
        <w:rPr>
          <w:rFonts w:ascii="Arial" w:cs="Arial" w:eastAsia="Arial" w:hAnsi="Arial"/>
          <w:sz w:val="17"/>
          <w:szCs w:val="17"/>
          <w:color w:val="auto"/>
        </w:rPr>
        <w:t xml:space="preserve">. The Seller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 (y) Holdings’ Available Liquidity fails to exceed $100,000,000 or (z) in the opinion of the Administrator (with the consent or at the direction of any of the Purchasers) reasonable grounds for insecurity exist with respect to the collectibility of a material portion of the Pool Receivables or with respect to the Seller’s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Seller’s expense: (i) to examine and make copies of and abstracts from all books, records and documents (including computer tapes and disks) in the possession or under the control of the Seller (or any such Originator) relating to Receivables and the Related Security, including the related Contracts, and (ii) to visit the offices and properties of the Seller and the Originators for the purpose of examining such materials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to discuss matters relating to Receivables and the Related Security or the Seller’s, WESCO’s or the Originators’ performance under the Transaction Documents or under the Contracts with any of the officers, employees, agents or contractors of the Seller, WESCO or the Originators having knowledge of such matters.</w:t>
      </w:r>
    </w:p>
    <w:p>
      <w:pPr>
        <w:spacing w:after="0" w:line="143" w:lineRule="exact"/>
        <w:rPr>
          <w:rFonts w:ascii="Arial" w:cs="Arial" w:eastAsia="Arial" w:hAnsi="Arial"/>
          <w:sz w:val="17"/>
          <w:szCs w:val="17"/>
          <w:color w:val="auto"/>
        </w:rPr>
      </w:pPr>
    </w:p>
    <w:p>
      <w:pPr>
        <w:jc w:val="both"/>
        <w:ind w:left="-560" w:firstLine="567"/>
        <w:spacing w:after="0" w:line="252" w:lineRule="auto"/>
        <w:tabs>
          <w:tab w:leader="none" w:pos="458"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Deposits to Lock-Box Accounts</w:t>
      </w:r>
      <w:r>
        <w:rPr>
          <w:rFonts w:ascii="Arial" w:cs="Arial" w:eastAsia="Arial" w:hAnsi="Arial"/>
          <w:sz w:val="19"/>
          <w:szCs w:val="19"/>
          <w:color w:val="auto"/>
        </w:rPr>
        <w:t xml:space="preserve">. The Seller shall (or shall cause the Servicer to):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the Servicer or any Originator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Exception Account Conditions are then satisfied with respect to an Exception Account, such Exception Account need not be subject to a Lock-Box Agreement. The Seller will not (and will not permit the Servicer to) deposit or otherwise credit, or cause or permit to be so deposited or credited, to any Lock-Box Account cash or cash proceeds other than Collections.</w:t>
      </w:r>
    </w:p>
    <w:p>
      <w:pPr>
        <w:spacing w:after="0" w:line="169" w:lineRule="exact"/>
        <w:rPr>
          <w:rFonts w:ascii="Arial" w:cs="Arial" w:eastAsia="Arial" w:hAnsi="Arial"/>
          <w:sz w:val="19"/>
          <w:szCs w:val="19"/>
          <w:color w:val="auto"/>
        </w:rPr>
      </w:pPr>
    </w:p>
    <w:p>
      <w:pPr>
        <w:ind w:left="-560" w:right="20" w:firstLine="567"/>
        <w:spacing w:after="0" w:line="287" w:lineRule="auto"/>
        <w:tabs>
          <w:tab w:leader="none" w:pos="398"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Reporting Requirements</w:t>
      </w:r>
      <w:r>
        <w:rPr>
          <w:rFonts w:ascii="Arial" w:cs="Arial" w:eastAsia="Arial" w:hAnsi="Arial"/>
          <w:sz w:val="19"/>
          <w:szCs w:val="19"/>
          <w:color w:val="auto"/>
        </w:rPr>
        <w:t>. The Seller will provide to the Administrator (in multiple copies, if requested by the Administrator) and each Purchaser Agent the following:</w:t>
      </w:r>
    </w:p>
    <w:p>
      <w:pPr>
        <w:spacing w:after="0" w:line="132" w:lineRule="exact"/>
        <w:rPr>
          <w:rFonts w:ascii="Arial" w:cs="Arial" w:eastAsia="Arial" w:hAnsi="Arial"/>
          <w:sz w:val="19"/>
          <w:szCs w:val="19"/>
          <w:color w:val="auto"/>
        </w:rPr>
      </w:pPr>
    </w:p>
    <w:p>
      <w:pPr>
        <w:jc w:val="both"/>
        <w:ind w:right="20" w:firstLine="579"/>
        <w:spacing w:after="0" w:line="261" w:lineRule="auto"/>
        <w:tabs>
          <w:tab w:leader="none" w:pos="999" w:val="left"/>
        </w:tabs>
        <w:numPr>
          <w:ilvl w:val="1"/>
          <w:numId w:val="309"/>
        </w:numPr>
        <w:rPr>
          <w:rFonts w:ascii="Arial" w:cs="Arial" w:eastAsia="Arial" w:hAnsi="Arial"/>
          <w:sz w:val="19"/>
          <w:szCs w:val="19"/>
          <w:color w:val="auto"/>
        </w:rPr>
      </w:pPr>
      <w:r>
        <w:rPr>
          <w:rFonts w:ascii="Arial" w:cs="Arial" w:eastAsia="Arial" w:hAnsi="Arial"/>
          <w:sz w:val="19"/>
          <w:szCs w:val="19"/>
          <w:color w:val="auto"/>
        </w:rPr>
        <w:t>as soon as available and in any event within 90 days after the end of each fiscal year of the Seller, a copy of the annual report for such year for the Seller, containing unaudited financial statements for such year certified as to accuracy by the chief financial officer or treasurer of the Seller;</w:t>
      </w:r>
    </w:p>
    <w:p>
      <w:pPr>
        <w:spacing w:after="0" w:line="156" w:lineRule="exact"/>
        <w:rPr>
          <w:rFonts w:ascii="Arial" w:cs="Arial" w:eastAsia="Arial" w:hAnsi="Arial"/>
          <w:sz w:val="19"/>
          <w:szCs w:val="19"/>
          <w:color w:val="auto"/>
        </w:rPr>
      </w:pPr>
    </w:p>
    <w:p>
      <w:pPr>
        <w:jc w:val="both"/>
        <w:ind w:right="20" w:firstLine="579"/>
        <w:spacing w:after="0" w:line="261" w:lineRule="auto"/>
        <w:tabs>
          <w:tab w:leader="none" w:pos="1057" w:val="left"/>
        </w:tabs>
        <w:numPr>
          <w:ilvl w:val="1"/>
          <w:numId w:val="309"/>
        </w:numPr>
        <w:rPr>
          <w:rFonts w:ascii="Arial" w:cs="Arial" w:eastAsia="Arial" w:hAnsi="Arial"/>
          <w:sz w:val="19"/>
          <w:szCs w:val="19"/>
          <w:color w:val="auto"/>
        </w:rPr>
      </w:pPr>
      <w:r>
        <w:rPr>
          <w:rFonts w:ascii="Arial" w:cs="Arial" w:eastAsia="Arial" w:hAnsi="Arial"/>
          <w:sz w:val="19"/>
          <w:szCs w:val="19"/>
          <w:color w:val="auto"/>
        </w:rPr>
        <w:t>as soon as possible and in any event within five days after the occurrence of each Termination Event or Unmatured Termination Event, a statement of the chief financial officer of the Seller setting forth details of such Termination Event or Unmatured Termination Event and the action that the Seller has taken and proposes to take with respect thereto;</w:t>
      </w:r>
    </w:p>
    <w:p>
      <w:pPr>
        <w:spacing w:after="0" w:line="156" w:lineRule="exact"/>
        <w:rPr>
          <w:rFonts w:ascii="Arial" w:cs="Arial" w:eastAsia="Arial" w:hAnsi="Arial"/>
          <w:sz w:val="19"/>
          <w:szCs w:val="19"/>
          <w:color w:val="auto"/>
        </w:rPr>
      </w:pPr>
    </w:p>
    <w:p>
      <w:pPr>
        <w:jc w:val="both"/>
        <w:ind w:firstLine="579"/>
        <w:spacing w:after="0" w:line="253" w:lineRule="auto"/>
        <w:tabs>
          <w:tab w:leader="none" w:pos="1098" w:val="left"/>
        </w:tabs>
        <w:numPr>
          <w:ilvl w:val="1"/>
          <w:numId w:val="309"/>
        </w:numPr>
        <w:rPr>
          <w:rFonts w:ascii="Arial" w:cs="Arial" w:eastAsia="Arial" w:hAnsi="Arial"/>
          <w:sz w:val="19"/>
          <w:szCs w:val="19"/>
          <w:color w:val="auto"/>
        </w:rPr>
      </w:pPr>
      <w:r>
        <w:rPr>
          <w:rFonts w:ascii="Arial" w:cs="Arial" w:eastAsia="Arial" w:hAnsi="Arial"/>
          <w:sz w:val="19"/>
          <w:szCs w:val="19"/>
          <w:color w:val="auto"/>
        </w:rPr>
        <w:t>promptly after the filing or receiving thereof, copies of all material reports and notices that the Seller or any Affiliate files under ERISA with the Internal Revenue Service, the Pension Benefit Guaranty Corporation or the U.S. Department of Labor or that the Seller or any Affiliate receives from any of the foregoing or from any multiemployer plan (within the meaning of Section 4001(a)(3) of ERISA) to which the Seller or any of its Affiliates is or was, within the preceding five years, a contributing employer, in each case in respect of the assessment of withdrawal liability or an event or condition that could, in the aggregate, result in the imposition of liability on the Seller and/or any such Affiliate;</w:t>
      </w:r>
    </w:p>
    <w:p>
      <w:pPr>
        <w:spacing w:after="0" w:line="166" w:lineRule="exact"/>
        <w:rPr>
          <w:rFonts w:ascii="Arial" w:cs="Arial" w:eastAsia="Arial" w:hAnsi="Arial"/>
          <w:sz w:val="19"/>
          <w:szCs w:val="19"/>
          <w:color w:val="auto"/>
        </w:rPr>
      </w:pPr>
    </w:p>
    <w:p>
      <w:pPr>
        <w:ind w:right="20" w:firstLine="579"/>
        <w:spacing w:after="0" w:line="334" w:lineRule="auto"/>
        <w:tabs>
          <w:tab w:leader="none" w:pos="1112"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at least thirty days (or such shorter period as agreed to in writing by the Administrator) before any change in the Seller’s name or any other change requiring the amendment of UCC financing statements, a notice setting forth such changes and the effective date thereof;</w:t>
      </w:r>
    </w:p>
    <w:p>
      <w:pPr>
        <w:spacing w:after="0" w:line="99" w:lineRule="exact"/>
        <w:rPr>
          <w:rFonts w:ascii="Arial" w:cs="Arial" w:eastAsia="Arial" w:hAnsi="Arial"/>
          <w:sz w:val="17"/>
          <w:szCs w:val="17"/>
          <w:color w:val="auto"/>
        </w:rPr>
      </w:pPr>
    </w:p>
    <w:p>
      <w:pPr>
        <w:ind w:right="20" w:firstLine="579"/>
        <w:spacing w:after="0" w:line="302" w:lineRule="auto"/>
        <w:tabs>
          <w:tab w:leader="none" w:pos="106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promptly after the Seller obtains knowledge thereof, notice of any: (A) material litigation, investigation or proceeding that may exist at any time between the Seller and any Person or (B) material litigation or proceeding relating to any Transaction Document;</w:t>
      </w:r>
    </w:p>
    <w:p>
      <w:pPr>
        <w:spacing w:after="0" w:line="122" w:lineRule="exact"/>
        <w:rPr>
          <w:rFonts w:ascii="Arial" w:cs="Arial" w:eastAsia="Arial" w:hAnsi="Arial"/>
          <w:sz w:val="18"/>
          <w:szCs w:val="18"/>
          <w:color w:val="auto"/>
        </w:rPr>
      </w:pPr>
    </w:p>
    <w:p>
      <w:pPr>
        <w:ind w:firstLine="579"/>
        <w:spacing w:after="0" w:line="274" w:lineRule="auto"/>
        <w:tabs>
          <w:tab w:leader="none" w:pos="1132" w:val="left"/>
        </w:tabs>
        <w:numPr>
          <w:ilvl w:val="1"/>
          <w:numId w:val="309"/>
        </w:numPr>
        <w:rPr>
          <w:rFonts w:ascii="Arial" w:cs="Arial" w:eastAsia="Arial" w:hAnsi="Arial"/>
          <w:sz w:val="19"/>
          <w:szCs w:val="19"/>
          <w:color w:val="auto"/>
        </w:rPr>
      </w:pPr>
      <w:r>
        <w:rPr>
          <w:rFonts w:ascii="Arial" w:cs="Arial" w:eastAsia="Arial" w:hAnsi="Arial"/>
          <w:sz w:val="19"/>
          <w:szCs w:val="19"/>
          <w:color w:val="auto"/>
        </w:rPr>
        <w:t>promptly after the occurrence thereof, notice of a material adverse change in the business, operations, property or financial or other condition of the Seller, or to its knowledge, the Servicer or any Originator; and</w:t>
      </w:r>
    </w:p>
    <w:p>
      <w:pPr>
        <w:spacing w:after="0" w:line="144" w:lineRule="exact"/>
        <w:rPr>
          <w:rFonts w:ascii="Arial" w:cs="Arial" w:eastAsia="Arial" w:hAnsi="Arial"/>
          <w:sz w:val="19"/>
          <w:szCs w:val="19"/>
          <w:color w:val="auto"/>
        </w:rPr>
      </w:pPr>
    </w:p>
    <w:p>
      <w:pPr>
        <w:ind w:right="20" w:firstLine="579"/>
        <w:spacing w:after="0" w:line="274" w:lineRule="auto"/>
        <w:tabs>
          <w:tab w:leader="none" w:pos="1200" w:val="left"/>
        </w:tabs>
        <w:numPr>
          <w:ilvl w:val="1"/>
          <w:numId w:val="309"/>
        </w:numPr>
        <w:rPr>
          <w:rFonts w:ascii="Arial" w:cs="Arial" w:eastAsia="Arial" w:hAnsi="Arial"/>
          <w:sz w:val="19"/>
          <w:szCs w:val="19"/>
          <w:color w:val="auto"/>
        </w:rPr>
      </w:pPr>
      <w:r>
        <w:rPr>
          <w:rFonts w:ascii="Arial" w:cs="Arial" w:eastAsia="Arial" w:hAnsi="Arial"/>
          <w:sz w:val="19"/>
          <w:szCs w:val="19"/>
          <w:color w:val="auto"/>
        </w:rPr>
        <w:t>such other information respecting the Receivables or the condition or operations, financial or otherwise, of the Seller or any Originator as the Administrator or any Purchaser Agent may from time to time reasonably request.</w:t>
      </w:r>
    </w:p>
    <w:p>
      <w:pPr>
        <w:spacing w:after="0" w:line="144"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 xml:space="preserve">Information required to be delivered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ectPr>
          <w:pgSz w:w="11900" w:h="16839" w:orient="portrait"/>
          <w:cols w:equalWidth="0" w:num="1">
            <w:col w:w="10880"/>
          </w:cols>
          <w:pgMar w:left="800" w:top="252" w:right="219" w:bottom="0" w:gutter="0" w:footer="0" w:header="0"/>
        </w:sectPr>
      </w:pPr>
    </w:p>
    <w:bookmarkStart w:id="208" w:name="page209"/>
    <w:bookmarkEnd w:id="208"/>
    <w:p>
      <w:pPr>
        <w:spacing w:after="0" w:line="40" w:lineRule="exact"/>
        <w:rPr>
          <w:sz w:val="20"/>
          <w:szCs w:val="20"/>
          <w:color w:val="auto"/>
        </w:rPr>
      </w:pPr>
    </w:p>
    <w:p>
      <w:pPr>
        <w:jc w:val="both"/>
        <w:ind w:left="5" w:right="20" w:firstLine="567"/>
        <w:spacing w:after="0" w:line="268" w:lineRule="auto"/>
        <w:tabs>
          <w:tab w:leader="none" w:pos="957" w:val="left"/>
        </w:tabs>
        <w:numPr>
          <w:ilvl w:val="1"/>
          <w:numId w:val="310"/>
        </w:numPr>
        <w:rPr>
          <w:rFonts w:ascii="Arial" w:cs="Arial" w:eastAsia="Arial" w:hAnsi="Arial"/>
          <w:sz w:val="19"/>
          <w:szCs w:val="19"/>
          <w:color w:val="auto"/>
        </w:rPr>
      </w:pPr>
      <w:r>
        <w:rPr>
          <w:rFonts w:ascii="Arial" w:cs="Arial" w:eastAsia="Arial" w:hAnsi="Arial"/>
          <w:sz w:val="19"/>
          <w:szCs w:val="19"/>
          <w:u w:val="single" w:color="auto"/>
          <w:color w:val="auto"/>
        </w:rPr>
        <w:t>Certain Agreements</w:t>
      </w:r>
      <w:r>
        <w:rPr>
          <w:rFonts w:ascii="Arial" w:cs="Arial" w:eastAsia="Arial" w:hAnsi="Arial"/>
          <w:sz w:val="19"/>
          <w:szCs w:val="19"/>
          <w:color w:val="auto"/>
        </w:rPr>
        <w:t>. Without the prior written consent of the Administrator and the Majority Purchasers, the Seller will not (and will not agree with any Originator to) amend, modify, waive, revoke or terminate any Transaction Document to which it is a party or any provision of Seller’s certificate of incorporation or by-laws.</w:t>
      </w:r>
    </w:p>
    <w:p>
      <w:pPr>
        <w:spacing w:after="0" w:line="149" w:lineRule="exact"/>
        <w:rPr>
          <w:rFonts w:ascii="Arial" w:cs="Arial" w:eastAsia="Arial" w:hAnsi="Arial"/>
          <w:sz w:val="19"/>
          <w:szCs w:val="19"/>
          <w:color w:val="auto"/>
        </w:rPr>
      </w:pPr>
    </w:p>
    <w:p>
      <w:pPr>
        <w:ind w:left="925" w:hanging="353"/>
        <w:spacing w:after="0"/>
        <w:tabs>
          <w:tab w:leader="none" w:pos="925"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xml:space="preserve">. (i) Except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below, the Seller will not: (A) purchase or redeem any shares of its capital stock,</w:t>
      </w:r>
    </w:p>
    <w:p>
      <w:pPr>
        <w:spacing w:after="0" w:line="46" w:lineRule="exact"/>
        <w:rPr>
          <w:rFonts w:ascii="Arial" w:cs="Arial" w:eastAsia="Arial" w:hAnsi="Arial"/>
          <w:sz w:val="17"/>
          <w:szCs w:val="17"/>
          <w:color w:val="auto"/>
        </w:rPr>
      </w:pPr>
    </w:p>
    <w:p>
      <w:pPr>
        <w:jc w:val="both"/>
        <w:ind w:left="5" w:hanging="5"/>
        <w:spacing w:after="0" w:line="259" w:lineRule="auto"/>
        <w:tabs>
          <w:tab w:leader="none" w:pos="308"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declare or pay any dividend or set aside any funds for any such purpose, (C) prepay, purchase or redeem any Debt, (D) lend or advance any funds or (E) repay any loans or advances to, for or from any of its Affiliates (the amounts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being referred to as “</w:t>
      </w:r>
      <w:r>
        <w:rPr>
          <w:rFonts w:ascii="Arial" w:cs="Arial" w:eastAsia="Arial" w:hAnsi="Arial"/>
          <w:sz w:val="19"/>
          <w:szCs w:val="19"/>
          <w:u w:val="single" w:color="auto"/>
          <w:color w:val="auto"/>
        </w:rPr>
        <w:t>Restricted Payments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565" w:right="20" w:firstLine="579"/>
        <w:spacing w:after="0" w:line="261" w:lineRule="auto"/>
        <w:tabs>
          <w:tab w:leader="none" w:pos="1441" w:val="left"/>
        </w:tabs>
        <w:numPr>
          <w:ilvl w:val="2"/>
          <w:numId w:val="311"/>
        </w:numPr>
        <w:rPr>
          <w:rFonts w:ascii="Arial" w:cs="Arial" w:eastAsia="Arial" w:hAnsi="Arial"/>
          <w:sz w:val="19"/>
          <w:szCs w:val="19"/>
          <w:color w:val="auto"/>
        </w:rPr>
      </w:pPr>
      <w:r>
        <w:rPr>
          <w:rFonts w:ascii="Arial" w:cs="Arial" w:eastAsia="Arial" w:hAnsi="Arial"/>
          <w:sz w:val="19"/>
          <w:szCs w:val="19"/>
          <w:color w:val="auto"/>
        </w:rPr>
        <w:t>Subject to the limitation set forth in clause (iii) below, the Seller may make Restricted Payments so long as such Restricted Payments are made only in one or more of the following ways: (A) the Seller may make cash payments (including prepayments) of the Company Note in accordance with its terms, and (B) the Seller may declare and pay dividends.</w:t>
      </w:r>
    </w:p>
    <w:p>
      <w:pPr>
        <w:spacing w:after="0" w:line="156" w:lineRule="exact"/>
        <w:rPr>
          <w:rFonts w:ascii="Arial" w:cs="Arial" w:eastAsia="Arial" w:hAnsi="Arial"/>
          <w:sz w:val="19"/>
          <w:szCs w:val="19"/>
          <w:color w:val="auto"/>
        </w:rPr>
      </w:pPr>
    </w:p>
    <w:p>
      <w:pPr>
        <w:jc w:val="both"/>
        <w:ind w:left="565" w:right="20" w:firstLine="579"/>
        <w:spacing w:after="0" w:line="257" w:lineRule="auto"/>
        <w:tabs>
          <w:tab w:leader="none" w:pos="1506" w:val="left"/>
        </w:tabs>
        <w:numPr>
          <w:ilvl w:val="2"/>
          <w:numId w:val="311"/>
        </w:numPr>
        <w:rPr>
          <w:rFonts w:ascii="Arial" w:cs="Arial" w:eastAsia="Arial" w:hAnsi="Arial"/>
          <w:sz w:val="19"/>
          <w:szCs w:val="19"/>
          <w:color w:val="auto"/>
        </w:rPr>
      </w:pPr>
      <w:r>
        <w:rPr>
          <w:rFonts w:ascii="Arial" w:cs="Arial" w:eastAsia="Arial" w:hAnsi="Arial"/>
          <w:sz w:val="19"/>
          <w:szCs w:val="19"/>
          <w:color w:val="auto"/>
        </w:rPr>
        <w:t xml:space="preserve">The Seller may make Restricted Payments only out of the funds it receives pursuant to </w:t>
      </w:r>
      <w:r>
        <w:rPr>
          <w:rFonts w:ascii="Arial" w:cs="Arial" w:eastAsia="Arial" w:hAnsi="Arial"/>
          <w:sz w:val="19"/>
          <w:szCs w:val="19"/>
          <w:u w:val="single" w:color="auto"/>
          <w:color w:val="auto"/>
        </w:rPr>
        <w:t>Sections 1.4(b)(ii)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Agreement. Furthermore, the Seller shall not pay, make or declare: (A) any dividend if, after giving effect thereto, the Seller’s tangible net worth would be less than $50,000,000 or (B) any Restricted Payment (including any dividend) if, after giving effect thereto, any Termination Event or Unmatured Termination Event shall have occurred and be continuing.</w:t>
      </w:r>
    </w:p>
    <w:p>
      <w:pPr>
        <w:spacing w:after="0" w:line="160" w:lineRule="exact"/>
        <w:rPr>
          <w:rFonts w:ascii="Arial" w:cs="Arial" w:eastAsia="Arial" w:hAnsi="Arial"/>
          <w:sz w:val="19"/>
          <w:szCs w:val="19"/>
          <w:color w:val="auto"/>
        </w:rPr>
      </w:pPr>
    </w:p>
    <w:p>
      <w:pPr>
        <w:jc w:val="both"/>
        <w:ind w:left="5" w:firstLine="567"/>
        <w:spacing w:after="0" w:line="258" w:lineRule="auto"/>
        <w:tabs>
          <w:tab w:leader="none" w:pos="1022"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Other Business</w:t>
      </w:r>
      <w:r>
        <w:rPr>
          <w:rFonts w:ascii="Arial" w:cs="Arial" w:eastAsia="Arial" w:hAnsi="Arial"/>
          <w:sz w:val="19"/>
          <w:szCs w:val="19"/>
          <w:color w:val="auto"/>
        </w:rPr>
        <w:t xml:space="preserve">. The Seller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or the Company Note; or (iii) form any Subsidiary or make any investments in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Seller shall be permitted to incur minimal obligations to the extent necessary for the day-to-day operations of the Seller (such as expenses for stationery, audits, maintenance of legal status, etc.).</w:t>
      </w:r>
    </w:p>
    <w:p>
      <w:pPr>
        <w:spacing w:after="0" w:line="159" w:lineRule="exact"/>
        <w:rPr>
          <w:rFonts w:ascii="Arial" w:cs="Arial" w:eastAsia="Arial" w:hAnsi="Arial"/>
          <w:sz w:val="19"/>
          <w:szCs w:val="19"/>
          <w:color w:val="auto"/>
        </w:rPr>
      </w:pPr>
    </w:p>
    <w:p>
      <w:pPr>
        <w:ind w:left="965" w:hanging="393"/>
        <w:spacing w:after="0"/>
        <w:tabs>
          <w:tab w:leader="none" w:pos="965"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Use of Seller’s Share of Collections</w:t>
      </w:r>
      <w:r>
        <w:rPr>
          <w:rFonts w:ascii="Arial" w:cs="Arial" w:eastAsia="Arial" w:hAnsi="Arial"/>
          <w:sz w:val="17"/>
          <w:szCs w:val="17"/>
          <w:color w:val="auto"/>
        </w:rPr>
        <w:t>. The Seller shall apply the Seller’s Share of Collections to make payments in the following order of</w:t>
      </w:r>
    </w:p>
    <w:p>
      <w:pPr>
        <w:spacing w:after="0" w:line="46" w:lineRule="exact"/>
        <w:rPr>
          <w:rFonts w:ascii="Arial" w:cs="Arial" w:eastAsia="Arial" w:hAnsi="Arial"/>
          <w:sz w:val="17"/>
          <w:szCs w:val="17"/>
          <w:color w:val="auto"/>
        </w:rPr>
      </w:pPr>
    </w:p>
    <w:p>
      <w:pPr>
        <w:jc w:val="both"/>
        <w:ind w:left="5" w:right="20"/>
        <w:spacing w:after="0" w:line="259" w:lineRule="auto"/>
        <w:rPr>
          <w:rFonts w:ascii="Arial" w:cs="Arial" w:eastAsia="Arial" w:hAnsi="Arial"/>
          <w:sz w:val="17"/>
          <w:szCs w:val="17"/>
          <w:color w:val="auto"/>
        </w:rPr>
      </w:pPr>
      <w:r>
        <w:rPr>
          <w:rFonts w:ascii="Arial" w:cs="Arial" w:eastAsia="Arial" w:hAnsi="Arial"/>
          <w:sz w:val="19"/>
          <w:szCs w:val="19"/>
          <w:color w:val="auto"/>
        </w:rPr>
        <w:t>priority: (i) the payment of its expenses (including all obligations payable to the Purchaser Groups and the Administrator under this Agreement and under each Purchaser Group Fee Letter); (ii) the payment of accrued and unpaid interest on the Company Note; and (iii) other legal and valid corporate purposes.</w:t>
      </w:r>
    </w:p>
    <w:p>
      <w:pPr>
        <w:spacing w:after="0" w:line="158" w:lineRule="exact"/>
        <w:rPr>
          <w:rFonts w:ascii="Arial" w:cs="Arial" w:eastAsia="Arial" w:hAnsi="Arial"/>
          <w:sz w:val="17"/>
          <w:szCs w:val="17"/>
          <w:color w:val="auto"/>
        </w:rPr>
      </w:pPr>
    </w:p>
    <w:p>
      <w:pPr>
        <w:ind w:left="945" w:hanging="373"/>
        <w:spacing w:after="0"/>
        <w:tabs>
          <w:tab w:leader="none" w:pos="945"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Tangible Net Worth</w:t>
      </w:r>
      <w:r>
        <w:rPr>
          <w:rFonts w:ascii="Arial" w:cs="Arial" w:eastAsia="Arial" w:hAnsi="Arial"/>
          <w:sz w:val="19"/>
          <w:szCs w:val="19"/>
          <w:color w:val="auto"/>
        </w:rPr>
        <w:t>. The Seller will not permit its tangible net worth, at any time, to be less than $50,000,000.</w:t>
      </w:r>
    </w:p>
    <w:p>
      <w:pPr>
        <w:spacing w:after="0" w:line="210" w:lineRule="exact"/>
        <w:rPr>
          <w:rFonts w:ascii="Arial" w:cs="Arial" w:eastAsia="Arial" w:hAnsi="Arial"/>
          <w:sz w:val="19"/>
          <w:szCs w:val="19"/>
          <w:color w:val="auto"/>
        </w:rPr>
      </w:pPr>
    </w:p>
    <w:p>
      <w:pPr>
        <w:jc w:val="both"/>
        <w:ind w:left="5" w:right="20" w:firstLine="567"/>
        <w:spacing w:after="0" w:line="268" w:lineRule="auto"/>
        <w:tabs>
          <w:tab w:leader="none" w:pos="1017"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Exclusion of Credit Memos</w:t>
      </w:r>
      <w:r>
        <w:rPr>
          <w:rFonts w:ascii="Arial" w:cs="Arial" w:eastAsia="Arial" w:hAnsi="Arial"/>
          <w:sz w:val="19"/>
          <w:szCs w:val="19"/>
          <w:color w:val="auto"/>
        </w:rPr>
        <w:t xml:space="preserve">. As soon as possible, the Seller shall (and shall cause each Originator and the Servicer to) remove credit memos from any aging schedules contained in or used to calculate the information set forth in each Information Package delivered pursuant to </w:t>
      </w:r>
      <w:r>
        <w:rPr>
          <w:rFonts w:ascii="Arial" w:cs="Arial" w:eastAsia="Arial" w:hAnsi="Arial"/>
          <w:sz w:val="19"/>
          <w:szCs w:val="19"/>
          <w:u w:val="single" w:color="auto"/>
          <w:color w:val="auto"/>
        </w:rPr>
        <w:t>Section 2(i)(iii)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IV</w:t>
      </w:r>
      <w:r>
        <w:rPr>
          <w:rFonts w:ascii="Arial" w:cs="Arial" w:eastAsia="Arial" w:hAnsi="Arial"/>
          <w:sz w:val="19"/>
          <w:szCs w:val="19"/>
          <w:color w:val="auto"/>
        </w:rPr>
        <w:t xml:space="preserve"> to this Agreement.</w:t>
      </w:r>
    </w:p>
    <w:p>
      <w:pPr>
        <w:spacing w:after="0" w:line="149" w:lineRule="exact"/>
        <w:rPr>
          <w:rFonts w:ascii="Arial" w:cs="Arial" w:eastAsia="Arial" w:hAnsi="Arial"/>
          <w:sz w:val="19"/>
          <w:szCs w:val="19"/>
          <w:color w:val="auto"/>
        </w:rPr>
      </w:pPr>
    </w:p>
    <w:p>
      <w:pPr>
        <w:ind w:left="5" w:right="20" w:firstLine="567"/>
        <w:spacing w:after="0" w:line="287" w:lineRule="auto"/>
        <w:tabs>
          <w:tab w:leader="none" w:pos="1017"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Calculation of the Purchased Interest</w:t>
      </w:r>
      <w:r>
        <w:rPr>
          <w:rFonts w:ascii="Arial" w:cs="Arial" w:eastAsia="Arial" w:hAnsi="Arial"/>
          <w:sz w:val="19"/>
          <w:szCs w:val="19"/>
          <w:color w:val="auto"/>
        </w:rPr>
        <w:t>. The Seller shall calculate the Purchased Interest on a daily basis and, if requested, provide the results of such calculation to the Administrator, any Purchaser Agent, Moody’s or Standard &amp; Poor’s, as applicable.</w:t>
      </w:r>
    </w:p>
    <w:p>
      <w:pPr>
        <w:spacing w:after="0" w:line="132" w:lineRule="exact"/>
        <w:rPr>
          <w:rFonts w:ascii="Arial" w:cs="Arial" w:eastAsia="Arial" w:hAnsi="Arial"/>
          <w:sz w:val="19"/>
          <w:szCs w:val="19"/>
          <w:color w:val="auto"/>
        </w:rPr>
      </w:pPr>
    </w:p>
    <w:p>
      <w:pPr>
        <w:jc w:val="both"/>
        <w:ind w:left="5" w:firstLine="567"/>
        <w:spacing w:after="0" w:line="270" w:lineRule="auto"/>
        <w:tabs>
          <w:tab w:leader="none" w:pos="1021"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Anti-Money Laundering/International Trade Law Compliance</w:t>
      </w:r>
      <w:r>
        <w:rPr>
          <w:rFonts w:ascii="Arial" w:cs="Arial" w:eastAsia="Arial" w:hAnsi="Arial"/>
          <w:sz w:val="18"/>
          <w:szCs w:val="18"/>
          <w:color w:val="auto"/>
        </w:rPr>
        <w:t>. The Seller will not become a Sanctioned Person. No Covered Entity, either in its own right or through any third party, will (i) have any of its assets in a Sanctioned Country or in the possession, custody or control of a Sanctioned Person in violation of any Anti-Terrorism Law; (ii) do business in or with, or derives any of its income from investments in or transactions with, any Sanctioned Country or Sanctioned Person in violation of any Anti-Terrorism Law; (iii) engage in any dealings or transactions prohibited by any Anti-Terrorism Law or (iv) use the proceeds of any Purchase or reinvestment to fund any operations in, finance any investments or activities in, or, make any payments to, a Sanctioned Country or Sanctioned Person in violation of any Anti-Terrorism Law. The funds used to repay each Purchase will not be derived from any unlawful activity. The Seller shall comply with all Anti-Terrorism Laws. The Seller shall promptly notify the Administrator and each Purchaser Agent in writing upon the occurrence of a Reportable Compliance Event.</w:t>
      </w:r>
    </w:p>
    <w:p>
      <w:pPr>
        <w:spacing w:after="0" w:line="151" w:lineRule="exact"/>
        <w:rPr>
          <w:sz w:val="20"/>
          <w:szCs w:val="20"/>
          <w:color w:val="auto"/>
        </w:rPr>
      </w:pPr>
    </w:p>
    <w:p>
      <w:pPr>
        <w:ind w:left="765" w:hanging="193"/>
        <w:spacing w:after="0"/>
        <w:tabs>
          <w:tab w:leader="none" w:pos="765"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Covenants of the Servicer and WESCO</w:t>
      </w:r>
      <w:r>
        <w:rPr>
          <w:rFonts w:ascii="Arial" w:cs="Arial" w:eastAsia="Arial" w:hAnsi="Arial"/>
          <w:sz w:val="19"/>
          <w:szCs w:val="19"/>
          <w:color w:val="auto"/>
        </w:rPr>
        <w:t>. Until the Final Payout Date:</w:t>
      </w:r>
    </w:p>
    <w:p>
      <w:pPr>
        <w:spacing w:after="0" w:line="199" w:lineRule="exact"/>
        <w:rPr>
          <w:sz w:val="20"/>
          <w:szCs w:val="20"/>
          <w:color w:val="auto"/>
        </w:rPr>
      </w:pPr>
    </w:p>
    <w:p>
      <w:pPr>
        <w:jc w:val="both"/>
        <w:ind w:left="5" w:firstLine="567"/>
        <w:spacing w:after="0" w:line="280" w:lineRule="auto"/>
        <w:tabs>
          <w:tab w:leader="none" w:pos="959"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The Servicer and, to the extent that it ceases to be the Servicer, WESCO shall comply (and shall cause each Originator to comply) in all material respects with all Applicable Laws, and preserve and maintain its corporate existence, rights, franchises, qualifications and privileges, except to the extent that the failure so to comply with such laws, rules and regulations or the failure so to preserve and maintain such existence, rights, franchises, qualifications and privileges would not have a Material Adverse Effect.</w:t>
      </w:r>
    </w:p>
    <w:p>
      <w:pPr>
        <w:spacing w:after="0" w:line="142" w:lineRule="exact"/>
        <w:rPr>
          <w:rFonts w:ascii="Arial" w:cs="Arial" w:eastAsia="Arial" w:hAnsi="Arial"/>
          <w:sz w:val="18"/>
          <w:szCs w:val="18"/>
          <w:color w:val="auto"/>
        </w:rPr>
      </w:pPr>
    </w:p>
    <w:p>
      <w:pPr>
        <w:jc w:val="both"/>
        <w:ind w:left="5" w:firstLine="567"/>
        <w:spacing w:after="0" w:line="267" w:lineRule="auto"/>
        <w:tabs>
          <w:tab w:leader="none" w:pos="99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Offices, Records and Books of Account, Etc.</w:t>
      </w:r>
      <w:r>
        <w:rPr>
          <w:rFonts w:ascii="Arial" w:cs="Arial" w:eastAsia="Arial" w:hAnsi="Arial"/>
          <w:sz w:val="18"/>
          <w:szCs w:val="18"/>
          <w:color w:val="auto"/>
        </w:rPr>
        <w:t xml:space="preserve"> The Servicer and, to the extent that it ceases to be the Servicer, WESCO, shall keep (and shall cause each Originator to keep) its principal place of business, chief executive office and “location” (as such term is used in the applicable UCC) and the office where it keeps its records concerning the Receivables at the addresses of the Servicer set forth under its name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to this Agreement or, upon at least 30 days’ prior written notice of a proposed change to the Administrator, at any other locations in jurisdictions where all actions reasonably requested by the Administrator to protect and perfect the interest of the Administrator (for the benefit of each Purchaser) in the Receivables and related items (including the Pool Assets) have been taken and completed. The Servicer and, to the extent that it ceases to be the Servicer, WESCO, also will (and will cause each Originator to) maintain and implement administrative and operating procedures (including an ability to recreate records evidencing Receivables and related Contracts in the event of the destruction of the originals thereof), and keep and maintain all documents, books, records, computer tapes and disks and other information reasonably necessary or advisable for the collection of all Receivables (including records adequate to permit the daily identification of each Receivable and all Collections of and adjustments to each existing Receivable).</w:t>
      </w:r>
    </w:p>
    <w:p>
      <w:pPr>
        <w:spacing w:after="0" w:line="159" w:lineRule="exact"/>
        <w:rPr>
          <w:rFonts w:ascii="Arial" w:cs="Arial" w:eastAsia="Arial" w:hAnsi="Arial"/>
          <w:sz w:val="18"/>
          <w:szCs w:val="18"/>
          <w:color w:val="auto"/>
        </w:rPr>
      </w:pPr>
    </w:p>
    <w:p>
      <w:pPr>
        <w:jc w:val="both"/>
        <w:ind w:left="5" w:firstLine="567"/>
        <w:spacing w:after="0" w:line="261" w:lineRule="auto"/>
        <w:tabs>
          <w:tab w:leader="none" w:pos="994"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Performance and Compliance with Contracts and Credit and Collection Policy</w:t>
      </w:r>
      <w:r>
        <w:rPr>
          <w:rFonts w:ascii="Arial" w:cs="Arial" w:eastAsia="Arial" w:hAnsi="Arial"/>
          <w:sz w:val="19"/>
          <w:szCs w:val="19"/>
          <w:color w:val="auto"/>
        </w:rPr>
        <w:t>. The Servicer and, to the extent that it ceases to be the Servicer, WESCO, shall (and shall cause Originator to), at its expense, timely and fully perform and comply with all material provisions, covenants and other promises required to be observed by it under the Contracts related to the Receivables, and timely and fully comply in all material respects with the Credit and Collection Policy with regard to each Receivable and the related Contract.</w:t>
      </w:r>
    </w:p>
    <w:p>
      <w:pPr>
        <w:spacing w:after="0" w:line="157" w:lineRule="exact"/>
        <w:rPr>
          <w:rFonts w:ascii="Arial" w:cs="Arial" w:eastAsia="Arial" w:hAnsi="Arial"/>
          <w:sz w:val="19"/>
          <w:szCs w:val="19"/>
          <w:color w:val="auto"/>
        </w:rPr>
      </w:pPr>
    </w:p>
    <w:p>
      <w:pPr>
        <w:jc w:val="both"/>
        <w:ind w:left="5" w:right="20" w:firstLine="567"/>
        <w:spacing w:after="0" w:line="289" w:lineRule="auto"/>
        <w:tabs>
          <w:tab w:leader="none" w:pos="99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Extension or Amendment of Receivables</w:t>
      </w:r>
      <w:r>
        <w:rPr>
          <w:rFonts w:ascii="Arial" w:cs="Arial" w:eastAsia="Arial" w:hAnsi="Arial"/>
          <w:sz w:val="18"/>
          <w:szCs w:val="18"/>
          <w:color w:val="auto"/>
        </w:rPr>
        <w:t>. Except as provided in this Agreement, the Servicer and, to the extent that it ceases to be the Servicer, WESCO, shall not extend (and shall not permit any Originator to extend), the maturity or adjust the Outstanding Balance or otherwise modify the terms of any Pool Receivable, or amend, modify or waive any term or condition of any related Contract.</w:t>
      </w:r>
    </w:p>
    <w:p>
      <w:pPr>
        <w:sectPr>
          <w:pgSz w:w="11900" w:h="16878" w:orient="portrait"/>
          <w:cols w:equalWidth="0" w:num="1">
            <w:col w:w="11445"/>
          </w:cols>
          <w:pgMar w:left="235" w:top="228" w:right="219" w:bottom="0" w:gutter="0" w:footer="0" w:header="0"/>
        </w:sectPr>
      </w:pPr>
    </w:p>
    <w:bookmarkStart w:id="209" w:name="page210"/>
    <w:bookmarkEnd w:id="209"/>
    <w:p>
      <w:pPr>
        <w:jc w:val="both"/>
        <w:ind w:left="5" w:firstLine="567"/>
        <w:spacing w:after="0" w:line="258" w:lineRule="auto"/>
        <w:tabs>
          <w:tab w:leader="none" w:pos="970" w:val="left"/>
        </w:tabs>
        <w:numPr>
          <w:ilvl w:val="1"/>
          <w:numId w:val="314"/>
        </w:numPr>
        <w:rPr>
          <w:rFonts w:ascii="Arial" w:cs="Arial" w:eastAsia="Arial" w:hAnsi="Arial"/>
          <w:sz w:val="19"/>
          <w:szCs w:val="19"/>
          <w:color w:val="auto"/>
        </w:rPr>
      </w:pPr>
      <w:r>
        <w:rPr>
          <w:rFonts w:ascii="Arial" w:cs="Arial" w:eastAsia="Arial" w:hAnsi="Arial"/>
          <w:sz w:val="19"/>
          <w:szCs w:val="19"/>
          <w:u w:val="single" w:color="auto"/>
          <w:color w:val="auto"/>
        </w:rPr>
        <w:t>Change in Business or Credit and Collection Policy</w:t>
      </w:r>
      <w:r>
        <w:rPr>
          <w:rFonts w:ascii="Arial" w:cs="Arial" w:eastAsia="Arial" w:hAnsi="Arial"/>
          <w:sz w:val="19"/>
          <w:szCs w:val="19"/>
          <w:color w:val="auto"/>
        </w:rPr>
        <w:t>. The Servicer and, to the extent that it ceases to be the Servicer, WESCO, shall not make (and shall not permit any Originator to make) any change in (i) the character of its business or (ii) in any Credit and Collection Policy that would have a Material Adverse Effect. The Servicer and, to the extent that it ceases to be the Servicer, WESCO, shall not make (and shall not permit any Originator to make) any other change in any Credit and Collection Policy without giving prior written notice thereof to the Administrator and each Purchaser Agent.</w:t>
      </w:r>
    </w:p>
    <w:p>
      <w:pPr>
        <w:spacing w:after="0" w:line="159" w:lineRule="exact"/>
        <w:rPr>
          <w:rFonts w:ascii="Arial" w:cs="Arial" w:eastAsia="Arial" w:hAnsi="Arial"/>
          <w:sz w:val="19"/>
          <w:szCs w:val="19"/>
          <w:color w:val="auto"/>
        </w:rPr>
      </w:pPr>
    </w:p>
    <w:p>
      <w:pPr>
        <w:jc w:val="both"/>
        <w:ind w:left="5" w:firstLine="567"/>
        <w:spacing w:after="0" w:line="281" w:lineRule="auto"/>
        <w:tabs>
          <w:tab w:leader="none" w:pos="938"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Audits</w:t>
      </w:r>
      <w:r>
        <w:rPr>
          <w:rFonts w:ascii="Arial" w:cs="Arial" w:eastAsia="Arial" w:hAnsi="Arial"/>
          <w:sz w:val="17"/>
          <w:szCs w:val="17"/>
          <w:color w:val="auto"/>
        </w:rPr>
        <w:t>. The Servicer and, to the extent that it ceases to be the Servicer, WESCO, shall (and shall cause each Originator to), from time to time during regular business hours, but no more frequently than annually unless (w) a Termination Event or Unmatured Termination Event has occurred and is continuing, (x) WESCO or Holdings ceases to have a rating of at least “B-” by Standard and Poor’s on its respective corporate credit rating, (y) Holdings’ Available Liquidity fails to exceed $100,000,000 or (z) in the opinion of the Administrator (with the consent or at the direction of any of the Purchasers) reasonable grounds for insecurity exist with respect to the collectibility of a material portion of the Pool Receivables or with respect to the Servicer’s performance or ability to perform in any material respect its obligations under this Agreement, as reasonably requested in advance (unless a Termination Event or Unmatured Termination Event exists) by the Administrator, permit the Administrator, or its agents or representatives, at the Servicer’s expense: (i) to examine and make copies of and abstracts from all books, records and documents (including computer tapes and disks) in its possession or under its control relating to Receivables and the Related Security, including the related Contracts; and</w:t>
      </w:r>
    </w:p>
    <w:p>
      <w:pPr>
        <w:spacing w:after="0" w:line="4" w:lineRule="exact"/>
        <w:rPr>
          <w:rFonts w:ascii="Arial" w:cs="Arial" w:eastAsia="Arial" w:hAnsi="Arial"/>
          <w:sz w:val="17"/>
          <w:szCs w:val="17"/>
          <w:color w:val="auto"/>
        </w:rPr>
      </w:pPr>
    </w:p>
    <w:p>
      <w:pPr>
        <w:jc w:val="both"/>
        <w:ind w:left="5" w:hanging="5"/>
        <w:spacing w:after="0" w:line="252" w:lineRule="auto"/>
        <w:tabs>
          <w:tab w:leader="none" w:pos="304"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to visit its offices and properties for the purpose of examining such materials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and to discuss matters relating to Receivables and the Related Security or its performance hereunder or under the Contracts with any of its officers, employees, agents or contractors having knowledge of such matters.</w:t>
      </w:r>
    </w:p>
    <w:p>
      <w:pPr>
        <w:spacing w:after="0" w:line="166" w:lineRule="exact"/>
        <w:rPr>
          <w:rFonts w:ascii="Arial" w:cs="Arial" w:eastAsia="Arial" w:hAnsi="Arial"/>
          <w:sz w:val="19"/>
          <w:szCs w:val="19"/>
          <w:color w:val="auto"/>
        </w:rPr>
      </w:pPr>
    </w:p>
    <w:p>
      <w:pPr>
        <w:jc w:val="both"/>
        <w:ind w:left="5" w:firstLine="567"/>
        <w:spacing w:after="0" w:line="256" w:lineRule="auto"/>
        <w:tabs>
          <w:tab w:leader="none" w:pos="981" w:val="left"/>
        </w:tabs>
        <w:numPr>
          <w:ilvl w:val="1"/>
          <w:numId w:val="315"/>
        </w:numPr>
        <w:rPr>
          <w:rFonts w:ascii="Arial" w:cs="Arial" w:eastAsia="Arial" w:hAnsi="Arial"/>
          <w:sz w:val="19"/>
          <w:szCs w:val="19"/>
          <w:color w:val="auto"/>
        </w:rPr>
      </w:pPr>
      <w:r>
        <w:rPr>
          <w:rFonts w:ascii="Arial" w:cs="Arial" w:eastAsia="Arial" w:hAnsi="Arial"/>
          <w:sz w:val="19"/>
          <w:szCs w:val="19"/>
          <w:u w:val="single" w:color="auto"/>
          <w:color w:val="auto"/>
        </w:rPr>
        <w:t>Change in Lock-Box Banks, Lock-Box Accounts and Payment Instructions to Obligors</w:t>
      </w:r>
      <w:r>
        <w:rPr>
          <w:rFonts w:ascii="Arial" w:cs="Arial" w:eastAsia="Arial" w:hAnsi="Arial"/>
          <w:sz w:val="19"/>
          <w:szCs w:val="19"/>
          <w:color w:val="auto"/>
        </w:rPr>
        <w:t>. The Servicer and, to the extent that it ceases to be the Servicer, WESCO, shall not (and shall not permit any Originator to) add or terminate any bank as a Lock-Box Bank or any account as a Lock-Box Account from those listed in the Lock-Box Schedule Letter Agreement, or make any change in its instructions to Obligors regarding payments to be made to the Servicer or any Lock-Box Account (or related post office box), unless the Administrator and the Majority Purchasers shall have consented thereto in writing and the Administrator shall have received copies of all agreements and documents (including Lock-Box Agreements) that it may request in connection therewith.</w:t>
      </w:r>
    </w:p>
    <w:p>
      <w:pPr>
        <w:spacing w:after="0" w:line="162" w:lineRule="exact"/>
        <w:rPr>
          <w:rFonts w:ascii="Arial" w:cs="Arial" w:eastAsia="Arial" w:hAnsi="Arial"/>
          <w:sz w:val="19"/>
          <w:szCs w:val="19"/>
          <w:color w:val="auto"/>
        </w:rPr>
      </w:pPr>
    </w:p>
    <w:p>
      <w:pPr>
        <w:jc w:val="both"/>
        <w:ind w:left="5" w:right="20" w:firstLine="567"/>
        <w:spacing w:after="0" w:line="286" w:lineRule="auto"/>
        <w:tabs>
          <w:tab w:leader="none" w:pos="981"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Deposits to Lock-Box Accounts</w:t>
      </w:r>
      <w:r>
        <w:rPr>
          <w:rFonts w:ascii="Arial" w:cs="Arial" w:eastAsia="Arial" w:hAnsi="Arial"/>
          <w:sz w:val="17"/>
          <w:szCs w:val="17"/>
          <w:color w:val="auto"/>
        </w:rPr>
        <w:t>. The Servicer shall: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(ii) deposit, or cause to be deposited, any Collections received by it into Lock-Box Accounts not later than one Business Day after receipt thereof and</w:t>
      </w:r>
    </w:p>
    <w:p>
      <w:pPr>
        <w:spacing w:after="0" w:line="1" w:lineRule="exact"/>
        <w:rPr>
          <w:rFonts w:ascii="Arial" w:cs="Arial" w:eastAsia="Arial" w:hAnsi="Arial"/>
          <w:sz w:val="17"/>
          <w:szCs w:val="17"/>
          <w:color w:val="auto"/>
        </w:rPr>
      </w:pPr>
    </w:p>
    <w:p>
      <w:pPr>
        <w:jc w:val="both"/>
        <w:ind w:left="5" w:right="20" w:hanging="5"/>
        <w:spacing w:after="0" w:line="250" w:lineRule="auto"/>
        <w:tabs>
          <w:tab w:leader="none" w:pos="366"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 long as the Exception Account Conditions are then satisfied with respect to an Exception Account, such Exception Account need not be subject to a Lock-Box Agreement. The Servicer will not deposit or otherwise credit, or cause or permit to be so deposited or credited, to any Lock-Box Account cash or cash proceeds other than Collections.</w:t>
      </w:r>
    </w:p>
    <w:p>
      <w:pPr>
        <w:spacing w:after="0" w:line="167" w:lineRule="exact"/>
        <w:rPr>
          <w:rFonts w:ascii="Arial" w:cs="Arial" w:eastAsia="Arial" w:hAnsi="Arial"/>
          <w:sz w:val="19"/>
          <w:szCs w:val="19"/>
          <w:color w:val="auto"/>
        </w:rPr>
      </w:pPr>
    </w:p>
    <w:p>
      <w:pPr>
        <w:ind w:left="5" w:right="20" w:firstLine="567"/>
        <w:spacing w:after="0" w:line="287" w:lineRule="auto"/>
        <w:tabs>
          <w:tab w:leader="none" w:pos="986" w:val="left"/>
        </w:tabs>
        <w:numPr>
          <w:ilvl w:val="1"/>
          <w:numId w:val="316"/>
        </w:numPr>
        <w:rPr>
          <w:rFonts w:ascii="Arial" w:cs="Arial" w:eastAsia="Arial" w:hAnsi="Arial"/>
          <w:sz w:val="19"/>
          <w:szCs w:val="19"/>
          <w:color w:val="auto"/>
        </w:rPr>
      </w:pPr>
      <w:r>
        <w:rPr>
          <w:rFonts w:ascii="Arial" w:cs="Arial" w:eastAsia="Arial" w:hAnsi="Arial"/>
          <w:sz w:val="19"/>
          <w:szCs w:val="19"/>
          <w:u w:val="single" w:color="auto"/>
          <w:color w:val="auto"/>
        </w:rPr>
        <w:t>Reporting Requirements</w:t>
      </w:r>
      <w:r>
        <w:rPr>
          <w:rFonts w:ascii="Arial" w:cs="Arial" w:eastAsia="Arial" w:hAnsi="Arial"/>
          <w:sz w:val="19"/>
          <w:szCs w:val="19"/>
          <w:color w:val="auto"/>
        </w:rPr>
        <w:t>. WESCO shall provide to the Administrator (in multiple copies, if requested by the Administrator) and each Purchaser Agent the following:</w:t>
      </w:r>
    </w:p>
    <w:p>
      <w:pPr>
        <w:spacing w:after="0" w:line="132" w:lineRule="exact"/>
        <w:rPr>
          <w:rFonts w:ascii="Arial" w:cs="Arial" w:eastAsia="Arial" w:hAnsi="Arial"/>
          <w:sz w:val="19"/>
          <w:szCs w:val="19"/>
          <w:color w:val="auto"/>
        </w:rPr>
      </w:pPr>
    </w:p>
    <w:p>
      <w:pPr>
        <w:jc w:val="both"/>
        <w:ind w:left="565" w:firstLine="579"/>
        <w:spacing w:after="0" w:line="257" w:lineRule="auto"/>
        <w:tabs>
          <w:tab w:leader="none" w:pos="1643" w:val="left"/>
        </w:tabs>
        <w:numPr>
          <w:ilvl w:val="2"/>
          <w:numId w:val="316"/>
        </w:numPr>
        <w:rPr>
          <w:rFonts w:ascii="Arial" w:cs="Arial" w:eastAsia="Arial" w:hAnsi="Arial"/>
          <w:sz w:val="19"/>
          <w:szCs w:val="19"/>
          <w:color w:val="auto"/>
        </w:rPr>
      </w:pPr>
      <w:r>
        <w:rPr>
          <w:rFonts w:ascii="Arial" w:cs="Arial" w:eastAsia="Arial" w:hAnsi="Arial"/>
          <w:sz w:val="19"/>
          <w:szCs w:val="19"/>
          <w:color w:val="auto"/>
        </w:rPr>
        <w:t>as soon as available and in any event within 45 days after the end of the first three quarters of each fiscal year of Holdings, balance sheets of Holdings and its consolidated Subsidiaries as of the end of such quarter and statements of income, retained earnings and cash flow of Holdings and its consolidated Subsidiaries for the period commencing at the end of the previous fiscal year and ending with the end of such quarter, certified by the chief financial officer of such Person;</w:t>
      </w:r>
    </w:p>
    <w:p>
      <w:pPr>
        <w:spacing w:after="0" w:line="160" w:lineRule="exact"/>
        <w:rPr>
          <w:rFonts w:ascii="Arial" w:cs="Arial" w:eastAsia="Arial" w:hAnsi="Arial"/>
          <w:sz w:val="19"/>
          <w:szCs w:val="19"/>
          <w:color w:val="auto"/>
        </w:rPr>
      </w:pPr>
    </w:p>
    <w:p>
      <w:pPr>
        <w:jc w:val="both"/>
        <w:ind w:left="565" w:right="20" w:firstLine="579"/>
        <w:spacing w:after="0" w:line="261" w:lineRule="auto"/>
        <w:tabs>
          <w:tab w:leader="none" w:pos="1611" w:val="left"/>
        </w:tabs>
        <w:numPr>
          <w:ilvl w:val="2"/>
          <w:numId w:val="316"/>
        </w:numPr>
        <w:rPr>
          <w:rFonts w:ascii="Arial" w:cs="Arial" w:eastAsia="Arial" w:hAnsi="Arial"/>
          <w:sz w:val="19"/>
          <w:szCs w:val="19"/>
          <w:color w:val="auto"/>
        </w:rPr>
      </w:pPr>
      <w:r>
        <w:rPr>
          <w:rFonts w:ascii="Arial" w:cs="Arial" w:eastAsia="Arial" w:hAnsi="Arial"/>
          <w:sz w:val="19"/>
          <w:szCs w:val="19"/>
          <w:color w:val="auto"/>
        </w:rPr>
        <w:t>as soon as available and in any event within 90 days after the end of each fiscal year of Holdings, a copy of the annual report for such year for Holdings and its consolidated Subsidiaries, containing financial statements for such year audited by independent certified public accountants of nationally recognized standing;</w:t>
      </w:r>
    </w:p>
    <w:p>
      <w:pPr>
        <w:spacing w:after="0" w:line="156" w:lineRule="exact"/>
        <w:rPr>
          <w:rFonts w:ascii="Arial" w:cs="Arial" w:eastAsia="Arial" w:hAnsi="Arial"/>
          <w:sz w:val="19"/>
          <w:szCs w:val="19"/>
          <w:color w:val="auto"/>
        </w:rPr>
      </w:pPr>
    </w:p>
    <w:p>
      <w:pPr>
        <w:jc w:val="both"/>
        <w:ind w:left="565" w:firstLine="579"/>
        <w:spacing w:after="0" w:line="269" w:lineRule="auto"/>
        <w:tabs>
          <w:tab w:leader="none" w:pos="1477" w:val="left"/>
        </w:tabs>
        <w:numPr>
          <w:ilvl w:val="2"/>
          <w:numId w:val="316"/>
        </w:numPr>
        <w:rPr>
          <w:rFonts w:ascii="Arial" w:cs="Arial" w:eastAsia="Arial" w:hAnsi="Arial"/>
          <w:sz w:val="18"/>
          <w:szCs w:val="18"/>
          <w:color w:val="auto"/>
        </w:rPr>
      </w:pPr>
      <w:r>
        <w:rPr>
          <w:rFonts w:ascii="Arial" w:cs="Arial" w:eastAsia="Arial" w:hAnsi="Arial"/>
          <w:sz w:val="18"/>
          <w:szCs w:val="18"/>
          <w:color w:val="auto"/>
        </w:rPr>
        <w:t xml:space="preserve">as to the Servicer only, as soon as available and in any event not later than 2 days prior to the Settlement Date in such month, an Information Package for such period, including a calculation (with reasonable detail with respect to such calculation) of Available Liquidity as of the last day of the preceding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(x) WESCO or Holdings shall cease to have a rating of at least “B-” by Standard &amp; Poor’s on its respective corporate credit rating or (y) Holdings’ Available Liquidity fails to exceed $100,000,000, the Servicer shall provide (i) if requested by the Administrator or any Purchaser Agent, in each case in such Person’s sole discretion, an Information Package on the first Business Day of each calendar week and (ii) such information as shall be requested by the Administrator in its sole discretion regarding Collections to the Administrator on a daily basis;</w:t>
      </w:r>
    </w:p>
    <w:p>
      <w:pPr>
        <w:spacing w:after="0" w:line="151" w:lineRule="exact"/>
        <w:rPr>
          <w:rFonts w:ascii="Arial" w:cs="Arial" w:eastAsia="Arial" w:hAnsi="Arial"/>
          <w:sz w:val="18"/>
          <w:szCs w:val="18"/>
          <w:color w:val="auto"/>
        </w:rPr>
      </w:pPr>
    </w:p>
    <w:p>
      <w:pPr>
        <w:jc w:val="both"/>
        <w:ind w:left="565" w:firstLine="579"/>
        <w:spacing w:after="0" w:line="282" w:lineRule="auto"/>
        <w:tabs>
          <w:tab w:leader="none" w:pos="172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as soon as possible and in any event within five days after becoming aware of the occurrence of each Termination Event or Unmatured Termination Event, a statement of the chief financial officer of WESCO setting forth details of such Termination Event or Unmatured Termination Event and the action that such Person has taken and proposes to take with respect thereto;</w:t>
      </w:r>
    </w:p>
    <w:p>
      <w:pPr>
        <w:spacing w:after="0" w:line="140" w:lineRule="exact"/>
        <w:rPr>
          <w:rFonts w:ascii="Arial" w:cs="Arial" w:eastAsia="Arial" w:hAnsi="Arial"/>
          <w:sz w:val="18"/>
          <w:szCs w:val="18"/>
          <w:color w:val="auto"/>
        </w:rPr>
      </w:pPr>
    </w:p>
    <w:p>
      <w:pPr>
        <w:jc w:val="both"/>
        <w:ind w:left="565" w:firstLine="579"/>
        <w:spacing w:after="0" w:line="296" w:lineRule="auto"/>
        <w:tabs>
          <w:tab w:leader="none" w:pos="1704" w:val="left"/>
        </w:tabs>
        <w:numPr>
          <w:ilvl w:val="2"/>
          <w:numId w:val="316"/>
        </w:numPr>
        <w:rPr>
          <w:rFonts w:ascii="Arial" w:cs="Arial" w:eastAsia="Arial" w:hAnsi="Arial"/>
          <w:sz w:val="17"/>
          <w:szCs w:val="17"/>
          <w:color w:val="auto"/>
        </w:rPr>
      </w:pPr>
      <w:r>
        <w:rPr>
          <w:rFonts w:ascii="Arial" w:cs="Arial" w:eastAsia="Arial" w:hAnsi="Arial"/>
          <w:sz w:val="17"/>
          <w:szCs w:val="17"/>
          <w:color w:val="auto"/>
        </w:rPr>
        <w:t xml:space="preserve">promptly after the sending or filing thereof, copies of all reports that WESCO or Holdings sends to any of their respective security holders, and copies of all reports and registration statements that WESCO, Holdings or any of their respective Subsidiaries files with the Securities and Exchange Commission or any national securities exchange; </w:t>
      </w:r>
      <w:r>
        <w:rPr>
          <w:rFonts w:ascii="Arial" w:cs="Arial" w:eastAsia="Arial" w:hAnsi="Arial"/>
          <w:sz w:val="17"/>
          <w:szCs w:val="17"/>
          <w:u w:val="single" w:color="auto"/>
          <w:color w:val="auto"/>
        </w:rPr>
        <w:t>provided</w:t>
      </w:r>
      <w:r>
        <w:rPr>
          <w:rFonts w:ascii="Arial" w:cs="Arial" w:eastAsia="Arial" w:hAnsi="Arial"/>
          <w:sz w:val="17"/>
          <w:szCs w:val="17"/>
          <w:color w:val="auto"/>
        </w:rPr>
        <w:t>, that any filings with the Securities and Exchange Commission that have been granted “confidential” treatment shall be provided promptly after such filings have become publicly available;</w:t>
      </w:r>
    </w:p>
    <w:p>
      <w:pPr>
        <w:spacing w:after="0" w:line="131" w:lineRule="exact"/>
        <w:rPr>
          <w:rFonts w:ascii="Arial" w:cs="Arial" w:eastAsia="Arial" w:hAnsi="Arial"/>
          <w:sz w:val="17"/>
          <w:szCs w:val="17"/>
          <w:color w:val="auto"/>
        </w:rPr>
      </w:pPr>
    </w:p>
    <w:p>
      <w:pPr>
        <w:jc w:val="both"/>
        <w:ind w:left="565" w:firstLine="579"/>
        <w:spacing w:after="0" w:line="253" w:lineRule="auto"/>
        <w:tabs>
          <w:tab w:leader="none" w:pos="1695" w:val="left"/>
        </w:tabs>
        <w:numPr>
          <w:ilvl w:val="2"/>
          <w:numId w:val="316"/>
        </w:numPr>
        <w:rPr>
          <w:rFonts w:ascii="Arial" w:cs="Arial" w:eastAsia="Arial" w:hAnsi="Arial"/>
          <w:sz w:val="19"/>
          <w:szCs w:val="19"/>
          <w:color w:val="auto"/>
        </w:rPr>
      </w:pPr>
      <w:r>
        <w:rPr>
          <w:rFonts w:ascii="Arial" w:cs="Arial" w:eastAsia="Arial" w:hAnsi="Arial"/>
          <w:sz w:val="19"/>
          <w:szCs w:val="19"/>
          <w:color w:val="auto"/>
        </w:rPr>
        <w:t>promptly after the filing or receiving thereof, copies of all material reports and notices that WESCO, Holdings or any of their respective Affiliates files under ERISA with the Internal Revenue Service, the Pension Benefit Guaranty Corporation or the U.S. Department of Labor or that such Person or any of its Affiliates receives from any of the foregoing or from any multiemployer plan (within the meaning of Section 4001(a)(3) of ERISA) to which such Person or any of its Affiliate is or was, within the preceding five years, a contributing employer, in each case in respect of the assessment of withdrawal liability or an event or condition that could, in the aggregate, result in the imposition of liability on WESCO, Holdings and/or any such Affiliate;</w:t>
      </w:r>
    </w:p>
    <w:p>
      <w:pPr>
        <w:sectPr>
          <w:pgSz w:w="11900" w:h="16838" w:orient="portrait"/>
          <w:cols w:equalWidth="0" w:num="1">
            <w:col w:w="11445"/>
          </w:cols>
          <w:pgMar w:left="235" w:top="239" w:right="219" w:bottom="10" w:gutter="0" w:footer="0" w:header="0"/>
        </w:sectPr>
      </w:pPr>
    </w:p>
    <w:bookmarkStart w:id="210" w:name="page211"/>
    <w:bookmarkEnd w:id="210"/>
    <w:p>
      <w:pPr>
        <w:spacing w:after="0" w:line="99" w:lineRule="exact"/>
        <w:rPr>
          <w:sz w:val="20"/>
          <w:szCs w:val="20"/>
          <w:color w:val="auto"/>
        </w:rPr>
      </w:pPr>
    </w:p>
    <w:p>
      <w:pPr>
        <w:jc w:val="both"/>
        <w:ind w:firstLine="579"/>
        <w:spacing w:after="0" w:line="261" w:lineRule="auto"/>
        <w:tabs>
          <w:tab w:leader="none" w:pos="1253"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at least thirty days (or such shorter period as agreed to in writing by the Administrator) before any change in WESCO’s, Holdings’ or any Originator’s name or any other change requiring the amendment of UCC financing statements, a notice setting forth such changes and the effective date thereof;</w:t>
      </w:r>
    </w:p>
    <w:p>
      <w:pPr>
        <w:spacing w:after="0" w:line="156" w:lineRule="exact"/>
        <w:rPr>
          <w:rFonts w:ascii="Arial" w:cs="Arial" w:eastAsia="Arial" w:hAnsi="Arial"/>
          <w:sz w:val="19"/>
          <w:szCs w:val="19"/>
          <w:color w:val="auto"/>
        </w:rPr>
      </w:pPr>
    </w:p>
    <w:p>
      <w:pPr>
        <w:jc w:val="both"/>
        <w:ind w:firstLine="579"/>
        <w:spacing w:after="0" w:line="253" w:lineRule="auto"/>
        <w:tabs>
          <w:tab w:leader="none" w:pos="1222" w:val="left"/>
        </w:tabs>
        <w:numPr>
          <w:ilvl w:val="0"/>
          <w:numId w:val="317"/>
        </w:numPr>
        <w:rPr>
          <w:rFonts w:ascii="Arial" w:cs="Arial" w:eastAsia="Arial" w:hAnsi="Arial"/>
          <w:sz w:val="19"/>
          <w:szCs w:val="19"/>
          <w:color w:val="auto"/>
        </w:rPr>
      </w:pPr>
      <w:r>
        <w:rPr>
          <w:rFonts w:ascii="Arial" w:cs="Arial" w:eastAsia="Arial" w:hAnsi="Arial"/>
          <w:sz w:val="19"/>
          <w:szCs w:val="19"/>
          <w:color w:val="auto"/>
        </w:rPr>
        <w:t>promptly after WESCO or Holdings obtains knowledge thereof, notice of any: (A) litigation, investigation or proceeding that may exist at any time between WESCO, Holdings or any of their respective Subsidiaries and any Governmental Authority that, if not cured or if adversely determined, as the case may be, would have a Material Adverse Effect; (B) litigation or proceeding adversely affecting such Person or any of its Subsidiaries in which (x) the amount involved is $25,000,000 or more and not covered by insurance or (y) injunctive or similar relief is sought which could reasonably be expect to have a Material Adverse Effect; or (C) litigation or proceeding relating to any Transaction Document;</w:t>
      </w:r>
    </w:p>
    <w:p>
      <w:pPr>
        <w:spacing w:after="0" w:line="166" w:lineRule="exact"/>
        <w:rPr>
          <w:rFonts w:ascii="Arial" w:cs="Arial" w:eastAsia="Arial" w:hAnsi="Arial"/>
          <w:sz w:val="19"/>
          <w:szCs w:val="19"/>
          <w:color w:val="auto"/>
        </w:rPr>
      </w:pPr>
    </w:p>
    <w:p>
      <w:pPr>
        <w:ind w:firstLine="579"/>
        <w:spacing w:after="0" w:line="274" w:lineRule="auto"/>
        <w:tabs>
          <w:tab w:leader="none" w:pos="1132" w:val="left"/>
        </w:tabs>
        <w:numPr>
          <w:ilvl w:val="0"/>
          <w:numId w:val="317"/>
        </w:numPr>
        <w:rPr>
          <w:rFonts w:ascii="Arial" w:cs="Arial" w:eastAsia="Arial" w:hAnsi="Arial"/>
          <w:sz w:val="19"/>
          <w:szCs w:val="19"/>
          <w:color w:val="auto"/>
        </w:rPr>
      </w:pPr>
      <w:r>
        <w:rPr>
          <w:rFonts w:ascii="Arial" w:cs="Arial" w:eastAsia="Arial" w:hAnsi="Arial"/>
          <w:sz w:val="19"/>
          <w:szCs w:val="19"/>
          <w:color w:val="auto"/>
        </w:rPr>
        <w:t>promptly after the occurrence thereof, notice of a material adverse change in the business, operations, property or financial or other condition of WESCO, Holdings or any of their respective Subsidiaries;</w:t>
      </w:r>
    </w:p>
    <w:p>
      <w:pPr>
        <w:spacing w:after="0" w:line="144" w:lineRule="exact"/>
        <w:rPr>
          <w:rFonts w:ascii="Arial" w:cs="Arial" w:eastAsia="Arial" w:hAnsi="Arial"/>
          <w:sz w:val="19"/>
          <w:szCs w:val="19"/>
          <w:color w:val="auto"/>
        </w:rPr>
      </w:pPr>
    </w:p>
    <w:p>
      <w:pPr>
        <w:ind w:left="1000" w:hanging="421"/>
        <w:spacing w:after="0"/>
        <w:tabs>
          <w:tab w:leader="none" w:pos="100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promptly after the occurrence thereof, notice of any downgrade of WESCO or Holdings;</w:t>
      </w:r>
    </w:p>
    <w:p>
      <w:pPr>
        <w:spacing w:after="0" w:line="198" w:lineRule="exact"/>
        <w:rPr>
          <w:rFonts w:ascii="Arial" w:cs="Arial" w:eastAsia="Arial" w:hAnsi="Arial"/>
          <w:sz w:val="19"/>
          <w:szCs w:val="19"/>
          <w:color w:val="auto"/>
        </w:rPr>
      </w:pPr>
    </w:p>
    <w:p>
      <w:pPr>
        <w:ind w:right="20" w:firstLine="579"/>
        <w:spacing w:after="0" w:line="302" w:lineRule="auto"/>
        <w:tabs>
          <w:tab w:leader="none" w:pos="111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such other information respecting the Receivables or the condition or operations, financial or otherwise, of WESCO, Holdings or any of their respective Affiliates as the Administrator or any Purchaser Agent may from time to time reasonably request;</w:t>
      </w:r>
    </w:p>
    <w:p>
      <w:pPr>
        <w:spacing w:after="0" w:line="122" w:lineRule="exact"/>
        <w:rPr>
          <w:rFonts w:ascii="Arial" w:cs="Arial" w:eastAsia="Arial" w:hAnsi="Arial"/>
          <w:sz w:val="18"/>
          <w:szCs w:val="18"/>
          <w:color w:val="auto"/>
        </w:rPr>
      </w:pPr>
    </w:p>
    <w:p>
      <w:pPr>
        <w:ind w:right="20" w:firstLine="579"/>
        <w:spacing w:after="0" w:line="274" w:lineRule="auto"/>
        <w:tabs>
          <w:tab w:leader="none" w:pos="1151" w:val="left"/>
        </w:tabs>
        <w:numPr>
          <w:ilvl w:val="0"/>
          <w:numId w:val="317"/>
        </w:numPr>
        <w:rPr>
          <w:rFonts w:ascii="Arial" w:cs="Arial" w:eastAsia="Arial" w:hAnsi="Arial"/>
          <w:sz w:val="19"/>
          <w:szCs w:val="19"/>
          <w:color w:val="auto"/>
        </w:rPr>
      </w:pPr>
      <w:r>
        <w:rPr>
          <w:rFonts w:ascii="Arial" w:cs="Arial" w:eastAsia="Arial" w:hAnsi="Arial"/>
          <w:sz w:val="19"/>
          <w:szCs w:val="19"/>
          <w:color w:val="auto"/>
        </w:rPr>
        <w:t>promptly after the occurrence thereof, notice of any material acquisition or investment by WESCO or Holdings of or in any Person, business or operation;</w:t>
      </w:r>
    </w:p>
    <w:p>
      <w:pPr>
        <w:spacing w:after="0" w:line="144" w:lineRule="exact"/>
        <w:rPr>
          <w:rFonts w:ascii="Arial" w:cs="Arial" w:eastAsia="Arial" w:hAnsi="Arial"/>
          <w:sz w:val="19"/>
          <w:szCs w:val="19"/>
          <w:color w:val="auto"/>
        </w:rPr>
      </w:pPr>
    </w:p>
    <w:p>
      <w:pPr>
        <w:jc w:val="both"/>
        <w:ind w:firstLine="579"/>
        <w:spacing w:after="0" w:line="282" w:lineRule="auto"/>
        <w:tabs>
          <w:tab w:leader="none" w:pos="114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on or before 30 days prior to each anniversary of the Closing Date, the Servicer shall, at its own expense, cause an independent auditor acceptable to the Administrator and each Purchaser Agent to furnish to WESCO, the Administrator and each Purchaser Agent, (A) a report in a format acceptable to each Purchaser Agent, to the effect that they have (1) reviewed and audited WESCO’s and Holdings’ books, records and servicing procedures, (2) performed testing of a statistically significant sample of Receivables and each Information Package generated during such fiscal year then ended, and describing the results of such review and testing, and (3) during such review and testing, not discovered any deviations (other than those described in the report) from the Credit and Collection Policy, and (B) a report in a format acceptable to each Purchaser Agent to the effect that they have applied certain procedures agreed upon with the Servicer, the Administrator and each Purchaser Agent and examined certain documents and records relating to the servicing of Receivables under this Agreement, and that, based upon such agreed upon procedures, nothing has come to the attention of such auditors that caused them to believe such servicing (including without limitation, the allocation of Collections) has not been conducted in compliance with the terms and conditions set forth herein, except for such exceptions as they believe to be immaterial and such other exceptions as shall be set forth in such statement. In addition, each report shall set forth the agreed upon procedures performed (it being understood and agreed that in any year, a field audit performed by the Administrator or its agents or representatives pursuant to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Exhibit IV</w:t>
      </w:r>
      <w:r>
        <w:rPr>
          <w:rFonts w:ascii="Arial" w:cs="Arial" w:eastAsia="Arial" w:hAnsi="Arial"/>
          <w:sz w:val="17"/>
          <w:szCs w:val="17"/>
          <w:color w:val="auto"/>
        </w:rPr>
        <w:t xml:space="preserve"> may, with the prior consent of the Administrator and the Majority Purchasers, satisfy the requirements of this </w:t>
      </w:r>
      <w:r>
        <w:rPr>
          <w:rFonts w:ascii="Arial" w:cs="Arial" w:eastAsia="Arial" w:hAnsi="Arial"/>
          <w:sz w:val="17"/>
          <w:szCs w:val="17"/>
          <w:u w:val="single" w:color="auto"/>
          <w:color w:val="auto"/>
        </w:rPr>
        <w:t>clause (xiii)</w:t>
      </w:r>
      <w:r>
        <w:rPr>
          <w:rFonts w:ascii="Arial" w:cs="Arial" w:eastAsia="Arial" w:hAnsi="Arial"/>
          <w:sz w:val="17"/>
          <w:szCs w:val="17"/>
          <w:color w:val="auto"/>
        </w:rPr>
        <w:t>); and</w:t>
      </w:r>
    </w:p>
    <w:p>
      <w:pPr>
        <w:spacing w:after="0" w:line="144" w:lineRule="exact"/>
        <w:rPr>
          <w:rFonts w:ascii="Arial" w:cs="Arial" w:eastAsia="Arial" w:hAnsi="Arial"/>
          <w:sz w:val="17"/>
          <w:szCs w:val="17"/>
          <w:color w:val="auto"/>
        </w:rPr>
      </w:pPr>
    </w:p>
    <w:p>
      <w:pPr>
        <w:jc w:val="both"/>
        <w:ind w:firstLine="579"/>
        <w:spacing w:after="0" w:line="261" w:lineRule="auto"/>
        <w:tabs>
          <w:tab w:leader="none" w:pos="1155"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as soon as available each month and in any event not later than 30 days after the end of such month (other than months which are the last month of a calendar quarter) and within 45 days of the end of each calendar quarter, management prepared unaudited financial statements of Holdings and its consolidated Subsidiaries.</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 xml:space="preserve">Information required to be delivered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Section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w:t>
      </w:r>
    </w:p>
    <w:p>
      <w:pPr>
        <w:spacing w:after="0" w:line="162" w:lineRule="exact"/>
        <w:rPr>
          <w:sz w:val="20"/>
          <w:szCs w:val="20"/>
          <w:color w:val="auto"/>
        </w:rPr>
      </w:pPr>
    </w:p>
    <w:p>
      <w:pPr>
        <w:jc w:val="both"/>
        <w:ind w:right="20" w:firstLine="7"/>
        <w:spacing w:after="0" w:line="251" w:lineRule="auto"/>
        <w:tabs>
          <w:tab w:leader="none" w:pos="418"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Anti-Money Laundering/International Trade Law Compliance</w:t>
      </w:r>
      <w:r>
        <w:rPr>
          <w:rFonts w:ascii="Arial" w:cs="Arial" w:eastAsia="Arial" w:hAnsi="Arial"/>
          <w:sz w:val="19"/>
          <w:szCs w:val="19"/>
          <w:color w:val="auto"/>
        </w:rPr>
        <w:t>. The Servicer will not become a Sanctioned Person. No Covered Entity, either in its own right or through any third party, will (i) have any of its assets in a Sanctioned Country or in the possession, custody or control of a Sanctioned Person in violation of any Anti-Terrorism Law; (ii) do business in or with, or derive any of its income from investments in or transactions with, any Sanctioned Country or Sanctioned Person in violation of any Anti-Terrorism Law; (iii) engage in any dealings or transactions prohibited by any Anti-Terrorism Law or (iv) use the proceeds of any Purchase or reinvestment to fund any operations in, finance any investments or activities in, or, make any payments to, a Sanctioned Country or Sanctioned Person in violation of any Anti-Terrorism Law. The funds used to repay each Purchase will not be derived from any unlawful activity. The Servicer shall comply with all Anti-Terrorism Laws. The Servicer shall promptly notify the Administrator and each Purchaser Agent in writing upon the occurrence of a Reportable Compliance Event.</w:t>
      </w:r>
    </w:p>
    <w:p>
      <w:pPr>
        <w:spacing w:after="0" w:line="171" w:lineRule="exact"/>
        <w:rPr>
          <w:sz w:val="20"/>
          <w:szCs w:val="20"/>
          <w:color w:val="auto"/>
        </w:rPr>
      </w:pPr>
    </w:p>
    <w:p>
      <w:pPr>
        <w:jc w:val="both"/>
        <w:ind w:left="-560" w:firstLine="567"/>
        <w:spacing w:after="0" w:line="287" w:lineRule="auto"/>
        <w:tabs>
          <w:tab w:leader="none" w:pos="202"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Separate Existence</w:t>
      </w:r>
      <w:r>
        <w:rPr>
          <w:rFonts w:ascii="Arial" w:cs="Arial" w:eastAsia="Arial" w:hAnsi="Arial"/>
          <w:sz w:val="17"/>
          <w:szCs w:val="17"/>
          <w:color w:val="auto"/>
        </w:rPr>
        <w:t>. Each of the Seller and WESCO hereby acknowledges that the Purchasers, the Purchaser Agents, the Administrator and the Liquidity Providers are entering into the transactions contemplated by this Agreement and the other Transaction Documents in reliance upon the Seller’s identity as a legal entity separate from WESCO and its Affiliates. Therefore, from and after the date hereof, each of the Seller and WESCO shall take all steps specifically required by this Agreement or reasonably required by the Administrator to continue the Seller’s identity as a separate legal entity and to make it apparent to third Persons that the Seller is an entity with assets and liabilities distinct from those of WESCO and any other Person, and is not a division of WESCO, its Affiliates or any other Person. Without limiting the generality of the foregoing and in addition to and consistent with the other covenants set forth herein, each of the Seller and WESCO shall take such actions as shall be required in order that:</w:t>
      </w:r>
    </w:p>
    <w:p>
      <w:pPr>
        <w:spacing w:after="0" w:line="138" w:lineRule="exact"/>
        <w:rPr>
          <w:rFonts w:ascii="Arial" w:cs="Arial" w:eastAsia="Arial" w:hAnsi="Arial"/>
          <w:sz w:val="17"/>
          <w:szCs w:val="17"/>
          <w:color w:val="auto"/>
        </w:rPr>
      </w:pPr>
    </w:p>
    <w:p>
      <w:pPr>
        <w:jc w:val="both"/>
        <w:ind w:right="20" w:firstLine="579"/>
        <w:spacing w:after="0" w:line="257" w:lineRule="auto"/>
        <w:tabs>
          <w:tab w:leader="none" w:pos="852" w:val="left"/>
        </w:tabs>
        <w:numPr>
          <w:ilvl w:val="1"/>
          <w:numId w:val="319"/>
        </w:numPr>
        <w:rPr>
          <w:rFonts w:ascii="Arial" w:cs="Arial" w:eastAsia="Arial" w:hAnsi="Arial"/>
          <w:sz w:val="19"/>
          <w:szCs w:val="19"/>
          <w:color w:val="auto"/>
        </w:rPr>
      </w:pPr>
      <w:r>
        <w:rPr>
          <w:rFonts w:ascii="Arial" w:cs="Arial" w:eastAsia="Arial" w:hAnsi="Arial"/>
          <w:sz w:val="19"/>
          <w:szCs w:val="19"/>
          <w:color w:val="auto"/>
        </w:rPr>
        <w:t>The Seller will be a limited purpose corporation whose primary activities are restricted in its certificate of incorporation to: (i) purchasing or otherwise acquiring from the Originators, owning, holding, granting security interests or selling interests in Pool Assets, (ii) entering into agreements for the selling and servicing of the Receivables Pool, and (iii) conducting such other activities as it deems necessary or appropriate to carry out its primary activities;</w:t>
      </w:r>
    </w:p>
    <w:p>
      <w:pPr>
        <w:spacing w:after="0" w:line="160" w:lineRule="exact"/>
        <w:rPr>
          <w:rFonts w:ascii="Arial" w:cs="Arial" w:eastAsia="Arial" w:hAnsi="Arial"/>
          <w:sz w:val="19"/>
          <w:szCs w:val="19"/>
          <w:color w:val="auto"/>
        </w:rPr>
      </w:pPr>
    </w:p>
    <w:p>
      <w:pPr>
        <w:ind w:right="20" w:firstLine="579"/>
        <w:spacing w:after="0" w:line="274" w:lineRule="auto"/>
        <w:tabs>
          <w:tab w:leader="none" w:pos="85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The Seller shall not engage in any business or activity, or incur any indebtedness or liability, other than as expressly permitted by the Transaction Documents;</w:t>
      </w:r>
    </w:p>
    <w:p>
      <w:pPr>
        <w:spacing w:after="0" w:line="144" w:lineRule="exact"/>
        <w:rPr>
          <w:rFonts w:ascii="Arial" w:cs="Arial" w:eastAsia="Arial" w:hAnsi="Arial"/>
          <w:sz w:val="19"/>
          <w:szCs w:val="19"/>
          <w:color w:val="auto"/>
        </w:rPr>
      </w:pPr>
    </w:p>
    <w:p>
      <w:pPr>
        <w:jc w:val="both"/>
        <w:ind w:right="20" w:firstLine="579"/>
        <w:spacing w:after="0" w:line="334" w:lineRule="auto"/>
        <w:tabs>
          <w:tab w:leader="none" w:pos="831" w:val="left"/>
        </w:tabs>
        <w:numPr>
          <w:ilvl w:val="1"/>
          <w:numId w:val="319"/>
        </w:numPr>
        <w:rPr>
          <w:rFonts w:ascii="Arial" w:cs="Arial" w:eastAsia="Arial" w:hAnsi="Arial"/>
          <w:sz w:val="17"/>
          <w:szCs w:val="17"/>
          <w:color w:val="auto"/>
        </w:rPr>
      </w:pPr>
      <w:r>
        <w:rPr>
          <w:rFonts w:ascii="Arial" w:cs="Arial" w:eastAsia="Arial" w:hAnsi="Arial"/>
          <w:sz w:val="17"/>
          <w:szCs w:val="17"/>
          <w:color w:val="auto"/>
        </w:rPr>
        <w:t>Not less than one member of the Seller’s Board of Directors (the “</w:t>
      </w:r>
      <w:r>
        <w:rPr>
          <w:rFonts w:ascii="Arial" w:cs="Arial" w:eastAsia="Arial" w:hAnsi="Arial"/>
          <w:sz w:val="17"/>
          <w:szCs w:val="17"/>
          <w:u w:val="single" w:color="auto"/>
          <w:color w:val="auto"/>
        </w:rPr>
        <w:t>Independent Director</w:t>
      </w:r>
      <w:r>
        <w:rPr>
          <w:rFonts w:ascii="Arial" w:cs="Arial" w:eastAsia="Arial" w:hAnsi="Arial"/>
          <w:sz w:val="17"/>
          <w:szCs w:val="17"/>
          <w:color w:val="auto"/>
        </w:rPr>
        <w:t>”) shall be an individual who is not a direct, indirect or beneficial stockholder, officer, director, employee, affiliate, associate or supplier of WESCO or any of its Affiliates. The certificate</w:t>
      </w:r>
    </w:p>
    <w:p>
      <w:pPr>
        <w:sectPr>
          <w:pgSz w:w="11900" w:h="16937" w:orient="portrait"/>
          <w:cols w:equalWidth="0" w:num="1">
            <w:col w:w="10880"/>
          </w:cols>
          <w:pgMar w:left="800" w:top="132" w:right="219" w:bottom="0" w:gutter="0" w:footer="0" w:header="0"/>
        </w:sectPr>
      </w:pPr>
    </w:p>
    <w:bookmarkStart w:id="211" w:name="page212"/>
    <w:bookmarkEnd w:id="211"/>
    <w:p>
      <w:pPr>
        <w:jc w:val="both"/>
        <w:ind w:left="560"/>
        <w:spacing w:after="0" w:line="257" w:lineRule="auto"/>
        <w:rPr>
          <w:sz w:val="20"/>
          <w:szCs w:val="20"/>
          <w:color w:val="auto"/>
        </w:rPr>
      </w:pPr>
      <w:r>
        <w:rPr>
          <w:rFonts w:ascii="Arial" w:cs="Arial" w:eastAsia="Arial" w:hAnsi="Arial"/>
          <w:sz w:val="19"/>
          <w:szCs w:val="19"/>
          <w:color w:val="auto"/>
        </w:rPr>
        <w:t>of incorporation of the Seller shall provide that: (i) the Seller’s Board of Directors shall not approve, or take any other action to cause the filing of, a voluntary bankruptcy petition with respect to the Seller unless the Independent Director shall approve the taking of such action in writing before the taking of such action, and (ii) such provision cannot be amended without the prior written consent of the Independent Director;</w:t>
      </w:r>
    </w:p>
    <w:p>
      <w:pPr>
        <w:spacing w:after="0" w:line="160" w:lineRule="exact"/>
        <w:rPr>
          <w:sz w:val="20"/>
          <w:szCs w:val="20"/>
          <w:color w:val="auto"/>
        </w:rPr>
      </w:pPr>
    </w:p>
    <w:p>
      <w:pPr>
        <w:ind w:left="1400" w:hanging="261"/>
        <w:spacing w:after="0"/>
        <w:tabs>
          <w:tab w:leader="none" w:pos="14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Independent Director shall not at any time serve as a trustee in bankruptcy for the Seller, WESCO or any Affiliate thereof;</w:t>
      </w:r>
    </w:p>
    <w:p>
      <w:pPr>
        <w:spacing w:after="0" w:line="210" w:lineRule="exact"/>
        <w:rPr>
          <w:rFonts w:ascii="Arial" w:cs="Arial" w:eastAsia="Arial" w:hAnsi="Arial"/>
          <w:sz w:val="18"/>
          <w:szCs w:val="18"/>
          <w:color w:val="auto"/>
        </w:rPr>
      </w:pPr>
    </w:p>
    <w:p>
      <w:pPr>
        <w:jc w:val="both"/>
        <w:ind w:left="560" w:right="20" w:firstLine="579"/>
        <w:spacing w:after="0" w:line="275" w:lineRule="auto"/>
        <w:tabs>
          <w:tab w:leader="none" w:pos="140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the Seller’s funds;</w:t>
      </w:r>
    </w:p>
    <w:p>
      <w:pPr>
        <w:spacing w:after="0" w:line="147" w:lineRule="exact"/>
        <w:rPr>
          <w:rFonts w:ascii="Arial" w:cs="Arial" w:eastAsia="Arial" w:hAnsi="Arial"/>
          <w:sz w:val="18"/>
          <w:szCs w:val="18"/>
          <w:color w:val="auto"/>
        </w:rPr>
      </w:pPr>
    </w:p>
    <w:p>
      <w:pPr>
        <w:jc w:val="both"/>
        <w:ind w:left="560" w:firstLine="579"/>
        <w:spacing w:after="0" w:line="252" w:lineRule="auto"/>
        <w:tabs>
          <w:tab w:leader="none" w:pos="141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The Seller will contract with the Servicer to perform for the Seller all operations required on a daily basis to service the Receivables Pool. The Seller will pay the Servicer the Servicing Fee pursuant to this Agreement. The Seller will not incur any material indirect or overhead expenses for items shared with WESCO (or any other Affiliate thereof) that are not reflected in the Servicing Fee. To the extent, if any, that the Seller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r>
        <w:rPr>
          <w:rFonts w:ascii="Arial" w:cs="Arial" w:eastAsia="Arial" w:hAnsi="Arial"/>
          <w:sz w:val="19"/>
          <w:szCs w:val="19"/>
          <w:u w:val="single" w:color="auto"/>
          <w:color w:val="auto"/>
        </w:rPr>
        <w:t>it being understood</w:t>
      </w:r>
      <w:r>
        <w:rPr>
          <w:rFonts w:ascii="Arial" w:cs="Arial" w:eastAsia="Arial" w:hAnsi="Arial"/>
          <w:sz w:val="19"/>
          <w:szCs w:val="19"/>
          <w:color w:val="auto"/>
        </w:rPr>
        <w:t xml:space="preserve"> that WESCO shall pay all expenses relating to the preparation, negotiation, execution and delivery of the Transaction Documents, including legal, agency and other fees;</w:t>
      </w:r>
    </w:p>
    <w:p>
      <w:pPr>
        <w:spacing w:after="0" w:line="166" w:lineRule="exact"/>
        <w:rPr>
          <w:rFonts w:ascii="Arial" w:cs="Arial" w:eastAsia="Arial" w:hAnsi="Arial"/>
          <w:sz w:val="19"/>
          <w:szCs w:val="19"/>
          <w:color w:val="auto"/>
        </w:rPr>
      </w:pPr>
    </w:p>
    <w:p>
      <w:pPr>
        <w:ind w:left="1400" w:hanging="261"/>
        <w:spacing w:after="0"/>
        <w:tabs>
          <w:tab w:leader="none" w:pos="140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Seller’s operating expenses will not be paid by WESCO or any other Affiliate thereof;</w:t>
      </w:r>
    </w:p>
    <w:p>
      <w:pPr>
        <w:spacing w:after="0" w:line="198" w:lineRule="exact"/>
        <w:rPr>
          <w:rFonts w:ascii="Arial" w:cs="Arial" w:eastAsia="Arial" w:hAnsi="Arial"/>
          <w:sz w:val="19"/>
          <w:szCs w:val="19"/>
          <w:color w:val="auto"/>
        </w:rPr>
      </w:pPr>
    </w:p>
    <w:p>
      <w:pPr>
        <w:ind w:left="560" w:right="20" w:firstLine="579"/>
        <w:spacing w:after="0" w:line="274" w:lineRule="auto"/>
        <w:tabs>
          <w:tab w:leader="none" w:pos="1406"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All of the Seller’s business correspondence and other communications shall be conducted in the Seller’s own name and on its own separate stationery;</w:t>
      </w:r>
    </w:p>
    <w:p>
      <w:pPr>
        <w:spacing w:after="0" w:line="144" w:lineRule="exact"/>
        <w:rPr>
          <w:rFonts w:ascii="Arial" w:cs="Arial" w:eastAsia="Arial" w:hAnsi="Arial"/>
          <w:sz w:val="19"/>
          <w:szCs w:val="19"/>
          <w:color w:val="auto"/>
        </w:rPr>
      </w:pPr>
    </w:p>
    <w:p>
      <w:pPr>
        <w:ind w:left="1360" w:hanging="221"/>
        <w:spacing w:after="0"/>
        <w:tabs>
          <w:tab w:leader="none" w:pos="136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Seller’s books and records will be maintained separately from those of WESCO and any other Affiliate thereof;</w:t>
      </w:r>
    </w:p>
    <w:p>
      <w:pPr>
        <w:spacing w:after="0" w:line="198" w:lineRule="exact"/>
        <w:rPr>
          <w:rFonts w:ascii="Arial" w:cs="Arial" w:eastAsia="Arial" w:hAnsi="Arial"/>
          <w:sz w:val="19"/>
          <w:szCs w:val="19"/>
          <w:color w:val="auto"/>
        </w:rPr>
      </w:pPr>
    </w:p>
    <w:p>
      <w:pPr>
        <w:jc w:val="both"/>
        <w:ind w:left="560" w:right="20" w:firstLine="579"/>
        <w:spacing w:after="0" w:line="257" w:lineRule="auto"/>
        <w:tabs>
          <w:tab w:leader="none" w:pos="1388"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All financial statements of WESCO or any Affiliate thereof that are consolidated to include Seller will contain detailed notes clearly stating that: (i) a special purpose corporation exists as a Subsidiary of WESCO, and (ii) the Originators have sold receivables and other related assets to such special purpose Subsidiary that, in turn, has sold undivided interests therein to certain financial institutions and other entities;</w:t>
      </w:r>
    </w:p>
    <w:p>
      <w:pPr>
        <w:spacing w:after="0" w:line="160" w:lineRule="exact"/>
        <w:rPr>
          <w:rFonts w:ascii="Arial" w:cs="Arial" w:eastAsia="Arial" w:hAnsi="Arial"/>
          <w:sz w:val="19"/>
          <w:szCs w:val="19"/>
          <w:color w:val="auto"/>
        </w:rPr>
      </w:pPr>
    </w:p>
    <w:p>
      <w:pPr>
        <w:ind w:left="560" w:right="20" w:firstLine="579"/>
        <w:spacing w:after="0" w:line="274" w:lineRule="auto"/>
        <w:tabs>
          <w:tab w:leader="none" w:pos="140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Seller’s assets will be maintained in a manner that facilitates their identification and segregation from those of WESCO or any Affiliate thereof;</w:t>
      </w:r>
    </w:p>
    <w:p>
      <w:pPr>
        <w:spacing w:after="0" w:line="144" w:lineRule="exact"/>
        <w:rPr>
          <w:rFonts w:ascii="Arial" w:cs="Arial" w:eastAsia="Arial" w:hAnsi="Arial"/>
          <w:sz w:val="19"/>
          <w:szCs w:val="19"/>
          <w:color w:val="auto"/>
        </w:rPr>
      </w:pPr>
    </w:p>
    <w:p>
      <w:pPr>
        <w:jc w:val="both"/>
        <w:ind w:left="560" w:firstLine="579"/>
        <w:spacing w:after="0" w:line="268" w:lineRule="auto"/>
        <w:tabs>
          <w:tab w:leader="none" w:pos="136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Seller will strictly observe corporate formalities in its dealings with WESCO or any Affiliate thereof, and funds or other assets of the Seller will not be commingled with those of WESCO or any Affiliate thereof except as permitted by this Agreement in connection with servicing the Pool Receivables. The Seller shall not maintain joint bank accounts or other depository accounts to which WESCO or any Affiliate thereof (other than WESCO in its capacity as the Servicer) has independent access. The Seller is not named, and has not entered into any agreement to be named, directly or indirectly, as a direct or contingent beneficiary or loss payee on any insurance policy with respect to any loss relating to the property of WESCO or any Subsidiary or other Affiliate of WESCO. The Seller will pay to the appropriate Affiliate the marginal increase or, in the absence of such increase, the market amount of its portion of the premium payable with respect to any insurance policy that covers the Seller and such Affiliate;</w:t>
      </w:r>
    </w:p>
    <w:p>
      <w:pPr>
        <w:spacing w:after="0" w:line="152" w:lineRule="exact"/>
        <w:rPr>
          <w:rFonts w:ascii="Arial" w:cs="Arial" w:eastAsia="Arial" w:hAnsi="Arial"/>
          <w:sz w:val="18"/>
          <w:szCs w:val="18"/>
          <w:color w:val="auto"/>
        </w:rPr>
      </w:pPr>
    </w:p>
    <w:p>
      <w:pPr>
        <w:jc w:val="both"/>
        <w:ind w:left="560" w:firstLine="579"/>
        <w:spacing w:after="0" w:line="253" w:lineRule="auto"/>
        <w:tabs>
          <w:tab w:leader="none" w:pos="1455"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Seller will maintain arm’s-length relationships with WESCO (and any Affiliate thereof). Any Person that renders or otherwise furnishes services to the Seller will be compensated by the Seller at market rates for such services it renders or otherwise furnishes to the Seller. Neither the Seller nor WESCO will be or will hold itself out to be responsible for the debts of the other or the decisions or actions respecting the daily business and affairs of the other. The Seller and WESCO will immediately correct any known misrepresentation with respect to the foregoing, and they will not operate or purport to operate as an integrated single economic unit with respect to each other or in their dealing with any other entity; and</w:t>
      </w:r>
    </w:p>
    <w:p>
      <w:pPr>
        <w:spacing w:after="0" w:line="166" w:lineRule="exact"/>
        <w:rPr>
          <w:rFonts w:ascii="Arial" w:cs="Arial" w:eastAsia="Arial" w:hAnsi="Arial"/>
          <w:sz w:val="19"/>
          <w:szCs w:val="19"/>
          <w:color w:val="auto"/>
        </w:rPr>
      </w:pPr>
    </w:p>
    <w:p>
      <w:pPr>
        <w:ind w:left="1400" w:hanging="261"/>
        <w:spacing w:after="0"/>
        <w:tabs>
          <w:tab w:leader="none" w:pos="140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WESCO shall not pay the salaries of Seller’s employees, if 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V</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TERMINATION EVENTS</w:t>
      </w:r>
    </w:p>
    <w:p>
      <w:pPr>
        <w:spacing w:after="0" w:line="3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Each of the following shall be a “</w:t>
      </w:r>
      <w:r>
        <w:rPr>
          <w:rFonts w:ascii="Arial" w:cs="Arial" w:eastAsia="Arial" w:hAnsi="Arial"/>
          <w:sz w:val="19"/>
          <w:szCs w:val="19"/>
          <w:u w:val="single" w:color="auto"/>
          <w:color w:val="auto"/>
        </w:rPr>
        <w:t>Termination Event</w:t>
      </w:r>
      <w:r>
        <w:rPr>
          <w:rFonts w:ascii="Arial" w:cs="Arial" w:eastAsia="Arial" w:hAnsi="Arial"/>
          <w:sz w:val="19"/>
          <w:szCs w:val="19"/>
          <w:color w:val="auto"/>
        </w:rPr>
        <w:t>”:</w:t>
      </w:r>
    </w:p>
    <w:p>
      <w:pPr>
        <w:spacing w:after="0" w:line="199" w:lineRule="exact"/>
        <w:rPr>
          <w:sz w:val="20"/>
          <w:szCs w:val="20"/>
          <w:color w:val="auto"/>
        </w:rPr>
      </w:pPr>
    </w:p>
    <w:p>
      <w:pPr>
        <w:jc w:val="both"/>
        <w:ind w:right="20" w:firstLine="567"/>
        <w:spacing w:after="0" w:line="258" w:lineRule="auto"/>
        <w:tabs>
          <w:tab w:leader="none" w:pos="1037" w:val="left"/>
        </w:tabs>
        <w:numPr>
          <w:ilvl w:val="0"/>
          <w:numId w:val="321"/>
        </w:numPr>
        <w:rPr>
          <w:rFonts w:ascii="Arial" w:cs="Arial" w:eastAsia="Arial" w:hAnsi="Arial"/>
          <w:sz w:val="19"/>
          <w:szCs w:val="19"/>
          <w:color w:val="auto"/>
        </w:rPr>
      </w:pPr>
      <w:r>
        <w:rPr>
          <w:rFonts w:ascii="Arial" w:cs="Arial" w:eastAsia="Arial" w:hAnsi="Arial"/>
          <w:sz w:val="19"/>
          <w:szCs w:val="19"/>
          <w:color w:val="auto"/>
        </w:rPr>
        <w:t>(i) the Seller, WESCO, any Originator or the Servicer shall fail to perform or observe any term, covenant or agreement under this Agreement or any other Transaction Document and, except as otherwise provided herein, such failure shall continue for 5 days after knowledge or notice thereof, (ii) the Seller or the Servicer shall fail to make when due any payment or deposit to be made by it under this Agreement and such failure shall continue unremedied for one Business Day or (iii) WESCO shall resign as Servicer, and no successor Servicer reasonably satisfactory to the Administrator and the Majority Purchasers shall have been appointed;</w:t>
      </w:r>
    </w:p>
    <w:p>
      <w:pPr>
        <w:spacing w:after="0" w:line="159" w:lineRule="exact"/>
        <w:rPr>
          <w:rFonts w:ascii="Arial" w:cs="Arial" w:eastAsia="Arial" w:hAnsi="Arial"/>
          <w:sz w:val="19"/>
          <w:szCs w:val="19"/>
          <w:color w:val="auto"/>
        </w:rPr>
      </w:pPr>
    </w:p>
    <w:p>
      <w:pPr>
        <w:ind w:right="20" w:firstLine="567"/>
        <w:spacing w:after="0" w:line="287" w:lineRule="auto"/>
        <w:tabs>
          <w:tab w:leader="none" w:pos="100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WESCO (or any Affiliate thereof) shall fail to transfer to any successor Servicer when required any rights pursuant to this Agreement that WESCO (or such Affiliate) then has as Servicer;</w:t>
      </w:r>
    </w:p>
    <w:p>
      <w:pPr>
        <w:spacing w:after="0" w:line="132" w:lineRule="exact"/>
        <w:rPr>
          <w:rFonts w:ascii="Arial" w:cs="Arial" w:eastAsia="Arial" w:hAnsi="Arial"/>
          <w:sz w:val="19"/>
          <w:szCs w:val="19"/>
          <w:color w:val="auto"/>
        </w:rPr>
      </w:pPr>
    </w:p>
    <w:p>
      <w:pPr>
        <w:jc w:val="both"/>
        <w:ind w:firstLine="567"/>
        <w:spacing w:after="0" w:line="313" w:lineRule="auto"/>
        <w:tabs>
          <w:tab w:leader="none" w:pos="94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the Seller, WESCO or any Originator (or any of their respective officers) under or in connection with this Agreement or any other Transaction Document, or any information or report delivered by the Seller, WESCO or any Originator or the Servicer pursuant to this Agreement or any other Transaction Document, shall prove to have been incorrect or untrue in any material</w:t>
      </w:r>
    </w:p>
    <w:p>
      <w:pPr>
        <w:sectPr>
          <w:pgSz w:w="11900" w:h="16838" w:orient="portrait"/>
          <w:cols w:equalWidth="0" w:num="1">
            <w:col w:w="11440"/>
          </w:cols>
          <w:pgMar w:left="240" w:top="132" w:right="219" w:bottom="0" w:gutter="0" w:footer="0" w:header="0"/>
        </w:sectPr>
      </w:pPr>
    </w:p>
    <w:bookmarkStart w:id="212" w:name="page213"/>
    <w:bookmarkEnd w:id="212"/>
    <w:p>
      <w:pPr>
        <w:ind w:right="20"/>
        <w:spacing w:after="0" w:line="274" w:lineRule="auto"/>
        <w:rPr>
          <w:sz w:val="20"/>
          <w:szCs w:val="20"/>
          <w:color w:val="auto"/>
        </w:rPr>
      </w:pPr>
      <w:r>
        <w:rPr>
          <w:rFonts w:ascii="Arial" w:cs="Arial" w:eastAsia="Arial" w:hAnsi="Arial"/>
          <w:sz w:val="19"/>
          <w:szCs w:val="19"/>
          <w:color w:val="auto"/>
        </w:rPr>
        <w:t>respect when made or deemed made or delivered, and shall remain incorrect or untrue for 5 days after notice to the Seller or the Servicer of such inaccuracy;</w:t>
      </w:r>
    </w:p>
    <w:p>
      <w:pPr>
        <w:spacing w:after="0" w:line="144" w:lineRule="exact"/>
        <w:rPr>
          <w:sz w:val="20"/>
          <w:szCs w:val="20"/>
          <w:color w:val="auto"/>
        </w:rPr>
      </w:pPr>
    </w:p>
    <w:p>
      <w:pPr>
        <w:ind w:right="20" w:firstLine="567"/>
        <w:spacing w:after="0" w:line="287" w:lineRule="auto"/>
        <w:tabs>
          <w:tab w:leader="none" w:pos="1072"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Seller or the Servicer shall fail to deliver the Information Package pursuant to this Agreement, and such failure shall remain unremedied for two days;</w:t>
      </w:r>
    </w:p>
    <w:p>
      <w:pPr>
        <w:spacing w:after="0" w:line="132" w:lineRule="exact"/>
        <w:rPr>
          <w:rFonts w:ascii="Arial" w:cs="Arial" w:eastAsia="Arial" w:hAnsi="Arial"/>
          <w:sz w:val="19"/>
          <w:szCs w:val="19"/>
          <w:color w:val="auto"/>
        </w:rPr>
      </w:pPr>
    </w:p>
    <w:p>
      <w:pPr>
        <w:jc w:val="both"/>
        <w:ind w:firstLine="567"/>
        <w:spacing w:after="0" w:line="295" w:lineRule="auto"/>
        <w:tabs>
          <w:tab w:leader="none" w:pos="99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this Agreement or any Purchase or reinvestment pursuant to this Agreement shall for any reason: (i) cease to create, or the Purchased Interest shall for any reason cease to be, a valid and enforceable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w:t>
      </w:r>
    </w:p>
    <w:p>
      <w:pPr>
        <w:spacing w:after="0" w:line="133" w:lineRule="exact"/>
        <w:rPr>
          <w:rFonts w:ascii="Arial" w:cs="Arial" w:eastAsia="Arial" w:hAnsi="Arial"/>
          <w:sz w:val="17"/>
          <w:szCs w:val="17"/>
          <w:color w:val="auto"/>
        </w:rPr>
      </w:pPr>
    </w:p>
    <w:p>
      <w:pPr>
        <w:jc w:val="both"/>
        <w:ind w:firstLine="567"/>
        <w:spacing w:after="0" w:line="286" w:lineRule="auto"/>
        <w:tabs>
          <w:tab w:leader="none" w:pos="94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Seller, WESCO, Holdings or any Originator shall generally not pay its debts as such debts become due, or shall admit in writing its inability to pay its debts generally, or shall make a general assignment for the benefit of creditors; or any proceeding shall be instituted by or against the Seller, WESCO, Holdings or any Originator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the Seller, WESCO, Holdings or any Originator shall take any corporate action to authorize any of the actions set forth above in this paragraph;</w:t>
      </w:r>
    </w:p>
    <w:p>
      <w:pPr>
        <w:spacing w:after="0" w:line="143" w:lineRule="exact"/>
        <w:rPr>
          <w:rFonts w:ascii="Arial" w:cs="Arial" w:eastAsia="Arial" w:hAnsi="Arial"/>
          <w:sz w:val="17"/>
          <w:szCs w:val="17"/>
          <w:color w:val="auto"/>
        </w:rPr>
      </w:pPr>
    </w:p>
    <w:p>
      <w:pPr>
        <w:jc w:val="both"/>
        <w:ind w:right="20" w:firstLine="567"/>
        <w:spacing w:after="0" w:line="268" w:lineRule="auto"/>
        <w:tabs>
          <w:tab w:leader="none" w:pos="1072" w:val="left"/>
        </w:tabs>
        <w:numPr>
          <w:ilvl w:val="0"/>
          <w:numId w:val="322"/>
        </w:numPr>
        <w:rPr>
          <w:rFonts w:ascii="Arial" w:cs="Arial" w:eastAsia="Arial" w:hAnsi="Arial"/>
          <w:sz w:val="19"/>
          <w:szCs w:val="19"/>
          <w:color w:val="auto"/>
        </w:rPr>
      </w:pPr>
      <w:r>
        <w:rPr>
          <w:rFonts w:ascii="Arial" w:cs="Arial" w:eastAsia="Arial" w:hAnsi="Arial"/>
          <w:sz w:val="19"/>
          <w:szCs w:val="19"/>
          <w:color w:val="auto"/>
        </w:rPr>
        <w:t>(i) the average for three most recently ended consecutive calendar months of: (A) the Default Ratio shall exceed 3.25%, (B) the Delinquency Ratio shall exceed 4.00% or (C) the Dilution Ratio shall exceed 7.50% or (ii) (A) the Default Ratio shall exceed 4.00%, (B) the Delinquency Ratio shall exceed 5.00% or (C) the Days’ Sales Outstanding shall exceed 62 days;</w:t>
      </w:r>
    </w:p>
    <w:p>
      <w:pPr>
        <w:spacing w:after="0" w:line="149" w:lineRule="exact"/>
        <w:rPr>
          <w:rFonts w:ascii="Arial" w:cs="Arial" w:eastAsia="Arial" w:hAnsi="Arial"/>
          <w:sz w:val="19"/>
          <w:szCs w:val="19"/>
          <w:color w:val="auto"/>
        </w:rPr>
      </w:pPr>
    </w:p>
    <w:p>
      <w:pPr>
        <w:ind w:left="940" w:hanging="373"/>
        <w:spacing w:after="0"/>
        <w:tabs>
          <w:tab w:leader="none" w:pos="94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 Change in Control shall occur;</w:t>
      </w:r>
    </w:p>
    <w:p>
      <w:pPr>
        <w:spacing w:after="0" w:line="210" w:lineRule="exact"/>
        <w:rPr>
          <w:rFonts w:ascii="Arial" w:cs="Arial" w:eastAsia="Arial" w:hAnsi="Arial"/>
          <w:sz w:val="19"/>
          <w:szCs w:val="19"/>
          <w:color w:val="auto"/>
        </w:rPr>
      </w:pPr>
    </w:p>
    <w:p>
      <w:pPr>
        <w:jc w:val="both"/>
        <w:ind w:firstLine="567"/>
        <w:spacing w:after="0" w:line="289" w:lineRule="auto"/>
        <w:tabs>
          <w:tab w:leader="none" w:pos="91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at any time (i) the sum of (A) the Aggregate Investment plus (B) the Total Reserves, exceeds (ii) the sum of (A) the Net Receivables Pool Balance at such time plus (B) the Purchasers’ share of the amount of Collections then on deposit in the Lock-Box Accounts (other than amounts set aside therein representing Discount and Fees), and such circumstance shall not have been cured within two Business Days;</w:t>
      </w:r>
    </w:p>
    <w:p>
      <w:pPr>
        <w:spacing w:after="0" w:line="133" w:lineRule="exact"/>
        <w:rPr>
          <w:rFonts w:ascii="Arial" w:cs="Arial" w:eastAsia="Arial" w:hAnsi="Arial"/>
          <w:sz w:val="18"/>
          <w:szCs w:val="18"/>
          <w:color w:val="auto"/>
        </w:rPr>
      </w:pPr>
    </w:p>
    <w:p>
      <w:pPr>
        <w:jc w:val="both"/>
        <w:ind w:firstLine="567"/>
        <w:spacing w:after="0" w:line="268" w:lineRule="auto"/>
        <w:tabs>
          <w:tab w:leader="none" w:pos="94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 WESCO, Holdings or any of their respective Subsidiaries shall fail to pay any principal of or premium or interest on any of its Debt that is outstanding in a principal amount of at least $35,000,000 in the aggregate when the same becomes due and payable (whether by scheduled maturity, required prepayment, acceleration, demand or otherwise), and such failure shall continue after the applicable grace period, if any, specified in this Agreement, mortgage, indenture or instrument relating to such Debt (and shall have not been waived); or (ii) any other event shall occur or condition shall exist under any agreement, mortgage, indenture or instrument relating to any such Debt and shall continue after the applicable grace period, if any, specified in such agreement, mortgage, indenture or instrument (and shall have not been waived), if, in either case: (a) the effect of such non-payment, event or condition is to give the applicable debtholders the right (whether acted upon or not) to accelerate the maturity of such Debt, or (b) any such Debt shall be declared to be due and payable, or required to be prepaid (other than by a regularly scheduled required prepayment), redeemed, purchased or defeased, or an offer to repay, redeem, purchase or defease such Debt shall be required to be made, in each case before the stated maturity thereof;</w:t>
      </w:r>
    </w:p>
    <w:p>
      <w:pPr>
        <w:spacing w:after="0" w:line="154" w:lineRule="exact"/>
        <w:rPr>
          <w:rFonts w:ascii="Arial" w:cs="Arial" w:eastAsia="Arial" w:hAnsi="Arial"/>
          <w:sz w:val="18"/>
          <w:szCs w:val="18"/>
          <w:color w:val="auto"/>
        </w:rPr>
      </w:pPr>
    </w:p>
    <w:p>
      <w:pPr>
        <w:jc w:val="both"/>
        <w:ind w:firstLine="567"/>
        <w:spacing w:after="0" w:line="253" w:lineRule="auto"/>
        <w:tabs>
          <w:tab w:leader="none" w:pos="103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either: (i) a contribution failure shall occur with respect to any Benefit Plan sufficient to give rise to a lien under Section 302(f) of ERISA, (ii) the Internal Revenue Service shall file a notice of lien asserting (1) a claim or claims pursuant to the Internal Revenue Code with regard to any of the assets of Seller or (2) a claim or claims of $250,000 or more in the aggregate pursuant to the Internal Revenue Code with regard to any of the assets of any Originator, WESCO, Holdings or any ERISA Affiliate, and in each case such lien shall have been filed and not released within 10 days, or (iii) the Pension Benefit Guaranty Corporation shall, or shall indicate its intention in writing to the Seller, any Originator, WESCO, Holdings or any ERISA Affiliate to, either file a notice of lien asserting a claim pursuant to ERISA with regard to any assets of the Seller, any Originator, WESCO, Holdings or any ERISA Affiliate or terminate any Benefit Plan that has unfunded benefit liabilities, or any steps shall have been taken to terminate any Benefit Plan subject to Title IV of ERISA so as to result in any liability in excess of $1,000,000 and such lien shall have been filed and not released within 10 days;</w:t>
      </w:r>
    </w:p>
    <w:p>
      <w:pPr>
        <w:spacing w:after="0" w:line="166" w:lineRule="exact"/>
        <w:rPr>
          <w:rFonts w:ascii="Arial" w:cs="Arial" w:eastAsia="Arial" w:hAnsi="Arial"/>
          <w:sz w:val="19"/>
          <w:szCs w:val="19"/>
          <w:color w:val="auto"/>
        </w:rPr>
      </w:pPr>
    </w:p>
    <w:p>
      <w:pPr>
        <w:jc w:val="both"/>
        <w:ind w:firstLine="567"/>
        <w:spacing w:after="0" w:line="261" w:lineRule="auto"/>
        <w:tabs>
          <w:tab w:leader="none" w:pos="94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(i) one or more final judgments for the payment of money shall be entered against the Seller or (ii) one or more final judgments for the payment of money in an amount in excess of $35,000,000, individually or in the aggregate, shall be entered against the Servicer on claims not covered by insurance or as to which the insurance carrier has denied its responsibility, and such judgment shall continue unsatisfied and in effect for sixty (60) consecutive days without a stay of execution;</w:t>
      </w:r>
    </w:p>
    <w:p>
      <w:pPr>
        <w:spacing w:after="0" w:line="157" w:lineRule="exact"/>
        <w:rPr>
          <w:rFonts w:ascii="Arial" w:cs="Arial" w:eastAsia="Arial" w:hAnsi="Arial"/>
          <w:sz w:val="19"/>
          <w:szCs w:val="19"/>
          <w:color w:val="auto"/>
        </w:rPr>
      </w:pPr>
    </w:p>
    <w:p>
      <w:pPr>
        <w:jc w:val="both"/>
        <w:ind w:firstLine="567"/>
        <w:spacing w:after="0" w:line="268" w:lineRule="auto"/>
        <w:tabs>
          <w:tab w:leader="none" w:pos="1065"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Purchase and Sale Termination Date</w:t>
      </w:r>
      <w:r>
        <w:rPr>
          <w:rFonts w:ascii="Arial" w:cs="Arial" w:eastAsia="Arial" w:hAnsi="Arial"/>
          <w:sz w:val="19"/>
          <w:szCs w:val="19"/>
          <w:color w:val="auto"/>
        </w:rPr>
        <w:t>” under and as defined in the Sale Agreement shall occur under the Sale Agreement or any Originator shall for any reason cease to transfer, or cease to have the legal capacity to transfer, or otherwise be incapable of transferring Receivables to the Seller under the Sale Agreement;</w:t>
      </w:r>
    </w:p>
    <w:p>
      <w:pPr>
        <w:spacing w:after="0" w:line="149" w:lineRule="exact"/>
        <w:rPr>
          <w:rFonts w:ascii="Arial" w:cs="Arial" w:eastAsia="Arial" w:hAnsi="Arial"/>
          <w:sz w:val="19"/>
          <w:szCs w:val="19"/>
          <w:color w:val="auto"/>
        </w:rPr>
      </w:pPr>
    </w:p>
    <w:p>
      <w:pPr>
        <w:jc w:val="both"/>
        <w:ind w:firstLine="567"/>
        <w:spacing w:after="0" w:line="273" w:lineRule="auto"/>
        <w:tabs>
          <w:tab w:leader="none" w:pos="10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as of the last day of any fiscal quarter of Holdings’, to the extent that the Available Liquidity fails to exceed $100,000,000, the Fixed Charge Coverage Ratio shall be less than 1.0 to 1.0. For purposes of this </w:t>
      </w:r>
      <w:r>
        <w:rPr>
          <w:rFonts w:ascii="Arial" w:cs="Arial" w:eastAsia="Arial" w:hAnsi="Arial"/>
          <w:sz w:val="18"/>
          <w:szCs w:val="18"/>
          <w:u w:val="single" w:color="auto"/>
          <w:color w:val="auto"/>
        </w:rPr>
        <w:t>clause (n)</w:t>
      </w:r>
      <w:r>
        <w:rPr>
          <w:rFonts w:ascii="Arial" w:cs="Arial" w:eastAsia="Arial" w:hAnsi="Arial"/>
          <w:sz w:val="18"/>
          <w:szCs w:val="18"/>
          <w:color w:val="auto"/>
        </w:rPr>
        <w:t>, unless otherwise defined in this Agreement, terms used herein (including all defined terms used within such terms ) shall have the respective meaning assigned to such terms in the Credit Agreement as in effect on the Closing Date, regardless of (i) whether or not the Credit Agreement or any provision therein is subsequently waived, amended, amended and restated, or otherwise modified or (ii) whether or not the Credit Agreement is substituted, replaced, terminated or any of the provisions therein are or become unenforceable in whole or in part as against any party thereto; or</w:t>
      </w:r>
    </w:p>
    <w:p>
      <w:pPr>
        <w:spacing w:after="0" w:line="148" w:lineRule="exact"/>
        <w:rPr>
          <w:rFonts w:ascii="Arial" w:cs="Arial" w:eastAsia="Arial" w:hAnsi="Arial"/>
          <w:sz w:val="18"/>
          <w:szCs w:val="18"/>
          <w:color w:val="auto"/>
        </w:rPr>
      </w:pPr>
    </w:p>
    <w:p>
      <w:pPr>
        <w:jc w:val="both"/>
        <w:ind w:right="20" w:firstLine="567"/>
        <w:spacing w:after="0" w:line="313" w:lineRule="auto"/>
        <w:tabs>
          <w:tab w:leader="none" w:pos="1036"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either (i) a “Change of Control” (as defined in the Credit Agreement) occurs with respect to Holdings or (ii) Holdings breaches or defaults in respect of its negative covenant set for in </w:t>
      </w:r>
      <w:r>
        <w:rPr>
          <w:rFonts w:ascii="Arial" w:cs="Arial" w:eastAsia="Arial" w:hAnsi="Arial"/>
          <w:sz w:val="17"/>
          <w:szCs w:val="17"/>
          <w:u w:val="single" w:color="auto"/>
          <w:color w:val="auto"/>
        </w:rPr>
        <w:t>Section 6.03(c)</w:t>
      </w:r>
      <w:r>
        <w:rPr>
          <w:rFonts w:ascii="Arial" w:cs="Arial" w:eastAsia="Arial" w:hAnsi="Arial"/>
          <w:sz w:val="17"/>
          <w:szCs w:val="17"/>
          <w:color w:val="auto"/>
        </w:rPr>
        <w:t xml:space="preserve"> of the Credit Agreement, in each case, subject to any applicable grace periods set forth in the Credit Agreement with respect thereto (but regardless of whether or not any such events or conditions are waived or modified).</w:t>
      </w:r>
    </w:p>
    <w:p>
      <w:pPr>
        <w:sectPr>
          <w:pgSz w:w="11900" w:h="16838" w:orient="portrait"/>
          <w:cols w:equalWidth="0" w:num="1">
            <w:col w:w="11440"/>
          </w:cols>
          <w:pgMar w:left="240" w:top="132" w:right="219" w:bottom="55" w:gutter="0" w:footer="0" w:header="0"/>
        </w:sectPr>
      </w:pPr>
    </w:p>
    <w:bookmarkStart w:id="213" w:name="page214"/>
    <w:bookmarkEnd w:id="213"/>
    <w:p>
      <w:pPr>
        <w:ind w:left="560"/>
        <w:spacing w:after="0"/>
        <w:rPr>
          <w:sz w:val="20"/>
          <w:szCs w:val="20"/>
          <w:color w:val="auto"/>
        </w:rPr>
      </w:pPr>
      <w:r>
        <w:rPr>
          <w:rFonts w:ascii="Arial" w:cs="Arial" w:eastAsia="Arial" w:hAnsi="Arial"/>
          <w:sz w:val="19"/>
          <w:szCs w:val="19"/>
          <w:color w:val="auto"/>
        </w:rPr>
        <w:t>(p)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SCHEDULE I</w:t>
      </w:r>
    </w:p>
    <w:p>
      <w:pPr>
        <w:spacing w:after="0" w:line="199"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CREDIT AND COLLECTION POLICY</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On File With:</w:t>
      </w:r>
    </w:p>
    <w:p>
      <w:pPr>
        <w:spacing w:after="0" w:line="199"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WESCO Receivables Corp.</w:t>
      </w:r>
    </w:p>
    <w:p>
      <w:pPr>
        <w:spacing w:after="0" w:line="199" w:lineRule="exact"/>
        <w:rPr>
          <w:sz w:val="20"/>
          <w:szCs w:val="20"/>
          <w:color w:val="auto"/>
        </w:rPr>
      </w:pPr>
    </w:p>
    <w:p>
      <w:pPr>
        <w:jc w:val="right"/>
        <w:ind w:right="2939"/>
        <w:spacing w:after="0"/>
        <w:rPr>
          <w:sz w:val="20"/>
          <w:szCs w:val="20"/>
          <w:color w:val="auto"/>
        </w:rPr>
      </w:pPr>
      <w:r>
        <w:rPr>
          <w:rFonts w:ascii="Arial" w:cs="Arial" w:eastAsia="Arial" w:hAnsi="Arial"/>
          <w:sz w:val="19"/>
          <w:szCs w:val="19"/>
          <w:color w:val="auto"/>
        </w:rPr>
        <w:t>225 West Station Square Drive, Suite 700</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Pittsburgh, PA 15219</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Attn: Treasurer</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Telephone: (412) 454-2374</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Facsimile: (412) 454-2515</w:t>
      </w: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SCHEDULE II</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[Reserved]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SCHEDULE III</w:t>
      </w:r>
    </w:p>
    <w:p>
      <w:pPr>
        <w:spacing w:after="0" w:line="200" w:lineRule="exact"/>
        <w:rPr>
          <w:sz w:val="20"/>
          <w:szCs w:val="20"/>
          <w:color w:val="auto"/>
        </w:rPr>
      </w:pPr>
    </w:p>
    <w:p>
      <w:pPr>
        <w:spacing w:after="0" w:line="209"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TRADE NAMES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SCHEDULE IV</w:t>
      </w:r>
    </w:p>
    <w:p>
      <w:pPr>
        <w:spacing w:after="0" w:line="200" w:lineRule="exact"/>
        <w:rPr>
          <w:sz w:val="20"/>
          <w:szCs w:val="20"/>
          <w:color w:val="auto"/>
        </w:rPr>
      </w:pP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NOTICE INFORMATION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WESCO RECEIVABLES CORP.,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Seller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225 West Station Square Drive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Suite 700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15219</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Treasurer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(412) 454-2374</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(412) 222-7427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WESCO DISTRIBUTION,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Servicer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225 West Station Square Drive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Suite 700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15219</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Treasurer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(412) 454-2374</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(412) 222-7427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Administrator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Three PNC Plaza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225 Fifth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15222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Robyn Reeher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(412) 768-3090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(412) 762-9184</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ectPr>
          <w:pgSz w:w="11900" w:h="16838" w:orient="portrait"/>
          <w:cols w:equalWidth="0" w:num="1">
            <w:col w:w="10219"/>
          </w:cols>
          <w:pgMar w:left="240" w:top="180" w:right="1440" w:bottom="0" w:gutter="0" w:footer="0" w:header="0"/>
        </w:sectPr>
      </w:pPr>
    </w:p>
    <w:bookmarkStart w:id="214" w:name="page215"/>
    <w:bookmarkEnd w:id="214"/>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PNC Bank, National Association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Three PNC Plaza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225 Fifth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15222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Robyn Reeher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(412) 768-3090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(412) 762-9184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PNC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Three PNC Plaza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225 Fifth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15222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Robyn Reeher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(412) 768-3090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(412) 762-9184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a Committed Purchaser for Wells Fargo Bank, National Association</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1100 Abernathy Rd NE</w:t>
      </w:r>
    </w:p>
    <w:p>
      <w:pPr>
        <w:spacing w:after="0" w:line="201" w:lineRule="auto"/>
        <w:rPr>
          <w:sz w:val="20"/>
          <w:szCs w:val="20"/>
          <w:color w:val="auto"/>
        </w:rPr>
      </w:pPr>
      <w:r>
        <w:rPr>
          <w:rFonts w:ascii="Arial" w:cs="Arial" w:eastAsia="Arial" w:hAnsi="Arial"/>
          <w:sz w:val="19"/>
          <w:szCs w:val="19"/>
          <w:color w:val="auto"/>
        </w:rPr>
        <w:t>16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Suite 1600</w:t>
      </w:r>
    </w:p>
    <w:p>
      <w:pPr>
        <w:spacing w:after="0"/>
        <w:rPr>
          <w:sz w:val="20"/>
          <w:szCs w:val="20"/>
          <w:color w:val="auto"/>
        </w:rPr>
      </w:pPr>
      <w:r>
        <w:rPr>
          <w:rFonts w:ascii="Arial" w:cs="Arial" w:eastAsia="Arial" w:hAnsi="Arial"/>
          <w:sz w:val="19"/>
          <w:szCs w:val="19"/>
          <w:color w:val="auto"/>
        </w:rPr>
        <w:t>Atlanta, Georgia 30328</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Attention: William P. Rutkowski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(770) 508-2180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Wells Fargo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1100 Abernathy Rd NE</w:t>
      </w:r>
    </w:p>
    <w:p>
      <w:pPr>
        <w:spacing w:after="0" w:line="201" w:lineRule="auto"/>
        <w:rPr>
          <w:sz w:val="20"/>
          <w:szCs w:val="20"/>
          <w:color w:val="auto"/>
        </w:rPr>
      </w:pPr>
      <w:r>
        <w:rPr>
          <w:rFonts w:ascii="Arial" w:cs="Arial" w:eastAsia="Arial" w:hAnsi="Arial"/>
          <w:sz w:val="19"/>
          <w:szCs w:val="19"/>
          <w:color w:val="auto"/>
        </w:rPr>
        <w:t>16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Suite 1600</w:t>
      </w:r>
    </w:p>
    <w:p>
      <w:pPr>
        <w:spacing w:after="0"/>
        <w:rPr>
          <w:sz w:val="20"/>
          <w:szCs w:val="20"/>
          <w:color w:val="auto"/>
        </w:rPr>
      </w:pPr>
      <w:r>
        <w:rPr>
          <w:rFonts w:ascii="Arial" w:cs="Arial" w:eastAsia="Arial" w:hAnsi="Arial"/>
          <w:sz w:val="19"/>
          <w:szCs w:val="19"/>
          <w:color w:val="auto"/>
        </w:rPr>
        <w:t>Atlanta, Georgia 30328</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Attention: William P. Rutkowski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(770) 508-2180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FIFTH THIRD BANK,</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Fifth Third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38 Fountain Square Plaza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Cincinnati, Ohio 45263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Andrew Jones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(513) 534-0836</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(513) 534-0319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FIFTH THIRD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Fifth Third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38 Fountain Square Plaza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Cincinnati, Ohio 45263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Kevin Gusweiler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(513) 534-0435</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(513) 534-0319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HUNTINGTON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The Huntington National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125 South Wacker Drive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 60606</w:t>
      </w:r>
    </w:p>
    <w:p>
      <w:pPr>
        <w:sectPr>
          <w:pgSz w:w="11900" w:h="16865" w:orient="portrait"/>
          <w:cols w:equalWidth="0" w:num="1">
            <w:col w:w="10219"/>
          </w:cols>
          <w:pgMar w:left="240" w:top="132" w:right="1440" w:bottom="0" w:gutter="0" w:footer="0" w:header="0"/>
        </w:sectPr>
      </w:pPr>
    </w:p>
    <w:bookmarkStart w:id="215" w:name="page216"/>
    <w:bookmarkEnd w:id="215"/>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Attention: Michael Kiss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Telephone No.: (312) 762-2163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(877) 433-8992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HUNTINGTON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The Huntington National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125 South Wacker Drive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Chicago, Illinois 60606</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Michael Kiss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(312) 762-2163</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(877) 433-8992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LIBERTY STREET FINDING LLC,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Conduit Purchaser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The Bank of Nova Scotia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250 Vesey Street, 23rd Floor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Tim Johnston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(212) 225-5079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Liberty Street Funding LLC</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250 Vesey Street, 23rd Floor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Tim Johnston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(212) 225-5079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Purchaser Agent for The Bank of Nova Scotia and Liberty Street Funding LLC</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250 Vesey Street, 23rd Floor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10281</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Tim Johnston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(212) 225-5079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BRANCH BANKING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Branch Banking and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8200 Greensboro Drive, Suite 1000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McLean, Virginia 22102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John K. Perez</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(703) 442-4040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(703) 442-5544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BRANCH BANKING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Branch Banking and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8200 Greensboro Drive, Suite 1000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McLean, Virginia 22102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John K. Perez</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(703) 442-4040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Facsimile No.: (703) 442-5544</w:t>
      </w:r>
    </w:p>
    <w:p>
      <w:pPr>
        <w:sectPr>
          <w:pgSz w:w="11900" w:h="16865" w:orient="portrait"/>
          <w:cols w:equalWidth="0" w:num="1">
            <w:col w:w="10219"/>
          </w:cols>
          <w:pgMar w:left="240" w:top="132" w:right="1440" w:bottom="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U.S.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777 East Wisconsin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MK-WI-T5</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Milwaukee, WI 53202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William Patton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(414) 765-7631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Purchaser Agent for U.S.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777 East Wisconsin Avenue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MK-WI-T5</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Milwaukee, WI 53202</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Attention: William Patton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Telephone No.: (414) 765-7631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SCHEDULE V</w:t>
      </w: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SCHEDULE VI</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COMMITMENTS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PNC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$165,000,000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FIFTH THIRD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Fifth Third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$95,000,000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Wells Fargo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$150,000,000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THE HUNTINGTON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The Huntington National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$45,000,000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Liberty Street Funding LLC</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$45,000,000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BRANCH BANKING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Branch Banking and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Commitment: $30,000,000</w:t>
      </w:r>
    </w:p>
    <w:p>
      <w:pPr>
        <w:sectPr>
          <w:pgSz w:w="11900" w:h="16838" w:orient="portrait"/>
          <w:cols w:equalWidth="0" w:num="1">
            <w:col w:w="10219"/>
          </w:cols>
          <w:pgMar w:left="240" w:top="585" w:right="1440" w:bottom="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ectPr>
          <w:pgSz w:w="11900" w:h="16838" w:orient="portrait"/>
          <w:cols w:equalWidth="0" w:num="1">
            <w:col w:w="10219"/>
          </w:cols>
          <w:pgMar w:left="240" w:top="585" w:right="1440" w:bottom="0" w:gutter="0" w:footer="0" w:header="0"/>
          <w:type w:val="continuous"/>
        </w:sectPr>
      </w:pPr>
    </w:p>
    <w:bookmarkStart w:id="217" w:name="page218"/>
    <w:bookmarkEnd w:id="217"/>
    <w:p>
      <w:pPr>
        <w:spacing w:after="0"/>
        <w:rPr>
          <w:sz w:val="20"/>
          <w:szCs w:val="20"/>
          <w:color w:val="auto"/>
        </w:rPr>
      </w:pPr>
      <w:r>
        <w:rPr>
          <w:rFonts w:ascii="Arial" w:cs="Arial" w:eastAsia="Arial" w:hAnsi="Arial"/>
          <w:sz w:val="19"/>
          <w:szCs w:val="19"/>
          <w:color w:val="auto"/>
        </w:rPr>
        <w:t>as a Committed Purchaser for U.S. Bank National Association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Commitment: $20,000,000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SCHEDULE VII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SCHEDULED COMMITMENT TERMINATION DATE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PNC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FIFTH THIRD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Fifth Third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Wells Fargo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THE HUNTINGTON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The Huntington National Bank</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THE BANK OF NOVA SCOTIA,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Liberty Street Funding LLC</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BRANCH BANKING AND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Branch Banking and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as a Committed Purchaser for U.S. Bank National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Scheduled Commitment Termination Date: September 24, 2018</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SCHEDULE VIII</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SUBJECT UCC</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1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Debtor</w:t>
            </w:r>
          </w:p>
        </w:tc>
        <w:tc>
          <w:tcPr>
            <w:tcW w:w="24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19"/>
                <w:szCs w:val="19"/>
                <w:b w:val="1"/>
                <w:bCs w:val="1"/>
                <w:color w:val="auto"/>
              </w:rPr>
              <w:t>Secured Party</w:t>
            </w:r>
          </w:p>
        </w:tc>
        <w:tc>
          <w:tcPr>
            <w:tcW w:w="27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Filing Location</w:t>
            </w:r>
          </w:p>
        </w:tc>
        <w:tc>
          <w:tcPr>
            <w:tcW w:w="320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Filing Data</w:t>
            </w:r>
          </w:p>
        </w:tc>
        <w:tc>
          <w:tcPr>
            <w:tcW w:w="0" w:type="dxa"/>
            <w:vAlign w:val="bottom"/>
          </w:tcPr>
          <w:p>
            <w:pPr>
              <w:spacing w:after="0"/>
              <w:rPr>
                <w:sz w:val="1"/>
                <w:szCs w:val="1"/>
                <w:color w:val="auto"/>
              </w:rPr>
            </w:pPr>
          </w:p>
        </w:tc>
      </w:tr>
      <w:tr>
        <w:trPr>
          <w:trHeight w:val="218"/>
        </w:trPr>
        <w:tc>
          <w:tcPr>
            <w:tcW w:w="3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TVC Communications, L.L.C.</w:t>
            </w:r>
          </w:p>
        </w:tc>
        <w:tc>
          <w:tcPr>
            <w:tcW w:w="240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CommScope, Inc. of North</w:t>
            </w:r>
          </w:p>
        </w:tc>
        <w:tc>
          <w:tcPr>
            <w:tcW w:w="27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Delaware Department of State</w:t>
            </w:r>
          </w:p>
        </w:tc>
        <w:tc>
          <w:tcPr>
            <w:tcW w:w="32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Initial Filing # 2009 1997995</w:t>
            </w:r>
          </w:p>
        </w:tc>
        <w:tc>
          <w:tcPr>
            <w:tcW w:w="0" w:type="dxa"/>
            <w:vAlign w:val="bottom"/>
          </w:tcPr>
          <w:p>
            <w:pPr>
              <w:spacing w:after="0"/>
              <w:rPr>
                <w:sz w:val="1"/>
                <w:szCs w:val="1"/>
                <w:color w:val="auto"/>
              </w:rPr>
            </w:pPr>
          </w:p>
        </w:tc>
      </w:tr>
      <w:tr>
        <w:trPr>
          <w:trHeight w:val="242"/>
        </w:trPr>
        <w:tc>
          <w:tcPr>
            <w:tcW w:w="3120" w:type="dxa"/>
            <w:vAlign w:val="bottom"/>
            <w:tcBorders>
              <w:left w:val="single" w:sz="8" w:color="00000A"/>
              <w:right w:val="single" w:sz="8" w:color="00000A"/>
            </w:tcBorders>
          </w:tcPr>
          <w:p>
            <w:pPr>
              <w:spacing w:after="0"/>
              <w:rPr>
                <w:sz w:val="21"/>
                <w:szCs w:val="21"/>
                <w:color w:val="auto"/>
              </w:rPr>
            </w:pPr>
          </w:p>
        </w:tc>
        <w:tc>
          <w:tcPr>
            <w:tcW w:w="2400" w:type="dxa"/>
            <w:vAlign w:val="bottom"/>
            <w:tcBorders>
              <w:right w:val="single" w:sz="8" w:color="00000A"/>
            </w:tcBorders>
          </w:tcPr>
          <w:p>
            <w:pPr>
              <w:spacing w:after="0"/>
              <w:rPr>
                <w:sz w:val="20"/>
                <w:szCs w:val="20"/>
                <w:color w:val="auto"/>
              </w:rPr>
            </w:pPr>
            <w:r>
              <w:rPr>
                <w:rFonts w:ascii="Arial" w:cs="Arial" w:eastAsia="Arial" w:hAnsi="Arial"/>
                <w:sz w:val="19"/>
                <w:szCs w:val="19"/>
                <w:color w:val="auto"/>
              </w:rPr>
              <w:t>Carolina</w:t>
            </w:r>
          </w:p>
        </w:tc>
        <w:tc>
          <w:tcPr>
            <w:tcW w:w="27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9"/>
                <w:szCs w:val="19"/>
                <w:color w:val="auto"/>
              </w:rPr>
              <w:t>U.C.C. Filing Section</w:t>
            </w:r>
          </w:p>
        </w:tc>
        <w:tc>
          <w:tcPr>
            <w:tcW w:w="32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9"/>
                <w:szCs w:val="19"/>
                <w:color w:val="auto"/>
              </w:rPr>
              <w:t>Filed 6/23/2009</w:t>
            </w:r>
          </w:p>
        </w:tc>
        <w:tc>
          <w:tcPr>
            <w:tcW w:w="0" w:type="dxa"/>
            <w:vAlign w:val="bottom"/>
          </w:tcPr>
          <w:p>
            <w:pPr>
              <w:spacing w:after="0"/>
              <w:rPr>
                <w:sz w:val="1"/>
                <w:szCs w:val="1"/>
                <w:color w:val="auto"/>
              </w:rPr>
            </w:pPr>
          </w:p>
        </w:tc>
      </w:tr>
      <w:tr>
        <w:trPr>
          <w:trHeight w:val="222"/>
        </w:trPr>
        <w:tc>
          <w:tcPr>
            <w:tcW w:w="3120" w:type="dxa"/>
            <w:vAlign w:val="bottom"/>
            <w:tcBorders>
              <w:left w:val="single" w:sz="8" w:color="00000A"/>
              <w:bottom w:val="single" w:sz="8" w:color="00000A"/>
              <w:right w:val="single" w:sz="8" w:color="00000A"/>
            </w:tcBorders>
          </w:tcPr>
          <w:p>
            <w:pPr>
              <w:spacing w:after="0"/>
              <w:rPr>
                <w:sz w:val="19"/>
                <w:szCs w:val="19"/>
                <w:color w:val="auto"/>
              </w:rPr>
            </w:pPr>
          </w:p>
        </w:tc>
        <w:tc>
          <w:tcPr>
            <w:tcW w:w="2400" w:type="dxa"/>
            <w:vAlign w:val="bottom"/>
            <w:tcBorders>
              <w:bottom w:val="single" w:sz="8" w:color="00000A"/>
              <w:right w:val="single" w:sz="8" w:color="00000A"/>
            </w:tcBorders>
          </w:tcPr>
          <w:p>
            <w:pPr>
              <w:spacing w:after="0"/>
              <w:rPr>
                <w:sz w:val="19"/>
                <w:szCs w:val="19"/>
                <w:color w:val="auto"/>
              </w:rPr>
            </w:pPr>
          </w:p>
        </w:tc>
        <w:tc>
          <w:tcPr>
            <w:tcW w:w="2740" w:type="dxa"/>
            <w:vAlign w:val="bottom"/>
            <w:tcBorders>
              <w:bottom w:val="single" w:sz="8" w:color="00000A"/>
              <w:right w:val="single" w:sz="8" w:color="00000A"/>
            </w:tcBorders>
            <w:vMerge w:val="continue"/>
          </w:tcPr>
          <w:p>
            <w:pPr>
              <w:spacing w:after="0"/>
              <w:rPr>
                <w:sz w:val="19"/>
                <w:szCs w:val="19"/>
                <w:color w:val="auto"/>
              </w:rPr>
            </w:pPr>
          </w:p>
        </w:tc>
        <w:tc>
          <w:tcPr>
            <w:tcW w:w="3200" w:type="dxa"/>
            <w:vAlign w:val="bottom"/>
            <w:tcBorders>
              <w:bottom w:val="single" w:sz="8" w:color="00000A"/>
              <w:right w:val="single" w:sz="8" w:color="00000A"/>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Fourth Amended And Restated Receivables Purchase Agreement</w:t>
      </w:r>
    </w:p>
    <w:p>
      <w:pPr>
        <w:sectPr>
          <w:pgSz w:w="11900" w:h="16838" w:orient="portrait"/>
          <w:cols w:equalWidth="0" w:num="1">
            <w:col w:w="11440"/>
          </w:cols>
          <w:pgMar w:left="240" w:top="132" w:right="219" w:bottom="0" w:gutter="0" w:footer="0" w:header="0"/>
        </w:sectPr>
      </w:pPr>
    </w:p>
    <w:bookmarkStart w:id="218" w:name="page219"/>
    <w:bookmarkEnd w:id="218"/>
    <w:tbl>
      <w:tblPr>
        <w:tblLayout w:type="fixed"/>
        <w:tblInd w:w="15"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300" w:type="dxa"/>
            <w:vAlign w:val="bottom"/>
            <w:gridSpan w:val="4"/>
          </w:tcPr>
          <w:p>
            <w:pPr>
              <w:jc w:val="center"/>
              <w:ind w:right="2820"/>
              <w:spacing w:after="0"/>
              <w:rPr>
                <w:sz w:val="20"/>
                <w:szCs w:val="20"/>
                <w:color w:val="auto"/>
              </w:rPr>
            </w:pPr>
            <w:r>
              <w:rPr>
                <w:rFonts w:ascii="Arial" w:cs="Arial" w:eastAsia="Arial" w:hAnsi="Arial"/>
                <w:sz w:val="19"/>
                <w:szCs w:val="19"/>
                <w:color w:val="auto"/>
                <w:w w:val="96"/>
              </w:rPr>
              <w:t>FORM OF INFORMATION PACKAGE</w:t>
            </w:r>
          </w:p>
        </w:tc>
      </w:tr>
      <w:tr>
        <w:trPr>
          <w:trHeight w:val="417"/>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20"/>
              <w:spacing w:after="0"/>
              <w:rPr>
                <w:sz w:val="20"/>
                <w:szCs w:val="20"/>
                <w:color w:val="auto"/>
              </w:rPr>
            </w:pPr>
            <w:r>
              <w:rPr>
                <w:rFonts w:ascii="Arial" w:cs="Arial" w:eastAsia="Arial" w:hAnsi="Arial"/>
                <w:sz w:val="19"/>
                <w:szCs w:val="19"/>
                <w:color w:val="auto"/>
              </w:rPr>
              <w:t>ANNEX B</w:t>
            </w:r>
          </w:p>
        </w:tc>
      </w:tr>
      <w:tr>
        <w:trPr>
          <w:trHeight w:val="417"/>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40"/>
              <w:spacing w:after="0"/>
              <w:rPr>
                <w:sz w:val="20"/>
                <w:szCs w:val="20"/>
                <w:color w:val="auto"/>
              </w:rPr>
            </w:pPr>
            <w:r>
              <w:rPr>
                <w:rFonts w:ascii="Arial" w:cs="Arial" w:eastAsia="Arial" w:hAnsi="Arial"/>
                <w:sz w:val="19"/>
                <w:szCs w:val="19"/>
                <w:color w:val="auto"/>
                <w:w w:val="89"/>
              </w:rPr>
              <w:t>to Fourth Amended And Restated Receivables Purchase Agreement</w:t>
            </w:r>
          </w:p>
        </w:tc>
      </w:tr>
      <w:tr>
        <w:trPr>
          <w:trHeight w:val="608"/>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40"/>
              <w:spacing w:after="0"/>
              <w:rPr>
                <w:sz w:val="20"/>
                <w:szCs w:val="20"/>
                <w:color w:val="auto"/>
              </w:rPr>
            </w:pPr>
            <w:r>
              <w:rPr>
                <w:rFonts w:ascii="Arial" w:cs="Arial" w:eastAsia="Arial" w:hAnsi="Arial"/>
                <w:sz w:val="19"/>
                <w:szCs w:val="19"/>
                <w:color w:val="auto"/>
                <w:w w:val="95"/>
              </w:rPr>
              <w:t>FORM OF PURCHASE NOTICE</w:t>
            </w:r>
          </w:p>
        </w:tc>
      </w:tr>
      <w:tr>
        <w:trPr>
          <w:trHeight w:val="417"/>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20"/>
              <w:spacing w:after="0"/>
              <w:rPr>
                <w:sz w:val="20"/>
                <w:szCs w:val="20"/>
                <w:color w:val="auto"/>
              </w:rPr>
            </w:pPr>
            <w:r>
              <w:rPr>
                <w:rFonts w:ascii="Arial" w:cs="Arial" w:eastAsia="Arial" w:hAnsi="Arial"/>
                <w:sz w:val="19"/>
                <w:szCs w:val="19"/>
                <w:color w:val="auto"/>
                <w:w w:val="99"/>
              </w:rPr>
              <w:t>ANNEX C</w:t>
            </w:r>
          </w:p>
        </w:tc>
      </w:tr>
      <w:tr>
        <w:trPr>
          <w:trHeight w:val="417"/>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40"/>
              <w:spacing w:after="0"/>
              <w:rPr>
                <w:sz w:val="20"/>
                <w:szCs w:val="20"/>
                <w:color w:val="auto"/>
              </w:rPr>
            </w:pPr>
            <w:r>
              <w:rPr>
                <w:rFonts w:ascii="Arial" w:cs="Arial" w:eastAsia="Arial" w:hAnsi="Arial"/>
                <w:sz w:val="19"/>
                <w:szCs w:val="19"/>
                <w:color w:val="auto"/>
                <w:w w:val="89"/>
              </w:rPr>
              <w:t>to Fourth Amended And Restated Receivables Purchase Agreement</w:t>
            </w:r>
          </w:p>
        </w:tc>
      </w:tr>
      <w:tr>
        <w:trPr>
          <w:trHeight w:val="608"/>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00" w:type="dxa"/>
            <w:vAlign w:val="bottom"/>
            <w:gridSpan w:val="4"/>
          </w:tcPr>
          <w:p>
            <w:pPr>
              <w:jc w:val="center"/>
              <w:ind w:right="2860"/>
              <w:spacing w:after="0"/>
              <w:rPr>
                <w:sz w:val="20"/>
                <w:szCs w:val="20"/>
                <w:color w:val="auto"/>
              </w:rPr>
            </w:pPr>
            <w:r>
              <w:rPr>
                <w:rFonts w:ascii="Arial" w:cs="Arial" w:eastAsia="Arial" w:hAnsi="Arial"/>
                <w:sz w:val="19"/>
                <w:szCs w:val="19"/>
                <w:color w:val="auto"/>
                <w:w w:val="96"/>
              </w:rPr>
              <w:t>LIST OF SPECIAL OBLIGORS</w:t>
            </w:r>
          </w:p>
        </w:tc>
      </w:tr>
      <w:tr>
        <w:trPr>
          <w:trHeight w:val="540"/>
        </w:trPr>
        <w:tc>
          <w:tcPr>
            <w:tcW w:w="40" w:type="dxa"/>
            <w:vAlign w:val="bottom"/>
            <w:tcBorders>
              <w:bottom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344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r>
      <w:tr>
        <w:trPr>
          <w:trHeight w:val="194"/>
        </w:trPr>
        <w:tc>
          <w:tcPr>
            <w:tcW w:w="2980" w:type="dxa"/>
            <w:vAlign w:val="bottom"/>
            <w:tcBorders>
              <w:left w:val="single" w:sz="8" w:color="00000A"/>
            </w:tcBorders>
            <w:gridSpan w:val="3"/>
          </w:tcPr>
          <w:p>
            <w:pPr>
              <w:ind w:left="40"/>
              <w:spacing w:after="0" w:line="194" w:lineRule="exact"/>
              <w:rPr>
                <w:sz w:val="20"/>
                <w:szCs w:val="20"/>
                <w:color w:val="auto"/>
              </w:rPr>
            </w:pPr>
            <w:r>
              <w:rPr>
                <w:rFonts w:ascii="Arial" w:cs="Arial" w:eastAsia="Arial" w:hAnsi="Arial"/>
                <w:sz w:val="19"/>
                <w:szCs w:val="19"/>
                <w:b w:val="1"/>
                <w:bCs w:val="1"/>
                <w:color w:val="auto"/>
              </w:rPr>
              <w:t>Special Obligor</w:t>
            </w:r>
          </w:p>
        </w:tc>
        <w:tc>
          <w:tcPr>
            <w:tcW w:w="2560" w:type="dxa"/>
            <w:vAlign w:val="bottom"/>
            <w:tcBorders>
              <w:right w:val="single" w:sz="8" w:color="00000A"/>
            </w:tcBorders>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tcBorders>
              <w:right w:val="single" w:sz="8" w:color="00000A"/>
            </w:tcBorders>
            <w:gridSpan w:val="2"/>
          </w:tcPr>
          <w:p>
            <w:pPr>
              <w:spacing w:after="0" w:line="194" w:lineRule="exact"/>
              <w:rPr>
                <w:sz w:val="20"/>
                <w:szCs w:val="20"/>
                <w:color w:val="auto"/>
              </w:rPr>
            </w:pPr>
            <w:r>
              <w:rPr>
                <w:rFonts w:ascii="Arial" w:cs="Arial" w:eastAsia="Arial" w:hAnsi="Arial"/>
                <w:sz w:val="19"/>
                <w:szCs w:val="19"/>
                <w:b w:val="1"/>
                <w:bCs w:val="1"/>
                <w:color w:val="auto"/>
              </w:rPr>
              <w:t>Special Obligor Concentration Percentage</w:t>
            </w:r>
          </w:p>
        </w:tc>
      </w:tr>
      <w:tr>
        <w:trPr>
          <w:trHeight w:val="254"/>
        </w:trPr>
        <w:tc>
          <w:tcPr>
            <w:tcW w:w="40" w:type="dxa"/>
            <w:vAlign w:val="bottom"/>
            <w:tcBorders>
              <w:left w:val="single" w:sz="8" w:color="00000A"/>
              <w:bottom w:val="single" w:sz="8" w:color="00000A"/>
            </w:tcBorders>
          </w:tcPr>
          <w:p>
            <w:pPr>
              <w:spacing w:after="0"/>
              <w:rPr>
                <w:sz w:val="22"/>
                <w:szCs w:val="22"/>
                <w:color w:val="auto"/>
              </w:rPr>
            </w:pPr>
          </w:p>
        </w:tc>
        <w:tc>
          <w:tcPr>
            <w:tcW w:w="1260" w:type="dxa"/>
            <w:vAlign w:val="bottom"/>
            <w:tcBorders>
              <w:top w:val="single" w:sz="8" w:color="auto"/>
              <w:bottom w:val="single" w:sz="8" w:color="00000A"/>
            </w:tcBorders>
          </w:tcPr>
          <w:p>
            <w:pPr>
              <w:spacing w:after="0"/>
              <w:rPr>
                <w:sz w:val="22"/>
                <w:szCs w:val="22"/>
                <w:color w:val="auto"/>
              </w:rPr>
            </w:pPr>
          </w:p>
        </w:tc>
        <w:tc>
          <w:tcPr>
            <w:tcW w:w="1680" w:type="dxa"/>
            <w:vAlign w:val="bottom"/>
            <w:tcBorders>
              <w:bottom w:val="single" w:sz="8" w:color="00000A"/>
            </w:tcBorders>
          </w:tcPr>
          <w:p>
            <w:pPr>
              <w:spacing w:after="0"/>
              <w:rPr>
                <w:sz w:val="22"/>
                <w:szCs w:val="22"/>
                <w:color w:val="auto"/>
              </w:rPr>
            </w:pPr>
          </w:p>
        </w:tc>
        <w:tc>
          <w:tcPr>
            <w:tcW w:w="256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3440" w:type="dxa"/>
            <w:vAlign w:val="bottom"/>
            <w:tcBorders>
              <w:top w:val="single" w:sz="8" w:color="auto"/>
              <w:bottom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r>
      <w:tr>
        <w:trPr>
          <w:trHeight w:val="246"/>
        </w:trPr>
        <w:tc>
          <w:tcPr>
            <w:tcW w:w="29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19"/>
                <w:szCs w:val="19"/>
                <w:color w:val="auto"/>
              </w:rPr>
              <w:t>United Technologies Corporation</w:t>
            </w:r>
          </w:p>
        </w:tc>
        <w:tc>
          <w:tcPr>
            <w:tcW w:w="2560" w:type="dxa"/>
            <w:vAlign w:val="bottom"/>
            <w:tcBorders>
              <w:bottom w:val="single" w:sz="8" w:color="00000A"/>
              <w:right w:val="single" w:sz="8" w:color="00000A"/>
            </w:tcBorders>
          </w:tcPr>
          <w:p>
            <w:pPr>
              <w:spacing w:after="0"/>
              <w:rPr>
                <w:sz w:val="21"/>
                <w:szCs w:val="21"/>
                <w:color w:val="auto"/>
              </w:rPr>
            </w:pPr>
          </w:p>
        </w:tc>
        <w:tc>
          <w:tcPr>
            <w:tcW w:w="3460" w:type="dxa"/>
            <w:vAlign w:val="bottom"/>
            <w:tcBorders>
              <w:bottom w:val="single" w:sz="8" w:color="00000A"/>
            </w:tcBorders>
            <w:gridSpan w:val="2"/>
          </w:tcPr>
          <w:p>
            <w:pPr>
              <w:jc w:val="right"/>
              <w:ind w:right="345"/>
              <w:spacing w:after="0"/>
              <w:rPr>
                <w:sz w:val="20"/>
                <w:szCs w:val="20"/>
                <w:color w:val="auto"/>
              </w:rPr>
            </w:pPr>
            <w:r>
              <w:rPr>
                <w:rFonts w:ascii="Arial" w:cs="Arial" w:eastAsia="Arial" w:hAnsi="Arial"/>
                <w:sz w:val="19"/>
                <w:szCs w:val="19"/>
                <w:color w:val="auto"/>
              </w:rPr>
              <w:t>5%*</w:t>
            </w:r>
          </w:p>
        </w:tc>
        <w:tc>
          <w:tcPr>
            <w:tcW w:w="2280" w:type="dxa"/>
            <w:vAlign w:val="bottom"/>
            <w:tcBorders>
              <w:bottom w:val="single" w:sz="8" w:color="00000A"/>
              <w:right w:val="single" w:sz="8" w:color="00000A"/>
            </w:tcBorders>
          </w:tcPr>
          <w:p>
            <w:pPr>
              <w:spacing w:after="0"/>
              <w:rPr>
                <w:sz w:val="21"/>
                <w:szCs w:val="21"/>
                <w:color w:val="auto"/>
              </w:rPr>
            </w:pPr>
          </w:p>
        </w:tc>
      </w:tr>
      <w:tr>
        <w:trPr>
          <w:trHeight w:val="254"/>
        </w:trPr>
        <w:tc>
          <w:tcPr>
            <w:tcW w:w="29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19"/>
                <w:szCs w:val="19"/>
                <w:color w:val="auto"/>
              </w:rPr>
              <w:t>Chevron Corporation</w:t>
            </w:r>
          </w:p>
        </w:tc>
        <w:tc>
          <w:tcPr>
            <w:tcW w:w="2560" w:type="dxa"/>
            <w:vAlign w:val="bottom"/>
            <w:tcBorders>
              <w:bottom w:val="single" w:sz="8" w:color="00000A"/>
              <w:right w:val="single" w:sz="8" w:color="00000A"/>
            </w:tcBorders>
          </w:tcPr>
          <w:p>
            <w:pPr>
              <w:spacing w:after="0"/>
              <w:rPr>
                <w:sz w:val="22"/>
                <w:szCs w:val="22"/>
                <w:color w:val="auto"/>
              </w:rPr>
            </w:pPr>
          </w:p>
        </w:tc>
        <w:tc>
          <w:tcPr>
            <w:tcW w:w="3460" w:type="dxa"/>
            <w:vAlign w:val="bottom"/>
            <w:tcBorders>
              <w:bottom w:val="single" w:sz="8" w:color="00000A"/>
            </w:tcBorders>
            <w:gridSpan w:val="2"/>
          </w:tcPr>
          <w:p>
            <w:pPr>
              <w:jc w:val="right"/>
              <w:ind w:right="345"/>
              <w:spacing w:after="0"/>
              <w:rPr>
                <w:sz w:val="20"/>
                <w:szCs w:val="20"/>
                <w:color w:val="auto"/>
              </w:rPr>
            </w:pPr>
            <w:r>
              <w:rPr>
                <w:rFonts w:ascii="Arial" w:cs="Arial" w:eastAsia="Arial" w:hAnsi="Arial"/>
                <w:sz w:val="19"/>
                <w:szCs w:val="19"/>
                <w:color w:val="auto"/>
              </w:rPr>
              <w:t>5%*</w:t>
            </w:r>
          </w:p>
        </w:tc>
        <w:tc>
          <w:tcPr>
            <w:tcW w:w="2280" w:type="dxa"/>
            <w:vAlign w:val="bottom"/>
            <w:tcBorders>
              <w:bottom w:val="single" w:sz="8" w:color="00000A"/>
              <w:right w:val="single" w:sz="8" w:color="00000A"/>
            </w:tcBorders>
          </w:tcPr>
          <w:p>
            <w:pPr>
              <w:spacing w:after="0"/>
              <w:rPr>
                <w:sz w:val="22"/>
                <w:szCs w:val="22"/>
                <w:color w:val="auto"/>
              </w:rPr>
            </w:pPr>
          </w:p>
        </w:tc>
      </w:tr>
      <w:tr>
        <w:trPr>
          <w:trHeight w:val="254"/>
        </w:trPr>
        <w:tc>
          <w:tcPr>
            <w:tcW w:w="29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19"/>
                <w:szCs w:val="19"/>
                <w:color w:val="auto"/>
              </w:rPr>
              <w:t>Duke Energy Corp.</w:t>
            </w:r>
          </w:p>
        </w:tc>
        <w:tc>
          <w:tcPr>
            <w:tcW w:w="2560" w:type="dxa"/>
            <w:vAlign w:val="bottom"/>
            <w:tcBorders>
              <w:bottom w:val="single" w:sz="8" w:color="00000A"/>
              <w:right w:val="single" w:sz="8" w:color="00000A"/>
            </w:tcBorders>
          </w:tcPr>
          <w:p>
            <w:pPr>
              <w:spacing w:after="0"/>
              <w:rPr>
                <w:sz w:val="22"/>
                <w:szCs w:val="22"/>
                <w:color w:val="auto"/>
              </w:rPr>
            </w:pPr>
          </w:p>
        </w:tc>
        <w:tc>
          <w:tcPr>
            <w:tcW w:w="3460" w:type="dxa"/>
            <w:vAlign w:val="bottom"/>
            <w:tcBorders>
              <w:bottom w:val="single" w:sz="8" w:color="00000A"/>
            </w:tcBorders>
            <w:gridSpan w:val="2"/>
          </w:tcPr>
          <w:p>
            <w:pPr>
              <w:jc w:val="right"/>
              <w:ind w:right="345"/>
              <w:spacing w:after="0"/>
              <w:rPr>
                <w:sz w:val="20"/>
                <w:szCs w:val="20"/>
                <w:color w:val="auto"/>
              </w:rPr>
            </w:pPr>
            <w:r>
              <w:rPr>
                <w:rFonts w:ascii="Arial" w:cs="Arial" w:eastAsia="Arial" w:hAnsi="Arial"/>
                <w:sz w:val="19"/>
                <w:szCs w:val="19"/>
                <w:color w:val="auto"/>
              </w:rPr>
              <w:t>3%*</w:t>
            </w:r>
          </w:p>
        </w:tc>
        <w:tc>
          <w:tcPr>
            <w:tcW w:w="2280" w:type="dxa"/>
            <w:vAlign w:val="bottom"/>
            <w:tcBorders>
              <w:bottom w:val="single" w:sz="8" w:color="00000A"/>
              <w:right w:val="single" w:sz="8" w:color="00000A"/>
            </w:tcBorders>
          </w:tcPr>
          <w:p>
            <w:pPr>
              <w:spacing w:after="0"/>
              <w:rPr>
                <w:sz w:val="22"/>
                <w:szCs w:val="22"/>
                <w:color w:val="auto"/>
              </w:rPr>
            </w:pPr>
          </w:p>
        </w:tc>
      </w:tr>
      <w:tr>
        <w:trPr>
          <w:trHeight w:val="254"/>
        </w:trPr>
        <w:tc>
          <w:tcPr>
            <w:tcW w:w="29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19"/>
                <w:szCs w:val="19"/>
                <w:color w:val="auto"/>
                <w:w w:val="95"/>
              </w:rPr>
              <w:t>Public Service Enterprise Group Inc.</w:t>
            </w:r>
          </w:p>
        </w:tc>
        <w:tc>
          <w:tcPr>
            <w:tcW w:w="2560" w:type="dxa"/>
            <w:vAlign w:val="bottom"/>
            <w:tcBorders>
              <w:bottom w:val="single" w:sz="8" w:color="00000A"/>
              <w:right w:val="single" w:sz="8" w:color="00000A"/>
            </w:tcBorders>
          </w:tcPr>
          <w:p>
            <w:pPr>
              <w:spacing w:after="0"/>
              <w:rPr>
                <w:sz w:val="22"/>
                <w:szCs w:val="22"/>
                <w:color w:val="auto"/>
              </w:rPr>
            </w:pPr>
          </w:p>
        </w:tc>
        <w:tc>
          <w:tcPr>
            <w:tcW w:w="3460" w:type="dxa"/>
            <w:vAlign w:val="bottom"/>
            <w:tcBorders>
              <w:bottom w:val="single" w:sz="8" w:color="00000A"/>
            </w:tcBorders>
            <w:gridSpan w:val="2"/>
          </w:tcPr>
          <w:p>
            <w:pPr>
              <w:jc w:val="right"/>
              <w:ind w:right="345"/>
              <w:spacing w:after="0"/>
              <w:rPr>
                <w:sz w:val="20"/>
                <w:szCs w:val="20"/>
                <w:color w:val="auto"/>
              </w:rPr>
            </w:pPr>
            <w:r>
              <w:rPr>
                <w:rFonts w:ascii="Arial" w:cs="Arial" w:eastAsia="Arial" w:hAnsi="Arial"/>
                <w:sz w:val="19"/>
                <w:szCs w:val="19"/>
                <w:color w:val="auto"/>
              </w:rPr>
              <w:t>3%*</w:t>
            </w:r>
          </w:p>
        </w:tc>
        <w:tc>
          <w:tcPr>
            <w:tcW w:w="228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 w:right="360" w:hanging="5"/>
        <w:spacing w:after="0" w:line="257" w:lineRule="auto"/>
        <w:tabs>
          <w:tab w:leader="none" w:pos="147" w:val="left"/>
        </w:tabs>
        <w:numPr>
          <w:ilvl w:val="0"/>
          <w:numId w:val="323"/>
        </w:numPr>
        <w:rPr>
          <w:rFonts w:ascii="Arial" w:cs="Arial" w:eastAsia="Arial" w:hAnsi="Arial"/>
          <w:sz w:val="19"/>
          <w:szCs w:val="19"/>
          <w:color w:val="auto"/>
        </w:rPr>
      </w:pPr>
      <w:r>
        <w:rPr>
          <w:rFonts w:ascii="Arial" w:cs="Arial" w:eastAsia="Arial" w:hAnsi="Arial"/>
          <w:sz w:val="19"/>
          <w:szCs w:val="19"/>
          <w:color w:val="auto"/>
        </w:rPr>
        <w:t>Such Special Obligor Concentration Percentage reflects the aggregate Special Obligor Concentration Percentage with respect to such Special Obligor and its subsidiaries.</w:t>
      </w:r>
    </w:p>
    <w:p>
      <w:pPr>
        <w:jc w:val="center"/>
        <w:ind w:right="-164"/>
        <w:spacing w:after="0"/>
        <w:rPr>
          <w:sz w:val="20"/>
          <w:szCs w:val="20"/>
          <w:color w:val="auto"/>
        </w:rPr>
      </w:pPr>
      <w:r>
        <w:rPr>
          <w:rFonts w:ascii="Arial" w:cs="Arial" w:eastAsia="Arial" w:hAnsi="Arial"/>
          <w:sz w:val="19"/>
          <w:szCs w:val="19"/>
          <w:color w:val="auto"/>
        </w:rPr>
        <w:t>ANNEX D</w:t>
      </w:r>
    </w:p>
    <w:p>
      <w:pPr>
        <w:spacing w:after="0" w:line="183" w:lineRule="exact"/>
        <w:rPr>
          <w:sz w:val="20"/>
          <w:szCs w:val="20"/>
          <w:color w:val="auto"/>
        </w:rPr>
      </w:pPr>
    </w:p>
    <w:p>
      <w:pPr>
        <w:jc w:val="center"/>
        <w:ind w:right="-164"/>
        <w:spacing w:after="0"/>
        <w:rPr>
          <w:sz w:val="20"/>
          <w:szCs w:val="20"/>
          <w:color w:val="auto"/>
        </w:rPr>
      </w:pPr>
      <w:r>
        <w:rPr>
          <w:rFonts w:ascii="Arial" w:cs="Arial" w:eastAsia="Arial" w:hAnsi="Arial"/>
          <w:sz w:val="19"/>
          <w:szCs w:val="19"/>
          <w:color w:val="auto"/>
        </w:rPr>
        <w:t>to Fourth Amended And Restated Receivables Purchase Agreement</w:t>
      </w:r>
    </w:p>
    <w:p>
      <w:pPr>
        <w:spacing w:after="0" w:line="389" w:lineRule="exact"/>
        <w:rPr>
          <w:sz w:val="20"/>
          <w:szCs w:val="20"/>
          <w:color w:val="auto"/>
        </w:rPr>
      </w:pPr>
    </w:p>
    <w:p>
      <w:pPr>
        <w:jc w:val="center"/>
        <w:ind w:right="-164"/>
        <w:spacing w:after="0"/>
        <w:rPr>
          <w:sz w:val="20"/>
          <w:szCs w:val="20"/>
          <w:color w:val="auto"/>
        </w:rPr>
      </w:pPr>
      <w:r>
        <w:rPr>
          <w:rFonts w:ascii="Arial" w:cs="Arial" w:eastAsia="Arial" w:hAnsi="Arial"/>
          <w:sz w:val="19"/>
          <w:szCs w:val="19"/>
          <w:color w:val="auto"/>
        </w:rPr>
        <w:t>FORM OF ASSUMPTION AGREEMENT</w:t>
      </w:r>
    </w:p>
    <w:p>
      <w:pPr>
        <w:spacing w:after="0" w:line="199" w:lineRule="exact"/>
        <w:rPr>
          <w:sz w:val="20"/>
          <w:szCs w:val="20"/>
          <w:color w:val="auto"/>
        </w:rPr>
      </w:pPr>
    </w:p>
    <w:p>
      <w:pPr>
        <w:jc w:val="center"/>
        <w:ind w:right="-164"/>
        <w:spacing w:after="0"/>
        <w:rPr>
          <w:sz w:val="20"/>
          <w:szCs w:val="20"/>
          <w:color w:val="auto"/>
        </w:rPr>
      </w:pPr>
      <w:r>
        <w:rPr>
          <w:rFonts w:ascii="Arial" w:cs="Arial" w:eastAsia="Arial" w:hAnsi="Arial"/>
          <w:sz w:val="19"/>
          <w:szCs w:val="19"/>
          <w:color w:val="auto"/>
        </w:rPr>
        <w:t>ANNEX E</w:t>
      </w:r>
    </w:p>
    <w:p>
      <w:pPr>
        <w:spacing w:after="0" w:line="199" w:lineRule="exact"/>
        <w:rPr>
          <w:sz w:val="20"/>
          <w:szCs w:val="20"/>
          <w:color w:val="auto"/>
        </w:rPr>
      </w:pPr>
    </w:p>
    <w:p>
      <w:pPr>
        <w:jc w:val="center"/>
        <w:ind w:right="-164"/>
        <w:spacing w:after="0"/>
        <w:rPr>
          <w:sz w:val="20"/>
          <w:szCs w:val="20"/>
          <w:color w:val="auto"/>
        </w:rPr>
      </w:pPr>
      <w:r>
        <w:rPr>
          <w:rFonts w:ascii="Arial" w:cs="Arial" w:eastAsia="Arial" w:hAnsi="Arial"/>
          <w:sz w:val="19"/>
          <w:szCs w:val="19"/>
          <w:color w:val="auto"/>
        </w:rPr>
        <w:t>to Fourth Amended And Restated Receivables Purchase Agreement</w:t>
      </w:r>
    </w:p>
    <w:p>
      <w:pPr>
        <w:spacing w:after="0" w:line="389" w:lineRule="exact"/>
        <w:rPr>
          <w:sz w:val="20"/>
          <w:szCs w:val="20"/>
          <w:color w:val="auto"/>
        </w:rPr>
      </w:pPr>
    </w:p>
    <w:p>
      <w:pPr>
        <w:jc w:val="center"/>
        <w:ind w:right="-164"/>
        <w:spacing w:after="0"/>
        <w:rPr>
          <w:sz w:val="20"/>
          <w:szCs w:val="20"/>
          <w:color w:val="auto"/>
        </w:rPr>
      </w:pPr>
      <w:r>
        <w:rPr>
          <w:rFonts w:ascii="Arial" w:cs="Arial" w:eastAsia="Arial" w:hAnsi="Arial"/>
          <w:sz w:val="19"/>
          <w:szCs w:val="19"/>
          <w:color w:val="auto"/>
        </w:rPr>
        <w:t>FORM OF TRANSFER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spacing w:after="0"/>
        <w:rPr>
          <w:sz w:val="20"/>
          <w:szCs w:val="20"/>
          <w:color w:val="auto"/>
        </w:rPr>
      </w:pPr>
      <w:r>
        <w:rPr>
          <w:rFonts w:ascii="Arial" w:cs="Arial" w:eastAsia="Arial" w:hAnsi="Arial"/>
          <w:sz w:val="13"/>
          <w:szCs w:val="13"/>
          <w:color w:val="auto"/>
        </w:rPr>
        <w:t>717041204 99551574</w:t>
      </w:r>
    </w:p>
    <w:sectPr>
      <w:pgSz w:w="11900" w:h="16838" w:orient="portrait"/>
      <w:cols w:equalWidth="0" w:num="1">
        <w:col w:w="11265"/>
      </w:cols>
      <w:pgMar w:left="235" w:top="13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1)"/>
      <w:numFmt w:val="lowerLetter"/>
      <w:start w:val="4"/>
    </w:lvl>
  </w:abstractNum>
  <w:abstractNum w:abstractNumId="2">
    <w:nsid w:val="F856867"/>
    <w:multiLevelType w:val="hybridMultilevel"/>
    <w:lvl w:ilvl="0">
      <w:lvlJc w:val="left"/>
      <w:lvlText w:val="(%1)"/>
      <w:numFmt w:val="lowerLetter"/>
      <w:start w:val="1"/>
    </w:lvl>
  </w:abstractNum>
  <w:abstractNum w:abstractNumId="3">
    <w:nsid w:val="11B1CC33"/>
    <w:multiLevelType w:val="hybridMultilevel"/>
    <w:lvl w:ilvl="0">
      <w:lvlJc w:val="left"/>
      <w:lvlText w:val="(%1)"/>
      <w:numFmt w:val="lowerLetter"/>
      <w:start w:val="2"/>
    </w:lvl>
  </w:abstractNum>
  <w:abstractNum w:abstractNumId="4">
    <w:nsid w:val="2E22FBB7"/>
    <w:multiLevelType w:val="hybridMultilevel"/>
    <w:lvl w:ilvl="0">
      <w:lvlJc w:val="left"/>
      <w:lvlText w:val="(%1)"/>
      <w:numFmt w:val="lowerRoman"/>
      <w:start w:val="5"/>
    </w:lvl>
  </w:abstractNum>
  <w:abstractNum w:abstractNumId="5">
    <w:nsid w:val="29934699"/>
    <w:multiLevelType w:val="hybridMultilevel"/>
    <w:lvl w:ilvl="0">
      <w:lvlJc w:val="left"/>
      <w:lvlText w:val="(%1)"/>
      <w:numFmt w:val="lowerLetter"/>
      <w:start w:val="1"/>
    </w:lvl>
  </w:abstractNum>
  <w:abstractNum w:abstractNumId="6">
    <w:nsid w:val="77485850"/>
    <w:multiLevelType w:val="hybridMultilevel"/>
    <w:lvl w:ilvl="0">
      <w:lvlJc w:val="left"/>
      <w:lvlText w:val="%1"/>
      <w:numFmt w:val="lowerLetter"/>
      <w:start w:val="1"/>
    </w:lvl>
    <w:lvl w:ilvl="1">
      <w:lvlJc w:val="left"/>
      <w:lvlText w:val="(%2)"/>
      <w:numFmt w:val="lowerLetter"/>
      <w:start w:val="7"/>
    </w:lvl>
  </w:abstractNum>
  <w:abstractNum w:abstractNumId="7">
    <w:nsid w:val="744939A3"/>
    <w:multiLevelType w:val="hybridMultilevel"/>
    <w:lvl w:ilvl="0">
      <w:lvlJc w:val="left"/>
      <w:lvlText w:val="(%1)"/>
      <w:numFmt w:val="lowerLetter"/>
      <w:start w:val="61"/>
    </w:lvl>
    <w:lvl w:ilvl="1">
      <w:lvlJc w:val="left"/>
      <w:lvlText w:val="(%2)"/>
      <w:numFmt w:val="lowerLetter"/>
      <w:start w:val="9"/>
    </w:lvl>
  </w:abstractNum>
  <w:abstractNum w:abstractNumId="8">
    <w:nsid w:val="4FA0D2E3"/>
    <w:multiLevelType w:val="hybridMultilevel"/>
    <w:lvl w:ilvl="0">
      <w:lvlJc w:val="left"/>
      <w:lvlText w:val="(%1)"/>
      <w:numFmt w:val="lowerLetter"/>
      <w:start w:val="1"/>
    </w:lvl>
  </w:abstractNum>
  <w:abstractNum w:abstractNumId="9">
    <w:nsid w:val="6B1D2C14"/>
    <w:multiLevelType w:val="hybridMultilevel"/>
    <w:lvl w:ilvl="0">
      <w:lvlJc w:val="left"/>
      <w:lvlText w:val="(%1)"/>
      <w:numFmt w:val="lowerLetter"/>
      <w:start w:val="2"/>
    </w:lvl>
  </w:abstractNum>
  <w:abstractNum w:abstractNumId="10">
    <w:nsid w:val="68B867D3"/>
    <w:multiLevelType w:val="hybridMultilevel"/>
    <w:lvl w:ilvl="0">
      <w:lvlJc w:val="left"/>
      <w:lvlText w:val="(%1)"/>
      <w:numFmt w:val="lowerRoman"/>
      <w:start w:val="1"/>
    </w:lvl>
  </w:abstractNum>
  <w:abstractNum w:abstractNumId="11">
    <w:nsid w:val="3F7F5DD9"/>
    <w:multiLevelType w:val="hybridMultilevel"/>
    <w:lvl w:ilvl="0">
      <w:lvlJc w:val="left"/>
      <w:lvlText w:val="(%1)"/>
      <w:numFmt w:val="lowerRoman"/>
      <w:start w:val="1"/>
    </w:lvl>
  </w:abstractNum>
  <w:abstractNum w:abstractNumId="12">
    <w:nsid w:val="2AE05A34"/>
    <w:multiLevelType w:val="hybridMultilevel"/>
    <w:lvl w:ilvl="0">
      <w:lvlJc w:val="left"/>
      <w:lvlText w:val="(%1)"/>
      <w:numFmt w:val="lowerRoman"/>
      <w:start w:val="1"/>
    </w:lvl>
  </w:abstractNum>
  <w:abstractNum w:abstractNumId="13">
    <w:nsid w:val="32794FF7"/>
    <w:multiLevelType w:val="hybridMultilevel"/>
    <w:lvl w:ilvl="0">
      <w:lvlJc w:val="left"/>
      <w:lvlText w:val="(%1)"/>
      <w:numFmt w:val="lowerRoman"/>
      <w:start w:val="3"/>
    </w:lvl>
  </w:abstractNum>
  <w:abstractNum w:abstractNumId="14">
    <w:nsid w:val="5454945E"/>
    <w:multiLevelType w:val="hybridMultilevel"/>
    <w:lvl w:ilvl="0">
      <w:lvlJc w:val="left"/>
      <w:lvlText w:val="(%1)"/>
      <w:numFmt w:val="lowerLetter"/>
      <w:start w:val="1"/>
    </w:lvl>
  </w:abstractNum>
  <w:abstractNum w:abstractNumId="15">
    <w:nsid w:val="4DEFDFA0"/>
    <w:multiLevelType w:val="hybridMultilevel"/>
    <w:lvl w:ilvl="0">
      <w:lvlJc w:val="left"/>
      <w:lvlText w:val="(%1)"/>
      <w:numFmt w:val="lowerLetter"/>
      <w:start w:val="1"/>
    </w:lvl>
  </w:abstractNum>
  <w:abstractNum w:abstractNumId="16">
    <w:nsid w:val="2123D5F2"/>
    <w:multiLevelType w:val="hybridMultilevel"/>
    <w:lvl w:ilvl="0">
      <w:lvlJc w:val="left"/>
      <w:lvlText w:val="(%1)"/>
      <w:numFmt w:val="lowerLetter"/>
      <w:start w:val="3"/>
    </w:lvl>
  </w:abstractNum>
  <w:abstractNum w:abstractNumId="17">
    <w:nsid w:val="135B8110"/>
    <w:multiLevelType w:val="hybridMultilevel"/>
    <w:lvl w:ilvl="0">
      <w:lvlJc w:val="left"/>
      <w:lvlText w:val="(%1)"/>
      <w:numFmt w:val="lowerLetter"/>
      <w:start w:val="1"/>
    </w:lvl>
  </w:abstractNum>
  <w:abstractNum w:abstractNumId="18">
    <w:nsid w:val="94927A8"/>
    <w:multiLevelType w:val="hybridMultilevel"/>
    <w:lvl w:ilvl="0">
      <w:lvlJc w:val="left"/>
      <w:lvlText w:val="(%1)"/>
      <w:numFmt w:val="lowerLetter"/>
      <w:start w:val="1"/>
    </w:lvl>
  </w:abstractNum>
  <w:abstractNum w:abstractNumId="19">
    <w:nsid w:val="DCDF8F6"/>
    <w:multiLevelType w:val="hybridMultilevel"/>
    <w:lvl w:ilvl="0">
      <w:lvlJc w:val="left"/>
      <w:lvlText w:val="(%1)"/>
      <w:numFmt w:val="lowerRoman"/>
      <w:start w:val="1"/>
    </w:lvl>
  </w:abstractNum>
  <w:abstractNum w:abstractNumId="20">
    <w:nsid w:val="52D7B105"/>
    <w:multiLevelType w:val="hybridMultilevel"/>
    <w:lvl w:ilvl="0">
      <w:lvlJc w:val="left"/>
      <w:lvlText w:val="(%1)"/>
      <w:numFmt w:val="lowerRoman"/>
      <w:start w:val="4"/>
    </w:lvl>
  </w:abstractNum>
  <w:abstractNum w:abstractNumId="21">
    <w:nsid w:val="2E8A6394"/>
    <w:multiLevelType w:val="hybridMultilevel"/>
    <w:lvl w:ilvl="0">
      <w:lvlJc w:val="left"/>
      <w:lvlText w:val="(%1)"/>
      <w:numFmt w:val="lowerLetter"/>
      <w:start w:val="1"/>
    </w:lvl>
  </w:abstractNum>
  <w:abstractNum w:abstractNumId="22">
    <w:nsid w:val="24E60401"/>
    <w:multiLevelType w:val="hybridMultilevel"/>
    <w:lvl w:ilvl="0">
      <w:lvlJc w:val="left"/>
      <w:lvlText w:val="(%1)"/>
      <w:numFmt w:val="lowerRoman"/>
      <w:start w:val="1"/>
    </w:lvl>
  </w:abstractNum>
  <w:abstractNum w:abstractNumId="23">
    <w:nsid w:val="2A6AD9BE"/>
    <w:multiLevelType w:val="hybridMultilevel"/>
    <w:lvl w:ilvl="0">
      <w:lvlJc w:val="left"/>
      <w:lvlText w:val="(%1)"/>
      <w:numFmt w:val="lowerLetter"/>
      <w:start w:val="1"/>
    </w:lvl>
  </w:abstractNum>
  <w:abstractNum w:abstractNumId="24">
    <w:nsid w:val="BAAC1B4"/>
    <w:multiLevelType w:val="hybridMultilevel"/>
    <w:lvl w:ilvl="0">
      <w:lvlJc w:val="left"/>
      <w:lvlText w:val="(%1)"/>
      <w:numFmt w:val="lowerLetter"/>
      <w:start w:val="1"/>
    </w:lvl>
  </w:abstractNum>
  <w:abstractNum w:abstractNumId="25">
    <w:nsid w:val="36B2ACBC"/>
    <w:multiLevelType w:val="hybridMultilevel"/>
    <w:lvl w:ilvl="0">
      <w:lvlJc w:val="left"/>
      <w:lvlText w:val="(%1)"/>
      <w:numFmt w:val="lowerLetter"/>
      <w:start w:val="4"/>
    </w:lvl>
  </w:abstractNum>
  <w:abstractNum w:abstractNumId="26">
    <w:nsid w:val="779D8544"/>
    <w:multiLevelType w:val="hybridMultilevel"/>
    <w:lvl w:ilvl="0">
      <w:lvlJc w:val="left"/>
      <w:lvlText w:val="(%1)"/>
      <w:numFmt w:val="lowerLetter"/>
      <w:start w:val="2"/>
    </w:lvl>
  </w:abstractNum>
  <w:abstractNum w:abstractNumId="27">
    <w:nsid w:val="4AB26E78"/>
    <w:multiLevelType w:val="hybridMultilevel"/>
    <w:lvl w:ilvl="0">
      <w:lvlJc w:val="left"/>
      <w:lvlText w:val="(%1)"/>
      <w:numFmt w:val="lowerLetter"/>
      <w:start w:val="3"/>
    </w:lvl>
  </w:abstractNum>
  <w:abstractNum w:abstractNumId="28">
    <w:nsid w:val="21FAA2FA"/>
    <w:multiLevelType w:val="hybridMultilevel"/>
    <w:lvl w:ilvl="0">
      <w:lvlJc w:val="left"/>
      <w:lvlText w:val="%1"/>
      <w:numFmt w:val="lowerLetter"/>
      <w:start w:val="1"/>
    </w:lvl>
    <w:lvl w:ilvl="1">
      <w:lvlJc w:val="left"/>
      <w:lvlText w:val="(%2)"/>
      <w:numFmt w:val="lowerLetter"/>
      <w:start w:val="8"/>
    </w:lvl>
  </w:abstractNum>
  <w:abstractNum w:abstractNumId="29">
    <w:nsid w:val="5451CF49"/>
    <w:multiLevelType w:val="hybridMultilevel"/>
    <w:lvl w:ilvl="0">
      <w:lvlJc w:val="left"/>
      <w:lvlText w:val="(%1)"/>
      <w:numFmt w:val="lowerLetter"/>
      <w:start w:val="10"/>
    </w:lvl>
    <w:lvl w:ilvl="1">
      <w:lvlJc w:val="left"/>
      <w:lvlText w:val="(%2)"/>
      <w:numFmt w:val="lowerLetter"/>
      <w:start w:val="12"/>
    </w:lvl>
  </w:abstractNum>
  <w:abstractNum w:abstractNumId="30">
    <w:nsid w:val="6181EF69"/>
    <w:multiLevelType w:val="hybridMultilevel"/>
    <w:lvl w:ilvl="0">
      <w:lvlJc w:val="left"/>
      <w:lvlText w:val="(%1)"/>
      <w:numFmt w:val="lowerLetter"/>
      <w:start w:val="35"/>
    </w:lvl>
    <w:lvl w:ilvl="1">
      <w:lvlJc w:val="left"/>
      <w:lvlText w:val="(%2)"/>
      <w:numFmt w:val="lowerLetter"/>
      <w:start w:val="13"/>
    </w:lvl>
  </w:abstractNum>
  <w:abstractNum w:abstractNumId="31">
    <w:nsid w:val="3E6400E6"/>
    <w:multiLevelType w:val="hybridMultilevel"/>
    <w:lvl w:ilvl="0">
      <w:lvlJc w:val="left"/>
      <w:lvlText w:val="(%1)"/>
      <w:numFmt w:val="lowerLetter"/>
      <w:start w:val="1"/>
    </w:lvl>
  </w:abstractNum>
  <w:abstractNum w:abstractNumId="32">
    <w:nsid w:val="14217E23"/>
    <w:multiLevelType w:val="hybridMultilevel"/>
    <w:lvl w:ilvl="0">
      <w:lvlJc w:val="left"/>
      <w:lvlText w:val="(%1)"/>
      <w:numFmt w:val="lowerLetter"/>
      <w:start w:val="1"/>
    </w:lvl>
  </w:abstractNum>
  <w:abstractNum w:abstractNumId="33">
    <w:nsid w:val="710757D0"/>
    <w:multiLevelType w:val="hybridMultilevel"/>
    <w:lvl w:ilvl="0">
      <w:lvlJc w:val="left"/>
      <w:lvlText w:val="(%1)"/>
      <w:numFmt w:val="lowerRoman"/>
      <w:start w:val="1"/>
    </w:lvl>
  </w:abstractNum>
  <w:abstractNum w:abstractNumId="34">
    <w:nsid w:val="5015CD1A"/>
    <w:multiLevelType w:val="hybridMultilevel"/>
    <w:lvl w:ilvl="0">
      <w:lvlJc w:val="left"/>
      <w:lvlText w:val="(%1)"/>
      <w:numFmt w:val="lowerLetter"/>
      <w:start w:val="1"/>
    </w:lvl>
  </w:abstractNum>
  <w:abstractNum w:abstractNumId="35">
    <w:nsid w:val="424479DA"/>
    <w:multiLevelType w:val="hybridMultilevel"/>
    <w:lvl w:ilvl="0">
      <w:lvlJc w:val="left"/>
      <w:lvlText w:val="%1"/>
      <w:numFmt w:val="decimal"/>
      <w:start w:val="1"/>
    </w:lvl>
    <w:lvl w:ilvl="1">
      <w:lvlJc w:val="left"/>
      <w:lvlText w:val="(%2)"/>
      <w:numFmt w:val="lowerLetter"/>
      <w:start w:val="1"/>
    </w:lvl>
  </w:abstractNum>
  <w:abstractNum w:abstractNumId="36">
    <w:nsid w:val="1A9A9E69"/>
    <w:multiLevelType w:val="hybridMultilevel"/>
    <w:lvl w:ilvl="0">
      <w:lvlJc w:val="left"/>
      <w:lvlText w:val="(%1)"/>
      <w:numFmt w:val="decimal"/>
      <w:start w:val="4"/>
    </w:lvl>
    <w:lvl w:ilvl="1">
      <w:lvlJc w:val="left"/>
      <w:lvlText w:val="(%2)"/>
      <w:numFmt w:val="lowerLetter"/>
      <w:start w:val="5"/>
    </w:lvl>
  </w:abstractNum>
  <w:abstractNum w:abstractNumId="37">
    <w:nsid w:val="475E256A"/>
    <w:multiLevelType w:val="hybridMultilevel"/>
    <w:lvl w:ilvl="0">
      <w:lvlJc w:val="left"/>
      <w:lvlText w:val="(%1)"/>
      <w:numFmt w:val="lowerLetter"/>
      <w:start w:val="7"/>
    </w:lvl>
  </w:abstractNum>
  <w:abstractNum w:abstractNumId="38">
    <w:nsid w:val="368DB37E"/>
    <w:multiLevelType w:val="hybridMultilevel"/>
    <w:lvl w:ilvl="0">
      <w:lvlJc w:val="left"/>
      <w:lvlText w:val="%1"/>
      <w:numFmt w:val="lowerLetter"/>
      <w:start w:val="1"/>
    </w:lvl>
    <w:lvl w:ilvl="1">
      <w:lvlJc w:val="left"/>
      <w:lvlText w:val="(%2)"/>
      <w:numFmt w:val="lowerLetter"/>
      <w:start w:val="1"/>
    </w:lvl>
  </w:abstractNum>
  <w:abstractNum w:abstractNumId="39">
    <w:nsid w:val="6A3B714C"/>
    <w:multiLevelType w:val="hybridMultilevel"/>
    <w:lvl w:ilvl="0">
      <w:lvlJc w:val="left"/>
      <w:lvlText w:val="(%1)"/>
      <w:numFmt w:val="lowerLetter"/>
      <w:start w:val="3"/>
    </w:lvl>
    <w:lvl w:ilvl="1">
      <w:lvlJc w:val="left"/>
      <w:lvlText w:val="(%2)"/>
      <w:numFmt w:val="lowerLetter"/>
      <w:start w:val="5"/>
    </w:lvl>
  </w:abstractNum>
  <w:abstractNum w:abstractNumId="40">
    <w:nsid w:val="327B517E"/>
    <w:multiLevelType w:val="hybridMultilevel"/>
    <w:lvl w:ilvl="0">
      <w:lvlJc w:val="left"/>
      <w:lvlText w:val="(%1)"/>
      <w:numFmt w:val="lowerLetter"/>
      <w:start w:val="1"/>
    </w:lvl>
  </w:abstractNum>
  <w:abstractNum w:abstractNumId="41">
    <w:nsid w:val="1F461B51"/>
    <w:multiLevelType w:val="hybridMultilevel"/>
    <w:lvl w:ilvl="0">
      <w:lvlJc w:val="left"/>
      <w:lvlText w:val="(%1)"/>
      <w:numFmt w:val="lowerLetter"/>
      <w:start w:val="4"/>
    </w:lvl>
  </w:abstractNum>
  <w:abstractNum w:abstractNumId="42">
    <w:nsid w:val="29BACF25"/>
    <w:multiLevelType w:val="hybridMultilevel"/>
    <w:lvl w:ilvl="0">
      <w:lvlJc w:val="left"/>
      <w:lvlText w:val="(%1)"/>
      <w:numFmt w:val="lowerLetter"/>
      <w:start w:val="1"/>
    </w:lvl>
  </w:abstractNum>
  <w:abstractNum w:abstractNumId="43">
    <w:nsid w:val="5D5BABB3"/>
    <w:multiLevelType w:val="hybridMultilevel"/>
    <w:lvl w:ilvl="0">
      <w:lvlJc w:val="left"/>
      <w:lvlText w:val="(%1)"/>
      <w:numFmt w:val="lowerLetter"/>
      <w:start w:val="8"/>
    </w:lvl>
  </w:abstractNum>
  <w:abstractNum w:abstractNumId="44">
    <w:nsid w:val="51BF6B48"/>
    <w:multiLevelType w:val="hybridMultilevel"/>
    <w:lvl w:ilvl="0">
      <w:lvlJc w:val="left"/>
      <w:lvlText w:val="(%1)"/>
      <w:numFmt w:val="lowerRoman"/>
      <w:start w:val="1"/>
    </w:lvl>
  </w:abstractNum>
  <w:abstractNum w:abstractNumId="45">
    <w:nsid w:val="7E0F6384"/>
    <w:multiLevelType w:val="hybridMultilevel"/>
    <w:lvl w:ilvl="0">
      <w:lvlJc w:val="left"/>
      <w:lvlText w:val="(%1)"/>
      <w:numFmt w:val="lowerLetter"/>
      <w:start w:val="2"/>
    </w:lvl>
  </w:abstractNum>
  <w:abstractNum w:abstractNumId="46">
    <w:nsid w:val="2B4B8B53"/>
    <w:multiLevelType w:val="hybridMultilevel"/>
    <w:lvl w:ilvl="0">
      <w:lvlJc w:val="left"/>
      <w:lvlText w:val="(%1)"/>
      <w:numFmt w:val="lowerRoman"/>
      <w:start w:val="1"/>
    </w:lvl>
  </w:abstractNum>
  <w:abstractNum w:abstractNumId="47">
    <w:nsid w:val="72E3413A"/>
    <w:multiLevelType w:val="hybridMultilevel"/>
    <w:lvl w:ilvl="0">
      <w:lvlJc w:val="left"/>
      <w:lvlText w:val="(%1)"/>
      <w:numFmt w:val="lowerRoman"/>
      <w:start w:val="3"/>
    </w:lvl>
  </w:abstractNum>
  <w:abstractNum w:abstractNumId="48">
    <w:nsid w:val="116AE494"/>
    <w:multiLevelType w:val="hybridMultilevel"/>
    <w:lvl w:ilvl="0">
      <w:lvlJc w:val="left"/>
      <w:lvlText w:val="(%1)"/>
      <w:numFmt w:val="lowerLetter"/>
      <w:start w:val="2"/>
    </w:lvl>
  </w:abstractNum>
  <w:abstractNum w:abstractNumId="49">
    <w:nsid w:val="3494B2FB"/>
    <w:multiLevelType w:val="hybridMultilevel"/>
    <w:lvl w:ilvl="0">
      <w:lvlJc w:val="left"/>
      <w:lvlText w:val="(%1)"/>
      <w:numFmt w:val="lowerLetter"/>
      <w:start w:val="1"/>
    </w:lvl>
    <w:lvl w:ilvl="1">
      <w:lvlJc w:val="left"/>
      <w:lvlText w:val="(%2)"/>
      <w:numFmt w:val="lowerLetter"/>
      <w:start w:val="35"/>
    </w:lvl>
  </w:abstractNum>
  <w:abstractNum w:abstractNumId="50">
    <w:nsid w:val="B13A31"/>
    <w:multiLevelType w:val="hybridMultilevel"/>
    <w:lvl w:ilvl="0">
      <w:lvlJc w:val="left"/>
      <w:lvlText w:val="(%1)"/>
      <w:numFmt w:val="upperLetter"/>
      <w:start w:val="1"/>
    </w:lvl>
    <w:lvl w:ilvl="1">
      <w:lvlJc w:val="left"/>
      <w:lvlText w:val="(%2)"/>
      <w:numFmt w:val="decimal"/>
      <w:start w:val="1"/>
    </w:lvl>
  </w:abstractNum>
  <w:abstractNum w:abstractNumId="51">
    <w:nsid w:val="64429599"/>
    <w:multiLevelType w:val="hybridMultilevel"/>
    <w:lvl w:ilvl="0">
      <w:lvlJc w:val="left"/>
      <w:lvlText w:val="(%1)"/>
      <w:numFmt w:val="upperLetter"/>
      <w:start w:val="1"/>
    </w:lvl>
    <w:lvl w:ilvl="1">
      <w:lvlJc w:val="left"/>
      <w:lvlText w:val="%2"/>
      <w:numFmt w:val="decimal"/>
      <w:start w:val="1"/>
    </w:lvl>
  </w:abstractNum>
  <w:abstractNum w:abstractNumId="52">
    <w:nsid w:val="631F1690"/>
    <w:multiLevelType w:val="hybridMultilevel"/>
    <w:lvl w:ilvl="0">
      <w:lvlJc w:val="left"/>
      <w:lvlText w:val="%1"/>
      <w:numFmt w:val="upperLetter"/>
      <w:start w:val="1"/>
    </w:lvl>
    <w:lvl w:ilvl="1">
      <w:lvlJc w:val="left"/>
      <w:lvlText w:val="(%2)"/>
      <w:numFmt w:val="decimal"/>
      <w:start w:val="4"/>
    </w:lvl>
  </w:abstractNum>
  <w:abstractNum w:abstractNumId="53">
    <w:nsid w:val="25973E32"/>
    <w:multiLevelType w:val="hybridMultilevel"/>
    <w:lvl w:ilvl="0">
      <w:lvlJc w:val="left"/>
      <w:lvlText w:val="(%1)"/>
      <w:numFmt w:val="upperLetter"/>
      <w:start w:val="3"/>
    </w:lvl>
    <w:lvl w:ilvl="1">
      <w:lvlJc w:val="left"/>
      <w:lvlText w:val="%2"/>
      <w:numFmt w:val="decimal"/>
      <w:start w:val="1"/>
    </w:lvl>
  </w:abstractNum>
  <w:abstractNum w:abstractNumId="54">
    <w:nsid w:val="EAD6F57"/>
    <w:multiLevelType w:val="hybridMultilevel"/>
    <w:lvl w:ilvl="0">
      <w:lvlJc w:val="left"/>
      <w:lvlText w:val="(%1)"/>
      <w:numFmt w:val="lowerLetter"/>
      <w:start w:val="7"/>
    </w:lvl>
  </w:abstractNum>
  <w:abstractNum w:abstractNumId="55">
    <w:nsid w:val="6EC9D844"/>
    <w:multiLevelType w:val="hybridMultilevel"/>
    <w:lvl w:ilvl="0">
      <w:lvlJc w:val="left"/>
      <w:lvlText w:val="(%1)"/>
      <w:numFmt w:val="lowerLetter"/>
      <w:start w:val="1"/>
    </w:lvl>
  </w:abstractNum>
  <w:abstractNum w:abstractNumId="56">
    <w:nsid w:val="5C49EAEE"/>
    <w:multiLevelType w:val="hybridMultilevel"/>
    <w:lvl w:ilvl="0">
      <w:lvlJc w:val="left"/>
      <w:lvlText w:val="(%1)"/>
      <w:numFmt w:val="lowerLetter"/>
      <w:start w:val="2"/>
    </w:lvl>
  </w:abstractNum>
  <w:abstractNum w:abstractNumId="57">
    <w:nsid w:val="64AF49B"/>
    <w:multiLevelType w:val="hybridMultilevel"/>
    <w:lvl w:ilvl="0">
      <w:lvlJc w:val="left"/>
      <w:lvlText w:val="(%1)"/>
      <w:numFmt w:val="lowerLetter"/>
      <w:start w:val="1"/>
    </w:lvl>
  </w:abstractNum>
  <w:abstractNum w:abstractNumId="58">
    <w:nsid w:val="397C46BC"/>
    <w:multiLevelType w:val="hybridMultilevel"/>
    <w:lvl w:ilvl="0">
      <w:lvlJc w:val="left"/>
      <w:lvlText w:val="(%1)"/>
      <w:numFmt w:val="lowerLetter"/>
      <w:start w:val="3"/>
    </w:lvl>
  </w:abstractNum>
  <w:abstractNum w:abstractNumId="59">
    <w:nsid w:val="7E448DE9"/>
    <w:multiLevelType w:val="hybridMultilevel"/>
    <w:lvl w:ilvl="0">
      <w:lvlJc w:val="left"/>
      <w:lvlText w:val="(%1)"/>
      <w:numFmt w:val="lowerLetter"/>
      <w:start w:val="1"/>
    </w:lvl>
  </w:abstractNum>
  <w:abstractNum w:abstractNumId="60">
    <w:nsid w:val="5A9CC3E5"/>
    <w:multiLevelType w:val="hybridMultilevel"/>
    <w:lvl w:ilvl="0">
      <w:lvlJc w:val="left"/>
      <w:lvlText w:val="(%1)"/>
      <w:numFmt w:val="lowerRoman"/>
      <w:start w:val="1"/>
    </w:lvl>
  </w:abstractNum>
  <w:abstractNum w:abstractNumId="61">
    <w:nsid w:val="1AFE3625"/>
    <w:multiLevelType w:val="hybridMultilevel"/>
    <w:lvl w:ilvl="0">
      <w:lvlJc w:val="left"/>
      <w:lvlText w:val="(%1)"/>
      <w:numFmt w:val="lowerLetter"/>
      <w:start w:val="1"/>
    </w:lvl>
  </w:abstractNum>
  <w:abstractNum w:abstractNumId="62">
    <w:nsid w:val="3CA88ECF"/>
    <w:multiLevelType w:val="hybridMultilevel"/>
    <w:lvl w:ilvl="0">
      <w:lvlJc w:val="left"/>
      <w:lvlText w:val="(%1)"/>
      <w:numFmt w:val="lowerLetter"/>
      <w:start w:val="2"/>
    </w:lvl>
  </w:abstractNum>
  <w:abstractNum w:abstractNumId="63">
    <w:nsid w:val="6EBE4208"/>
    <w:multiLevelType w:val="hybridMultilevel"/>
    <w:lvl w:ilvl="0">
      <w:lvlJc w:val="left"/>
      <w:lvlText w:val="(%1)"/>
      <w:numFmt w:val="upperLetter"/>
      <w:start w:val="2"/>
    </w:lvl>
    <w:lvl w:ilvl="1">
      <w:lvlJc w:val="left"/>
      <w:lvlText w:val="(%2)"/>
      <w:numFmt w:val="lowerLetter"/>
      <w:start w:val="1"/>
    </w:lvl>
  </w:abstractNum>
  <w:abstractNum w:abstractNumId="64">
    <w:nsid w:val="C058DF5"/>
    <w:multiLevelType w:val="hybridMultilevel"/>
    <w:lvl w:ilvl="0">
      <w:lvlJc w:val="left"/>
      <w:lvlText w:val="(%1)"/>
      <w:numFmt w:val="lowerLetter"/>
      <w:start w:val="1"/>
    </w:lvl>
  </w:abstractNum>
  <w:abstractNum w:abstractNumId="65">
    <w:nsid w:val="CBE5BE9"/>
    <w:multiLevelType w:val="hybridMultilevel"/>
    <w:lvl w:ilvl="0">
      <w:lvlJc w:val="left"/>
      <w:lvlText w:val="(%1)"/>
      <w:numFmt w:val="lowerLetter"/>
      <w:start w:val="1"/>
    </w:lvl>
  </w:abstractNum>
  <w:abstractNum w:abstractNumId="66">
    <w:nsid w:val="3102BBE2"/>
    <w:multiLevelType w:val="hybridMultilevel"/>
    <w:lvl w:ilvl="0">
      <w:lvlJc w:val="left"/>
      <w:lvlText w:val="(%1)"/>
      <w:numFmt w:val="lowerLetter"/>
      <w:start w:val="1"/>
    </w:lvl>
  </w:abstractNum>
  <w:abstractNum w:abstractNumId="67">
    <w:nsid w:val="26A02C5E"/>
    <w:multiLevelType w:val="hybridMultilevel"/>
    <w:lvl w:ilvl="0">
      <w:lvlJc w:val="left"/>
      <w:lvlText w:val="(%1)"/>
      <w:numFmt w:val="lowerLetter"/>
      <w:start w:val="2"/>
    </w:lvl>
  </w:abstractNum>
  <w:abstractNum w:abstractNumId="68">
    <w:nsid w:val="541C8153"/>
    <w:multiLevelType w:val="hybridMultilevel"/>
    <w:lvl w:ilvl="0">
      <w:lvlJc w:val="left"/>
      <w:lvlText w:val="(%1)"/>
      <w:numFmt w:val="lowerLetter"/>
      <w:start w:val="1"/>
    </w:lvl>
  </w:abstractNum>
  <w:abstractNum w:abstractNumId="69">
    <w:nsid w:val="67906F60"/>
    <w:multiLevelType w:val="hybridMultilevel"/>
    <w:lvl w:ilvl="0">
      <w:lvlJc w:val="left"/>
      <w:lvlText w:val="(%1)"/>
      <w:numFmt w:val="lowerLetter"/>
      <w:start w:val="1"/>
    </w:lvl>
  </w:abstractNum>
  <w:abstractNum w:abstractNumId="70">
    <w:nsid w:val="10DB9DAA"/>
    <w:multiLevelType w:val="hybridMultilevel"/>
    <w:lvl w:ilvl="0">
      <w:lvlJc w:val="left"/>
      <w:lvlText w:val="(%1)"/>
      <w:numFmt w:val="lowerLetter"/>
      <w:start w:val="1"/>
    </w:lvl>
  </w:abstractNum>
  <w:abstractNum w:abstractNumId="71">
    <w:nsid w:val="697D2D2"/>
    <w:multiLevelType w:val="hybridMultilevel"/>
    <w:lvl w:ilvl="0">
      <w:lvlJc w:val="left"/>
      <w:lvlText w:val="(%1)"/>
      <w:numFmt w:val="lowerLetter"/>
      <w:start w:val="8"/>
    </w:lvl>
  </w:abstractNum>
  <w:abstractNum w:abstractNumId="72">
    <w:nsid w:val="6D68AB2"/>
    <w:multiLevelType w:val="hybridMultilevel"/>
    <w:lvl w:ilvl="0">
      <w:lvlJc w:val="left"/>
      <w:lvlText w:val="(%1)"/>
      <w:numFmt w:val="lowerLetter"/>
      <w:start w:val="1"/>
    </w:lvl>
  </w:abstractNum>
  <w:abstractNum w:abstractNumId="73">
    <w:nsid w:val="3A966CD0"/>
    <w:multiLevelType w:val="hybridMultilevel"/>
    <w:lvl w:ilvl="0">
      <w:lvlJc w:val="left"/>
      <w:lvlText w:val="(%1)"/>
      <w:numFmt w:val="lowerLetter"/>
      <w:start w:val="4"/>
    </w:lvl>
  </w:abstractNum>
  <w:abstractNum w:abstractNumId="74">
    <w:nsid w:val="63F37E85"/>
    <w:multiLevelType w:val="hybridMultilevel"/>
    <w:lvl w:ilvl="0">
      <w:lvlJc w:val="left"/>
      <w:lvlText w:val="(%1)"/>
      <w:numFmt w:val="lowerRoman"/>
      <w:start w:val="1"/>
    </w:lvl>
  </w:abstractNum>
  <w:abstractNum w:abstractNumId="75">
    <w:nsid w:val="5895F5FA"/>
    <w:multiLevelType w:val="hybridMultilevel"/>
    <w:lvl w:ilvl="0">
      <w:lvlJc w:val="left"/>
      <w:lvlText w:val="(%1)"/>
      <w:numFmt w:val="lowerRoman"/>
      <w:start w:val="3"/>
    </w:lvl>
  </w:abstractNum>
  <w:abstractNum w:abstractNumId="76">
    <w:nsid w:val="38A5D054"/>
    <w:multiLevelType w:val="hybridMultilevel"/>
    <w:lvl w:ilvl="0">
      <w:lvlJc w:val="left"/>
      <w:lvlText w:val="(%1)"/>
      <w:numFmt w:val="lowerLetter"/>
      <w:start w:val="8"/>
    </w:lvl>
  </w:abstractNum>
  <w:abstractNum w:abstractNumId="77">
    <w:nsid w:val="F3F09D8"/>
    <w:multiLevelType w:val="hybridMultilevel"/>
    <w:lvl w:ilvl="0">
      <w:lvlJc w:val="left"/>
      <w:lvlText w:val="(%1)"/>
      <w:numFmt w:val="lowerRoman"/>
      <w:start w:val="2"/>
    </w:lvl>
  </w:abstractNum>
  <w:abstractNum w:abstractNumId="78">
    <w:nsid w:val="4B793735"/>
    <w:multiLevelType w:val="hybridMultilevel"/>
    <w:lvl w:ilvl="0">
      <w:lvlJc w:val="left"/>
      <w:lvlText w:val="(%1)"/>
      <w:numFmt w:val="lowerLetter"/>
      <w:start w:val="1"/>
    </w:lvl>
  </w:abstractNum>
  <w:abstractNum w:abstractNumId="79">
    <w:nsid w:val="4A10B4E8"/>
    <w:multiLevelType w:val="hybridMultilevel"/>
    <w:lvl w:ilvl="0">
      <w:lvlJc w:val="left"/>
      <w:lvlText w:val="%1."/>
      <w:numFmt w:val="lowerLetter"/>
      <w:start w:val="1"/>
    </w:lvl>
  </w:abstractNum>
  <w:abstractNum w:abstractNumId="80">
    <w:nsid w:val="43D3BCD4"/>
    <w:multiLevelType w:val="hybridMultilevel"/>
    <w:lvl w:ilvl="0">
      <w:lvlJc w:val="left"/>
      <w:lvlText w:val="%1"/>
      <w:numFmt w:val="lowerLetter"/>
      <w:start w:val="1"/>
    </w:lvl>
    <w:lvl w:ilvl="1">
      <w:lvlJc w:val="left"/>
      <w:lvlText w:val="(%2)"/>
      <w:numFmt w:val="lowerLetter"/>
      <w:start w:val="1"/>
    </w:lvl>
  </w:abstractNum>
  <w:abstractNum w:abstractNumId="81">
    <w:nsid w:val="4C2A7166"/>
    <w:multiLevelType w:val="hybridMultilevel"/>
    <w:lvl w:ilvl="0">
      <w:lvlJc w:val="left"/>
      <w:lvlText w:val="(%1)"/>
      <w:numFmt w:val="lowerLetter"/>
      <w:start w:val="9"/>
    </w:lvl>
    <w:lvl w:ilvl="1">
      <w:lvlJc w:val="left"/>
      <w:lvlText w:val="(%2)"/>
      <w:numFmt w:val="lowerLetter"/>
      <w:start w:val="3"/>
    </w:lvl>
  </w:abstractNum>
  <w:abstractNum w:abstractNumId="82">
    <w:nsid w:val="2E534A82"/>
    <w:multiLevelType w:val="hybridMultilevel"/>
    <w:lvl w:ilvl="0">
      <w:lvlJc w:val="left"/>
      <w:lvlText w:val="(%1)"/>
      <w:numFmt w:val="lowerLetter"/>
      <w:start w:val="1"/>
    </w:lvl>
  </w:abstractNum>
  <w:abstractNum w:abstractNumId="83">
    <w:nsid w:val="26F2D364"/>
    <w:multiLevelType w:val="hybridMultilevel"/>
    <w:lvl w:ilvl="0">
      <w:lvlJc w:val="left"/>
      <w:lvlText w:val="(%1)"/>
      <w:numFmt w:val="lowerLetter"/>
      <w:start w:val="2"/>
    </w:lvl>
  </w:abstractNum>
  <w:abstractNum w:abstractNumId="84">
    <w:nsid w:val="71C1AF98"/>
    <w:multiLevelType w:val="hybridMultilevel"/>
    <w:lvl w:ilvl="0">
      <w:lvlJc w:val="left"/>
      <w:lvlText w:val="(%1)"/>
      <w:numFmt w:val="lowerLetter"/>
      <w:start w:val="9"/>
    </w:lvl>
    <w:lvl w:ilvl="1">
      <w:lvlJc w:val="left"/>
      <w:lvlText w:val="(%2)"/>
      <w:numFmt w:val="lowerLetter"/>
      <w:start w:val="1"/>
    </w:lvl>
  </w:abstractNum>
  <w:abstractNum w:abstractNumId="85">
    <w:nsid w:val="3D00B9D9"/>
    <w:multiLevelType w:val="hybridMultilevel"/>
    <w:lvl w:ilvl="0">
      <w:lvlJc w:val="left"/>
      <w:lvlText w:val="(%1)"/>
      <w:numFmt w:val="lowerLetter"/>
      <w:start w:val="5"/>
    </w:lvl>
  </w:abstractNum>
  <w:abstractNum w:abstractNumId="86">
    <w:nsid w:val="15BCABA8"/>
    <w:multiLevelType w:val="hybridMultilevel"/>
    <w:lvl w:ilvl="0">
      <w:lvlJc w:val="left"/>
      <w:lvlText w:val="(%1)"/>
      <w:numFmt w:val="lowerLetter"/>
      <w:start w:val="1"/>
    </w:lvl>
  </w:abstractNum>
  <w:abstractNum w:abstractNumId="87">
    <w:nsid w:val="4E0B9A87"/>
    <w:multiLevelType w:val="hybridMultilevel"/>
    <w:lvl w:ilvl="0">
      <w:lvlJc w:val="left"/>
      <w:lvlText w:val="(%1)"/>
      <w:numFmt w:val="upperLetter"/>
      <w:start w:val="1"/>
    </w:lvl>
  </w:abstractNum>
  <w:abstractNum w:abstractNumId="88">
    <w:nsid w:val="434BAE75"/>
    <w:multiLevelType w:val="hybridMultilevel"/>
    <w:lvl w:ilvl="0">
      <w:lvlJc w:val="left"/>
      <w:lvlText w:val="(%1)"/>
      <w:numFmt w:val="lowerLetter"/>
      <w:start w:val="1"/>
    </w:lvl>
  </w:abstractNum>
  <w:abstractNum w:abstractNumId="89">
    <w:nsid w:val="4F38F265"/>
    <w:multiLevelType w:val="hybridMultilevel"/>
    <w:lvl w:ilvl="0">
      <w:lvlJc w:val="left"/>
      <w:lvlText w:val="(%1)"/>
      <w:numFmt w:val="lowerLetter"/>
      <w:start w:val="7"/>
    </w:lvl>
  </w:abstractNum>
  <w:abstractNum w:abstractNumId="90">
    <w:nsid w:val="4C502870"/>
    <w:multiLevelType w:val="hybridMultilevel"/>
    <w:lvl w:ilvl="0">
      <w:lvlJc w:val="left"/>
      <w:lvlText w:val="(%1)"/>
      <w:numFmt w:val="lowerLetter"/>
      <w:start w:val="15"/>
    </w:lvl>
  </w:abstractNum>
  <w:abstractNum w:abstractNumId="91">
    <w:nsid w:val="1DE8725A"/>
    <w:multiLevelType w:val="hybridMultilevel"/>
    <w:lvl w:ilvl="0">
      <w:lvlJc w:val="left"/>
      <w:lvlText w:val="(%1)"/>
      <w:numFmt w:val="lowerLetter"/>
      <w:start w:val="1"/>
    </w:lvl>
  </w:abstractNum>
  <w:abstractNum w:abstractNumId="92">
    <w:nsid w:val="6A37288A"/>
    <w:multiLevelType w:val="hybridMultilevel"/>
    <w:lvl w:ilvl="0">
      <w:lvlJc w:val="left"/>
      <w:lvlText w:val="(%1)"/>
      <w:numFmt w:val="lowerLetter"/>
      <w:start w:val="8"/>
    </w:lvl>
  </w:abstractNum>
  <w:abstractNum w:abstractNumId="93">
    <w:nsid w:val="8F8B73F"/>
    <w:multiLevelType w:val="hybridMultilevel"/>
    <w:lvl w:ilvl="0">
      <w:lvlJc w:val="left"/>
      <w:lvlText w:val="(%1)"/>
      <w:numFmt w:val="lowerRoman"/>
      <w:start w:val="10"/>
    </w:lvl>
  </w:abstractNum>
  <w:abstractNum w:abstractNumId="94">
    <w:nsid w:val="CA6B462"/>
    <w:multiLevelType w:val="hybridMultilevel"/>
    <w:lvl w:ilvl="0">
      <w:lvlJc w:val="left"/>
      <w:lvlText w:val="(%1)"/>
      <w:numFmt w:val="lowerLetter"/>
      <w:start w:val="1"/>
    </w:lvl>
  </w:abstractNum>
  <w:abstractNum w:abstractNumId="95">
    <w:nsid w:val="763CB680"/>
    <w:multiLevelType w:val="hybridMultilevel"/>
    <w:lvl w:ilvl="0">
      <w:lvlJc w:val="left"/>
      <w:lvlText w:val="(%1)"/>
      <w:numFmt w:val="lowerLetter"/>
      <w:start w:val="3"/>
    </w:lvl>
  </w:abstractNum>
  <w:abstractNum w:abstractNumId="96">
    <w:nsid w:val="15B71329"/>
    <w:multiLevelType w:val="hybridMultilevel"/>
    <w:lvl w:ilvl="0">
      <w:lvlJc w:val="left"/>
      <w:lvlText w:val="(%1)"/>
      <w:numFmt w:val="lowerRoman"/>
      <w:start w:val="1"/>
    </w:lvl>
  </w:abstractNum>
  <w:abstractNum w:abstractNumId="97">
    <w:nsid w:val="3DA97044"/>
    <w:multiLevelType w:val="hybridMultilevel"/>
    <w:lvl w:ilvl="0">
      <w:lvlJc w:val="left"/>
      <w:lvlText w:val="%1"/>
      <w:numFmt w:val="upperLetter"/>
      <w:start w:val="1"/>
    </w:lvl>
    <w:lvl w:ilvl="1">
      <w:lvlJc w:val="left"/>
      <w:lvlText w:val="(%2)"/>
      <w:numFmt w:val="lowerLetter"/>
      <w:start w:val="7"/>
    </w:lvl>
  </w:abstractNum>
  <w:abstractNum w:abstractNumId="98">
    <w:nsid w:val="1CDCE2DE"/>
    <w:multiLevelType w:val="hybridMultilevel"/>
    <w:lvl w:ilvl="0">
      <w:lvlJc w:val="left"/>
      <w:lvlText w:val="(%1)"/>
      <w:numFmt w:val="lowerLetter"/>
      <w:start w:val="1"/>
    </w:lvl>
  </w:abstractNum>
  <w:abstractNum w:abstractNumId="99">
    <w:nsid w:val="69D3947C"/>
    <w:multiLevelType w:val="hybridMultilevel"/>
    <w:lvl w:ilvl="0">
      <w:lvlJc w:val="left"/>
      <w:lvlText w:val="(%1)"/>
      <w:numFmt w:val="lowerLetter"/>
      <w:start w:val="3"/>
    </w:lvl>
  </w:abstractNum>
  <w:abstractNum w:abstractNumId="100">
    <w:nsid w:val="2539DFA5"/>
    <w:multiLevelType w:val="hybridMultilevel"/>
    <w:lvl w:ilvl="0">
      <w:lvlJc w:val="left"/>
      <w:lvlText w:val="(%1)"/>
      <w:numFmt w:val="lowerLetter"/>
      <w:start w:val="4"/>
    </w:lvl>
  </w:abstractNum>
  <w:abstractNum w:abstractNumId="101">
    <w:nsid w:val="2DB88089"/>
    <w:multiLevelType w:val="hybridMultilevel"/>
    <w:lvl w:ilvl="0">
      <w:lvlJc w:val="left"/>
      <w:lvlText w:val="(%1)"/>
      <w:numFmt w:val="lowerLetter"/>
      <w:start w:val="1"/>
    </w:lvl>
  </w:abstractNum>
  <w:abstractNum w:abstractNumId="102">
    <w:nsid w:val="706B674E"/>
    <w:multiLevelType w:val="hybridMultilevel"/>
    <w:lvl w:ilvl="0">
      <w:lvlJc w:val="left"/>
      <w:lvlText w:val="(%1)"/>
      <w:numFmt w:val="lowerLetter"/>
      <w:start w:val="3"/>
    </w:lvl>
  </w:abstractNum>
  <w:abstractNum w:abstractNumId="103">
    <w:nsid w:val="2C106A57"/>
    <w:multiLevelType w:val="hybridMultilevel"/>
    <w:lvl w:ilvl="0">
      <w:lvlJc w:val="left"/>
      <w:lvlText w:val="(%1)"/>
      <w:numFmt w:val="decimal"/>
      <w:start w:val="30"/>
    </w:lvl>
  </w:abstractNum>
  <w:abstractNum w:abstractNumId="104">
    <w:nsid w:val="684EED59"/>
    <w:multiLevelType w:val="hybridMultilevel"/>
    <w:lvl w:ilvl="0">
      <w:lvlJc w:val="left"/>
      <w:lvlText w:val="(%1)"/>
      <w:numFmt w:val="lowerRoman"/>
      <w:start w:val="1"/>
    </w:lvl>
  </w:abstractNum>
  <w:abstractNum w:abstractNumId="105">
    <w:nsid w:val="545EE5D3"/>
    <w:multiLevelType w:val="hybridMultilevel"/>
    <w:lvl w:ilvl="0">
      <w:lvlJc w:val="left"/>
      <w:lvlText w:val="%1"/>
      <w:numFmt w:val="upperLetter"/>
      <w:start w:val="1"/>
    </w:lvl>
    <w:lvl w:ilvl="1">
      <w:lvlJc w:val="left"/>
      <w:lvlText w:val="(%2)"/>
      <w:numFmt w:val="lowerRoman"/>
      <w:start w:val="2"/>
    </w:lvl>
  </w:abstractNum>
  <w:abstractNum w:abstractNumId="106">
    <w:nsid w:val="4A66051"/>
    <w:multiLevelType w:val="hybridMultilevel"/>
    <w:lvl w:ilvl="0">
      <w:lvlJc w:val="left"/>
      <w:lvlText w:val="(%1)"/>
      <w:numFmt w:val="upperLetter"/>
      <w:start w:val="1"/>
    </w:lvl>
    <w:lvl w:ilvl="1">
      <w:lvlJc w:val="left"/>
      <w:lvlText w:val="(%2)"/>
      <w:numFmt w:val="lowerRoman"/>
      <w:start w:val="8"/>
    </w:lvl>
  </w:abstractNum>
  <w:abstractNum w:abstractNumId="107">
    <w:nsid w:val="20F4BDAD"/>
    <w:multiLevelType w:val="hybridMultilevel"/>
    <w:lvl w:ilvl="0">
      <w:lvlJc w:val="left"/>
      <w:lvlText w:val="(%1)"/>
      <w:numFmt w:val="lowerLetter"/>
      <w:start w:val="1"/>
    </w:lvl>
  </w:abstractNum>
  <w:abstractNum w:abstractNumId="108">
    <w:nsid w:val="639DEFAC"/>
    <w:multiLevelType w:val="hybridMultilevel"/>
    <w:lvl w:ilvl="0">
      <w:lvlJc w:val="left"/>
      <w:lvlText w:val="(%1)"/>
      <w:numFmt w:val="lowerRoman"/>
      <w:start w:val="1"/>
    </w:lvl>
  </w:abstractNum>
  <w:abstractNum w:abstractNumId="109">
    <w:nsid w:val="501F9786"/>
    <w:multiLevelType w:val="hybridMultilevel"/>
    <w:lvl w:ilvl="0">
      <w:lvlJc w:val="left"/>
      <w:lvlText w:val="(%1)"/>
      <w:numFmt w:val="lowerRoman"/>
      <w:start w:val="6"/>
    </w:lvl>
  </w:abstractNum>
  <w:abstractNum w:abstractNumId="110">
    <w:nsid w:val="6B057295"/>
    <w:multiLevelType w:val="hybridMultilevel"/>
    <w:lvl w:ilvl="0">
      <w:lvlJc w:val="left"/>
      <w:lvlText w:val="(%1)"/>
      <w:numFmt w:val="lowerRoman"/>
      <w:start w:val="8"/>
    </w:lvl>
  </w:abstractNum>
  <w:abstractNum w:abstractNumId="111">
    <w:nsid w:val="2771AC80"/>
    <w:multiLevelType w:val="hybridMultilevel"/>
    <w:lvl w:ilvl="0">
      <w:lvlJc w:val="left"/>
      <w:lvlText w:val="(%1)"/>
      <w:numFmt w:val="lowerLetter"/>
      <w:start w:val="2"/>
    </w:lvl>
  </w:abstractNum>
  <w:abstractNum w:abstractNumId="112">
    <w:nsid w:val="1C4A08EC"/>
    <w:multiLevelType w:val="hybridMultilevel"/>
    <w:lvl w:ilvl="0">
      <w:lvlJc w:val="left"/>
      <w:lvlText w:val="%1"/>
      <w:numFmt w:val="lowerRoman"/>
      <w:start w:val="1"/>
    </w:lvl>
    <w:lvl w:ilvl="1">
      <w:lvlJc w:val="left"/>
      <w:lvlText w:val="(%2)"/>
      <w:numFmt w:val="lowerLetter"/>
      <w:start w:val="8"/>
    </w:lvl>
  </w:abstractNum>
  <w:abstractNum w:abstractNumId="113">
    <w:nsid w:val="1958BD17"/>
    <w:multiLevelType w:val="hybridMultilevel"/>
    <w:lvl w:ilvl="0">
      <w:lvlJc w:val="left"/>
      <w:lvlText w:val="(%1)"/>
      <w:numFmt w:val="lowerRoman"/>
      <w:start w:val="6"/>
    </w:lvl>
    <w:lvl w:ilvl="1">
      <w:lvlJc w:val="left"/>
      <w:lvlText w:val="(%2)"/>
      <w:numFmt w:val="lowerLetter"/>
      <w:start w:val="12"/>
    </w:lvl>
  </w:abstractNum>
  <w:abstractNum w:abstractNumId="114">
    <w:nsid w:val="4E647FE4"/>
    <w:multiLevelType w:val="hybridMultilevel"/>
    <w:lvl w:ilvl="0">
      <w:lvlJc w:val="left"/>
      <w:lvlText w:val="(%1)"/>
      <w:numFmt w:val="lowerRoman"/>
      <w:start w:val="1"/>
    </w:lvl>
  </w:abstractNum>
  <w:abstractNum w:abstractNumId="115">
    <w:nsid w:val="E0BB885"/>
    <w:multiLevelType w:val="hybridMultilevel"/>
    <w:lvl w:ilvl="0">
      <w:lvlJc w:val="left"/>
      <w:lvlText w:val="(%1)"/>
      <w:numFmt w:val="lowerRoman"/>
      <w:start w:val="2"/>
    </w:lvl>
  </w:abstractNum>
  <w:abstractNum w:abstractNumId="116">
    <w:nsid w:val="565976F1"/>
    <w:multiLevelType w:val="hybridMultilevel"/>
    <w:lvl w:ilvl="0">
      <w:lvlJc w:val="left"/>
      <w:lvlText w:val="(%1)"/>
      <w:numFmt w:val="lowerRoman"/>
      <w:start w:val="3"/>
    </w:lvl>
  </w:abstractNum>
  <w:abstractNum w:abstractNumId="117">
    <w:nsid w:val="64212B8C"/>
    <w:multiLevelType w:val="hybridMultilevel"/>
    <w:lvl w:ilvl="0">
      <w:lvlJc w:val="left"/>
      <w:lvlText w:val="(%1)"/>
      <w:numFmt w:val="lowerLetter"/>
      <w:start w:val="1"/>
    </w:lvl>
  </w:abstractNum>
  <w:abstractNum w:abstractNumId="118">
    <w:nsid w:val="5C17530C"/>
    <w:multiLevelType w:val="hybridMultilevel"/>
    <w:lvl w:ilvl="0">
      <w:lvlJc w:val="left"/>
      <w:lvlText w:val="%1"/>
      <w:numFmt w:val="lowerRoman"/>
      <w:start w:val="1"/>
    </w:lvl>
    <w:lvl w:ilvl="1">
      <w:lvlJc w:val="left"/>
      <w:lvlText w:val="(%2)"/>
      <w:numFmt w:val="lowerLetter"/>
      <w:start w:val="2"/>
    </w:lvl>
  </w:abstractNum>
  <w:abstractNum w:abstractNumId="119">
    <w:nsid w:val="19A52566"/>
    <w:multiLevelType w:val="hybridMultilevel"/>
    <w:lvl w:ilvl="0">
      <w:lvlJc w:val="left"/>
      <w:lvlText w:val="(%1)"/>
      <w:numFmt w:val="lowerRoman"/>
      <w:start w:val="1"/>
    </w:lvl>
    <w:lvl w:ilvl="1">
      <w:lvlJc w:val="left"/>
      <w:lvlText w:val="(%2)"/>
      <w:numFmt w:val="lowerLetter"/>
      <w:start w:val="35"/>
    </w:lvl>
  </w:abstractNum>
  <w:abstractNum w:abstractNumId="120">
    <w:nsid w:val="335A1DF1"/>
    <w:multiLevelType w:val="hybridMultilevel"/>
    <w:lvl w:ilvl="0">
      <w:lvlJc w:val="left"/>
      <w:lvlText w:val="%1"/>
      <w:numFmt w:val="upperLetter"/>
      <w:start w:val="1"/>
    </w:lvl>
    <w:lvl w:ilvl="1">
      <w:lvlJc w:val="left"/>
      <w:lvlText w:val="(%2)"/>
      <w:numFmt w:val="lowerLetter"/>
      <w:start w:val="2"/>
    </w:lvl>
  </w:abstractNum>
  <w:abstractNum w:abstractNumId="121">
    <w:nsid w:val="28677B7C"/>
    <w:multiLevelType w:val="hybridMultilevel"/>
    <w:lvl w:ilvl="0">
      <w:lvlJc w:val="left"/>
      <w:lvlText w:val="(%1)"/>
      <w:numFmt w:val="upperLetter"/>
      <w:start w:val="7"/>
    </w:lvl>
    <w:lvl w:ilvl="1">
      <w:lvlJc w:val="left"/>
      <w:lvlText w:val="(%2)"/>
      <w:numFmt w:val="lowerLetter"/>
      <w:start w:val="3"/>
    </w:lvl>
  </w:abstractNum>
  <w:abstractNum w:abstractNumId="122">
    <w:nsid w:val="378D97C0"/>
    <w:multiLevelType w:val="hybridMultilevel"/>
    <w:lvl w:ilvl="0">
      <w:lvlJc w:val="left"/>
      <w:lvlText w:val="(%1)"/>
      <w:numFmt w:val="lowerLetter"/>
      <w:start w:val="4"/>
    </w:lvl>
  </w:abstractNum>
  <w:abstractNum w:abstractNumId="123">
    <w:nsid w:val="1D91467C"/>
    <w:multiLevelType w:val="hybridMultilevel"/>
    <w:lvl w:ilvl="0">
      <w:lvlJc w:val="left"/>
      <w:lvlText w:val="(%1)"/>
      <w:numFmt w:val="lowerRoman"/>
      <w:start w:val="1"/>
    </w:lvl>
  </w:abstractNum>
  <w:abstractNum w:abstractNumId="124">
    <w:nsid w:val="316032BB"/>
    <w:multiLevelType w:val="hybridMultilevel"/>
    <w:lvl w:ilvl="0">
      <w:lvlJc w:val="left"/>
      <w:lvlText w:val="(%1)"/>
      <w:numFmt w:val="lowerLetter"/>
      <w:start w:val="1"/>
    </w:lvl>
  </w:abstractNum>
  <w:abstractNum w:abstractNumId="125">
    <w:nsid w:val="44344C22"/>
    <w:multiLevelType w:val="hybridMultilevel"/>
    <w:lvl w:ilvl="0">
      <w:lvlJc w:val="left"/>
      <w:lvlText w:val="%1"/>
      <w:numFmt w:val="lowerLetter"/>
      <w:start w:val="1"/>
    </w:lvl>
    <w:lvl w:ilvl="1">
      <w:lvlJc w:val="left"/>
      <w:lvlText w:val="(%2)"/>
      <w:numFmt w:val="lowerLetter"/>
      <w:start w:val="3"/>
    </w:lvl>
  </w:abstractNum>
  <w:abstractNum w:abstractNumId="126">
    <w:nsid w:val="13CDFCFC"/>
    <w:multiLevelType w:val="hybridMultilevel"/>
    <w:lvl w:ilvl="0">
      <w:lvlJc w:val="left"/>
      <w:lvlText w:val="(%1)"/>
      <w:numFmt w:val="lowerLetter"/>
      <w:start w:val="9"/>
    </w:lvl>
    <w:lvl w:ilvl="1">
      <w:lvlJc w:val="left"/>
      <w:lvlText w:val="(%2)"/>
      <w:numFmt w:val="lowerLetter"/>
      <w:start w:val="4"/>
    </w:lvl>
  </w:abstractNum>
  <w:abstractNum w:abstractNumId="127">
    <w:nsid w:val="471745E4"/>
    <w:multiLevelType w:val="hybridMultilevel"/>
    <w:lvl w:ilvl="0">
      <w:lvlJc w:val="left"/>
      <w:lvlText w:val="(%1)"/>
      <w:numFmt w:val="lowerLetter"/>
      <w:start w:val="1"/>
    </w:lvl>
    <w:lvl w:ilvl="1">
      <w:lvlJc w:val="left"/>
      <w:lvlText w:val="(%2)"/>
      <w:numFmt w:val="upperLetter"/>
      <w:start w:val="1"/>
    </w:lvl>
  </w:abstractNum>
  <w:abstractNum w:abstractNumId="128">
    <w:nsid w:val="1DDBC66"/>
    <w:multiLevelType w:val="hybridMultilevel"/>
    <w:lvl w:ilvl="0">
      <w:lvlJc w:val="left"/>
      <w:lvlText w:val="(%1)"/>
      <w:numFmt w:val="lowerRoman"/>
      <w:start w:val="2"/>
    </w:lvl>
    <w:lvl w:ilvl="1">
      <w:lvlJc w:val="left"/>
      <w:lvlText w:val="(%2)"/>
      <w:numFmt w:val="upperLetter"/>
      <w:start w:val="1"/>
    </w:lvl>
  </w:abstractNum>
  <w:abstractNum w:abstractNumId="129">
    <w:nsid w:val="30AADFDA"/>
    <w:multiLevelType w:val="hybridMultilevel"/>
    <w:lvl w:ilvl="0">
      <w:lvlJc w:val="left"/>
      <w:lvlText w:val="(%1)"/>
      <w:numFmt w:val="lowerRoman"/>
      <w:start w:val="3"/>
    </w:lvl>
  </w:abstractNum>
  <w:abstractNum w:abstractNumId="130">
    <w:nsid w:val="30EADA61"/>
    <w:multiLevelType w:val="hybridMultilevel"/>
    <w:lvl w:ilvl="0">
      <w:lvlJc w:val="left"/>
      <w:lvlText w:val="(%1)"/>
      <w:numFmt w:val="lowerRoman"/>
      <w:start w:val="5"/>
    </w:lvl>
  </w:abstractNum>
  <w:abstractNum w:abstractNumId="131">
    <w:nsid w:val="27179C0B"/>
    <w:multiLevelType w:val="hybridMultilevel"/>
    <w:lvl w:ilvl="0">
      <w:lvlJc w:val="left"/>
      <w:lvlText w:val="(%1)"/>
      <w:numFmt w:val="lowerLetter"/>
      <w:start w:val="1"/>
    </w:lvl>
  </w:abstractNum>
  <w:abstractNum w:abstractNumId="132">
    <w:nsid w:val="5E636063"/>
    <w:multiLevelType w:val="hybridMultilevel"/>
    <w:lvl w:ilvl="0">
      <w:lvlJc w:val="left"/>
      <w:lvlText w:val="(%1)"/>
      <w:numFmt w:val="lowerLetter"/>
      <w:start w:val="1"/>
    </w:lvl>
  </w:abstractNum>
  <w:abstractNum w:abstractNumId="133">
    <w:nsid w:val="215641AF"/>
    <w:multiLevelType w:val="hybridMultilevel"/>
    <w:lvl w:ilvl="0">
      <w:lvlJc w:val="left"/>
      <w:lvlText w:val="(%1)"/>
      <w:numFmt w:val="lowerLetter"/>
      <w:start w:val="2"/>
    </w:lvl>
  </w:abstractNum>
  <w:abstractNum w:abstractNumId="134">
    <w:nsid w:val="53280662"/>
    <w:multiLevelType w:val="hybridMultilevel"/>
    <w:lvl w:ilvl="0">
      <w:lvlJc w:val="left"/>
      <w:lvlText w:val="(%1)"/>
      <w:numFmt w:val="lowerLetter"/>
      <w:start w:val="2"/>
    </w:lvl>
  </w:abstractNum>
  <w:abstractNum w:abstractNumId="135">
    <w:nsid w:val="46B24DBC"/>
    <w:multiLevelType w:val="hybridMultilevel"/>
    <w:lvl w:ilvl="0">
      <w:lvlJc w:val="left"/>
      <w:lvlText w:val="(%1)"/>
      <w:numFmt w:val="lowerLetter"/>
      <w:start w:val="2"/>
    </w:lvl>
  </w:abstractNum>
  <w:abstractNum w:abstractNumId="136">
    <w:nsid w:val="75B52783"/>
    <w:multiLevelType w:val="hybridMultilevel"/>
    <w:lvl w:ilvl="0">
      <w:lvlJc w:val="left"/>
      <w:lvlText w:val="(%1)"/>
      <w:numFmt w:val="lowerRoman"/>
      <w:start w:val="1"/>
    </w:lvl>
  </w:abstractNum>
  <w:abstractNum w:abstractNumId="137">
    <w:nsid w:val="57CE66B4"/>
    <w:multiLevelType w:val="hybridMultilevel"/>
    <w:lvl w:ilvl="0">
      <w:lvlJc w:val="left"/>
      <w:lvlText w:val="(%1)"/>
      <w:numFmt w:val="lowerRoman"/>
      <w:start w:val="1"/>
    </w:lvl>
  </w:abstractNum>
  <w:abstractNum w:abstractNumId="138">
    <w:nsid w:val="67A70B69"/>
    <w:multiLevelType w:val="hybridMultilevel"/>
    <w:lvl w:ilvl="0">
      <w:lvlJc w:val="left"/>
      <w:lvlText w:val="(%1)"/>
      <w:numFmt w:val="lowerRoman"/>
      <w:start w:val="5"/>
    </w:lvl>
  </w:abstractNum>
  <w:abstractNum w:abstractNumId="139">
    <w:nsid w:val="5953172F"/>
    <w:multiLevelType w:val="hybridMultilevel"/>
    <w:lvl w:ilvl="0">
      <w:lvlJc w:val="left"/>
      <w:lvlText w:val="(%1)"/>
      <w:numFmt w:val="lowerLetter"/>
      <w:start w:val="2"/>
    </w:lvl>
  </w:abstractNum>
  <w:abstractNum w:abstractNumId="140">
    <w:nsid w:val="27EDFE3A"/>
    <w:multiLevelType w:val="hybridMultilevel"/>
    <w:lvl w:ilvl="0">
      <w:lvlJc w:val="left"/>
      <w:lvlText w:val="(%1)"/>
      <w:numFmt w:val="lowerRoman"/>
      <w:start w:val="1"/>
    </w:lvl>
    <w:lvl w:ilvl="1">
      <w:lvlJc w:val="left"/>
      <w:lvlText w:val="(%2)"/>
      <w:numFmt w:val="upperLetter"/>
      <w:start w:val="1"/>
    </w:lvl>
  </w:abstractNum>
  <w:abstractNum w:abstractNumId="141">
    <w:nsid w:val="52AC7DFF"/>
    <w:multiLevelType w:val="hybridMultilevel"/>
    <w:lvl w:ilvl="0">
      <w:lvlJc w:val="left"/>
      <w:lvlText w:val="%1."/>
      <w:numFmt w:val="upperLetter"/>
      <w:start w:val="1"/>
    </w:lvl>
  </w:abstractNum>
  <w:abstractNum w:abstractNumId="142">
    <w:nsid w:val="C4C3AF"/>
    <w:multiLevelType w:val="hybridMultilevel"/>
    <w:lvl w:ilvl="0">
      <w:lvlJc w:val="left"/>
      <w:lvlText w:val="%1."/>
      <w:numFmt w:val="upperLetter"/>
      <w:start w:val="4"/>
    </w:lvl>
    <w:lvl w:ilvl="1">
      <w:lvlJc w:val="left"/>
      <w:lvlText w:val="%2."/>
      <w:numFmt w:val="decimal"/>
      <w:start w:val="1"/>
    </w:lvl>
  </w:abstractNum>
  <w:abstractNum w:abstractNumId="143">
    <w:nsid w:val="44380727"/>
    <w:multiLevelType w:val="hybridMultilevel"/>
    <w:lvl w:ilvl="0">
      <w:lvlJc w:val="left"/>
      <w:lvlText w:val="%1."/>
      <w:numFmt w:val="decimal"/>
      <w:start w:val="2"/>
    </w:lvl>
  </w:abstractNum>
  <w:abstractNum w:abstractNumId="144">
    <w:nsid w:val="6C053B16"/>
    <w:multiLevelType w:val="hybridMultilevel"/>
    <w:lvl w:ilvl="0">
      <w:lvlJc w:val="left"/>
      <w:lvlText w:val="%1"/>
      <w:numFmt w:val="upperLetter"/>
      <w:start w:val="1"/>
    </w:lvl>
    <w:lvl w:ilvl="1">
      <w:lvlJc w:val="left"/>
      <w:lvlText w:val="(%2)"/>
      <w:numFmt w:val="lowerLetter"/>
      <w:start w:val="1"/>
    </w:lvl>
  </w:abstractNum>
  <w:abstractNum w:abstractNumId="145">
    <w:nsid w:val="4F294393"/>
    <w:multiLevelType w:val="hybridMultilevel"/>
    <w:lvl w:ilvl="0">
      <w:lvlJc w:val="left"/>
      <w:lvlText w:val="%1."/>
      <w:numFmt w:val="upperLetter"/>
      <w:start w:val="5"/>
    </w:lvl>
    <w:lvl w:ilvl="1">
      <w:lvlJc w:val="left"/>
      <w:lvlText w:val="%2"/>
      <w:numFmt w:val="lowerLetter"/>
      <w:start w:val="1"/>
    </w:lvl>
  </w:abstractNum>
  <w:abstractNum w:abstractNumId="146">
    <w:nsid w:val="5243BFAC"/>
    <w:multiLevelType w:val="hybridMultilevel"/>
    <w:lvl w:ilvl="0">
      <w:lvlJc w:val="left"/>
      <w:lvlText w:val="%1"/>
      <w:numFmt w:val="upperLetter"/>
      <w:start w:val="1"/>
    </w:lvl>
    <w:lvl w:ilvl="1">
      <w:lvlJc w:val="left"/>
      <w:lvlText w:val="%2."/>
      <w:numFmt w:val="decimal"/>
      <w:start w:val="1"/>
    </w:lvl>
  </w:abstractNum>
  <w:abstractNum w:abstractNumId="147">
    <w:nsid w:val="425EB207"/>
    <w:multiLevelType w:val="hybridMultilevel"/>
    <w:lvl w:ilvl="0">
      <w:lvlJc w:val="left"/>
      <w:lvlText w:val="%1."/>
      <w:numFmt w:val="upperLetter"/>
      <w:start w:val="6"/>
    </w:lvl>
    <w:lvl w:ilvl="1">
      <w:lvlJc w:val="left"/>
      <w:lvlText w:val="%2."/>
      <w:numFmt w:val="decimal"/>
      <w:start w:val="1"/>
    </w:lvl>
  </w:abstractNum>
  <w:abstractNum w:abstractNumId="148">
    <w:nsid w:val="334A6F1F"/>
    <w:multiLevelType w:val="hybridMultilevel"/>
    <w:lvl w:ilvl="0">
      <w:lvlJc w:val="left"/>
      <w:lvlText w:val="%1."/>
      <w:numFmt w:val="upperLetter"/>
      <w:start w:val="9"/>
    </w:lvl>
  </w:abstractNum>
  <w:abstractNum w:abstractNumId="149">
    <w:nsid w:val="2E5B12B8"/>
    <w:multiLevelType w:val="hybridMultilevel"/>
    <w:lvl w:ilvl="0">
      <w:lvlJc w:val="left"/>
      <w:lvlText w:val="%1."/>
      <w:numFmt w:val="upperLetter"/>
      <w:start w:val="10"/>
    </w:lvl>
  </w:abstractNum>
  <w:abstractNum w:abstractNumId="150">
    <w:nsid w:val="5C03D76D"/>
    <w:multiLevelType w:val="hybridMultilevel"/>
    <w:lvl w:ilvl="0">
      <w:lvlJc w:val="left"/>
      <w:lvlText w:val="•"/>
      <w:numFmt w:val="bullet"/>
      <w:start w:val="1"/>
    </w:lvl>
  </w:abstractNum>
  <w:abstractNum w:abstractNumId="151">
    <w:nsid w:val="66A48D11"/>
    <w:multiLevelType w:val="hybridMultilevel"/>
    <w:lvl w:ilvl="0">
      <w:lvlJc w:val="left"/>
      <w:lvlText w:val="%1."/>
      <w:numFmt w:val="decimal"/>
      <w:start w:val="1"/>
    </w:lvl>
  </w:abstractNum>
  <w:abstractNum w:abstractNumId="152">
    <w:nsid w:val="56C28E34"/>
    <w:multiLevelType w:val="hybridMultilevel"/>
    <w:lvl w:ilvl="0">
      <w:lvlJc w:val="left"/>
      <w:lvlText w:val="%1."/>
      <w:numFmt w:val="decimal"/>
      <w:start w:val="2"/>
    </w:lvl>
  </w:abstractNum>
  <w:abstractNum w:abstractNumId="153">
    <w:nsid w:val="13916F2D"/>
    <w:multiLevelType w:val="hybridMultilevel"/>
    <w:lvl w:ilvl="0">
      <w:lvlJc w:val="left"/>
      <w:lvlText w:val="%1."/>
      <w:numFmt w:val="decimal"/>
      <w:start w:val="1"/>
    </w:lvl>
  </w:abstractNum>
  <w:abstractNum w:abstractNumId="154">
    <w:nsid w:val="435D38D"/>
    <w:multiLevelType w:val="hybridMultilevel"/>
    <w:lvl w:ilvl="0">
      <w:lvlJc w:val="left"/>
      <w:lvlText w:val="%1."/>
      <w:numFmt w:val="decimal"/>
      <w:start w:val="1"/>
    </w:lvl>
  </w:abstractNum>
  <w:abstractNum w:abstractNumId="155">
    <w:nsid w:val="822C0EF"/>
    <w:multiLevelType w:val="hybridMultilevel"/>
    <w:lvl w:ilvl="0">
      <w:lvlJc w:val="left"/>
      <w:lvlText w:val="%1."/>
      <w:numFmt w:val="decimal"/>
      <w:start w:val="1"/>
    </w:lvl>
  </w:abstractNum>
  <w:abstractNum w:abstractNumId="156">
    <w:nsid w:val="57C5BB4F"/>
    <w:multiLevelType w:val="hybridMultilevel"/>
    <w:lvl w:ilvl="0">
      <w:lvlJc w:val="left"/>
      <w:lvlText w:val="%1."/>
      <w:numFmt w:val="decimal"/>
      <w:start w:val="2"/>
    </w:lvl>
  </w:abstractNum>
  <w:abstractNum w:abstractNumId="157">
    <w:nsid w:val="1803D089"/>
    <w:multiLevelType w:val="hybridMultilevel"/>
    <w:lvl w:ilvl="0">
      <w:lvlJc w:val="left"/>
      <w:lvlText w:val="%1."/>
      <w:numFmt w:val="decimal"/>
      <w:start w:val="1"/>
    </w:lvl>
    <w:lvl w:ilvl="1">
      <w:lvlJc w:val="left"/>
      <w:lvlText w:val="%2."/>
      <w:numFmt w:val="decimal"/>
      <w:start w:val="4"/>
    </w:lvl>
  </w:abstractNum>
  <w:abstractNum w:abstractNumId="158">
    <w:nsid w:val="4F3A06D4"/>
    <w:multiLevelType w:val="hybridMultilevel"/>
    <w:lvl w:ilvl="0">
      <w:lvlJc w:val="left"/>
      <w:lvlText w:val="%1."/>
      <w:numFmt w:val="decimal"/>
      <w:start w:val="5"/>
    </w:lvl>
    <w:lvl w:ilvl="1">
      <w:lvlJc w:val="left"/>
      <w:lvlText w:val="•"/>
      <w:numFmt w:val="bullet"/>
      <w:start w:val="1"/>
    </w:lvl>
  </w:abstractNum>
  <w:abstractNum w:abstractNumId="159">
    <w:nsid w:val="59A377B6"/>
    <w:multiLevelType w:val="hybridMultilevel"/>
    <w:lvl w:ilvl="0">
      <w:lvlJc w:val="left"/>
      <w:lvlText w:val="(+)"/>
      <w:numFmt w:val="bullet"/>
      <w:start w:val="1"/>
    </w:lvl>
  </w:abstractNum>
  <w:abstractNum w:abstractNumId="160">
    <w:nsid w:val="48AEB063"/>
    <w:multiLevelType w:val="hybridMultilevel"/>
    <w:lvl w:ilvl="0">
      <w:lvlJc w:val="left"/>
      <w:lvlText w:val="%1."/>
      <w:numFmt w:val="upperLetter"/>
      <w:start w:val="2"/>
    </w:lvl>
  </w:abstractNum>
  <w:abstractNum w:abstractNumId="161">
    <w:nsid w:val="24E135"/>
    <w:multiLevelType w:val="hybridMultilevel"/>
    <w:lvl w:ilvl="0">
      <w:lvlJc w:val="left"/>
      <w:lvlText w:val="%1."/>
      <w:numFmt w:val="decimal"/>
      <w:start w:val="1"/>
    </w:lvl>
  </w:abstractNum>
  <w:abstractNum w:abstractNumId="162">
    <w:nsid w:val="BB13C1"/>
    <w:multiLevelType w:val="hybridMultilevel"/>
    <w:lvl w:ilvl="0">
      <w:lvlJc w:val="left"/>
      <w:lvlText w:val="(%1)"/>
      <w:numFmt w:val="lowerRoman"/>
      <w:start w:val="1"/>
    </w:lvl>
  </w:abstractNum>
  <w:abstractNum w:abstractNumId="163">
    <w:nsid w:val="271210C7"/>
    <w:multiLevelType w:val="hybridMultilevel"/>
    <w:lvl w:ilvl="0">
      <w:lvlJc w:val="left"/>
      <w:lvlText w:val="(%1)"/>
      <w:numFmt w:val="lowerLetter"/>
      <w:start w:val="1"/>
    </w:lvl>
  </w:abstractNum>
  <w:abstractNum w:abstractNumId="164">
    <w:nsid w:val="217B22E4"/>
    <w:multiLevelType w:val="hybridMultilevel"/>
    <w:lvl w:ilvl="0">
      <w:lvlJc w:val="left"/>
      <w:lvlText w:val="(%1)"/>
      <w:numFmt w:val="lowerLetter"/>
      <w:start w:val="1"/>
    </w:lvl>
  </w:abstractNum>
  <w:abstractNum w:abstractNumId="165">
    <w:nsid w:val="53E31A24"/>
    <w:multiLevelType w:val="hybridMultilevel"/>
    <w:lvl w:ilvl="0">
      <w:lvlJc w:val="left"/>
      <w:lvlText w:val="(%1)"/>
      <w:numFmt w:val="lowerLetter"/>
      <w:start w:val="1"/>
    </w:lvl>
  </w:abstractNum>
  <w:abstractNum w:abstractNumId="166">
    <w:nsid w:val="6DC45E83"/>
    <w:multiLevelType w:val="hybridMultilevel"/>
    <w:lvl w:ilvl="0">
      <w:lvlJc w:val="left"/>
      <w:lvlText w:val="(%1)"/>
      <w:numFmt w:val="lowerLetter"/>
      <w:start w:val="1"/>
    </w:lvl>
  </w:abstractNum>
  <w:abstractNum w:abstractNumId="167">
    <w:nsid w:val="17304A67"/>
    <w:multiLevelType w:val="hybridMultilevel"/>
    <w:lvl w:ilvl="0">
      <w:lvlJc w:val="left"/>
      <w:lvlText w:val="(%1)"/>
      <w:numFmt w:val="lowerLetter"/>
      <w:start w:val="1"/>
    </w:lvl>
  </w:abstractNum>
  <w:abstractNum w:abstractNumId="168">
    <w:nsid w:val="2BB180D8"/>
    <w:multiLevelType w:val="hybridMultilevel"/>
    <w:lvl w:ilvl="0">
      <w:lvlJc w:val="left"/>
      <w:lvlText w:val="(%1)"/>
      <w:numFmt w:val="lowerLetter"/>
      <w:start w:val="1"/>
    </w:lvl>
    <w:lvl w:ilvl="1">
      <w:lvlJc w:val="left"/>
      <w:lvlText w:val="(%2)"/>
      <w:numFmt w:val="lowerRoman"/>
      <w:start w:val="1"/>
    </w:lvl>
  </w:abstractNum>
  <w:abstractNum w:abstractNumId="169">
    <w:nsid w:val="556B69ED"/>
    <w:multiLevelType w:val="hybridMultilevel"/>
    <w:lvl w:ilvl="0">
      <w:lvlJc w:val="left"/>
      <w:lvlText w:val="(%1)"/>
      <w:numFmt w:val="lowerLetter"/>
      <w:start w:val="1"/>
    </w:lvl>
  </w:abstractNum>
  <w:abstractNum w:abstractNumId="170">
    <w:nsid w:val="70836196"/>
    <w:multiLevelType w:val="hybridMultilevel"/>
    <w:lvl w:ilvl="0">
      <w:lvlJc w:val="left"/>
      <w:lvlText w:val="%1"/>
      <w:numFmt w:val="lowerLetter"/>
      <w:start w:val="1"/>
    </w:lvl>
    <w:lvl w:ilvl="1">
      <w:lvlJc w:val="left"/>
      <w:lvlText w:val="(%2)"/>
      <w:numFmt w:val="lowerLetter"/>
      <w:start w:val="1"/>
    </w:lvl>
  </w:abstractNum>
  <w:abstractNum w:abstractNumId="171">
    <w:nsid w:val="539F7F12"/>
    <w:multiLevelType w:val="hybridMultilevel"/>
    <w:lvl w:ilvl="0">
      <w:lvlJc w:val="left"/>
      <w:lvlText w:val="(%1)"/>
      <w:numFmt w:val="lowerLetter"/>
      <w:start w:val="3"/>
    </w:lvl>
    <w:lvl w:ilvl="1">
      <w:lvlJc w:val="left"/>
      <w:lvlText w:val="%2"/>
      <w:numFmt w:val="lowerLetter"/>
      <w:start w:val="1"/>
    </w:lvl>
  </w:abstractNum>
  <w:abstractNum w:abstractNumId="172">
    <w:nsid w:val="2817E7EC"/>
    <w:multiLevelType w:val="hybridMultilevel"/>
    <w:lvl w:ilvl="0">
      <w:lvlJc w:val="left"/>
      <w:lvlText w:val="(%1)"/>
      <w:numFmt w:val="lowerLetter"/>
      <w:start w:val="1"/>
    </w:lvl>
    <w:lvl w:ilvl="1">
      <w:lvlJc w:val="left"/>
      <w:lvlText w:val="(%2)"/>
      <w:numFmt w:val="lowerRoman"/>
      <w:start w:val="1"/>
    </w:lvl>
  </w:abstractNum>
  <w:abstractNum w:abstractNumId="173">
    <w:nsid w:val="71482545"/>
    <w:multiLevelType w:val="hybridMultilevel"/>
    <w:lvl w:ilvl="0">
      <w:lvlJc w:val="left"/>
      <w:lvlText w:val="(%1)"/>
      <w:numFmt w:val="lowerLetter"/>
      <w:start w:val="1"/>
    </w:lvl>
  </w:abstractNum>
  <w:abstractNum w:abstractNumId="174">
    <w:nsid w:val="17D78639"/>
    <w:multiLevelType w:val="hybridMultilevel"/>
    <w:lvl w:ilvl="0">
      <w:lvlJc w:val="left"/>
      <w:lvlText w:val="%1"/>
      <w:numFmt w:val="lowerRoman"/>
      <w:start w:val="1"/>
    </w:lvl>
    <w:lvl w:ilvl="1">
      <w:lvlJc w:val="left"/>
      <w:lvlText w:val="(%2)"/>
      <w:numFmt w:val="lowerLetter"/>
      <w:start w:val="1"/>
    </w:lvl>
  </w:abstractNum>
  <w:abstractNum w:abstractNumId="175">
    <w:nsid w:val="141D2302"/>
    <w:multiLevelType w:val="hybridMultilevel"/>
    <w:lvl w:ilvl="0">
      <w:lvlJc w:val="left"/>
      <w:lvlText w:val="(%1)"/>
      <w:numFmt w:val="lowerRoman"/>
      <w:start w:val="6"/>
    </w:lvl>
    <w:lvl w:ilvl="1">
      <w:lvlJc w:val="left"/>
      <w:lvlText w:val="(%2)"/>
      <w:numFmt w:val="lowerLetter"/>
      <w:start w:val="2"/>
    </w:lvl>
  </w:abstractNum>
  <w:abstractNum w:abstractNumId="176">
    <w:nsid w:val="407168D8"/>
    <w:multiLevelType w:val="hybridMultilevel"/>
    <w:lvl w:ilvl="0">
      <w:lvlJc w:val="left"/>
      <w:lvlText w:val="(%1)"/>
      <w:numFmt w:val="lowerLetter"/>
      <w:start w:val="2"/>
    </w:lvl>
  </w:abstractNum>
  <w:abstractNum w:abstractNumId="177">
    <w:nsid w:val="6A1B45E5"/>
    <w:multiLevelType w:val="hybridMultilevel"/>
    <w:lvl w:ilvl="0">
      <w:lvlJc w:val="left"/>
      <w:lvlText w:val="%1."/>
      <w:numFmt w:val="decimal"/>
      <w:start w:val="8"/>
    </w:lvl>
  </w:abstractNum>
  <w:abstractNum w:abstractNumId="178">
    <w:nsid w:val="567BD50A"/>
    <w:multiLevelType w:val="hybridMultilevel"/>
    <w:lvl w:ilvl="0">
      <w:lvlJc w:val="left"/>
      <w:lvlText w:val="(%1)"/>
      <w:numFmt w:val="lowerLetter"/>
      <w:start w:val="1"/>
    </w:lvl>
  </w:abstractNum>
  <w:abstractNum w:abstractNumId="179">
    <w:nsid w:val="73BBD7F8"/>
    <w:multiLevelType w:val="hybridMultilevel"/>
    <w:lvl w:ilvl="0">
      <w:lvlJc w:val="left"/>
      <w:lvlText w:val="%1."/>
      <w:numFmt w:val="upperLetter"/>
      <w:start w:val="1"/>
    </w:lvl>
  </w:abstractNum>
  <w:abstractNum w:abstractNumId="180">
    <w:nsid w:val="1876589D"/>
    <w:multiLevelType w:val="hybridMultilevel"/>
    <w:lvl w:ilvl="0">
      <w:lvlJc w:val="left"/>
      <w:lvlText w:val="%1."/>
      <w:numFmt w:val="decimal"/>
      <w:start w:val="1"/>
    </w:lvl>
  </w:abstractNum>
  <w:abstractNum w:abstractNumId="181">
    <w:nsid w:val="327FAC77"/>
    <w:multiLevelType w:val="hybridMultilevel"/>
    <w:lvl w:ilvl="0">
      <w:lvlJc w:val="left"/>
      <w:lvlText w:val="%1."/>
      <w:numFmt w:val="decimal"/>
      <w:start w:val="2"/>
    </w:lvl>
    <w:lvl w:ilvl="1">
      <w:lvlJc w:val="left"/>
      <w:lvlText w:val="(%2)"/>
      <w:numFmt w:val="lowerLetter"/>
      <w:start w:val="1"/>
    </w:lvl>
  </w:abstractNum>
  <w:abstractNum w:abstractNumId="182">
    <w:nsid w:val="5A606509"/>
    <w:multiLevelType w:val="hybridMultilevel"/>
    <w:lvl w:ilvl="0">
      <w:lvlJc w:val="left"/>
      <w:lvlText w:val="%1."/>
      <w:numFmt w:val="decimal"/>
      <w:start w:val="6"/>
    </w:lvl>
  </w:abstractNum>
  <w:abstractNum w:abstractNumId="183">
    <w:nsid w:val="6F38E6D1"/>
    <w:multiLevelType w:val="hybridMultilevel"/>
    <w:lvl w:ilvl="0">
      <w:lvlJc w:val="left"/>
      <w:lvlText w:val="%1."/>
      <w:numFmt w:val="decimal"/>
      <w:start w:val="11"/>
    </w:lvl>
    <w:lvl w:ilvl="1">
      <w:lvlJc w:val="left"/>
      <w:lvlText w:val="(%2)"/>
      <w:numFmt w:val="lowerLetter"/>
      <w:start w:val="1"/>
    </w:lvl>
  </w:abstractNum>
  <w:abstractNum w:abstractNumId="184">
    <w:nsid w:val="46111BA5"/>
    <w:multiLevelType w:val="hybridMultilevel"/>
    <w:lvl w:ilvl="0">
      <w:lvlJc w:val="left"/>
      <w:lvlText w:val="%1."/>
      <w:numFmt w:val="decimal"/>
      <w:start w:val="23"/>
    </w:lvl>
  </w:abstractNum>
  <w:abstractNum w:abstractNumId="185">
    <w:nsid w:val="5E963896"/>
    <w:multiLevelType w:val="hybridMultilevel"/>
    <w:lvl w:ilvl="0">
      <w:lvlJc w:val="left"/>
      <w:lvlText w:val="%1."/>
      <w:numFmt w:val="upperLetter"/>
      <w:start w:val="1"/>
    </w:lvl>
  </w:abstractNum>
  <w:abstractNum w:abstractNumId="186">
    <w:nsid w:val="775BA7C1"/>
    <w:multiLevelType w:val="hybridMultilevel"/>
    <w:lvl w:ilvl="0">
      <w:lvlJc w:val="left"/>
      <w:lvlText w:val="%1."/>
      <w:numFmt w:val="decimal"/>
      <w:start w:val="1"/>
    </w:lvl>
  </w:abstractNum>
  <w:abstractNum w:abstractNumId="187">
    <w:nsid w:val="1DD6D6F4"/>
    <w:multiLevelType w:val="hybridMultilevel"/>
    <w:lvl w:ilvl="0">
      <w:lvlJc w:val="left"/>
      <w:lvlText w:val="%1."/>
      <w:numFmt w:val="decimal"/>
      <w:start w:val="2"/>
    </w:lvl>
    <w:lvl w:ilvl="1">
      <w:lvlJc w:val="left"/>
      <w:lvlText w:val="(%2)"/>
      <w:numFmt w:val="lowerLetter"/>
      <w:start w:val="5"/>
    </w:lvl>
  </w:abstractNum>
  <w:abstractNum w:abstractNumId="188">
    <w:nsid w:val="769A091F"/>
    <w:multiLevelType w:val="hybridMultilevel"/>
    <w:lvl w:ilvl="0">
      <w:lvlJc w:val="left"/>
      <w:lvlText w:val="%1"/>
      <w:numFmt w:val="decimal"/>
      <w:start w:val="1"/>
    </w:lvl>
    <w:lvl w:ilvl="1">
      <w:lvlJc w:val="left"/>
      <w:lvlText w:val="(%2)"/>
      <w:numFmt w:val="lowerLetter"/>
      <w:start w:val="4"/>
    </w:lvl>
  </w:abstractNum>
  <w:abstractNum w:abstractNumId="189">
    <w:nsid w:val="4695AE95"/>
    <w:multiLevelType w:val="hybridMultilevel"/>
    <w:lvl w:ilvl="0">
      <w:lvlJc w:val="left"/>
      <w:lvlText w:val="%1."/>
      <w:numFmt w:val="decimal"/>
      <w:start w:val="6"/>
    </w:lvl>
  </w:abstractNum>
  <w:abstractNum w:abstractNumId="190">
    <w:nsid w:val="777A4EAA"/>
    <w:multiLevelType w:val="hybridMultilevel"/>
    <w:lvl w:ilvl="0">
      <w:lvlJc w:val="left"/>
      <w:lvlText w:val="%1."/>
      <w:numFmt w:val="decimal"/>
      <w:start w:val="9"/>
    </w:lvl>
    <w:lvl w:ilvl="1">
      <w:lvlJc w:val="left"/>
      <w:lvlText w:val="(%2)"/>
      <w:numFmt w:val="lowerLetter"/>
      <w:start w:val="5"/>
    </w:lvl>
  </w:abstractNum>
  <w:abstractNum w:abstractNumId="191">
    <w:nsid w:val="3F48B982"/>
    <w:multiLevelType w:val="hybridMultilevel"/>
    <w:lvl w:ilvl="0">
      <w:lvlJc w:val="left"/>
      <w:lvlText w:val="%1."/>
      <w:numFmt w:val="decimal"/>
      <w:start w:val="21"/>
    </w:lvl>
  </w:abstractNum>
  <w:abstractNum w:abstractNumId="192">
    <w:nsid w:val="46BA8FCA"/>
    <w:multiLevelType w:val="hybridMultilevel"/>
    <w:lvl w:ilvl="0">
      <w:lvlJc w:val="left"/>
      <w:lvlText w:val="(%1)"/>
      <w:numFmt w:val="lowerRoman"/>
      <w:start w:val="1"/>
    </w:lvl>
  </w:abstractNum>
  <w:abstractNum w:abstractNumId="193">
    <w:nsid w:val="7835626C"/>
    <w:multiLevelType w:val="hybridMultilevel"/>
    <w:lvl w:ilvl="0">
      <w:lvlJc w:val="left"/>
      <w:lvlText w:val="(%1)"/>
      <w:numFmt w:val="lowerRoman"/>
      <w:start w:val="11"/>
    </w:lvl>
  </w:abstractNum>
  <w:abstractNum w:abstractNumId="194">
    <w:nsid w:val="665ACA49"/>
    <w:multiLevelType w:val="hybridMultilevel"/>
    <w:lvl w:ilvl="0">
      <w:lvlJc w:val="left"/>
      <w:lvlText w:val="(%1)"/>
      <w:numFmt w:val="lowerLetter"/>
      <w:start w:val="25"/>
    </w:lvl>
  </w:abstractNum>
  <w:abstractNum w:abstractNumId="195">
    <w:nsid w:val="6835B2AE"/>
    <w:multiLevelType w:val="hybridMultilevel"/>
    <w:lvl w:ilvl="0">
      <w:lvlJc w:val="left"/>
      <w:lvlText w:val="(%1)"/>
      <w:numFmt w:val="lowerLetter"/>
      <w:start w:val="1"/>
    </w:lvl>
  </w:abstractNum>
  <w:abstractNum w:abstractNumId="196">
    <w:nsid w:val="4C187C90"/>
    <w:multiLevelType w:val="hybridMultilevel"/>
    <w:lvl w:ilvl="0">
      <w:lvlJc w:val="left"/>
      <w:lvlText w:val="(%1)"/>
      <w:numFmt w:val="lowerLetter"/>
      <w:start w:val="2"/>
    </w:lvl>
  </w:abstractNum>
  <w:abstractNum w:abstractNumId="197">
    <w:nsid w:val="541F28CD"/>
    <w:multiLevelType w:val="hybridMultilevel"/>
    <w:lvl w:ilvl="0">
      <w:lvlJc w:val="left"/>
      <w:lvlText w:val="(%1)"/>
      <w:numFmt w:val="lowerLetter"/>
      <w:start w:val="1"/>
    </w:lvl>
  </w:abstractNum>
  <w:abstractNum w:abstractNumId="198">
    <w:nsid w:val="7F65FD16"/>
    <w:multiLevelType w:val="hybridMultilevel"/>
    <w:lvl w:ilvl="0">
      <w:lvlJc w:val="left"/>
      <w:lvlText w:val="(%1)"/>
      <w:numFmt w:val="lowerLetter"/>
      <w:start w:val="1"/>
    </w:lvl>
  </w:abstractNum>
  <w:abstractNum w:abstractNumId="199">
    <w:nsid w:val="77C9FD68"/>
    <w:multiLevelType w:val="hybridMultilevel"/>
    <w:lvl w:ilvl="0">
      <w:lvlJc w:val="left"/>
      <w:lvlText w:val="(%1)"/>
      <w:numFmt w:val="lowerLetter"/>
      <w:start w:val="1"/>
    </w:lvl>
  </w:abstractNum>
  <w:abstractNum w:abstractNumId="200">
    <w:nsid w:val="298A92BA"/>
    <w:multiLevelType w:val="hybridMultilevel"/>
    <w:lvl w:ilvl="0">
      <w:lvlJc w:val="left"/>
      <w:lvlText w:val="(%1)"/>
      <w:numFmt w:val="lowerLetter"/>
      <w:start w:val="3"/>
    </w:lvl>
  </w:abstractNum>
  <w:abstractNum w:abstractNumId="201">
    <w:nsid w:val="6FE95EAC"/>
    <w:multiLevelType w:val="hybridMultilevel"/>
    <w:lvl w:ilvl="0">
      <w:lvlJc w:val="left"/>
      <w:lvlText w:val="(%1)"/>
      <w:numFmt w:val="lowerLetter"/>
      <w:start w:val="1"/>
    </w:lvl>
  </w:abstractNum>
  <w:abstractNum w:abstractNumId="202">
    <w:nsid w:val="4B697C7A"/>
    <w:multiLevelType w:val="hybridMultilevel"/>
    <w:lvl w:ilvl="0">
      <w:lvlJc w:val="left"/>
      <w:lvlText w:val="(%1)"/>
      <w:numFmt w:val="lowerLetter"/>
      <w:start w:val="1"/>
    </w:lvl>
    <w:lvl w:ilvl="1">
      <w:lvlJc w:val="left"/>
      <w:lvlText w:val="(%2)"/>
      <w:numFmt w:val="lowerRoman"/>
      <w:start w:val="1"/>
    </w:lvl>
  </w:abstractNum>
  <w:abstractNum w:abstractNumId="203">
    <w:nsid w:val="51A27AA6"/>
    <w:multiLevelType w:val="hybridMultilevel"/>
    <w:lvl w:ilvl="0">
      <w:lvlJc w:val="left"/>
      <w:lvlText w:val="(%1)"/>
      <w:numFmt w:val="lowerRoman"/>
      <w:start w:val="3"/>
    </w:lvl>
  </w:abstractNum>
  <w:abstractNum w:abstractNumId="204">
    <w:nsid w:val="613183F2"/>
    <w:multiLevelType w:val="hybridMultilevel"/>
    <w:lvl w:ilvl="0">
      <w:lvlJc w:val="left"/>
      <w:lvlText w:val="%1"/>
      <w:numFmt w:val="lowerLetter"/>
      <w:start w:val="1"/>
    </w:lvl>
    <w:lvl w:ilvl="1">
      <w:lvlJc w:val="left"/>
      <w:lvlText w:val="(%2)"/>
      <w:numFmt w:val="lowerLetter"/>
      <w:start w:val="1"/>
    </w:lvl>
  </w:abstractNum>
  <w:abstractNum w:abstractNumId="205">
    <w:nsid w:val="634102B4"/>
    <w:multiLevelType w:val="hybridMultilevel"/>
    <w:lvl w:ilvl="0">
      <w:lvlJc w:val="left"/>
      <w:lvlText w:val="(%1)"/>
      <w:numFmt w:val="lowerLetter"/>
      <w:start w:val="2"/>
    </w:lvl>
    <w:lvl w:ilvl="1">
      <w:lvlJc w:val="left"/>
      <w:lvlText w:val="(%2)"/>
      <w:numFmt w:val="lowerLetter"/>
      <w:start w:val="5"/>
    </w:lvl>
  </w:abstractNum>
  <w:abstractNum w:abstractNumId="206">
    <w:nsid w:val="65BF9DA8"/>
    <w:multiLevelType w:val="hybridMultilevel"/>
    <w:lvl w:ilvl="0">
      <w:lvlJc w:val="left"/>
      <w:lvlText w:val="(%1)"/>
      <w:numFmt w:val="lowerLetter"/>
      <w:start w:val="1"/>
    </w:lvl>
  </w:abstractNum>
  <w:abstractNum w:abstractNumId="207">
    <w:nsid w:val="21A2ECCA"/>
    <w:multiLevelType w:val="hybridMultilevel"/>
    <w:lvl w:ilvl="0">
      <w:lvlJc w:val="left"/>
      <w:lvlText w:val="(%1)"/>
      <w:numFmt w:val="lowerLetter"/>
      <w:start w:val="2"/>
    </w:lvl>
  </w:abstractNum>
  <w:abstractNum w:abstractNumId="208">
    <w:nsid w:val="4D5C4899"/>
    <w:multiLevelType w:val="hybridMultilevel"/>
    <w:lvl w:ilvl="0">
      <w:lvlJc w:val="left"/>
      <w:lvlText w:val="(%1)"/>
      <w:numFmt w:val="lowerLetter"/>
      <w:start w:val="1"/>
    </w:lvl>
    <w:lvl w:ilvl="1">
      <w:lvlJc w:val="left"/>
      <w:lvlText w:val="(%2)"/>
      <w:numFmt w:val="lowerRoman"/>
      <w:start w:val="1"/>
    </w:lvl>
  </w:abstractNum>
  <w:abstractNum w:abstractNumId="209">
    <w:nsid w:val="3C3B72B2"/>
    <w:multiLevelType w:val="hybridMultilevel"/>
    <w:lvl w:ilvl="0">
      <w:lvlJc w:val="left"/>
      <w:lvlText w:val="(%1)"/>
      <w:numFmt w:val="lowerLetter"/>
      <w:start w:val="6"/>
    </w:lvl>
  </w:abstractNum>
  <w:abstractNum w:abstractNumId="210">
    <w:nsid w:val="155EC4C2"/>
    <w:multiLevelType w:val="hybridMultilevel"/>
    <w:lvl w:ilvl="0">
      <w:lvlJc w:val="left"/>
      <w:lvlText w:val="(%1)"/>
      <w:numFmt w:val="lowerLetter"/>
      <w:start w:val="1"/>
    </w:lvl>
  </w:abstractNum>
  <w:abstractNum w:abstractNumId="211">
    <w:nsid w:val="65D2A137"/>
    <w:multiLevelType w:val="hybridMultilevel"/>
    <w:lvl w:ilvl="0">
      <w:lvlJc w:val="left"/>
      <w:lvlText w:val="(%1)"/>
      <w:numFmt w:val="lowerLetter"/>
      <w:start w:val="1"/>
    </w:lvl>
  </w:abstractNum>
  <w:abstractNum w:abstractNumId="212">
    <w:nsid w:val="6EBB1F2A"/>
    <w:multiLevelType w:val="hybridMultilevel"/>
    <w:lvl w:ilvl="0">
      <w:lvlJc w:val="left"/>
      <w:lvlText w:val="(%1)"/>
      <w:numFmt w:val="lowerRoman"/>
      <w:start w:val="16"/>
    </w:lvl>
    <w:lvl w:ilvl="1">
      <w:lvlJc w:val="left"/>
      <w:lvlText w:val="(%2)"/>
      <w:numFmt w:val="lowerLetter"/>
      <w:start w:val="2"/>
    </w:lvl>
  </w:abstractNum>
  <w:abstractNum w:abstractNumId="213">
    <w:nsid w:val="6FBF29CB"/>
    <w:multiLevelType w:val="hybridMultilevel"/>
    <w:lvl w:ilvl="0">
      <w:lvlJc w:val="left"/>
      <w:lvlText w:val="(%1)"/>
      <w:numFmt w:val="lowerRoman"/>
      <w:start w:val="3"/>
    </w:lvl>
  </w:abstractNum>
  <w:abstractNum w:abstractNumId="214">
    <w:nsid w:val="550B8808"/>
    <w:multiLevelType w:val="hybridMultilevel"/>
    <w:lvl w:ilvl="0">
      <w:lvlJc w:val="left"/>
      <w:lvlText w:val="(%1)"/>
      <w:numFmt w:val="lowerRoman"/>
      <w:start w:val="8"/>
    </w:lvl>
  </w:abstractNum>
  <w:abstractNum w:abstractNumId="215">
    <w:nsid w:val="34CC3ACF"/>
    <w:multiLevelType w:val="hybridMultilevel"/>
    <w:lvl w:ilvl="0">
      <w:lvlJc w:val="left"/>
      <w:lvlText w:val="(%1)"/>
      <w:numFmt w:val="lowerLetter"/>
      <w:start w:val="1"/>
    </w:lvl>
  </w:abstractNum>
  <w:abstractNum w:abstractNumId="216">
    <w:nsid w:val="4E556261"/>
    <w:multiLevelType w:val="hybridMultilevel"/>
    <w:lvl w:ilvl="0">
      <w:lvlJc w:val="left"/>
      <w:lvlText w:val="(%1)"/>
      <w:numFmt w:val="lowerRoman"/>
      <w:start w:val="1"/>
    </w:lvl>
  </w:abstractNum>
  <w:abstractNum w:abstractNumId="217">
    <w:nsid w:val="4C672FC9"/>
    <w:multiLevelType w:val="hybridMultilevel"/>
    <w:lvl w:ilvl="0">
      <w:lvlJc w:val="left"/>
      <w:lvlText w:val="(%1)"/>
      <w:numFmt w:val="lowerLetter"/>
      <w:start w:val="1"/>
    </w:lvl>
  </w:abstractNum>
  <w:abstractNum w:abstractNumId="218">
    <w:nsid w:val="52A311C3"/>
    <w:multiLevelType w:val="hybridMultilevel"/>
    <w:lvl w:ilvl="0">
      <w:lvlJc w:val="left"/>
      <w:lvlText w:val="(%1)"/>
      <w:numFmt w:val="lowerLetter"/>
      <w:start w:val="1"/>
    </w:lvl>
  </w:abstractNum>
  <w:abstractNum w:abstractNumId="219">
    <w:nsid w:val="44EF6B80"/>
    <w:multiLevelType w:val="hybridMultilevel"/>
    <w:lvl w:ilvl="0">
      <w:lvlJc w:val="left"/>
      <w:lvlText w:val="(%1)"/>
      <w:numFmt w:val="lowerLetter"/>
      <w:start w:val="2"/>
    </w:lvl>
  </w:abstractNum>
  <w:abstractNum w:abstractNumId="220">
    <w:nsid w:val="12FCDE5E"/>
    <w:multiLevelType w:val="hybridMultilevel"/>
    <w:lvl w:ilvl="0">
      <w:lvlJc w:val="left"/>
      <w:lvlText w:val="(%1)"/>
      <w:numFmt w:val="lowerLetter"/>
      <w:start w:val="1"/>
    </w:lvl>
  </w:abstractNum>
  <w:abstractNum w:abstractNumId="221">
    <w:nsid w:val="4A1D606E"/>
    <w:multiLevelType w:val="hybridMultilevel"/>
    <w:lvl w:ilvl="0">
      <w:lvlJc w:val="left"/>
      <w:lvlText w:val="(%1)"/>
      <w:numFmt w:val="lowerLetter"/>
      <w:start w:val="3"/>
    </w:lvl>
    <w:lvl w:ilvl="1">
      <w:lvlJc w:val="left"/>
      <w:lvlText w:val="(%2)"/>
      <w:numFmt w:val="lowerLetter"/>
      <w:start w:val="4"/>
    </w:lvl>
  </w:abstractNum>
  <w:abstractNum w:abstractNumId="222">
    <w:nsid w:val="4382503"/>
    <w:multiLevelType w:val="hybridMultilevel"/>
    <w:lvl w:ilvl="0">
      <w:lvlJc w:val="left"/>
      <w:lvlText w:val="(%1)"/>
      <w:numFmt w:val="lowerLetter"/>
      <w:start w:val="1"/>
    </w:lvl>
  </w:abstractNum>
  <w:abstractNum w:abstractNumId="223">
    <w:nsid w:val="59B76E28"/>
    <w:multiLevelType w:val="hybridMultilevel"/>
    <w:lvl w:ilvl="0">
      <w:lvlJc w:val="left"/>
      <w:lvlText w:val="%1"/>
      <w:numFmt w:val="lowerLetter"/>
      <w:start w:val="1"/>
    </w:lvl>
    <w:lvl w:ilvl="1">
      <w:lvlJc w:val="left"/>
      <w:lvlText w:val="(%2)"/>
      <w:numFmt w:val="lowerLetter"/>
      <w:start w:val="1"/>
    </w:lvl>
  </w:abstractNum>
  <w:abstractNum w:abstractNumId="224">
    <w:nsid w:val="4252C2DA"/>
    <w:multiLevelType w:val="hybridMultilevel"/>
    <w:lvl w:ilvl="0">
      <w:lvlJc w:val="left"/>
      <w:lvlText w:val="(%1)"/>
      <w:numFmt w:val="lowerLetter"/>
      <w:start w:val="3"/>
    </w:lvl>
    <w:lvl w:ilvl="1">
      <w:lvlJc w:val="left"/>
      <w:lvlText w:val="%2"/>
      <w:numFmt w:val="lowerLetter"/>
      <w:start w:val="1"/>
    </w:lvl>
  </w:abstractNum>
  <w:abstractNum w:abstractNumId="225">
    <w:nsid w:val="6A92EF4C"/>
    <w:multiLevelType w:val="hybridMultilevel"/>
    <w:lvl w:ilvl="0">
      <w:lvlJc w:val="left"/>
      <w:lvlText w:val="(%1)"/>
      <w:numFmt w:val="decimal"/>
      <w:start w:val="10"/>
    </w:lvl>
  </w:abstractNum>
  <w:abstractNum w:abstractNumId="226">
    <w:nsid w:val="41ED20D7"/>
    <w:multiLevelType w:val="hybridMultilevel"/>
    <w:lvl w:ilvl="0">
      <w:lvlJc w:val="left"/>
      <w:lvlText w:val="(%1)"/>
      <w:numFmt w:val="lowerLetter"/>
      <w:start w:val="1"/>
    </w:lvl>
    <w:lvl w:ilvl="1">
      <w:lvlJc w:val="left"/>
      <w:lvlText w:val="(%2)"/>
      <w:numFmt w:val="lowerRoman"/>
      <w:start w:val="1"/>
    </w:lvl>
  </w:abstractNum>
  <w:abstractNum w:abstractNumId="227">
    <w:nsid w:val="E6B3F6A"/>
    <w:multiLevelType w:val="hybridMultilevel"/>
    <w:lvl w:ilvl="0">
      <w:lvlJc w:val="left"/>
      <w:lvlText w:val="(%1)"/>
      <w:numFmt w:val="lowerLetter"/>
      <w:start w:val="1"/>
    </w:lvl>
  </w:abstractNum>
  <w:abstractNum w:abstractNumId="228">
    <w:nsid w:val="3EB21819"/>
    <w:multiLevelType w:val="hybridMultilevel"/>
    <w:lvl w:ilvl="0">
      <w:lvlJc w:val="left"/>
      <w:lvlText w:val="(%1)"/>
      <w:numFmt w:val="lowerLetter"/>
      <w:start w:val="3"/>
    </w:lvl>
    <w:lvl w:ilvl="1">
      <w:lvlJc w:val="left"/>
      <w:lvlText w:val="(%2)"/>
      <w:numFmt w:val="lowerLetter"/>
      <w:start w:val="5"/>
    </w:lvl>
  </w:abstractNum>
  <w:abstractNum w:abstractNumId="229">
    <w:nsid w:val="41531DED"/>
    <w:multiLevelType w:val="hybridMultilevel"/>
    <w:lvl w:ilvl="0">
      <w:lvlJc w:val="left"/>
      <w:lvlText w:val="(%1)"/>
      <w:numFmt w:val="lowerLetter"/>
      <w:start w:val="1"/>
    </w:lvl>
  </w:abstractNum>
  <w:abstractNum w:abstractNumId="230">
    <w:nsid w:val="6353CD2"/>
    <w:multiLevelType w:val="hybridMultilevel"/>
    <w:lvl w:ilvl="0">
      <w:lvlJc w:val="left"/>
      <w:lvlText w:val="(%1)"/>
      <w:numFmt w:val="lowerLetter"/>
      <w:start w:val="4"/>
    </w:lvl>
  </w:abstractNum>
  <w:abstractNum w:abstractNumId="231">
    <w:nsid w:val="683CAAD3"/>
    <w:multiLevelType w:val="hybridMultilevel"/>
    <w:lvl w:ilvl="0">
      <w:lvlJc w:val="left"/>
      <w:lvlText w:val="(%1)"/>
      <w:numFmt w:val="lowerLetter"/>
      <w:start w:val="1"/>
    </w:lvl>
    <w:lvl w:ilvl="1">
      <w:lvlJc w:val="left"/>
      <w:lvlText w:val="(%2)"/>
      <w:numFmt w:val="lowerRoman"/>
      <w:start w:val="1"/>
    </w:lvl>
  </w:abstractNum>
  <w:abstractNum w:abstractNumId="232">
    <w:nsid w:val="313C7C99"/>
    <w:multiLevelType w:val="hybridMultilevel"/>
    <w:lvl w:ilvl="0">
      <w:lvlJc w:val="left"/>
      <w:lvlText w:val="(%1)"/>
      <w:numFmt w:val="lowerLetter"/>
      <w:start w:val="1"/>
    </w:lvl>
  </w:abstractNum>
  <w:abstractNum w:abstractNumId="233">
    <w:nsid w:val="519EB94C"/>
    <w:multiLevelType w:val="hybridMultilevel"/>
    <w:lvl w:ilvl="0">
      <w:lvlJc w:val="left"/>
      <w:lvlText w:val="(%1)"/>
      <w:numFmt w:val="lowerLetter"/>
      <w:start w:val="3"/>
    </w:lvl>
  </w:abstractNum>
  <w:abstractNum w:abstractNumId="234">
    <w:nsid w:val="39DF2579"/>
    <w:multiLevelType w:val="hybridMultilevel"/>
    <w:lvl w:ilvl="0">
      <w:lvlJc w:val="left"/>
      <w:lvlText w:val="%1"/>
      <w:numFmt w:val="lowerRoman"/>
      <w:start w:val="1"/>
    </w:lvl>
    <w:lvl w:ilvl="1">
      <w:lvlJc w:val="left"/>
      <w:lvlText w:val="(%2)"/>
      <w:numFmt w:val="lowerLetter"/>
      <w:start w:val="1"/>
    </w:lvl>
  </w:abstractNum>
  <w:abstractNum w:abstractNumId="235">
    <w:nsid w:val="126E008B"/>
    <w:multiLevelType w:val="hybridMultilevel"/>
    <w:lvl w:ilvl="0">
      <w:lvlJc w:val="left"/>
      <w:lvlText w:val="(%1)"/>
      <w:numFmt w:val="lowerRoman"/>
      <w:start w:val="7"/>
    </w:lvl>
    <w:lvl w:ilvl="1">
      <w:lvlJc w:val="left"/>
      <w:lvlText w:val="(%2)"/>
      <w:numFmt w:val="lowerLetter"/>
      <w:start w:val="2"/>
    </w:lvl>
  </w:abstractNum>
  <w:abstractNum w:abstractNumId="236">
    <w:nsid w:val="34DFBC00"/>
    <w:multiLevelType w:val="hybridMultilevel"/>
    <w:lvl w:ilvl="0">
      <w:lvlJc w:val="left"/>
      <w:lvlText w:val="(%1)"/>
      <w:numFmt w:val="lowerLetter"/>
      <w:start w:val="1"/>
    </w:lvl>
  </w:abstractNum>
  <w:abstractNum w:abstractNumId="237">
    <w:nsid w:val="1F9EC322"/>
    <w:multiLevelType w:val="hybridMultilevel"/>
    <w:lvl w:ilvl="0">
      <w:lvlJc w:val="left"/>
      <w:lvlText w:val="$"/>
      <w:numFmt w:val="bullet"/>
      <w:start w:val="1"/>
    </w:lvl>
  </w:abstractNum>
  <w:abstractNum w:abstractNumId="238">
    <w:nsid w:val="3410ED56"/>
    <w:multiLevelType w:val="hybridMultilevel"/>
    <w:lvl w:ilvl="0">
      <w:lvlJc w:val="left"/>
      <w:lvlText w:val="$"/>
      <w:numFmt w:val="bullet"/>
      <w:start w:val="1"/>
    </w:lvl>
  </w:abstractNum>
  <w:abstractNum w:abstractNumId="239">
    <w:nsid w:val="23C049A"/>
    <w:multiLevelType w:val="hybridMultilevel"/>
    <w:lvl w:ilvl="0">
      <w:lvlJc w:val="left"/>
      <w:lvlText w:val="(%1)"/>
      <w:numFmt w:val="lowerLetter"/>
      <w:start w:val="1"/>
    </w:lvl>
  </w:abstractNum>
  <w:abstractNum w:abstractNumId="240">
    <w:nsid w:val="5BDA35D4"/>
    <w:multiLevelType w:val="hybridMultilevel"/>
    <w:lvl w:ilvl="0">
      <w:lvlJc w:val="left"/>
      <w:lvlText w:val="(%1)"/>
      <w:numFmt w:val="lowerLetter"/>
      <w:start w:val="1"/>
    </w:lvl>
  </w:abstractNum>
  <w:abstractNum w:abstractNumId="241">
    <w:nsid w:val="496FB218"/>
    <w:multiLevelType w:val="hybridMultilevel"/>
    <w:lvl w:ilvl="0">
      <w:lvlJc w:val="left"/>
      <w:lvlText w:val="(%1)"/>
      <w:numFmt w:val="lowerLetter"/>
      <w:start w:val="1"/>
    </w:lvl>
  </w:abstractNum>
  <w:abstractNum w:abstractNumId="242">
    <w:nsid w:val="680EA5D1"/>
    <w:multiLevelType w:val="hybridMultilevel"/>
    <w:lvl w:ilvl="0">
      <w:lvlJc w:val="left"/>
      <w:lvlText w:val="(%1)"/>
      <w:numFmt w:val="lowerRoman"/>
      <w:start w:val="1"/>
    </w:lvl>
  </w:abstractNum>
  <w:abstractNum w:abstractNumId="243">
    <w:nsid w:val="4A9554FE"/>
    <w:multiLevelType w:val="hybridMultilevel"/>
    <w:lvl w:ilvl="0">
      <w:lvlJc w:val="left"/>
      <w:lvlText w:val="(%1)"/>
      <w:numFmt w:val="lowerLetter"/>
      <w:start w:val="3"/>
    </w:lvl>
  </w:abstractNum>
  <w:abstractNum w:abstractNumId="244">
    <w:nsid w:val="392EDBE4"/>
    <w:multiLevelType w:val="hybridMultilevel"/>
    <w:lvl w:ilvl="0">
      <w:lvlJc w:val="left"/>
      <w:lvlText w:val="(%1)"/>
      <w:numFmt w:val="lowerLetter"/>
      <w:start w:val="1"/>
    </w:lvl>
  </w:abstractNum>
  <w:abstractNum w:abstractNumId="245">
    <w:nsid w:val="3D1A2DD9"/>
    <w:multiLevelType w:val="hybridMultilevel"/>
    <w:lvl w:ilvl="0">
      <w:lvlJc w:val="left"/>
      <w:lvlText w:val="(%1)"/>
      <w:numFmt w:val="lowerRoman"/>
      <w:start w:val="1"/>
    </w:lvl>
  </w:abstractNum>
  <w:abstractNum w:abstractNumId="246">
    <w:nsid w:val="7F618FCD"/>
    <w:multiLevelType w:val="hybridMultilevel"/>
    <w:lvl w:ilvl="0">
      <w:lvlJc w:val="left"/>
      <w:lvlText w:val="(%1)"/>
      <w:numFmt w:val="lowerLetter"/>
      <w:start w:val="3"/>
    </w:lvl>
  </w:abstractNum>
  <w:abstractNum w:abstractNumId="247">
    <w:nsid w:val="7843E45"/>
    <w:multiLevelType w:val="hybridMultilevel"/>
    <w:lvl w:ilvl="0">
      <w:lvlJc w:val="left"/>
      <w:lvlText w:val="(%1)"/>
      <w:numFmt w:val="lowerRoman"/>
      <w:start w:val="1"/>
    </w:lvl>
  </w:abstractNum>
  <w:abstractNum w:abstractNumId="248">
    <w:nsid w:val="9815DA3"/>
    <w:multiLevelType w:val="hybridMultilevel"/>
    <w:lvl w:ilvl="0">
      <w:lvlJc w:val="left"/>
      <w:lvlText w:val="(%1)"/>
      <w:numFmt w:val="lowerLetter"/>
      <w:start w:val="5"/>
    </w:lvl>
    <w:lvl w:ilvl="1">
      <w:lvlJc w:val="left"/>
      <w:lvlText w:val="(%2)"/>
      <w:numFmt w:val="lowerRoman"/>
      <w:start w:val="1"/>
    </w:lvl>
  </w:abstractNum>
  <w:abstractNum w:abstractNumId="249">
    <w:nsid w:val="5204A191"/>
    <w:multiLevelType w:val="hybridMultilevel"/>
    <w:lvl w:ilvl="0">
      <w:lvlJc w:val="left"/>
      <w:lvlText w:val="(%1)"/>
      <w:numFmt w:val="lowerLetter"/>
      <w:start w:val="6"/>
    </w:lvl>
  </w:abstractNum>
  <w:abstractNum w:abstractNumId="250">
    <w:nsid w:val="4C73A9C6"/>
    <w:multiLevelType w:val="hybridMultilevel"/>
    <w:lvl w:ilvl="0">
      <w:lvlJc w:val="left"/>
      <w:lvlText w:val=";"/>
      <w:numFmt w:val="bullet"/>
      <w:start w:val="1"/>
    </w:lvl>
    <w:lvl w:ilvl="1">
      <w:lvlJc w:val="left"/>
      <w:lvlText w:val="(%2)"/>
      <w:numFmt w:val="lowerRoman"/>
      <w:start w:val="1"/>
    </w:lvl>
  </w:abstractNum>
  <w:abstractNum w:abstractNumId="251">
    <w:nsid w:val="1C7E3C01"/>
    <w:multiLevelType w:val="hybridMultilevel"/>
    <w:lvl w:ilvl="0">
      <w:lvlJc w:val="left"/>
      <w:lvlText w:val="(%1)"/>
      <w:numFmt w:val="upperLetter"/>
      <w:start w:val="1"/>
    </w:lvl>
  </w:abstractNum>
  <w:abstractNum w:abstractNumId="252">
    <w:nsid w:val="1C2201FF"/>
    <w:multiLevelType w:val="hybridMultilevel"/>
    <w:lvl w:ilvl="0">
      <w:lvlJc w:val="left"/>
      <w:lvlText w:val="(%1)"/>
      <w:numFmt w:val="lowerLetter"/>
      <w:start w:val="1"/>
    </w:lvl>
  </w:abstractNum>
  <w:abstractNum w:abstractNumId="253">
    <w:nsid w:val="50ABCEC9"/>
    <w:multiLevelType w:val="hybridMultilevel"/>
    <w:lvl w:ilvl="0">
      <w:lvlJc w:val="left"/>
      <w:lvlText w:val="(%1)"/>
      <w:numFmt w:val="lowerLetter"/>
      <w:start w:val="1"/>
    </w:lvl>
  </w:abstractNum>
  <w:abstractNum w:abstractNumId="254">
    <w:nsid w:val="7635AA2A"/>
    <w:multiLevelType w:val="hybridMultilevel"/>
    <w:lvl w:ilvl="0">
      <w:lvlJc w:val="left"/>
      <w:lvlText w:val="(%1)"/>
      <w:numFmt w:val="lowerRoman"/>
      <w:start w:val="5"/>
    </w:lvl>
  </w:abstractNum>
  <w:abstractNum w:abstractNumId="255">
    <w:nsid w:val="5E74C4D9"/>
    <w:multiLevelType w:val="hybridMultilevel"/>
    <w:lvl w:ilvl="0">
      <w:lvlJc w:val="left"/>
      <w:lvlText w:val="(%1)"/>
      <w:numFmt w:val="lowerLetter"/>
      <w:start w:val="1"/>
    </w:lvl>
  </w:abstractNum>
  <w:abstractNum w:abstractNumId="256">
    <w:nsid w:val="3B3EBE15"/>
    <w:multiLevelType w:val="hybridMultilevel"/>
    <w:lvl w:ilvl="0">
      <w:lvlJc w:val="left"/>
      <w:lvlText w:val="(%1)"/>
      <w:numFmt w:val="lowerLetter"/>
      <w:start w:val="1"/>
    </w:lvl>
  </w:abstractNum>
  <w:abstractNum w:abstractNumId="257">
    <w:nsid w:val="3822CB01"/>
    <w:multiLevelType w:val="hybridMultilevel"/>
    <w:lvl w:ilvl="0">
      <w:lvlJc w:val="left"/>
      <w:lvlText w:val="(%1)"/>
      <w:numFmt w:val="lowerRoman"/>
      <w:start w:val="3"/>
    </w:lvl>
  </w:abstractNum>
  <w:abstractNum w:abstractNumId="258">
    <w:nsid w:val="6CE00443"/>
    <w:multiLevelType w:val="hybridMultilevel"/>
    <w:lvl w:ilvl="0">
      <w:lvlJc w:val="left"/>
      <w:lvlText w:val="(%1)"/>
      <w:numFmt w:val="lowerLetter"/>
      <w:start w:val="7"/>
    </w:lvl>
  </w:abstractNum>
  <w:abstractNum w:abstractNumId="259">
    <w:nsid w:val="79F0D62F"/>
    <w:multiLevelType w:val="hybridMultilevel"/>
    <w:lvl w:ilvl="0">
      <w:lvlJc w:val="left"/>
      <w:lvlText w:val="(%1)"/>
      <w:numFmt w:val="lowerLetter"/>
      <w:start w:val="10"/>
    </w:lvl>
  </w:abstractNum>
  <w:abstractNum w:abstractNumId="260">
    <w:nsid w:val="7975E8EE"/>
    <w:multiLevelType w:val="hybridMultilevel"/>
    <w:lvl w:ilvl="0">
      <w:lvlJc w:val="left"/>
      <w:lvlText w:val="(%1)"/>
      <w:numFmt w:val="lowerLetter"/>
      <w:start w:val="1"/>
    </w:lvl>
  </w:abstractNum>
  <w:abstractNum w:abstractNumId="261">
    <w:nsid w:val="73154115"/>
    <w:multiLevelType w:val="hybridMultilevel"/>
    <w:lvl w:ilvl="0">
      <w:lvlJc w:val="left"/>
      <w:lvlText w:val="&amp;"/>
      <w:numFmt w:val="bullet"/>
      <w:start w:val="1"/>
    </w:lvl>
  </w:abstractNum>
  <w:abstractNum w:abstractNumId="262">
    <w:nsid w:val="622D8102"/>
    <w:multiLevelType w:val="hybridMultilevel"/>
    <w:lvl w:ilvl="0">
      <w:lvlJc w:val="left"/>
      <w:lvlText w:val="(%1)"/>
      <w:numFmt w:val="lowerRoman"/>
      <w:start w:val="1"/>
    </w:lvl>
  </w:abstractNum>
  <w:abstractNum w:abstractNumId="263">
    <w:nsid w:val="2AB26587"/>
    <w:multiLevelType w:val="hybridMultilevel"/>
    <w:lvl w:ilvl="0">
      <w:lvlJc w:val="left"/>
      <w:lvlText w:val="(%1)"/>
      <w:numFmt w:val="lowerRoman"/>
      <w:start w:val="2"/>
    </w:lvl>
  </w:abstractNum>
  <w:abstractNum w:abstractNumId="264">
    <w:nsid w:val="44B3FA61"/>
    <w:multiLevelType w:val="hybridMultilevel"/>
    <w:lvl w:ilvl="0">
      <w:lvlJc w:val="left"/>
      <w:lvlText w:val="(%1)"/>
      <w:numFmt w:val="lowerLetter"/>
      <w:start w:val="6"/>
    </w:lvl>
  </w:abstractNum>
  <w:abstractNum w:abstractNumId="265">
    <w:nsid w:val="1C0CA67C"/>
    <w:multiLevelType w:val="hybridMultilevel"/>
    <w:lvl w:ilvl="0">
      <w:lvlJc w:val="left"/>
      <w:lvlText w:val="(%1)"/>
      <w:numFmt w:val="lowerLetter"/>
      <w:start w:val="2"/>
    </w:lvl>
  </w:abstractNum>
  <w:abstractNum w:abstractNumId="266">
    <w:nsid w:val="3D206613"/>
    <w:multiLevelType w:val="hybridMultilevel"/>
    <w:lvl w:ilvl="0">
      <w:lvlJc w:val="left"/>
      <w:lvlText w:val="(%1)"/>
      <w:numFmt w:val="lowerLetter"/>
      <w:start w:val="3"/>
    </w:lvl>
  </w:abstractNum>
  <w:abstractNum w:abstractNumId="267">
    <w:nsid w:val="7993B662"/>
    <w:multiLevelType w:val="hybridMultilevel"/>
    <w:lvl w:ilvl="0">
      <w:lvlJc w:val="left"/>
      <w:lvlText w:val="(%1)"/>
      <w:numFmt w:val="lowerLetter"/>
      <w:start w:val="4"/>
    </w:lvl>
  </w:abstractNum>
  <w:abstractNum w:abstractNumId="268">
    <w:nsid w:val="3BAB699E"/>
    <w:multiLevelType w:val="hybridMultilevel"/>
    <w:lvl w:ilvl="0">
      <w:lvlJc w:val="left"/>
      <w:lvlText w:val="(%1)"/>
      <w:numFmt w:val="lowerLetter"/>
      <w:start w:val="7"/>
    </w:lvl>
  </w:abstractNum>
  <w:abstractNum w:abstractNumId="269">
    <w:nsid w:val="71315369"/>
    <w:multiLevelType w:val="hybridMultilevel"/>
    <w:lvl w:ilvl="0">
      <w:lvlJc w:val="left"/>
      <w:lvlText w:val="(%1)"/>
      <w:numFmt w:val="lowerLetter"/>
      <w:start w:val="4"/>
    </w:lvl>
  </w:abstractNum>
  <w:abstractNum w:abstractNumId="270">
    <w:nsid w:val="7BCFBAFC"/>
    <w:multiLevelType w:val="hybridMultilevel"/>
    <w:lvl w:ilvl="0">
      <w:lvlJc w:val="left"/>
      <w:lvlText w:val="(%1)"/>
      <w:numFmt w:val="lowerLetter"/>
      <w:start w:val="1"/>
    </w:lvl>
  </w:abstractNum>
  <w:abstractNum w:abstractNumId="271">
    <w:nsid w:val="17859F72"/>
    <w:multiLevelType w:val="hybridMultilevel"/>
    <w:lvl w:ilvl="0">
      <w:lvlJc w:val="left"/>
      <w:lvlText w:val="(%1)"/>
      <w:numFmt w:val="lowerLetter"/>
      <w:start w:val="7"/>
    </w:lvl>
  </w:abstractNum>
  <w:abstractNum w:abstractNumId="272">
    <w:nsid w:val="3AA10581"/>
    <w:multiLevelType w:val="hybridMultilevel"/>
    <w:lvl w:ilvl="0">
      <w:lvlJc w:val="left"/>
      <w:lvlText w:val="(%1)"/>
      <w:numFmt w:val="lowerLetter"/>
      <w:start w:val="8"/>
    </w:lvl>
  </w:abstractNum>
  <w:abstractNum w:abstractNumId="273">
    <w:nsid w:val="63DE60CD"/>
    <w:multiLevelType w:val="hybridMultilevel"/>
    <w:lvl w:ilvl="0">
      <w:lvlJc w:val="left"/>
      <w:lvlText w:val="(%1)"/>
      <w:numFmt w:val="lowerLetter"/>
      <w:start w:val="1"/>
    </w:lvl>
  </w:abstractNum>
  <w:abstractNum w:abstractNumId="274">
    <w:nsid w:val="621AF471"/>
    <w:multiLevelType w:val="hybridMultilevel"/>
    <w:lvl w:ilvl="0">
      <w:lvlJc w:val="left"/>
      <w:lvlText w:val="(%1)"/>
      <w:numFmt w:val="lowerLetter"/>
      <w:start w:val="3"/>
    </w:lvl>
  </w:abstractNum>
  <w:abstractNum w:abstractNumId="275">
    <w:nsid w:val="73CFE165"/>
    <w:multiLevelType w:val="hybridMultilevel"/>
    <w:lvl w:ilvl="0">
      <w:lvlJc w:val="left"/>
      <w:lvlText w:val="(%1)"/>
      <w:numFmt w:val="lowerLetter"/>
      <w:start w:val="7"/>
    </w:lvl>
  </w:abstractNum>
  <w:abstractNum w:abstractNumId="276">
    <w:nsid w:val="20F88EA6"/>
    <w:multiLevelType w:val="hybridMultilevel"/>
    <w:lvl w:ilvl="0">
      <w:lvlJc w:val="left"/>
      <w:lvlText w:val="(%1)"/>
      <w:numFmt w:val="lowerLetter"/>
      <w:start w:val="1"/>
    </w:lvl>
  </w:abstractNum>
  <w:abstractNum w:abstractNumId="277">
    <w:nsid w:val="617C843E"/>
    <w:multiLevelType w:val="hybridMultilevel"/>
    <w:lvl w:ilvl="0">
      <w:lvlJc w:val="left"/>
      <w:lvlText w:val="(%1)"/>
      <w:numFmt w:val="lowerRoman"/>
      <w:start w:val="1"/>
    </w:lvl>
  </w:abstractNum>
  <w:abstractNum w:abstractNumId="278">
    <w:nsid w:val="7B541FAB"/>
    <w:multiLevelType w:val="hybridMultilevel"/>
    <w:lvl w:ilvl="0">
      <w:lvlJc w:val="left"/>
      <w:lvlText w:val="(%1)"/>
      <w:numFmt w:val="lowerLetter"/>
      <w:start w:val="2"/>
    </w:lvl>
  </w:abstractNum>
  <w:abstractNum w:abstractNumId="279">
    <w:nsid w:val="2A79EC49"/>
    <w:multiLevelType w:val="hybridMultilevel"/>
    <w:lvl w:ilvl="0">
      <w:lvlJc w:val="left"/>
      <w:lvlText w:val="(%1)"/>
      <w:numFmt w:val="lowerLetter"/>
      <w:start w:val="1"/>
    </w:lvl>
  </w:abstractNum>
  <w:abstractNum w:abstractNumId="280">
    <w:nsid w:val="338125CF"/>
    <w:multiLevelType w:val="hybridMultilevel"/>
    <w:lvl w:ilvl="0">
      <w:lvlJc w:val="left"/>
      <w:lvlText w:val="(%1)"/>
      <w:numFmt w:val="lowerLetter"/>
      <w:start w:val="2"/>
    </w:lvl>
  </w:abstractNum>
  <w:abstractNum w:abstractNumId="281">
    <w:nsid w:val="47C7C971"/>
    <w:multiLevelType w:val="hybridMultilevel"/>
    <w:lvl w:ilvl="0">
      <w:lvlJc w:val="left"/>
      <w:lvlText w:val="(%1)"/>
      <w:numFmt w:val="lowerLetter"/>
      <w:start w:val="1"/>
    </w:lvl>
  </w:abstractNum>
  <w:abstractNum w:abstractNumId="282">
    <w:nsid w:val="46F8284B"/>
    <w:multiLevelType w:val="hybridMultilevel"/>
    <w:lvl w:ilvl="0">
      <w:lvlJc w:val="left"/>
      <w:lvlText w:val="(%1)"/>
      <w:numFmt w:val="lowerLetter"/>
      <w:start w:val="2"/>
    </w:lvl>
  </w:abstractNum>
  <w:abstractNum w:abstractNumId="283">
    <w:nsid w:val="4FA327CE"/>
    <w:multiLevelType w:val="hybridMultilevel"/>
    <w:lvl w:ilvl="0">
      <w:lvlJc w:val="left"/>
      <w:lvlText w:val="(%1)"/>
      <w:numFmt w:val="lowerLetter"/>
      <w:start w:val="1"/>
    </w:lvl>
  </w:abstractNum>
  <w:abstractNum w:abstractNumId="284">
    <w:nsid w:val="1873983A"/>
    <w:multiLevelType w:val="hybridMultilevel"/>
    <w:lvl w:ilvl="0">
      <w:lvlJc w:val="left"/>
      <w:lvlText w:val="(%1)"/>
      <w:numFmt w:val="lowerRoman"/>
      <w:start w:val="1"/>
    </w:lvl>
  </w:abstractNum>
  <w:abstractNum w:abstractNumId="285">
    <w:nsid w:val="3D2DD275"/>
    <w:multiLevelType w:val="hybridMultilevel"/>
    <w:lvl w:ilvl="0">
      <w:lvlJc w:val="left"/>
      <w:lvlText w:val="(%1)"/>
      <w:numFmt w:val="lowerRoman"/>
      <w:start w:val="1"/>
    </w:lvl>
  </w:abstractNum>
  <w:abstractNum w:abstractNumId="286">
    <w:nsid w:val="2E17ECA7"/>
    <w:multiLevelType w:val="hybridMultilevel"/>
    <w:lvl w:ilvl="0">
      <w:lvlJc w:val="left"/>
      <w:lvlText w:val="(%1)"/>
      <w:numFmt w:val="lowerLetter"/>
      <w:start w:val="1"/>
    </w:lvl>
  </w:abstractNum>
  <w:abstractNum w:abstractNumId="287">
    <w:nsid w:val="53B2564F"/>
    <w:multiLevelType w:val="hybridMultilevel"/>
    <w:lvl w:ilvl="0">
      <w:lvlJc w:val="left"/>
      <w:lvlText w:val="(%1)"/>
      <w:numFmt w:val="lowerLetter"/>
      <w:start w:val="3"/>
    </w:lvl>
  </w:abstractNum>
  <w:abstractNum w:abstractNumId="288">
    <w:nsid w:val="75509D76"/>
    <w:multiLevelType w:val="hybridMultilevel"/>
    <w:lvl w:ilvl="0">
      <w:lvlJc w:val="left"/>
      <w:lvlText w:val="(%1)"/>
      <w:numFmt w:val="lowerLetter"/>
      <w:start w:val="3"/>
    </w:lvl>
  </w:abstractNum>
  <w:abstractNum w:abstractNumId="289">
    <w:nsid w:val="1AF7F0EA"/>
    <w:multiLevelType w:val="hybridMultilevel"/>
    <w:lvl w:ilvl="0">
      <w:lvlJc w:val="left"/>
      <w:lvlText w:val="(%1)"/>
      <w:numFmt w:val="lowerLetter"/>
      <w:start w:val="1"/>
    </w:lvl>
  </w:abstractNum>
  <w:abstractNum w:abstractNumId="290">
    <w:nsid w:val="4DA32C7E"/>
    <w:multiLevelType w:val="hybridMultilevel"/>
    <w:lvl w:ilvl="0">
      <w:lvlJc w:val="left"/>
      <w:lvlText w:val="(%1)"/>
      <w:numFmt w:val="lowerRoman"/>
      <w:start w:val="1"/>
    </w:lvl>
  </w:abstractNum>
  <w:abstractNum w:abstractNumId="291">
    <w:nsid w:val="6EC68664"/>
    <w:multiLevelType w:val="hybridMultilevel"/>
    <w:lvl w:ilvl="0">
      <w:lvlJc w:val="left"/>
      <w:lvlText w:val="(%1)"/>
      <w:numFmt w:val="upperLetter"/>
      <w:start w:val="1"/>
    </w:lvl>
  </w:abstractNum>
  <w:abstractNum w:abstractNumId="292">
    <w:nsid w:val="E0D31FF"/>
    <w:multiLevelType w:val="hybridMultilevel"/>
    <w:lvl w:ilvl="0">
      <w:lvlJc w:val="left"/>
      <w:lvlText w:val="%1."/>
      <w:numFmt w:val="decimal"/>
      <w:start w:val="1"/>
    </w:lvl>
  </w:abstractNum>
  <w:abstractNum w:abstractNumId="293">
    <w:nsid w:val="2FD0AD81"/>
    <w:multiLevelType w:val="hybridMultilevel"/>
    <w:lvl w:ilvl="0">
      <w:lvlJc w:val="left"/>
      <w:lvlText w:val="(%1)"/>
      <w:numFmt w:val="lowerLetter"/>
      <w:start w:val="1"/>
    </w:lvl>
  </w:abstractNum>
  <w:abstractNum w:abstractNumId="294">
    <w:nsid w:val="1978EBEB"/>
    <w:multiLevelType w:val="hybridMultilevel"/>
    <w:lvl w:ilvl="0">
      <w:lvlJc w:val="left"/>
      <w:lvlText w:val="(%1)"/>
      <w:numFmt w:val="lowerLetter"/>
      <w:start w:val="5"/>
    </w:lvl>
  </w:abstractNum>
  <w:abstractNum w:abstractNumId="295">
    <w:nsid w:val="52C12C61"/>
    <w:multiLevelType w:val="hybridMultilevel"/>
    <w:lvl w:ilvl="0">
      <w:lvlJc w:val="left"/>
      <w:lvlText w:val="%1."/>
      <w:numFmt w:val="decimal"/>
      <w:start w:val="2"/>
    </w:lvl>
  </w:abstractNum>
  <w:abstractNum w:abstractNumId="296">
    <w:nsid w:val="4BDD53FD"/>
    <w:multiLevelType w:val="hybridMultilevel"/>
    <w:lvl w:ilvl="0">
      <w:lvlJc w:val="left"/>
      <w:lvlText w:val="(%1)"/>
      <w:numFmt w:val="lowerLetter"/>
      <w:start w:val="1"/>
    </w:lvl>
  </w:abstractNum>
  <w:abstractNum w:abstractNumId="297">
    <w:nsid w:val="569951FE"/>
    <w:multiLevelType w:val="hybridMultilevel"/>
    <w:lvl w:ilvl="0">
      <w:lvlJc w:val="left"/>
      <w:lvlText w:val="(%1)"/>
      <w:numFmt w:val="lowerRoman"/>
      <w:start w:val="1"/>
    </w:lvl>
  </w:abstractNum>
  <w:abstractNum w:abstractNumId="298">
    <w:nsid w:val="4C54E2C3"/>
    <w:multiLevelType w:val="hybridMultilevel"/>
    <w:lvl w:ilvl="0">
      <w:lvlJc w:val="left"/>
      <w:lvlText w:val="(%1)"/>
      <w:numFmt w:val="lowerLetter"/>
      <w:start w:val="1"/>
    </w:lvl>
  </w:abstractNum>
  <w:abstractNum w:abstractNumId="299">
    <w:nsid w:val="788BD9B"/>
    <w:multiLevelType w:val="hybridMultilevel"/>
    <w:lvl w:ilvl="0">
      <w:lvlJc w:val="left"/>
      <w:lvlText w:val="%1"/>
      <w:numFmt w:val="upperLetter"/>
      <w:start w:val="1"/>
    </w:lvl>
    <w:lvl w:ilvl="1">
      <w:lvlJc w:val="left"/>
      <w:lvlText w:val="(%2)"/>
      <w:numFmt w:val="lowerLetter"/>
      <w:start w:val="5"/>
    </w:lvl>
  </w:abstractNum>
  <w:abstractNum w:abstractNumId="300">
    <w:nsid w:val="47CAA567"/>
    <w:multiLevelType w:val="hybridMultilevel"/>
    <w:lvl w:ilvl="0">
      <w:lvlJc w:val="left"/>
      <w:lvlText w:val="(%1)"/>
      <w:numFmt w:val="upperLetter"/>
      <w:start w:val="2"/>
    </w:lvl>
    <w:lvl w:ilvl="1">
      <w:lvlJc w:val="left"/>
      <w:lvlText w:val="(%2)"/>
      <w:numFmt w:val="lowerLetter"/>
      <w:start w:val="20"/>
    </w:lvl>
  </w:abstractNum>
  <w:abstractNum w:abstractNumId="301">
    <w:nsid w:val="48249DBF"/>
    <w:multiLevelType w:val="hybridMultilevel"/>
    <w:lvl w:ilvl="0">
      <w:lvlJc w:val="left"/>
      <w:lvlText w:val="%1"/>
      <w:numFmt w:val="upperLetter"/>
      <w:start w:val="1"/>
    </w:lvl>
    <w:lvl w:ilvl="1">
      <w:lvlJc w:val="left"/>
      <w:lvlText w:val="(%2)"/>
      <w:numFmt w:val="lowerLetter"/>
      <w:start w:val="21"/>
    </w:lvl>
  </w:abstractNum>
  <w:abstractNum w:abstractNumId="302">
    <w:nsid w:val="1F0E5D0D"/>
    <w:multiLevelType w:val="hybridMultilevel"/>
    <w:lvl w:ilvl="0">
      <w:lvlJc w:val="left"/>
      <w:lvlText w:val="(%1)"/>
      <w:numFmt w:val="upperLetter"/>
      <w:start w:val="1"/>
    </w:lvl>
    <w:lvl w:ilvl="1">
      <w:lvlJc w:val="left"/>
      <w:lvlText w:val="%2"/>
      <w:numFmt w:val="lowerLetter"/>
      <w:start w:val="1"/>
    </w:lvl>
  </w:abstractNum>
  <w:abstractNum w:abstractNumId="303">
    <w:nsid w:val="26BAAE9"/>
    <w:multiLevelType w:val="hybridMultilevel"/>
    <w:lvl w:ilvl="0">
      <w:lvlJc w:val="left"/>
      <w:lvlText w:val="%1."/>
      <w:numFmt w:val="decimal"/>
      <w:start w:val="2"/>
    </w:lvl>
  </w:abstractNum>
  <w:abstractNum w:abstractNumId="304">
    <w:nsid w:val="2C02FE8C"/>
    <w:multiLevelType w:val="hybridMultilevel"/>
    <w:lvl w:ilvl="0">
      <w:lvlJc w:val="left"/>
      <w:lvlText w:val="(%1)"/>
      <w:numFmt w:val="lowerLetter"/>
      <w:start w:val="1"/>
    </w:lvl>
  </w:abstractNum>
  <w:abstractNum w:abstractNumId="305">
    <w:nsid w:val="129517E"/>
    <w:multiLevelType w:val="hybridMultilevel"/>
    <w:lvl w:ilvl="0">
      <w:lvlJc w:val="left"/>
      <w:lvlText w:val="(%1)"/>
      <w:numFmt w:val="lowerLetter"/>
      <w:start w:val="10"/>
    </w:lvl>
  </w:abstractNum>
  <w:abstractNum w:abstractNumId="306">
    <w:nsid w:val="763B8C4E"/>
    <w:multiLevelType w:val="hybridMultilevel"/>
    <w:lvl w:ilvl="0">
      <w:lvlJc w:val="left"/>
      <w:lvlText w:val="%1."/>
      <w:numFmt w:val="decimal"/>
      <w:start w:val="3"/>
    </w:lvl>
  </w:abstractNum>
  <w:abstractNum w:abstractNumId="307">
    <w:nsid w:val="4CFB8D32"/>
    <w:multiLevelType w:val="hybridMultilevel"/>
    <w:lvl w:ilvl="0">
      <w:lvlJc w:val="left"/>
      <w:lvlText w:val="(%1)"/>
      <w:numFmt w:val="lowerLetter"/>
      <w:start w:val="1"/>
    </w:lvl>
  </w:abstractNum>
  <w:abstractNum w:abstractNumId="308">
    <w:nsid w:val="62A5D5BD"/>
    <w:multiLevelType w:val="hybridMultilevel"/>
    <w:lvl w:ilvl="0">
      <w:lvlJc w:val="left"/>
      <w:lvlText w:val="(%1)"/>
      <w:numFmt w:val="lowerLetter"/>
      <w:start w:val="5"/>
    </w:lvl>
    <w:lvl w:ilvl="1">
      <w:lvlJc w:val="left"/>
      <w:lvlText w:val="(%2)"/>
      <w:numFmt w:val="lowerRoman"/>
      <w:start w:val="1"/>
    </w:lvl>
  </w:abstractNum>
  <w:abstractNum w:abstractNumId="309">
    <w:nsid w:val="718FABF9"/>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310">
    <w:nsid w:val="7775797C"/>
    <w:multiLevelType w:val="hybridMultilevel"/>
    <w:lvl w:ilvl="0">
      <w:lvlJc w:val="left"/>
      <w:lvlText w:val="(%1)"/>
      <w:numFmt w:val="upperLetter"/>
      <w:start w:val="2"/>
    </w:lvl>
    <w:lvl w:ilvl="1">
      <w:lvlJc w:val="left"/>
      <w:lvlText w:val="(%2)"/>
      <w:numFmt w:val="lowerLetter"/>
      <w:start w:val="12"/>
    </w:lvl>
    <w:lvl w:ilvl="2">
      <w:lvlJc w:val="left"/>
      <w:lvlText w:val="(%3)"/>
      <w:numFmt w:val="lowerRoman"/>
      <w:start w:val="2"/>
    </w:lvl>
  </w:abstractNum>
  <w:abstractNum w:abstractNumId="311">
    <w:nsid w:val="1626FB8C"/>
    <w:multiLevelType w:val="hybridMultilevel"/>
    <w:lvl w:ilvl="0">
      <w:lvlJc w:val="left"/>
      <w:lvlText w:val="%1."/>
      <w:numFmt w:val="decimal"/>
      <w:start w:val="2"/>
    </w:lvl>
  </w:abstractNum>
  <w:abstractNum w:abstractNumId="312">
    <w:nsid w:val="3957756A"/>
    <w:multiLevelType w:val="hybridMultilevel"/>
    <w:lvl w:ilvl="0">
      <w:lvlJc w:val="left"/>
      <w:lvlText w:val="(%1)"/>
      <w:numFmt w:val="lowerLetter"/>
      <w:start w:val="1"/>
    </w:lvl>
  </w:abstractNum>
  <w:abstractNum w:abstractNumId="313">
    <w:nsid w:val="3E6DA1C7"/>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14">
    <w:nsid w:val="65CA235B"/>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315">
    <w:nsid w:val="51CB0DA4"/>
    <w:multiLevelType w:val="hybridMultilevel"/>
    <w:lvl w:ilvl="0">
      <w:lvlJc w:val="left"/>
      <w:lvlText w:val="(%1)"/>
      <w:numFmt w:val="lowerLetter"/>
      <w:start w:val="61"/>
    </w:lvl>
    <w:lvl w:ilvl="1">
      <w:lvlJc w:val="left"/>
      <w:lvlText w:val="(%2)"/>
      <w:numFmt w:val="lowerLetter"/>
      <w:start w:val="9"/>
    </w:lvl>
    <w:lvl w:ilvl="2">
      <w:lvlJc w:val="left"/>
      <w:lvlText w:val="(%3)"/>
      <w:numFmt w:val="lowerRoman"/>
      <w:start w:val="1"/>
    </w:lvl>
  </w:abstractNum>
  <w:abstractNum w:abstractNumId="316">
    <w:nsid w:val="7B9B743C"/>
    <w:multiLevelType w:val="hybridMultilevel"/>
    <w:lvl w:ilvl="0">
      <w:lvlJc w:val="left"/>
      <w:lvlText w:val="(%1)"/>
      <w:numFmt w:val="lowerRoman"/>
      <w:start w:val="7"/>
    </w:lvl>
  </w:abstractNum>
  <w:abstractNum w:abstractNumId="317">
    <w:nsid w:val="13E21002"/>
    <w:multiLevelType w:val="hybridMultilevel"/>
    <w:lvl w:ilvl="0">
      <w:lvlJc w:val="left"/>
      <w:lvlText w:val="(%1)"/>
      <w:numFmt w:val="lowerLetter"/>
      <w:start w:val="10"/>
    </w:lvl>
  </w:abstractNum>
  <w:abstractNum w:abstractNumId="318">
    <w:nsid w:val="257D63F4"/>
    <w:multiLevelType w:val="hybridMultilevel"/>
    <w:lvl w:ilvl="0">
      <w:lvlJc w:val="left"/>
      <w:lvlText w:val="%1."/>
      <w:numFmt w:val="decimal"/>
      <w:start w:val="3"/>
    </w:lvl>
    <w:lvl w:ilvl="1">
      <w:lvlJc w:val="left"/>
      <w:lvlText w:val="(%2)"/>
      <w:numFmt w:val="lowerLetter"/>
      <w:start w:val="1"/>
    </w:lvl>
  </w:abstractNum>
  <w:abstractNum w:abstractNumId="319">
    <w:nsid w:val="70EC11B2"/>
    <w:multiLevelType w:val="hybridMultilevel"/>
    <w:lvl w:ilvl="0">
      <w:lvlJc w:val="left"/>
      <w:lvlText w:val="(%1)"/>
      <w:numFmt w:val="lowerLetter"/>
      <w:start w:val="4"/>
    </w:lvl>
  </w:abstractNum>
  <w:abstractNum w:abstractNumId="320">
    <w:nsid w:val="2EDA00ED"/>
    <w:multiLevelType w:val="hybridMultilevel"/>
    <w:lvl w:ilvl="0">
      <w:lvlJc w:val="left"/>
      <w:lvlText w:val="(%1)"/>
      <w:numFmt w:val="lowerLetter"/>
      <w:start w:val="1"/>
    </w:lvl>
  </w:abstractNum>
  <w:abstractNum w:abstractNumId="321">
    <w:nsid w:val="73209072"/>
    <w:multiLevelType w:val="hybridMultilevel"/>
    <w:lvl w:ilvl="0">
      <w:lvlJc w:val="left"/>
      <w:lvlText w:val="(%1)"/>
      <w:numFmt w:val="lowerLetter"/>
      <w:start w:val="4"/>
    </w:lvl>
  </w:abstractNum>
  <w:abstractNum w:abstractNumId="322">
    <w:nsid w:val="5FB2981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2020-01-24T19:38:58Z</dcterms:created>
  <dcterms:modified xsi:type="dcterms:W3CDTF">2020-01-24T19:38:58Z</dcterms:modified>
</cp:coreProperties>
</file>