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Dev Indraneel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1046"/>
        <w:gridCol w:w="433"/>
        <w:gridCol w:w="595"/>
        <w:gridCol w:w="1479"/>
        <w:gridCol w:w="971"/>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23.4602</w:t>
            </w:r>
            <w:r>
              <w:rPr>
                <w:rFonts w:ascii="Times;serif" w:hAnsi="Times;serif"/>
                <w:color w:val="008000"/>
                <w:position w:val="7"/>
                <w:sz w:val="16"/>
                <w:sz w:val="20"/>
                <w:shd w:fill="FFFFFF" w:val="clear"/>
              </w:rPr>
              <w:t>(1)</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16,895.5776</w:t>
            </w:r>
            <w:r>
              <w:rPr>
                <w:rFonts w:ascii="Times;serif" w:hAnsi="Times;serif"/>
                <w:color w:val="008000"/>
                <w:position w:val="7"/>
                <w:sz w:val="16"/>
                <w:sz w:val="20"/>
                <w:shd w:fill="FFFFFF" w:val="clear"/>
              </w:rPr>
              <w:t>(2)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is deemed to amend and update the beneficial ownership reported in Table I of each subsequently filed Form 4 by the Reporting Person through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974"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3512</Characters>
  <CharactersWithSpaces>4092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