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Arial" w:cs="Arial" w:eastAsia="Arial" w:hAnsi="Arial"/>
          <w:sz w:val="74"/>
          <w:szCs w:val="7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 xml:space="preserve">Annual Report </w:t>
      </w:r>
      <w:r>
        <w:rPr>
          <w:rFonts w:ascii="Arial" w:cs="Arial" w:eastAsia="Arial" w:hAnsi="Arial"/>
          <w:sz w:val="74"/>
          <w:szCs w:val="74"/>
          <w:color w:val="00B14C"/>
        </w:rPr>
        <w:t>I</w:t>
      </w:r>
      <w:r>
        <w:rPr>
          <w:rFonts w:ascii="Arial" w:cs="Arial" w:eastAsia="Arial" w:hAnsi="Arial"/>
          <w:sz w:val="74"/>
          <w:szCs w:val="74"/>
          <w:b w:val="1"/>
          <w:bCs w:val="1"/>
          <w:color w:val="FFFFFF"/>
        </w:rPr>
        <w:t xml:space="preserve"> </w:t>
      </w:r>
      <w:r>
        <w:rPr>
          <w:rFonts w:ascii="Arial" w:cs="Arial" w:eastAsia="Arial" w:hAnsi="Arial"/>
          <w:sz w:val="70"/>
          <w:szCs w:val="70"/>
          <w:b w:val="1"/>
          <w:bCs w:val="1"/>
          <w:color w:val="FFFFFF"/>
        </w:rPr>
        <w:t>2025</w:t>
      </w:r>
    </w:p>
    <w:p>
      <w:pPr>
        <w:spacing w:after="0" w:line="325" w:lineRule="exact"/>
        <w:rPr>
          <w:sz w:val="24"/>
          <w:szCs w:val="24"/>
          <w:color w:val="auto"/>
        </w:rPr>
      </w:pPr>
    </w:p>
    <w:p>
      <w:pPr>
        <w:ind w:left="1760"/>
        <w:spacing w:after="0"/>
        <w:rPr>
          <w:sz w:val="20"/>
          <w:szCs w:val="20"/>
          <w:color w:val="auto"/>
        </w:rPr>
      </w:pPr>
      <w:r>
        <w:rPr>
          <w:rFonts w:ascii="Arial" w:cs="Arial" w:eastAsia="Arial" w:hAnsi="Arial"/>
          <w:sz w:val="34"/>
          <w:szCs w:val="34"/>
          <w:color w:val="FFFFFF"/>
        </w:rPr>
        <w:t>We build, connect, power and protect the world.</w:t>
      </w:r>
    </w:p>
    <w:p>
      <w:pPr>
        <w:sectPr>
          <w:pgSz w:w="11880" w:h="15480" w:orient="portrait"/>
          <w:cols w:equalWidth="0" w:num="1">
            <w:col w:w="9100"/>
          </w:cols>
          <w:pgMar w:left="1440" w:top="719" w:right="1340" w:bottom="1440" w:gutter="0" w:footer="0" w:header="0"/>
        </w:sectPr>
      </w:pPr>
    </w:p>
    <w:bookmarkStart w:id="1" w:name="page2"/>
    <w:bookmarkEnd w:id="1"/>
    <w:p>
      <w:pPr>
        <w:ind w:left="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Wesco International</w:t>
      </w:r>
    </w:p>
    <w:p>
      <w:pPr>
        <w:spacing w:after="0"/>
        <w:rPr>
          <w:sz w:val="20"/>
          <w:szCs w:val="20"/>
          <w:color w:val="auto"/>
        </w:rPr>
      </w:pPr>
      <w:r>
        <w:rPr>
          <w:rFonts w:ascii="Arial" w:cs="Arial" w:eastAsia="Arial" w:hAnsi="Arial"/>
          <w:sz w:val="50"/>
          <w:szCs w:val="50"/>
          <w:b w:val="1"/>
          <w:bCs w:val="1"/>
          <w:color w:val="00B14C"/>
        </w:rPr>
        <w:t>Annual Report 2025</w:t>
      </w:r>
    </w:p>
    <w:p>
      <w:pPr>
        <w:spacing w:after="0" w:line="383" w:lineRule="exact"/>
        <w:rPr>
          <w:sz w:val="20"/>
          <w:szCs w:val="20"/>
          <w:color w:val="auto"/>
        </w:rPr>
      </w:pPr>
    </w:p>
    <w:p>
      <w:pPr>
        <w:spacing w:after="0" w:line="244" w:lineRule="auto"/>
        <w:rPr>
          <w:sz w:val="20"/>
          <w:szCs w:val="20"/>
          <w:color w:val="auto"/>
        </w:rPr>
      </w:pPr>
      <w:r>
        <w:rPr>
          <w:rFonts w:ascii="Arial" w:cs="Arial" w:eastAsia="Arial" w:hAnsi="Arial"/>
          <w:sz w:val="20"/>
          <w:szCs w:val="20"/>
          <w:color w:val="FFFFFF"/>
        </w:rPr>
        <w:t>Leveraging our broad portfolio of products and services, global reach and technical expertise, Wesco creates solutions for customers that reduce operating and supply chain costs, increase energy efficiency, eliminate waste, maintain project schedules and make it easier to do business overall. Our dedicated team has cultivated long-term relationships with customers who regard Wesco as a critical supply chain partner and with suppliers who depend on Wesco as one of their largest customers. We are investing in digital capabilities that will transform our business and lead the evolution of our industry. Combined with favorable secular trends, Wesco’s opportunity is greater than ever to grow, increase profitability and create more value.</w:t>
      </w:r>
    </w:p>
    <w:p>
      <w:pPr>
        <w:sectPr>
          <w:pgSz w:w="11880" w:h="15480" w:orient="portrait"/>
          <w:cols w:equalWidth="0" w:num="1">
            <w:col w:w="10060"/>
          </w:cols>
          <w:pgMar w:left="900" w:top="980" w:right="920" w:bottom="8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4C7998"/>
        </w:rPr>
        <w:t>GLOBAL REACH</w:t>
      </w:r>
    </w:p>
    <w:p>
      <w:pPr>
        <w:spacing w:after="0" w:line="200" w:lineRule="exact"/>
        <w:rPr>
          <w:sz w:val="20"/>
          <w:szCs w:val="20"/>
          <w:color w:val="auto"/>
        </w:rPr>
      </w:pPr>
    </w:p>
    <w:p>
      <w:pPr>
        <w:spacing w:after="0" w:line="221" w:lineRule="exact"/>
        <w:rPr>
          <w:sz w:val="20"/>
          <w:szCs w:val="20"/>
          <w:color w:val="auto"/>
        </w:rPr>
      </w:pPr>
    </w:p>
    <w:p>
      <w:pPr>
        <w:ind w:left="420" w:right="980"/>
        <w:spacing w:after="0" w:line="241" w:lineRule="auto"/>
        <w:rPr>
          <w:sz w:val="20"/>
          <w:szCs w:val="20"/>
          <w:color w:val="auto"/>
        </w:rPr>
      </w:pPr>
      <w:r>
        <w:rPr>
          <w:rFonts w:ascii="Arial" w:cs="Arial" w:eastAsia="Arial" w:hAnsi="Arial"/>
          <w:sz w:val="20"/>
          <w:szCs w:val="20"/>
          <w:color w:val="1C252D"/>
        </w:rPr>
        <w:t>Wesco provides an in-country and regional support structure that meets customers’ needs for rapid deployment, scalability, global sourcing, multi-currency transactions and local inventory in the Americas, EMEA and Asia-Pacific.</w:t>
      </w:r>
    </w:p>
    <w:p>
      <w:pPr>
        <w:spacing w:after="0" w:line="200" w:lineRule="exact"/>
        <w:rPr>
          <w:sz w:val="20"/>
          <w:szCs w:val="20"/>
          <w:color w:val="auto"/>
        </w:rPr>
      </w:pPr>
    </w:p>
    <w:p>
      <w:pPr>
        <w:spacing w:after="0" w:line="284" w:lineRule="exact"/>
        <w:rPr>
          <w:sz w:val="20"/>
          <w:szCs w:val="20"/>
          <w:color w:val="auto"/>
        </w:rPr>
      </w:pPr>
    </w:p>
    <w:p>
      <w:pPr>
        <w:ind w:left="720"/>
        <w:spacing w:after="0"/>
        <w:tabs>
          <w:tab w:leader="none" w:pos="3420" w:val="left"/>
        </w:tabs>
        <w:rPr>
          <w:sz w:val="20"/>
          <w:szCs w:val="20"/>
          <w:color w:val="auto"/>
        </w:rPr>
      </w:pPr>
      <w:r>
        <w:rPr>
          <w:rFonts w:ascii="Arial" w:cs="Arial" w:eastAsia="Arial" w:hAnsi="Arial"/>
          <w:sz w:val="50"/>
          <w:szCs w:val="50"/>
          <w:b w:val="1"/>
          <w:bCs w:val="1"/>
          <w:color w:val="00B14C"/>
        </w:rPr>
        <w:t>700+</w:t>
      </w:r>
      <w:r>
        <w:rPr>
          <w:sz w:val="20"/>
          <w:szCs w:val="20"/>
          <w:color w:val="auto"/>
        </w:rPr>
        <w:tab/>
      </w:r>
      <w:r>
        <w:rPr>
          <w:rFonts w:ascii="Arial" w:cs="Arial" w:eastAsia="Arial" w:hAnsi="Arial"/>
          <w:sz w:val="50"/>
          <w:szCs w:val="50"/>
          <w:b w:val="1"/>
          <w:bCs w:val="1"/>
          <w:color w:val="00B14C"/>
        </w:rPr>
        <w:t>50+</w:t>
      </w:r>
    </w:p>
    <w:p>
      <w:pPr>
        <w:ind w:left="820"/>
        <w:spacing w:after="0" w:line="211" w:lineRule="auto"/>
        <w:tabs>
          <w:tab w:leader="none" w:pos="3380" w:val="left"/>
        </w:tabs>
        <w:rPr>
          <w:sz w:val="20"/>
          <w:szCs w:val="20"/>
          <w:color w:val="auto"/>
        </w:rPr>
      </w:pPr>
      <w:r>
        <w:rPr>
          <w:rFonts w:ascii="Arial" w:cs="Arial" w:eastAsia="Arial" w:hAnsi="Arial"/>
          <w:sz w:val="22"/>
          <w:szCs w:val="22"/>
          <w:color w:val="1C252D"/>
        </w:rPr>
        <w:t>locations</w:t>
      </w:r>
      <w:r>
        <w:rPr>
          <w:sz w:val="20"/>
          <w:szCs w:val="20"/>
          <w:color w:val="auto"/>
        </w:rPr>
        <w:tab/>
      </w:r>
      <w:r>
        <w:rPr>
          <w:rFonts w:ascii="Arial" w:cs="Arial" w:eastAsia="Arial" w:hAnsi="Arial"/>
          <w:sz w:val="22"/>
          <w:szCs w:val="22"/>
          <w:color w:val="1C252D"/>
        </w:rPr>
        <w:t>countries</w:t>
      </w:r>
    </w:p>
    <w:p>
      <w:pPr>
        <w:spacing w:after="0" w:line="200" w:lineRule="exact"/>
        <w:rPr>
          <w:sz w:val="20"/>
          <w:szCs w:val="20"/>
          <w:color w:val="auto"/>
        </w:rPr>
      </w:pPr>
    </w:p>
    <w:p>
      <w:pPr>
        <w:spacing w:after="0" w:line="296" w:lineRule="exact"/>
        <w:rPr>
          <w:sz w:val="20"/>
          <w:szCs w:val="20"/>
          <w:color w:val="auto"/>
        </w:rPr>
      </w:pPr>
    </w:p>
    <w:p>
      <w:pPr>
        <w:ind w:left="380"/>
        <w:spacing w:after="0"/>
        <w:tabs>
          <w:tab w:leader="none" w:pos="2960" w:val="left"/>
        </w:tabs>
        <w:rPr>
          <w:sz w:val="20"/>
          <w:szCs w:val="20"/>
          <w:color w:val="auto"/>
        </w:rPr>
      </w:pPr>
      <w:r>
        <w:rPr>
          <w:rFonts w:ascii="Arial" w:cs="Arial" w:eastAsia="Arial" w:hAnsi="Arial"/>
          <w:sz w:val="48"/>
          <w:szCs w:val="48"/>
          <w:b w:val="1"/>
          <w:bCs w:val="1"/>
          <w:color w:val="00B14C"/>
        </w:rPr>
        <w:t>35,000+</w:t>
      </w:r>
      <w:r>
        <w:rPr>
          <w:sz w:val="20"/>
          <w:szCs w:val="20"/>
          <w:color w:val="auto"/>
        </w:rPr>
        <w:tab/>
      </w:r>
      <w:r>
        <w:rPr>
          <w:rFonts w:ascii="Arial" w:cs="Arial" w:eastAsia="Arial" w:hAnsi="Arial"/>
          <w:sz w:val="48"/>
          <w:szCs w:val="48"/>
          <w:b w:val="1"/>
          <w:bCs w:val="1"/>
          <w:color w:val="00B14C"/>
        </w:rPr>
        <w:t>~21,000</w:t>
      </w:r>
    </w:p>
    <w:p>
      <w:pPr>
        <w:ind w:left="800"/>
        <w:spacing w:after="0" w:line="221" w:lineRule="auto"/>
        <w:tabs>
          <w:tab w:leader="none" w:pos="2880" w:val="left"/>
        </w:tabs>
        <w:rPr>
          <w:sz w:val="20"/>
          <w:szCs w:val="20"/>
          <w:color w:val="auto"/>
        </w:rPr>
      </w:pPr>
      <w:r>
        <w:rPr>
          <w:rFonts w:ascii="Arial" w:cs="Arial" w:eastAsia="Arial" w:hAnsi="Arial"/>
          <w:sz w:val="21"/>
          <w:szCs w:val="21"/>
          <w:color w:val="1C252D"/>
        </w:rPr>
        <w:t>suppliers</w:t>
      </w:r>
      <w:r>
        <w:rPr>
          <w:sz w:val="20"/>
          <w:szCs w:val="20"/>
          <w:color w:val="auto"/>
        </w:rPr>
        <w:tab/>
      </w:r>
      <w:r>
        <w:rPr>
          <w:rFonts w:ascii="Arial" w:cs="Arial" w:eastAsia="Arial" w:hAnsi="Arial"/>
          <w:sz w:val="21"/>
          <w:szCs w:val="21"/>
          <w:color w:val="1C252D"/>
        </w:rPr>
        <w:t>full-time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4C7998"/>
        </w:rPr>
        <w:t>CORPORATE PROFILE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820"/>
        <w:spacing w:after="0"/>
        <w:rPr>
          <w:sz w:val="20"/>
          <w:szCs w:val="20"/>
          <w:color w:val="auto"/>
        </w:rPr>
      </w:pPr>
      <w:r>
        <w:rPr>
          <w:rFonts w:ascii="Arial" w:cs="Arial" w:eastAsia="Arial" w:hAnsi="Arial"/>
          <w:sz w:val="19"/>
          <w:szCs w:val="19"/>
          <w:b w:val="1"/>
          <w:bCs w:val="1"/>
          <w:color w:val="4C7998"/>
        </w:rPr>
        <w:t>SALES BY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20"/>
                <w:szCs w:val="20"/>
                <w:b w:val="1"/>
                <w:bCs w:val="1"/>
                <w:color w:val="231F20"/>
              </w:rPr>
              <w:t>United States</w:t>
            </w:r>
          </w:p>
        </w:tc>
        <w:tc>
          <w:tcPr>
            <w:tcW w:w="480" w:type="dxa"/>
            <w:vAlign w:val="bottom"/>
          </w:tcPr>
          <w:p>
            <w:pPr>
              <w:ind w:left="100"/>
              <w:spacing w:after="0"/>
              <w:rPr>
                <w:sz w:val="20"/>
                <w:szCs w:val="20"/>
                <w:color w:val="auto"/>
              </w:rPr>
            </w:pPr>
            <w:r>
              <w:rPr>
                <w:rFonts w:ascii="Arial" w:cs="Arial" w:eastAsia="Arial" w:hAnsi="Arial"/>
                <w:sz w:val="20"/>
                <w:szCs w:val="20"/>
                <w:b w:val="1"/>
                <w:bCs w:val="1"/>
                <w:color w:val="231F20"/>
                <w:w w:val="89"/>
              </w:rPr>
              <w:t>74%</w:t>
            </w:r>
          </w:p>
        </w:tc>
      </w:tr>
      <w:tr>
        <w:trPr>
          <w:trHeight w:val="310"/>
        </w:trPr>
        <w:tc>
          <w:tcPr>
            <w:tcW w:w="1780" w:type="dxa"/>
            <w:vAlign w:val="bottom"/>
          </w:tcPr>
          <w:p>
            <w:pPr>
              <w:spacing w:after="0"/>
              <w:rPr>
                <w:sz w:val="20"/>
                <w:szCs w:val="20"/>
                <w:color w:val="auto"/>
              </w:rPr>
            </w:pPr>
            <w:r>
              <w:rPr>
                <w:rFonts w:ascii="Arial" w:cs="Arial" w:eastAsia="Arial" w:hAnsi="Arial"/>
                <w:sz w:val="20"/>
                <w:szCs w:val="20"/>
                <w:b w:val="1"/>
                <w:bCs w:val="1"/>
                <w:color w:val="231F20"/>
              </w:rPr>
              <w:t>Canada</w:t>
            </w:r>
          </w:p>
        </w:tc>
        <w:tc>
          <w:tcPr>
            <w:tcW w:w="480" w:type="dxa"/>
            <w:vAlign w:val="bottom"/>
          </w:tcPr>
          <w:p>
            <w:pPr>
              <w:ind w:left="100"/>
              <w:spacing w:after="0"/>
              <w:rPr>
                <w:sz w:val="20"/>
                <w:szCs w:val="20"/>
                <w:color w:val="auto"/>
              </w:rPr>
            </w:pPr>
            <w:r>
              <w:rPr>
                <w:rFonts w:ascii="Arial" w:cs="Arial" w:eastAsia="Arial" w:hAnsi="Arial"/>
                <w:sz w:val="20"/>
                <w:szCs w:val="20"/>
                <w:b w:val="1"/>
                <w:bCs w:val="1"/>
                <w:color w:val="231F20"/>
                <w:w w:val="89"/>
              </w:rPr>
              <w:t>14%</w:t>
            </w:r>
          </w:p>
        </w:tc>
      </w:tr>
      <w:tr>
        <w:trPr>
          <w:trHeight w:val="312"/>
        </w:trPr>
        <w:tc>
          <w:tcPr>
            <w:tcW w:w="1780" w:type="dxa"/>
            <w:vAlign w:val="bottom"/>
          </w:tcPr>
          <w:p>
            <w:pPr>
              <w:spacing w:after="0"/>
              <w:rPr>
                <w:sz w:val="20"/>
                <w:szCs w:val="20"/>
                <w:color w:val="auto"/>
              </w:rPr>
            </w:pPr>
            <w:r>
              <w:rPr>
                <w:rFonts w:ascii="Arial" w:cs="Arial" w:eastAsia="Arial" w:hAnsi="Arial"/>
                <w:sz w:val="20"/>
                <w:szCs w:val="20"/>
                <w:b w:val="1"/>
                <w:bCs w:val="1"/>
                <w:color w:val="231F20"/>
                <w:w w:val="98"/>
              </w:rPr>
              <w:t>Other International</w:t>
            </w:r>
          </w:p>
        </w:tc>
        <w:tc>
          <w:tcPr>
            <w:tcW w:w="480" w:type="dxa"/>
            <w:vAlign w:val="bottom"/>
          </w:tcPr>
          <w:p>
            <w:pPr>
              <w:ind w:left="100"/>
              <w:spacing w:after="0"/>
              <w:rPr>
                <w:sz w:val="20"/>
                <w:szCs w:val="20"/>
                <w:color w:val="auto"/>
              </w:rPr>
            </w:pPr>
            <w:r>
              <w:rPr>
                <w:rFonts w:ascii="Arial" w:cs="Arial" w:eastAsia="Arial" w:hAnsi="Arial"/>
                <w:sz w:val="20"/>
                <w:szCs w:val="20"/>
                <w:b w:val="1"/>
                <w:bCs w:val="1"/>
                <w:color w:val="231F20"/>
                <w:w w:val="89"/>
              </w:rPr>
              <w:t>12%</w:t>
            </w:r>
          </w:p>
        </w:tc>
      </w:tr>
    </w:tbl>
    <w:p>
      <w:pPr>
        <w:spacing w:after="0" w:line="1469" w:lineRule="exact"/>
        <w:rPr>
          <w:sz w:val="20"/>
          <w:szCs w:val="20"/>
          <w:color w:val="auto"/>
        </w:rPr>
      </w:pPr>
    </w:p>
    <w:p>
      <w:pPr>
        <w:sectPr>
          <w:pgSz w:w="11880" w:h="15480" w:orient="portrait"/>
          <w:cols w:equalWidth="0" w:num="2">
            <w:col w:w="5720" w:space="720"/>
            <w:col w:w="3620"/>
          </w:cols>
          <w:pgMar w:left="900" w:top="980" w:right="920" w:bottom="807" w:gutter="0" w:footer="0" w:header="0"/>
          <w:type w:val="continuous"/>
        </w:sectPr>
      </w:pPr>
    </w:p>
    <w:p>
      <w:pPr>
        <w:spacing w:after="0" w:line="225" w:lineRule="exact"/>
        <w:rPr>
          <w:sz w:val="20"/>
          <w:szCs w:val="20"/>
          <w:color w:val="auto"/>
        </w:rPr>
      </w:pPr>
    </w:p>
    <w:p>
      <w:pPr>
        <w:ind w:left="400" w:right="960"/>
        <w:spacing w:after="0" w:line="247" w:lineRule="auto"/>
        <w:rPr>
          <w:sz w:val="20"/>
          <w:szCs w:val="20"/>
          <w:color w:val="auto"/>
        </w:rPr>
      </w:pPr>
      <w:r>
        <w:rPr>
          <w:rFonts w:ascii="Arial" w:cs="Arial" w:eastAsia="Arial" w:hAnsi="Arial"/>
          <w:sz w:val="20"/>
          <w:szCs w:val="20"/>
          <w:color w:val="1C252D"/>
        </w:rPr>
        <w:t>Wesco International (NYSE: WCC) builds, connects, powers and protects the world. Headquartered in Pittsburgh, Pennsylvania, Wesco is a FORTUNE 500™ company with approximately $24 billion in annual sales in 2025 and a leading provider of business-to-business distribution, logistics services and supply chain solutions. Wesco offers a best-in-class products and services portfolio of Electrical and Electronic Solutions, Communications and Security Solutions and Utility and Broadband Solutions. The Company employs approximately 21,000 people, partners with the industry’s premier suppliers and serves thousands of customers around the world. With millions of products, end-to-end supply chain services and significant digital capabilities, Wesco provides innovative solutions to meet customer needs across commercial and industrial businesses, technology companies, telecommunications providers and utilities. Wesco operates more than 700 sites, including distribution centers, fulfillment centers and sales offices in approximately 50 countries, providing a local presence for customers and a global network to serve multi-location businesses and global corporations.</w:t>
      </w:r>
    </w:p>
    <w:p>
      <w:pPr>
        <w:sectPr>
          <w:pgSz w:w="11880" w:h="15480" w:orient="portrait"/>
          <w:cols w:equalWidth="0" w:num="1">
            <w:col w:w="10060"/>
          </w:cols>
          <w:pgMar w:left="900" w:top="980" w:right="920" w:bottom="807" w:gutter="0" w:footer="0" w:header="0"/>
          <w:type w:val="continuous"/>
        </w:sectPr>
      </w:pPr>
    </w:p>
    <w:bookmarkStart w:id="2" w:name="page3"/>
    <w:bookmarkEnd w:id="2"/>
    <w:p>
      <w:pPr>
        <w:ind w:left="200"/>
        <w:spacing w:after="0"/>
        <w:rPr>
          <w:sz w:val="20"/>
          <w:szCs w:val="20"/>
          <w:color w:val="auto"/>
        </w:rPr>
      </w:pPr>
      <w:r>
        <w:rPr>
          <w:rFonts w:ascii="Arial" w:cs="Arial" w:eastAsia="Arial" w:hAnsi="Arial"/>
          <w:sz w:val="24"/>
          <w:szCs w:val="24"/>
          <w:b w:val="1"/>
          <w:bCs w:val="1"/>
          <w:color w:val="4C7998"/>
        </w:rPr>
        <w:drawing>
          <wp:anchor simplePos="0" relativeHeight="251657728" behindDoc="1" locked="0" layoutInCell="0" allowOverlap="1">
            <wp:simplePos x="0" y="0"/>
            <wp:positionH relativeFrom="page">
              <wp:posOffset>292100</wp:posOffset>
            </wp:positionH>
            <wp:positionV relativeFrom="page">
              <wp:posOffset>654050</wp:posOffset>
            </wp:positionV>
            <wp:extent cx="6680200" cy="3266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200" cy="3266440"/>
                    </a:xfrm>
                    <a:prstGeom prst="rect">
                      <a:avLst/>
                    </a:prstGeom>
                    <a:noFill/>
                  </pic:spPr>
                </pic:pic>
              </a:graphicData>
            </a:graphic>
          </wp:anchor>
        </w:drawing>
        <w:t xml:space="preserve">2025 </w:t>
      </w:r>
      <w:r>
        <w:rPr>
          <w:rFonts w:ascii="Arial" w:cs="Arial" w:eastAsia="Arial" w:hAnsi="Arial"/>
          <w:sz w:val="22"/>
          <w:szCs w:val="22"/>
          <w:b w:val="1"/>
          <w:bCs w:val="1"/>
          <w:color w:val="4C7998"/>
        </w:rPr>
        <w:t>SALES</w:t>
      </w:r>
    </w:p>
    <w:p>
      <w:pPr>
        <w:spacing w:after="0" w:line="1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80" w:type="dxa"/>
            <w:vAlign w:val="bottom"/>
          </w:tcPr>
          <w:p>
            <w:pPr>
              <w:ind w:left="400"/>
              <w:spacing w:after="0"/>
              <w:rPr>
                <w:sz w:val="20"/>
                <w:szCs w:val="20"/>
                <w:color w:val="auto"/>
              </w:rPr>
            </w:pPr>
            <w:r>
              <w:rPr>
                <w:rFonts w:ascii="Arial" w:cs="Arial" w:eastAsia="Arial" w:hAnsi="Arial"/>
                <w:sz w:val="20"/>
                <w:szCs w:val="20"/>
                <w:color w:val="000E1E"/>
              </w:rPr>
              <w:t>Communications and</w:t>
            </w:r>
          </w:p>
        </w:tc>
        <w:tc>
          <w:tcPr>
            <w:tcW w:w="200" w:type="dxa"/>
            <w:vAlign w:val="bottom"/>
            <w:shd w:val="clear" w:color="auto" w:fill="00B14C"/>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20"/>
                <w:szCs w:val="20"/>
                <w:b w:val="1"/>
                <w:bCs w:val="1"/>
                <w:color w:val="231F20"/>
              </w:rPr>
              <w:t>Data Center</w:t>
            </w: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780" w:type="dxa"/>
            <w:vAlign w:val="bottom"/>
          </w:tcPr>
          <w:p>
            <w:pPr>
              <w:ind w:left="400"/>
              <w:spacing w:after="0"/>
              <w:rPr>
                <w:sz w:val="20"/>
                <w:szCs w:val="20"/>
                <w:color w:val="auto"/>
              </w:rPr>
            </w:pPr>
            <w:r>
              <w:rPr>
                <w:rFonts w:ascii="Arial" w:cs="Arial" w:eastAsia="Arial" w:hAnsi="Arial"/>
                <w:sz w:val="20"/>
                <w:szCs w:val="20"/>
                <w:color w:val="000E1E"/>
              </w:rPr>
              <w:t>Security Solutions (CSS):</w:t>
            </w:r>
          </w:p>
        </w:tc>
        <w:tc>
          <w:tcPr>
            <w:tcW w:w="200" w:type="dxa"/>
            <w:vAlign w:val="bottom"/>
          </w:tcPr>
          <w:p>
            <w:pPr>
              <w:spacing w:after="0"/>
              <w:rPr>
                <w:sz w:val="21"/>
                <w:szCs w:val="21"/>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w w:val="91"/>
              </w:rPr>
              <w:t>Enterprise Network</w:t>
            </w:r>
          </w:p>
        </w:tc>
        <w:tc>
          <w:tcPr>
            <w:tcW w:w="0" w:type="dxa"/>
            <w:vAlign w:val="bottom"/>
          </w:tcPr>
          <w:p>
            <w:pPr>
              <w:spacing w:after="0"/>
              <w:rPr>
                <w:sz w:val="1"/>
                <w:szCs w:val="1"/>
                <w:color w:val="auto"/>
              </w:rPr>
            </w:pPr>
          </w:p>
        </w:tc>
      </w:tr>
      <w:tr>
        <w:trPr>
          <w:trHeight w:val="30"/>
        </w:trPr>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780" w:type="dxa"/>
            <w:vAlign w:val="bottom"/>
            <w:vMerge w:val="restart"/>
          </w:tcPr>
          <w:p>
            <w:pPr>
              <w:ind w:left="360"/>
              <w:spacing w:after="0"/>
              <w:rPr>
                <w:sz w:val="20"/>
                <w:szCs w:val="20"/>
                <w:color w:val="auto"/>
              </w:rPr>
            </w:pPr>
            <w:r>
              <w:rPr>
                <w:rFonts w:ascii="Arial" w:cs="Arial" w:eastAsia="Arial" w:hAnsi="Arial"/>
                <w:sz w:val="50"/>
                <w:szCs w:val="50"/>
                <w:b w:val="1"/>
                <w:bCs w:val="1"/>
                <w:color w:val="00B14C"/>
              </w:rPr>
              <w:t xml:space="preserve">$9.1 </w:t>
            </w:r>
            <w:r>
              <w:rPr>
                <w:rFonts w:ascii="Arial" w:cs="Arial" w:eastAsia="Arial" w:hAnsi="Arial"/>
                <w:sz w:val="22"/>
                <w:szCs w:val="22"/>
                <w:color w:val="1C252D"/>
              </w:rPr>
              <w:t>billion in sales</w:t>
            </w:r>
          </w:p>
        </w:tc>
        <w:tc>
          <w:tcPr>
            <w:tcW w:w="2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780" w:type="dxa"/>
            <w:vAlign w:val="bottom"/>
            <w:vMerge w:val="continue"/>
          </w:tcPr>
          <w:p>
            <w:pPr>
              <w:spacing w:after="0"/>
              <w:rPr>
                <w:sz w:val="6"/>
                <w:szCs w:val="6"/>
                <w:color w:val="auto"/>
              </w:rPr>
            </w:pPr>
          </w:p>
        </w:tc>
        <w:tc>
          <w:tcPr>
            <w:tcW w:w="200" w:type="dxa"/>
            <w:vAlign w:val="bottom"/>
            <w:shd w:val="clear" w:color="auto" w:fill="88CA8B"/>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200" w:type="dxa"/>
            <w:vAlign w:val="bottom"/>
            <w:shd w:val="clear" w:color="auto" w:fill="88CA8B"/>
          </w:tcPr>
          <w:p>
            <w:pPr>
              <w:spacing w:after="0"/>
              <w:rPr>
                <w:sz w:val="10"/>
                <w:szCs w:val="10"/>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Infrastructure</w:t>
            </w:r>
          </w:p>
        </w:tc>
        <w:tc>
          <w:tcPr>
            <w:tcW w:w="0" w:type="dxa"/>
            <w:vAlign w:val="bottom"/>
          </w:tcPr>
          <w:p>
            <w:pPr>
              <w:spacing w:after="0"/>
              <w:rPr>
                <w:sz w:val="1"/>
                <w:szCs w:val="1"/>
                <w:color w:val="auto"/>
              </w:rPr>
            </w:pPr>
          </w:p>
        </w:tc>
      </w:tr>
      <w:tr>
        <w:trPr>
          <w:trHeight w:val="124"/>
        </w:trPr>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Security</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200" w:type="dxa"/>
            <w:vAlign w:val="bottom"/>
            <w:shd w:val="clear" w:color="auto" w:fill="D6EBD4"/>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95"/>
        </w:trPr>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vMerge w:val="restart"/>
          </w:tcPr>
          <w:p>
            <w:pPr>
              <w:ind w:left="400"/>
              <w:spacing w:after="0"/>
              <w:rPr>
                <w:sz w:val="20"/>
                <w:szCs w:val="20"/>
                <w:color w:val="auto"/>
              </w:rPr>
            </w:pPr>
            <w:r>
              <w:rPr>
                <w:rFonts w:ascii="Arial" w:cs="Arial" w:eastAsia="Arial" w:hAnsi="Arial"/>
                <w:sz w:val="20"/>
                <w:szCs w:val="20"/>
                <w:color w:val="000E1E"/>
              </w:rPr>
              <w:t>Electrical and</w:t>
            </w:r>
          </w:p>
        </w:tc>
        <w:tc>
          <w:tcPr>
            <w:tcW w:w="200" w:type="dxa"/>
            <w:vAlign w:val="bottom"/>
          </w:tcPr>
          <w:p>
            <w:pPr>
              <w:spacing w:after="0"/>
              <w:rPr>
                <w:sz w:val="24"/>
                <w:szCs w:val="24"/>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Construction</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80" w:type="dxa"/>
            <w:vAlign w:val="bottom"/>
            <w:vMerge w:val="continue"/>
          </w:tcPr>
          <w:p>
            <w:pPr>
              <w:spacing w:after="0"/>
              <w:rPr>
                <w:sz w:val="14"/>
                <w:szCs w:val="14"/>
                <w:color w:val="auto"/>
              </w:rPr>
            </w:pPr>
          </w:p>
        </w:tc>
        <w:tc>
          <w:tcPr>
            <w:tcW w:w="200" w:type="dxa"/>
            <w:vAlign w:val="bottom"/>
            <w:tcBorders>
              <w:bottom w:val="single" w:sz="8" w:color="4C7998"/>
            </w:tcBorders>
            <w:shd w:val="clear" w:color="auto" w:fill="4C7998"/>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780" w:type="dxa"/>
            <w:vAlign w:val="bottom"/>
          </w:tcPr>
          <w:p>
            <w:pPr>
              <w:ind w:left="400"/>
              <w:spacing w:after="0" w:line="173" w:lineRule="exact"/>
              <w:rPr>
                <w:sz w:val="20"/>
                <w:szCs w:val="20"/>
                <w:color w:val="auto"/>
              </w:rPr>
            </w:pPr>
            <w:r>
              <w:rPr>
                <w:rFonts w:ascii="Arial" w:cs="Arial" w:eastAsia="Arial" w:hAnsi="Arial"/>
                <w:sz w:val="20"/>
                <w:szCs w:val="20"/>
                <w:color w:val="000E1E"/>
              </w:rPr>
              <w:t>Electronic Solutions (EES):</w:t>
            </w:r>
          </w:p>
        </w:tc>
        <w:tc>
          <w:tcPr>
            <w:tcW w:w="200" w:type="dxa"/>
            <w:vAlign w:val="bottom"/>
          </w:tcPr>
          <w:p>
            <w:pPr>
              <w:spacing w:after="0"/>
              <w:rPr>
                <w:sz w:val="15"/>
                <w:szCs w:val="15"/>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Industrial</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vMerge w:val="restart"/>
          </w:tcPr>
          <w:p>
            <w:pPr>
              <w:ind w:left="360"/>
              <w:spacing w:after="0"/>
              <w:rPr>
                <w:sz w:val="20"/>
                <w:szCs w:val="20"/>
                <w:color w:val="auto"/>
              </w:rPr>
            </w:pPr>
            <w:r>
              <w:rPr>
                <w:rFonts w:ascii="Arial" w:cs="Arial" w:eastAsia="Arial" w:hAnsi="Arial"/>
                <w:sz w:val="50"/>
                <w:szCs w:val="50"/>
                <w:b w:val="1"/>
                <w:bCs w:val="1"/>
                <w:color w:val="4C7998"/>
              </w:rPr>
              <w:t xml:space="preserve">$8.9 </w:t>
            </w:r>
            <w:r>
              <w:rPr>
                <w:rFonts w:ascii="Arial" w:cs="Arial" w:eastAsia="Arial" w:hAnsi="Arial"/>
                <w:sz w:val="22"/>
                <w:szCs w:val="22"/>
                <w:color w:val="1C252D"/>
              </w:rPr>
              <w:t>billion in sales</w:t>
            </w:r>
          </w:p>
        </w:tc>
        <w:tc>
          <w:tcPr>
            <w:tcW w:w="200" w:type="dxa"/>
            <w:vAlign w:val="bottom"/>
            <w:shd w:val="clear" w:color="auto" w:fill="8AA2B9"/>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OEM</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200" w:type="dxa"/>
            <w:vAlign w:val="bottom"/>
            <w:shd w:val="clear" w:color="auto" w:fill="D0D7E0"/>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560" w:type="dxa"/>
            <w:vAlign w:val="bottom"/>
            <w:vMerge w:val="restart"/>
          </w:tcPr>
          <w:p>
            <w:pPr>
              <w:spacing w:after="0"/>
              <w:rPr>
                <w:sz w:val="20"/>
                <w:szCs w:val="20"/>
                <w:color w:val="auto"/>
              </w:rPr>
            </w:pPr>
            <w:r>
              <w:rPr>
                <w:rFonts w:ascii="Arial" w:cs="Arial" w:eastAsia="Arial" w:hAnsi="Arial"/>
                <w:sz w:val="20"/>
                <w:szCs w:val="20"/>
                <w:b w:val="1"/>
                <w:bCs w:val="1"/>
                <w:color w:val="231F20"/>
              </w:rPr>
              <w:t>CSS</w:t>
            </w:r>
          </w:p>
        </w:tc>
        <w:tc>
          <w:tcPr>
            <w:tcW w:w="940" w:type="dxa"/>
            <w:vAlign w:val="bottom"/>
            <w:vMerge w:val="restart"/>
          </w:tcPr>
          <w:p>
            <w:pPr>
              <w:jc w:val="right"/>
              <w:ind w:right="260"/>
              <w:spacing w:after="0"/>
              <w:rPr>
                <w:sz w:val="20"/>
                <w:szCs w:val="20"/>
                <w:color w:val="auto"/>
              </w:rPr>
            </w:pPr>
            <w:r>
              <w:rPr>
                <w:rFonts w:ascii="Arial" w:cs="Arial" w:eastAsia="Arial" w:hAnsi="Arial"/>
                <w:sz w:val="20"/>
                <w:szCs w:val="20"/>
                <w:b w:val="1"/>
                <w:bCs w:val="1"/>
                <w:color w:val="231F20"/>
              </w:rPr>
              <w:t>39%</w:t>
            </w:r>
          </w:p>
        </w:tc>
        <w:tc>
          <w:tcPr>
            <w:tcW w:w="4780" w:type="dxa"/>
            <w:vAlign w:val="bottom"/>
          </w:tcPr>
          <w:p>
            <w:pPr>
              <w:ind w:left="380"/>
              <w:spacing w:after="0"/>
              <w:rPr>
                <w:sz w:val="20"/>
                <w:szCs w:val="20"/>
                <w:color w:val="auto"/>
              </w:rPr>
            </w:pPr>
            <w:r>
              <w:rPr>
                <w:rFonts w:ascii="Arial" w:cs="Arial" w:eastAsia="Arial" w:hAnsi="Arial"/>
                <w:sz w:val="20"/>
                <w:szCs w:val="20"/>
                <w:color w:val="000E1E"/>
              </w:rPr>
              <w:t>Utility and Broadband</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780" w:type="dxa"/>
            <w:vAlign w:val="bottom"/>
            <w:vMerge w:val="restart"/>
          </w:tcPr>
          <w:p>
            <w:pPr>
              <w:ind w:left="380"/>
              <w:spacing w:after="0"/>
              <w:rPr>
                <w:sz w:val="20"/>
                <w:szCs w:val="20"/>
                <w:color w:val="auto"/>
              </w:rPr>
            </w:pPr>
            <w:r>
              <w:rPr>
                <w:rFonts w:ascii="Arial" w:cs="Arial" w:eastAsia="Arial" w:hAnsi="Arial"/>
                <w:sz w:val="20"/>
                <w:szCs w:val="20"/>
                <w:color w:val="000E1E"/>
              </w:rPr>
              <w:t>Solutions (UBS):</w:t>
            </w:r>
          </w:p>
        </w:tc>
        <w:tc>
          <w:tcPr>
            <w:tcW w:w="200" w:type="dxa"/>
            <w:vAlign w:val="bottom"/>
            <w:tcBorders>
              <w:bottom w:val="single" w:sz="8" w:color="1C242C"/>
            </w:tcBorders>
          </w:tcPr>
          <w:p>
            <w:pPr>
              <w:spacing w:after="0"/>
              <w:rPr>
                <w:sz w:val="7"/>
                <w:szCs w:val="7"/>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Utility</w:t>
            </w: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780" w:type="dxa"/>
            <w:vAlign w:val="bottom"/>
            <w:vMerge w:val="continue"/>
          </w:tcPr>
          <w:p>
            <w:pPr>
              <w:spacing w:after="0"/>
              <w:rPr>
                <w:sz w:val="11"/>
                <w:szCs w:val="11"/>
                <w:color w:val="auto"/>
              </w:rPr>
            </w:pPr>
          </w:p>
        </w:tc>
        <w:tc>
          <w:tcPr>
            <w:tcW w:w="200" w:type="dxa"/>
            <w:vAlign w:val="bottom"/>
            <w:shd w:val="clear" w:color="auto" w:fill="1C242C"/>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60" w:type="dxa"/>
            <w:vAlign w:val="bottom"/>
            <w:vMerge w:val="restart"/>
          </w:tcPr>
          <w:p>
            <w:pPr>
              <w:spacing w:after="0"/>
              <w:rPr>
                <w:sz w:val="20"/>
                <w:szCs w:val="20"/>
                <w:color w:val="auto"/>
              </w:rPr>
            </w:pPr>
            <w:r>
              <w:rPr>
                <w:rFonts w:ascii="Arial" w:cs="Arial" w:eastAsia="Arial" w:hAnsi="Arial"/>
                <w:sz w:val="20"/>
                <w:szCs w:val="20"/>
                <w:b w:val="1"/>
                <w:bCs w:val="1"/>
                <w:color w:val="231F20"/>
              </w:rPr>
              <w:t>EES</w:t>
            </w:r>
          </w:p>
        </w:tc>
        <w:tc>
          <w:tcPr>
            <w:tcW w:w="940" w:type="dxa"/>
            <w:vAlign w:val="bottom"/>
            <w:vMerge w:val="restart"/>
          </w:tcPr>
          <w:p>
            <w:pPr>
              <w:jc w:val="right"/>
              <w:ind w:right="260"/>
              <w:spacing w:after="0"/>
              <w:rPr>
                <w:sz w:val="20"/>
                <w:szCs w:val="20"/>
                <w:color w:val="auto"/>
              </w:rPr>
            </w:pPr>
            <w:r>
              <w:rPr>
                <w:rFonts w:ascii="Arial" w:cs="Arial" w:eastAsia="Arial" w:hAnsi="Arial"/>
                <w:sz w:val="20"/>
                <w:szCs w:val="20"/>
                <w:b w:val="1"/>
                <w:bCs w:val="1"/>
                <w:color w:val="231F20"/>
              </w:rPr>
              <w:t>38%</w:t>
            </w:r>
          </w:p>
        </w:tc>
        <w:tc>
          <w:tcPr>
            <w:tcW w:w="4780" w:type="dxa"/>
            <w:vAlign w:val="bottom"/>
            <w:vMerge w:val="restart"/>
          </w:tcPr>
          <w:p>
            <w:pPr>
              <w:ind w:left="360"/>
              <w:spacing w:after="0"/>
              <w:rPr>
                <w:sz w:val="20"/>
                <w:szCs w:val="20"/>
                <w:color w:val="auto"/>
              </w:rPr>
            </w:pPr>
            <w:r>
              <w:rPr>
                <w:rFonts w:ascii="Arial" w:cs="Arial" w:eastAsia="Arial" w:hAnsi="Arial"/>
                <w:sz w:val="50"/>
                <w:szCs w:val="50"/>
                <w:b w:val="1"/>
                <w:bCs w:val="1"/>
                <w:color w:val="000E1E"/>
              </w:rPr>
              <w:t xml:space="preserve">$5.5 </w:t>
            </w:r>
            <w:r>
              <w:rPr>
                <w:rFonts w:ascii="Arial" w:cs="Arial" w:eastAsia="Arial" w:hAnsi="Arial"/>
                <w:sz w:val="22"/>
                <w:szCs w:val="22"/>
                <w:color w:val="1C252D"/>
              </w:rPr>
              <w:t>billion in sales</w:t>
            </w:r>
          </w:p>
        </w:tc>
        <w:tc>
          <w:tcPr>
            <w:tcW w:w="200" w:type="dxa"/>
            <w:vAlign w:val="bottom"/>
          </w:tcPr>
          <w:p>
            <w:pPr>
              <w:spacing w:after="0"/>
              <w:rPr>
                <w:sz w:val="14"/>
                <w:szCs w:val="14"/>
                <w:color w:val="auto"/>
              </w:rPr>
            </w:pPr>
          </w:p>
        </w:tc>
        <w:tc>
          <w:tcPr>
            <w:tcW w:w="1860" w:type="dxa"/>
            <w:vAlign w:val="bottom"/>
            <w:vMerge w:val="restart"/>
          </w:tcPr>
          <w:p>
            <w:pPr>
              <w:ind w:left="160"/>
              <w:spacing w:after="0"/>
              <w:rPr>
                <w:sz w:val="20"/>
                <w:szCs w:val="20"/>
                <w:color w:val="auto"/>
              </w:rPr>
            </w:pPr>
            <w:r>
              <w:rPr>
                <w:rFonts w:ascii="Arial" w:cs="Arial" w:eastAsia="Arial" w:hAnsi="Arial"/>
                <w:sz w:val="20"/>
                <w:szCs w:val="20"/>
                <w:b w:val="1"/>
                <w:bCs w:val="1"/>
                <w:color w:val="231F20"/>
              </w:rPr>
              <w:t>Broadband</w:t>
            </w:r>
          </w:p>
        </w:tc>
        <w:tc>
          <w:tcPr>
            <w:tcW w:w="0" w:type="dxa"/>
            <w:vAlign w:val="bottom"/>
          </w:tcPr>
          <w:p>
            <w:pPr>
              <w:spacing w:after="0"/>
              <w:rPr>
                <w:sz w:val="1"/>
                <w:szCs w:val="1"/>
                <w:color w:val="auto"/>
              </w:rPr>
            </w:pPr>
          </w:p>
        </w:tc>
      </w:tr>
      <w:tr>
        <w:trPr>
          <w:trHeight w:val="61"/>
        </w:trPr>
        <w:tc>
          <w:tcPr>
            <w:tcW w:w="5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780" w:type="dxa"/>
            <w:vAlign w:val="bottom"/>
            <w:vMerge w:val="continue"/>
          </w:tcPr>
          <w:p>
            <w:pPr>
              <w:spacing w:after="0"/>
              <w:rPr>
                <w:sz w:val="5"/>
                <w:szCs w:val="5"/>
                <w:color w:val="auto"/>
              </w:rPr>
            </w:pPr>
          </w:p>
        </w:tc>
        <w:tc>
          <w:tcPr>
            <w:tcW w:w="200" w:type="dxa"/>
            <w:vAlign w:val="bottom"/>
            <w:shd w:val="clear" w:color="auto" w:fill="616977"/>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200" w:type="dxa"/>
            <w:vAlign w:val="bottom"/>
            <w:shd w:val="clear" w:color="auto" w:fill="616977"/>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line="210" w:lineRule="exact"/>
              <w:rPr>
                <w:sz w:val="20"/>
                <w:szCs w:val="20"/>
                <w:color w:val="auto"/>
              </w:rPr>
            </w:pPr>
            <w:r>
              <w:rPr>
                <w:rFonts w:ascii="Arial" w:cs="Arial" w:eastAsia="Arial" w:hAnsi="Arial"/>
                <w:sz w:val="20"/>
                <w:szCs w:val="20"/>
                <w:b w:val="1"/>
                <w:bCs w:val="1"/>
                <w:color w:val="231F20"/>
              </w:rPr>
              <w:t>UBS</w:t>
            </w:r>
          </w:p>
        </w:tc>
        <w:tc>
          <w:tcPr>
            <w:tcW w:w="940" w:type="dxa"/>
            <w:vAlign w:val="bottom"/>
          </w:tcPr>
          <w:p>
            <w:pPr>
              <w:jc w:val="right"/>
              <w:ind w:right="260"/>
              <w:spacing w:after="0" w:line="210" w:lineRule="exact"/>
              <w:rPr>
                <w:sz w:val="20"/>
                <w:szCs w:val="20"/>
                <w:color w:val="auto"/>
              </w:rPr>
            </w:pPr>
            <w:r>
              <w:rPr>
                <w:rFonts w:ascii="Arial" w:cs="Arial" w:eastAsia="Arial" w:hAnsi="Arial"/>
                <w:sz w:val="20"/>
                <w:szCs w:val="20"/>
                <w:b w:val="1"/>
                <w:bCs w:val="1"/>
                <w:color w:val="231F20"/>
              </w:rPr>
              <w:t>23%</w:t>
            </w:r>
          </w:p>
        </w:tc>
        <w:tc>
          <w:tcPr>
            <w:tcW w:w="4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80" w:type="dxa"/>
        <w:tblCellMar>
          <w:top w:w="0" w:type="dxa"/>
          <w:left w:w="0" w:type="dxa"/>
          <w:bottom w:w="0" w:type="dxa"/>
          <w:right w:w="0" w:type="dxa"/>
        </w:tblCellMar>
      </w:tblPr>
      <w:tr>
        <w:trPr>
          <w:trHeight w:val="279"/>
        </w:trPr>
        <w:tc>
          <w:tcPr>
            <w:tcW w:w="3320" w:type="dxa"/>
            <w:vAlign w:val="bottom"/>
          </w:tcPr>
          <w:p>
            <w:pPr>
              <w:spacing w:after="0"/>
              <w:rPr>
                <w:sz w:val="20"/>
                <w:szCs w:val="20"/>
                <w:color w:val="auto"/>
              </w:rPr>
            </w:pPr>
            <w:r>
              <w:rPr>
                <w:rFonts w:ascii="Arial" w:cs="Arial" w:eastAsia="Arial" w:hAnsi="Arial"/>
                <w:sz w:val="22"/>
                <w:szCs w:val="22"/>
                <w:b w:val="1"/>
                <w:bCs w:val="1"/>
                <w:color w:val="4C7998"/>
              </w:rPr>
              <w:t>FINANCIAL HIGHLIGHTS</w:t>
            </w:r>
          </w:p>
        </w:tc>
        <w:tc>
          <w:tcPr>
            <w:tcW w:w="1720" w:type="dxa"/>
            <w:vAlign w:val="bottom"/>
          </w:tcPr>
          <w:p>
            <w:pPr>
              <w:jc w:val="right"/>
              <w:ind w:right="77"/>
              <w:spacing w:after="0"/>
              <w:rPr>
                <w:sz w:val="20"/>
                <w:szCs w:val="20"/>
                <w:color w:val="auto"/>
              </w:rPr>
            </w:pPr>
            <w:r>
              <w:rPr>
                <w:rFonts w:ascii="Arial" w:cs="Arial" w:eastAsia="Arial" w:hAnsi="Arial"/>
                <w:sz w:val="24"/>
                <w:szCs w:val="24"/>
                <w:b w:val="1"/>
                <w:bCs w:val="1"/>
                <w:color w:val="4C7998"/>
              </w:rPr>
              <w:t>2021</w:t>
            </w:r>
          </w:p>
        </w:tc>
        <w:tc>
          <w:tcPr>
            <w:tcW w:w="1020" w:type="dxa"/>
            <w:vAlign w:val="bottom"/>
          </w:tcPr>
          <w:p>
            <w:pPr>
              <w:jc w:val="right"/>
              <w:ind w:right="77"/>
              <w:spacing w:after="0"/>
              <w:rPr>
                <w:sz w:val="20"/>
                <w:szCs w:val="20"/>
                <w:color w:val="auto"/>
              </w:rPr>
            </w:pPr>
            <w:r>
              <w:rPr>
                <w:rFonts w:ascii="Arial" w:cs="Arial" w:eastAsia="Arial" w:hAnsi="Arial"/>
                <w:sz w:val="24"/>
                <w:szCs w:val="24"/>
                <w:b w:val="1"/>
                <w:bCs w:val="1"/>
                <w:color w:val="4C7998"/>
              </w:rPr>
              <w:t>2022</w:t>
            </w:r>
          </w:p>
        </w:tc>
        <w:tc>
          <w:tcPr>
            <w:tcW w:w="1040" w:type="dxa"/>
            <w:vAlign w:val="bottom"/>
          </w:tcPr>
          <w:p>
            <w:pPr>
              <w:jc w:val="right"/>
              <w:ind w:right="77"/>
              <w:spacing w:after="0"/>
              <w:rPr>
                <w:sz w:val="20"/>
                <w:szCs w:val="20"/>
                <w:color w:val="auto"/>
              </w:rPr>
            </w:pPr>
            <w:r>
              <w:rPr>
                <w:rFonts w:ascii="Arial" w:cs="Arial" w:eastAsia="Arial" w:hAnsi="Arial"/>
                <w:sz w:val="24"/>
                <w:szCs w:val="24"/>
                <w:b w:val="1"/>
                <w:bCs w:val="1"/>
                <w:color w:val="4C7998"/>
              </w:rPr>
              <w:t>2023</w:t>
            </w:r>
          </w:p>
        </w:tc>
        <w:tc>
          <w:tcPr>
            <w:tcW w:w="1040" w:type="dxa"/>
            <w:vAlign w:val="bottom"/>
          </w:tcPr>
          <w:p>
            <w:pPr>
              <w:jc w:val="right"/>
              <w:ind w:right="77"/>
              <w:spacing w:after="0"/>
              <w:rPr>
                <w:sz w:val="20"/>
                <w:szCs w:val="20"/>
                <w:color w:val="auto"/>
              </w:rPr>
            </w:pPr>
            <w:r>
              <w:rPr>
                <w:rFonts w:ascii="Arial" w:cs="Arial" w:eastAsia="Arial" w:hAnsi="Arial"/>
                <w:sz w:val="24"/>
                <w:szCs w:val="24"/>
                <w:b w:val="1"/>
                <w:bCs w:val="1"/>
                <w:color w:val="4C7998"/>
              </w:rPr>
              <w:t>2024</w:t>
            </w:r>
          </w:p>
        </w:tc>
        <w:tc>
          <w:tcPr>
            <w:tcW w:w="860" w:type="dxa"/>
            <w:vAlign w:val="bottom"/>
          </w:tcPr>
          <w:p>
            <w:pPr>
              <w:jc w:val="right"/>
              <w:spacing w:after="0"/>
              <w:rPr>
                <w:sz w:val="20"/>
                <w:szCs w:val="20"/>
                <w:color w:val="auto"/>
              </w:rPr>
            </w:pPr>
            <w:r>
              <w:rPr>
                <w:rFonts w:ascii="Arial" w:cs="Arial" w:eastAsia="Arial" w:hAnsi="Arial"/>
                <w:sz w:val="24"/>
                <w:szCs w:val="24"/>
                <w:b w:val="1"/>
                <w:bCs w:val="1"/>
                <w:color w:val="4C7998"/>
              </w:rPr>
              <w:t>2025</w:t>
            </w:r>
          </w:p>
        </w:tc>
      </w:tr>
      <w:tr>
        <w:trPr>
          <w:trHeight w:val="387"/>
        </w:trPr>
        <w:tc>
          <w:tcPr>
            <w:tcW w:w="3320" w:type="dxa"/>
            <w:vAlign w:val="bottom"/>
          </w:tcPr>
          <w:p>
            <w:pPr>
              <w:spacing w:after="0"/>
              <w:rPr>
                <w:sz w:val="20"/>
                <w:szCs w:val="20"/>
                <w:color w:val="auto"/>
              </w:rPr>
            </w:pPr>
            <w:r>
              <w:rPr>
                <w:rFonts w:ascii="Arial" w:cs="Arial" w:eastAsia="Arial" w:hAnsi="Arial"/>
                <w:sz w:val="20"/>
                <w:szCs w:val="20"/>
                <w:b w:val="1"/>
                <w:bCs w:val="1"/>
                <w:color w:val="231F20"/>
              </w:rPr>
              <w:t>Net sales</w:t>
            </w:r>
          </w:p>
        </w:tc>
        <w:tc>
          <w:tcPr>
            <w:tcW w:w="1720" w:type="dxa"/>
            <w:vAlign w:val="bottom"/>
          </w:tcPr>
          <w:p>
            <w:pPr>
              <w:jc w:val="right"/>
              <w:ind w:right="97"/>
              <w:spacing w:after="0"/>
              <w:rPr>
                <w:sz w:val="20"/>
                <w:szCs w:val="20"/>
                <w:color w:val="auto"/>
              </w:rPr>
            </w:pPr>
            <w:r>
              <w:rPr>
                <w:rFonts w:ascii="Arial" w:cs="Arial" w:eastAsia="Arial" w:hAnsi="Arial"/>
                <w:sz w:val="20"/>
                <w:szCs w:val="20"/>
                <w:b w:val="1"/>
                <w:bCs w:val="1"/>
                <w:color w:val="231F20"/>
              </w:rPr>
              <w:t>$18,218</w:t>
            </w:r>
          </w:p>
        </w:tc>
        <w:tc>
          <w:tcPr>
            <w:tcW w:w="1020" w:type="dxa"/>
            <w:vAlign w:val="bottom"/>
          </w:tcPr>
          <w:p>
            <w:pPr>
              <w:jc w:val="right"/>
              <w:ind w:right="77"/>
              <w:spacing w:after="0"/>
              <w:rPr>
                <w:sz w:val="20"/>
                <w:szCs w:val="20"/>
                <w:color w:val="auto"/>
              </w:rPr>
            </w:pPr>
            <w:r>
              <w:rPr>
                <w:rFonts w:ascii="Arial" w:cs="Arial" w:eastAsia="Arial" w:hAnsi="Arial"/>
                <w:sz w:val="20"/>
                <w:szCs w:val="20"/>
                <w:b w:val="1"/>
                <w:bCs w:val="1"/>
                <w:color w:val="231F20"/>
              </w:rPr>
              <w:t>$21,420</w:t>
            </w:r>
          </w:p>
        </w:tc>
        <w:tc>
          <w:tcPr>
            <w:tcW w:w="1040" w:type="dxa"/>
            <w:vAlign w:val="bottom"/>
          </w:tcPr>
          <w:p>
            <w:pPr>
              <w:jc w:val="right"/>
              <w:ind w:right="97"/>
              <w:spacing w:after="0"/>
              <w:rPr>
                <w:sz w:val="20"/>
                <w:szCs w:val="20"/>
                <w:color w:val="auto"/>
              </w:rPr>
            </w:pPr>
            <w:r>
              <w:rPr>
                <w:rFonts w:ascii="Arial" w:cs="Arial" w:eastAsia="Arial" w:hAnsi="Arial"/>
                <w:sz w:val="20"/>
                <w:szCs w:val="20"/>
                <w:b w:val="1"/>
                <w:bCs w:val="1"/>
                <w:color w:val="231F20"/>
              </w:rPr>
              <w:t>$22,385</w:t>
            </w:r>
          </w:p>
        </w:tc>
        <w:tc>
          <w:tcPr>
            <w:tcW w:w="1040" w:type="dxa"/>
            <w:vAlign w:val="bottom"/>
          </w:tcPr>
          <w:p>
            <w:pPr>
              <w:jc w:val="right"/>
              <w:ind w:right="77"/>
              <w:spacing w:after="0"/>
              <w:rPr>
                <w:sz w:val="20"/>
                <w:szCs w:val="20"/>
                <w:color w:val="auto"/>
              </w:rPr>
            </w:pPr>
            <w:r>
              <w:rPr>
                <w:rFonts w:ascii="Arial" w:cs="Arial" w:eastAsia="Arial" w:hAnsi="Arial"/>
                <w:sz w:val="20"/>
                <w:szCs w:val="20"/>
                <w:b w:val="1"/>
                <w:bCs w:val="1"/>
                <w:color w:val="231F20"/>
              </w:rPr>
              <w:t>$21,819</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$23,511</w:t>
            </w:r>
          </w:p>
        </w:tc>
      </w:tr>
      <w:tr>
        <w:trPr>
          <w:trHeight w:val="389"/>
        </w:trPr>
        <w:tc>
          <w:tcPr>
            <w:tcW w:w="3320" w:type="dxa"/>
            <w:vAlign w:val="bottom"/>
          </w:tcPr>
          <w:p>
            <w:pPr>
              <w:ind w:left="20"/>
              <w:spacing w:after="0"/>
              <w:rPr>
                <w:sz w:val="20"/>
                <w:szCs w:val="20"/>
                <w:color w:val="auto"/>
              </w:rPr>
            </w:pPr>
            <w:r>
              <w:rPr>
                <w:rFonts w:ascii="Arial" w:cs="Arial" w:eastAsia="Arial" w:hAnsi="Arial"/>
                <w:sz w:val="20"/>
                <w:szCs w:val="20"/>
                <w:b w:val="1"/>
                <w:bCs w:val="1"/>
                <w:color w:val="231F20"/>
              </w:rPr>
              <w:t>Adjusted EBITDA</w:t>
            </w:r>
            <w:r>
              <w:rPr>
                <w:rFonts w:ascii="Arial" w:cs="Arial" w:eastAsia="Arial" w:hAnsi="Arial"/>
                <w:sz w:val="23"/>
                <w:szCs w:val="23"/>
                <w:b w:val="1"/>
                <w:bCs w:val="1"/>
                <w:color w:val="231F20"/>
                <w:vertAlign w:val="superscript"/>
              </w:rPr>
              <w:t>1,2</w:t>
            </w:r>
          </w:p>
        </w:tc>
        <w:tc>
          <w:tcPr>
            <w:tcW w:w="1720" w:type="dxa"/>
            <w:vAlign w:val="bottom"/>
          </w:tcPr>
          <w:p>
            <w:pPr>
              <w:jc w:val="right"/>
              <w:ind w:right="97"/>
              <w:spacing w:after="0"/>
              <w:rPr>
                <w:sz w:val="20"/>
                <w:szCs w:val="20"/>
                <w:color w:val="auto"/>
              </w:rPr>
            </w:pPr>
            <w:r>
              <w:rPr>
                <w:rFonts w:ascii="Arial" w:cs="Arial" w:eastAsia="Arial" w:hAnsi="Arial"/>
                <w:sz w:val="20"/>
                <w:szCs w:val="20"/>
                <w:b w:val="1"/>
                <w:bCs w:val="1"/>
                <w:color w:val="231F20"/>
              </w:rPr>
              <w:t>1,176</w:t>
            </w:r>
          </w:p>
        </w:tc>
        <w:tc>
          <w:tcPr>
            <w:tcW w:w="1020" w:type="dxa"/>
            <w:vAlign w:val="bottom"/>
          </w:tcPr>
          <w:p>
            <w:pPr>
              <w:jc w:val="right"/>
              <w:ind w:right="77"/>
              <w:spacing w:after="0"/>
              <w:rPr>
                <w:sz w:val="20"/>
                <w:szCs w:val="20"/>
                <w:color w:val="auto"/>
              </w:rPr>
            </w:pPr>
            <w:r>
              <w:rPr>
                <w:rFonts w:ascii="Arial" w:cs="Arial" w:eastAsia="Arial" w:hAnsi="Arial"/>
                <w:sz w:val="20"/>
                <w:szCs w:val="20"/>
                <w:b w:val="1"/>
                <w:bCs w:val="1"/>
                <w:color w:val="231F20"/>
              </w:rPr>
              <w:t>1,726</w:t>
            </w:r>
          </w:p>
        </w:tc>
        <w:tc>
          <w:tcPr>
            <w:tcW w:w="1040" w:type="dxa"/>
            <w:vAlign w:val="bottom"/>
          </w:tcPr>
          <w:p>
            <w:pPr>
              <w:jc w:val="right"/>
              <w:ind w:right="97"/>
              <w:spacing w:after="0"/>
              <w:rPr>
                <w:sz w:val="20"/>
                <w:szCs w:val="20"/>
                <w:color w:val="auto"/>
              </w:rPr>
            </w:pPr>
            <w:r>
              <w:rPr>
                <w:rFonts w:ascii="Arial" w:cs="Arial" w:eastAsia="Arial" w:hAnsi="Arial"/>
                <w:sz w:val="20"/>
                <w:szCs w:val="20"/>
                <w:b w:val="1"/>
                <w:bCs w:val="1"/>
                <w:color w:val="231F20"/>
              </w:rPr>
              <w:t>1,705</w:t>
            </w:r>
          </w:p>
        </w:tc>
        <w:tc>
          <w:tcPr>
            <w:tcW w:w="1040" w:type="dxa"/>
            <w:vAlign w:val="bottom"/>
          </w:tcPr>
          <w:p>
            <w:pPr>
              <w:jc w:val="right"/>
              <w:ind w:right="77"/>
              <w:spacing w:after="0"/>
              <w:rPr>
                <w:sz w:val="20"/>
                <w:szCs w:val="20"/>
                <w:color w:val="auto"/>
              </w:rPr>
            </w:pPr>
            <w:r>
              <w:rPr>
                <w:rFonts w:ascii="Arial" w:cs="Arial" w:eastAsia="Arial" w:hAnsi="Arial"/>
                <w:sz w:val="20"/>
                <w:szCs w:val="20"/>
                <w:b w:val="1"/>
                <w:bCs w:val="1"/>
                <w:color w:val="231F20"/>
              </w:rPr>
              <w:t>1,509</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1,537</w:t>
            </w:r>
          </w:p>
        </w:tc>
      </w:tr>
      <w:tr>
        <w:trPr>
          <w:trHeight w:val="350"/>
        </w:trPr>
        <w:tc>
          <w:tcPr>
            <w:tcW w:w="3320" w:type="dxa"/>
            <w:vAlign w:val="bottom"/>
          </w:tcPr>
          <w:p>
            <w:pPr>
              <w:ind w:left="20"/>
              <w:spacing w:after="0"/>
              <w:rPr>
                <w:sz w:val="20"/>
                <w:szCs w:val="20"/>
                <w:color w:val="auto"/>
              </w:rPr>
            </w:pPr>
            <w:r>
              <w:rPr>
                <w:rFonts w:ascii="Arial" w:cs="Arial" w:eastAsia="Arial" w:hAnsi="Arial"/>
                <w:sz w:val="20"/>
                <w:szCs w:val="20"/>
                <w:b w:val="1"/>
                <w:bCs w:val="1"/>
                <w:color w:val="231F20"/>
              </w:rPr>
              <w:t>Adjusted EBITDA margin %</w:t>
            </w:r>
            <w:r>
              <w:rPr>
                <w:rFonts w:ascii="Arial" w:cs="Arial" w:eastAsia="Arial" w:hAnsi="Arial"/>
                <w:sz w:val="23"/>
                <w:szCs w:val="23"/>
                <w:b w:val="1"/>
                <w:bCs w:val="1"/>
                <w:color w:val="231F20"/>
                <w:vertAlign w:val="superscript"/>
              </w:rPr>
              <w:t>1,2</w:t>
            </w:r>
          </w:p>
        </w:tc>
        <w:tc>
          <w:tcPr>
            <w:tcW w:w="1720" w:type="dxa"/>
            <w:vAlign w:val="bottom"/>
          </w:tcPr>
          <w:p>
            <w:pPr>
              <w:jc w:val="right"/>
              <w:ind w:right="77"/>
              <w:spacing w:after="0"/>
              <w:rPr>
                <w:sz w:val="20"/>
                <w:szCs w:val="20"/>
                <w:color w:val="auto"/>
              </w:rPr>
            </w:pPr>
            <w:r>
              <w:rPr>
                <w:rFonts w:ascii="Arial" w:cs="Arial" w:eastAsia="Arial" w:hAnsi="Arial"/>
                <w:sz w:val="20"/>
                <w:szCs w:val="20"/>
                <w:b w:val="1"/>
                <w:bCs w:val="1"/>
                <w:color w:val="231F20"/>
              </w:rPr>
              <w:t>6.5%</w:t>
            </w:r>
          </w:p>
        </w:tc>
        <w:tc>
          <w:tcPr>
            <w:tcW w:w="1020" w:type="dxa"/>
            <w:vAlign w:val="bottom"/>
          </w:tcPr>
          <w:p>
            <w:pPr>
              <w:jc w:val="right"/>
              <w:ind w:right="77"/>
              <w:spacing w:after="0"/>
              <w:rPr>
                <w:sz w:val="20"/>
                <w:szCs w:val="20"/>
                <w:color w:val="auto"/>
              </w:rPr>
            </w:pPr>
            <w:r>
              <w:rPr>
                <w:rFonts w:ascii="Arial" w:cs="Arial" w:eastAsia="Arial" w:hAnsi="Arial"/>
                <w:sz w:val="20"/>
                <w:szCs w:val="20"/>
                <w:b w:val="1"/>
                <w:bCs w:val="1"/>
                <w:color w:val="231F20"/>
              </w:rPr>
              <w:t>8.1%</w:t>
            </w:r>
          </w:p>
        </w:tc>
        <w:tc>
          <w:tcPr>
            <w:tcW w:w="1040" w:type="dxa"/>
            <w:vAlign w:val="bottom"/>
          </w:tcPr>
          <w:p>
            <w:pPr>
              <w:jc w:val="right"/>
              <w:ind w:right="97"/>
              <w:spacing w:after="0"/>
              <w:rPr>
                <w:sz w:val="20"/>
                <w:szCs w:val="20"/>
                <w:color w:val="auto"/>
              </w:rPr>
            </w:pPr>
            <w:r>
              <w:rPr>
                <w:rFonts w:ascii="Arial" w:cs="Arial" w:eastAsia="Arial" w:hAnsi="Arial"/>
                <w:sz w:val="20"/>
                <w:szCs w:val="20"/>
                <w:b w:val="1"/>
                <w:bCs w:val="1"/>
                <w:color w:val="231F20"/>
              </w:rPr>
              <w:t>7.6%</w:t>
            </w:r>
          </w:p>
        </w:tc>
        <w:tc>
          <w:tcPr>
            <w:tcW w:w="1040" w:type="dxa"/>
            <w:vAlign w:val="bottom"/>
          </w:tcPr>
          <w:p>
            <w:pPr>
              <w:jc w:val="right"/>
              <w:ind w:right="77"/>
              <w:spacing w:after="0"/>
              <w:rPr>
                <w:sz w:val="20"/>
                <w:szCs w:val="20"/>
                <w:color w:val="auto"/>
              </w:rPr>
            </w:pPr>
            <w:r>
              <w:rPr>
                <w:rFonts w:ascii="Arial" w:cs="Arial" w:eastAsia="Arial" w:hAnsi="Arial"/>
                <w:sz w:val="20"/>
                <w:szCs w:val="20"/>
                <w:b w:val="1"/>
                <w:bCs w:val="1"/>
                <w:color w:val="231F20"/>
              </w:rPr>
              <w:t>6.9%</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6.5%</w:t>
            </w:r>
          </w:p>
        </w:tc>
      </w:tr>
      <w:tr>
        <w:trPr>
          <w:trHeight w:val="350"/>
        </w:trPr>
        <w:tc>
          <w:tcPr>
            <w:tcW w:w="3320" w:type="dxa"/>
            <w:vAlign w:val="bottom"/>
          </w:tcPr>
          <w:p>
            <w:pPr>
              <w:ind w:left="20"/>
              <w:spacing w:after="0"/>
              <w:rPr>
                <w:sz w:val="20"/>
                <w:szCs w:val="20"/>
                <w:color w:val="auto"/>
              </w:rPr>
            </w:pPr>
            <w:r>
              <w:rPr>
                <w:rFonts w:ascii="Arial" w:cs="Arial" w:eastAsia="Arial" w:hAnsi="Arial"/>
                <w:sz w:val="20"/>
                <w:szCs w:val="20"/>
                <w:b w:val="1"/>
                <w:bCs w:val="1"/>
                <w:color w:val="231F20"/>
              </w:rPr>
              <w:t>Adjusted diluted EPS</w:t>
            </w:r>
            <w:r>
              <w:rPr>
                <w:rFonts w:ascii="Arial" w:cs="Arial" w:eastAsia="Arial" w:hAnsi="Arial"/>
                <w:sz w:val="23"/>
                <w:szCs w:val="23"/>
                <w:b w:val="1"/>
                <w:bCs w:val="1"/>
                <w:color w:val="231F20"/>
                <w:vertAlign w:val="superscript"/>
              </w:rPr>
              <w:t>2</w:t>
            </w:r>
          </w:p>
        </w:tc>
        <w:tc>
          <w:tcPr>
            <w:tcW w:w="1720" w:type="dxa"/>
            <w:vAlign w:val="bottom"/>
          </w:tcPr>
          <w:p>
            <w:pPr>
              <w:jc w:val="right"/>
              <w:ind w:right="97"/>
              <w:spacing w:after="0"/>
              <w:rPr>
                <w:sz w:val="20"/>
                <w:szCs w:val="20"/>
                <w:color w:val="auto"/>
              </w:rPr>
            </w:pPr>
            <w:r>
              <w:rPr>
                <w:rFonts w:ascii="Arial" w:cs="Arial" w:eastAsia="Arial" w:hAnsi="Arial"/>
                <w:sz w:val="20"/>
                <w:szCs w:val="20"/>
                <w:b w:val="1"/>
                <w:bCs w:val="1"/>
                <w:color w:val="231F20"/>
              </w:rPr>
              <w:t>9.98</w:t>
            </w:r>
          </w:p>
        </w:tc>
        <w:tc>
          <w:tcPr>
            <w:tcW w:w="1020" w:type="dxa"/>
            <w:vAlign w:val="bottom"/>
          </w:tcPr>
          <w:p>
            <w:pPr>
              <w:jc w:val="right"/>
              <w:ind w:right="77"/>
              <w:spacing w:after="0"/>
              <w:rPr>
                <w:sz w:val="20"/>
                <w:szCs w:val="20"/>
                <w:color w:val="auto"/>
              </w:rPr>
            </w:pPr>
            <w:r>
              <w:rPr>
                <w:rFonts w:ascii="Arial" w:cs="Arial" w:eastAsia="Arial" w:hAnsi="Arial"/>
                <w:sz w:val="20"/>
                <w:szCs w:val="20"/>
                <w:b w:val="1"/>
                <w:bCs w:val="1"/>
                <w:color w:val="231F20"/>
              </w:rPr>
              <w:t>16.42</w:t>
            </w:r>
          </w:p>
        </w:tc>
        <w:tc>
          <w:tcPr>
            <w:tcW w:w="1040" w:type="dxa"/>
            <w:vAlign w:val="bottom"/>
          </w:tcPr>
          <w:p>
            <w:pPr>
              <w:jc w:val="right"/>
              <w:ind w:right="97"/>
              <w:spacing w:after="0"/>
              <w:rPr>
                <w:sz w:val="20"/>
                <w:szCs w:val="20"/>
                <w:color w:val="auto"/>
              </w:rPr>
            </w:pPr>
            <w:r>
              <w:rPr>
                <w:rFonts w:ascii="Arial" w:cs="Arial" w:eastAsia="Arial" w:hAnsi="Arial"/>
                <w:sz w:val="20"/>
                <w:szCs w:val="20"/>
                <w:b w:val="1"/>
                <w:bCs w:val="1"/>
                <w:color w:val="231F20"/>
              </w:rPr>
              <w:t>14.60</w:t>
            </w:r>
          </w:p>
        </w:tc>
        <w:tc>
          <w:tcPr>
            <w:tcW w:w="1040" w:type="dxa"/>
            <w:vAlign w:val="bottom"/>
          </w:tcPr>
          <w:p>
            <w:pPr>
              <w:jc w:val="right"/>
              <w:ind w:right="77"/>
              <w:spacing w:after="0"/>
              <w:rPr>
                <w:sz w:val="20"/>
                <w:szCs w:val="20"/>
                <w:color w:val="auto"/>
              </w:rPr>
            </w:pPr>
            <w:r>
              <w:rPr>
                <w:rFonts w:ascii="Arial" w:cs="Arial" w:eastAsia="Arial" w:hAnsi="Arial"/>
                <w:sz w:val="20"/>
                <w:szCs w:val="20"/>
                <w:b w:val="1"/>
                <w:bCs w:val="1"/>
                <w:color w:val="231F20"/>
              </w:rPr>
              <w:t>12.23</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12.91</w:t>
            </w:r>
          </w:p>
        </w:tc>
      </w:tr>
      <w:tr>
        <w:trPr>
          <w:trHeight w:val="350"/>
        </w:trPr>
        <w:tc>
          <w:tcPr>
            <w:tcW w:w="3320" w:type="dxa"/>
            <w:vAlign w:val="bottom"/>
          </w:tcPr>
          <w:p>
            <w:pPr>
              <w:ind w:left="20"/>
              <w:spacing w:after="0"/>
              <w:rPr>
                <w:sz w:val="20"/>
                <w:szCs w:val="20"/>
                <w:color w:val="auto"/>
              </w:rPr>
            </w:pPr>
            <w:r>
              <w:rPr>
                <w:rFonts w:ascii="Arial" w:cs="Arial" w:eastAsia="Arial" w:hAnsi="Arial"/>
                <w:sz w:val="20"/>
                <w:szCs w:val="20"/>
                <w:b w:val="1"/>
                <w:bCs w:val="1"/>
                <w:color w:val="231F20"/>
              </w:rPr>
              <w:t>Financial leverage ratio</w:t>
            </w:r>
            <w:r>
              <w:rPr>
                <w:rFonts w:ascii="Arial" w:cs="Arial" w:eastAsia="Arial" w:hAnsi="Arial"/>
                <w:sz w:val="23"/>
                <w:szCs w:val="23"/>
                <w:b w:val="1"/>
                <w:bCs w:val="1"/>
                <w:color w:val="231F20"/>
                <w:vertAlign w:val="superscript"/>
              </w:rPr>
              <w:t>2</w:t>
            </w:r>
          </w:p>
        </w:tc>
        <w:tc>
          <w:tcPr>
            <w:tcW w:w="1720" w:type="dxa"/>
            <w:vAlign w:val="bottom"/>
          </w:tcPr>
          <w:p>
            <w:pPr>
              <w:jc w:val="right"/>
              <w:ind w:right="77"/>
              <w:spacing w:after="0"/>
              <w:rPr>
                <w:sz w:val="20"/>
                <w:szCs w:val="20"/>
                <w:color w:val="auto"/>
              </w:rPr>
            </w:pPr>
            <w:r>
              <w:rPr>
                <w:rFonts w:ascii="Arial" w:cs="Arial" w:eastAsia="Arial" w:hAnsi="Arial"/>
                <w:sz w:val="20"/>
                <w:szCs w:val="20"/>
                <w:b w:val="1"/>
                <w:bCs w:val="1"/>
                <w:color w:val="231F20"/>
              </w:rPr>
              <w:t>3.9</w:t>
            </w:r>
          </w:p>
        </w:tc>
        <w:tc>
          <w:tcPr>
            <w:tcW w:w="1020" w:type="dxa"/>
            <w:vAlign w:val="bottom"/>
          </w:tcPr>
          <w:p>
            <w:pPr>
              <w:jc w:val="right"/>
              <w:ind w:right="77"/>
              <w:spacing w:after="0"/>
              <w:rPr>
                <w:sz w:val="20"/>
                <w:szCs w:val="20"/>
                <w:color w:val="auto"/>
              </w:rPr>
            </w:pPr>
            <w:r>
              <w:rPr>
                <w:rFonts w:ascii="Arial" w:cs="Arial" w:eastAsia="Arial" w:hAnsi="Arial"/>
                <w:sz w:val="20"/>
                <w:szCs w:val="20"/>
                <w:b w:val="1"/>
                <w:bCs w:val="1"/>
                <w:color w:val="231F20"/>
              </w:rPr>
              <w:t>2.9</w:t>
            </w:r>
          </w:p>
        </w:tc>
        <w:tc>
          <w:tcPr>
            <w:tcW w:w="1040" w:type="dxa"/>
            <w:vAlign w:val="bottom"/>
          </w:tcPr>
          <w:p>
            <w:pPr>
              <w:jc w:val="right"/>
              <w:ind w:right="117"/>
              <w:spacing w:after="0"/>
              <w:rPr>
                <w:sz w:val="20"/>
                <w:szCs w:val="20"/>
                <w:color w:val="auto"/>
              </w:rPr>
            </w:pPr>
            <w:r>
              <w:rPr>
                <w:rFonts w:ascii="Arial" w:cs="Arial" w:eastAsia="Arial" w:hAnsi="Arial"/>
                <w:sz w:val="20"/>
                <w:szCs w:val="20"/>
                <w:b w:val="1"/>
                <w:bCs w:val="1"/>
                <w:color w:val="231F20"/>
              </w:rPr>
              <w:t>2.8</w:t>
            </w:r>
          </w:p>
        </w:tc>
        <w:tc>
          <w:tcPr>
            <w:tcW w:w="1040" w:type="dxa"/>
            <w:vAlign w:val="bottom"/>
          </w:tcPr>
          <w:p>
            <w:pPr>
              <w:jc w:val="right"/>
              <w:ind w:right="77"/>
              <w:spacing w:after="0"/>
              <w:rPr>
                <w:sz w:val="20"/>
                <w:szCs w:val="20"/>
                <w:color w:val="auto"/>
              </w:rPr>
            </w:pPr>
            <w:r>
              <w:rPr>
                <w:rFonts w:ascii="Arial" w:cs="Arial" w:eastAsia="Arial" w:hAnsi="Arial"/>
                <w:sz w:val="20"/>
                <w:szCs w:val="20"/>
                <w:b w:val="1"/>
                <w:bCs w:val="1"/>
                <w:color w:val="231F20"/>
              </w:rPr>
              <w:t>2.9</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3.4</w:t>
            </w:r>
          </w:p>
        </w:tc>
      </w:tr>
      <w:tr>
        <w:trPr>
          <w:trHeight w:val="350"/>
        </w:trPr>
        <w:tc>
          <w:tcPr>
            <w:tcW w:w="3320" w:type="dxa"/>
            <w:vAlign w:val="bottom"/>
          </w:tcPr>
          <w:p>
            <w:pPr>
              <w:ind w:left="20"/>
              <w:spacing w:after="0"/>
              <w:rPr>
                <w:sz w:val="20"/>
                <w:szCs w:val="20"/>
                <w:color w:val="auto"/>
              </w:rPr>
            </w:pPr>
            <w:r>
              <w:rPr>
                <w:rFonts w:ascii="Arial" w:cs="Arial" w:eastAsia="Arial" w:hAnsi="Arial"/>
                <w:sz w:val="20"/>
                <w:szCs w:val="20"/>
                <w:b w:val="1"/>
                <w:bCs w:val="1"/>
                <w:color w:val="231F20"/>
              </w:rPr>
              <w:t>Free cash flow</w:t>
            </w:r>
            <w:r>
              <w:rPr>
                <w:rFonts w:ascii="Arial" w:cs="Arial" w:eastAsia="Arial" w:hAnsi="Arial"/>
                <w:sz w:val="23"/>
                <w:szCs w:val="23"/>
                <w:b w:val="1"/>
                <w:bCs w:val="1"/>
                <w:color w:val="231F20"/>
                <w:vertAlign w:val="superscript"/>
              </w:rPr>
              <w:t>2</w:t>
            </w:r>
          </w:p>
        </w:tc>
        <w:tc>
          <w:tcPr>
            <w:tcW w:w="1720" w:type="dxa"/>
            <w:vAlign w:val="bottom"/>
          </w:tcPr>
          <w:p>
            <w:pPr>
              <w:jc w:val="right"/>
              <w:ind w:right="77"/>
              <w:spacing w:after="0"/>
              <w:rPr>
                <w:sz w:val="20"/>
                <w:szCs w:val="20"/>
                <w:color w:val="auto"/>
              </w:rPr>
            </w:pPr>
            <w:r>
              <w:rPr>
                <w:rFonts w:ascii="Arial" w:cs="Arial" w:eastAsia="Arial" w:hAnsi="Arial"/>
                <w:sz w:val="20"/>
                <w:szCs w:val="20"/>
                <w:b w:val="1"/>
                <w:bCs w:val="1"/>
                <w:color w:val="231F20"/>
              </w:rPr>
              <w:t>94</w:t>
            </w:r>
          </w:p>
        </w:tc>
        <w:tc>
          <w:tcPr>
            <w:tcW w:w="1020" w:type="dxa"/>
            <w:vAlign w:val="bottom"/>
          </w:tcPr>
          <w:p>
            <w:pPr>
              <w:jc w:val="right"/>
              <w:ind w:right="77"/>
              <w:spacing w:after="0"/>
              <w:rPr>
                <w:sz w:val="20"/>
                <w:szCs w:val="20"/>
                <w:color w:val="auto"/>
              </w:rPr>
            </w:pPr>
            <w:r>
              <w:rPr>
                <w:rFonts w:ascii="Arial" w:cs="Arial" w:eastAsia="Arial" w:hAnsi="Arial"/>
                <w:sz w:val="20"/>
                <w:szCs w:val="20"/>
                <w:b w:val="1"/>
                <w:bCs w:val="1"/>
                <w:color w:val="231F20"/>
              </w:rPr>
              <w:t>(22)</w:t>
            </w:r>
          </w:p>
        </w:tc>
        <w:tc>
          <w:tcPr>
            <w:tcW w:w="1040" w:type="dxa"/>
            <w:vAlign w:val="bottom"/>
          </w:tcPr>
          <w:p>
            <w:pPr>
              <w:jc w:val="right"/>
              <w:ind w:right="117"/>
              <w:spacing w:after="0"/>
              <w:rPr>
                <w:sz w:val="20"/>
                <w:szCs w:val="20"/>
                <w:color w:val="auto"/>
              </w:rPr>
            </w:pPr>
            <w:r>
              <w:rPr>
                <w:rFonts w:ascii="Arial" w:cs="Arial" w:eastAsia="Arial" w:hAnsi="Arial"/>
                <w:sz w:val="20"/>
                <w:szCs w:val="20"/>
                <w:b w:val="1"/>
                <w:bCs w:val="1"/>
                <w:color w:val="231F20"/>
              </w:rPr>
              <w:t>444</w:t>
            </w:r>
          </w:p>
        </w:tc>
        <w:tc>
          <w:tcPr>
            <w:tcW w:w="1040" w:type="dxa"/>
            <w:vAlign w:val="bottom"/>
          </w:tcPr>
          <w:p>
            <w:pPr>
              <w:jc w:val="right"/>
              <w:ind w:right="77"/>
              <w:spacing w:after="0"/>
              <w:rPr>
                <w:sz w:val="20"/>
                <w:szCs w:val="20"/>
                <w:color w:val="auto"/>
              </w:rPr>
            </w:pPr>
            <w:r>
              <w:rPr>
                <w:rFonts w:ascii="Arial" w:cs="Arial" w:eastAsia="Arial" w:hAnsi="Arial"/>
                <w:sz w:val="20"/>
                <w:szCs w:val="20"/>
                <w:b w:val="1"/>
                <w:bCs w:val="1"/>
                <w:color w:val="231F20"/>
              </w:rPr>
              <w:t>1,045</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31F20"/>
              </w:rPr>
              <w:t>54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-1318260</wp:posOffset>
                </wp:positionV>
                <wp:extent cx="6171565" cy="21971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219710"/>
                        </a:xfrm>
                        <a:prstGeom prst="rect">
                          <a:avLst/>
                        </a:prstGeom>
                        <a:solidFill>
                          <a:srgbClr val="E7EDF5"/>
                        </a:solidFill>
                      </wps:spPr>
                      <wps:bodyPr/>
                    </wps:wsp>
                  </a:graphicData>
                </a:graphic>
              </wp:anchor>
            </w:drawing>
          </mc:Choice>
          <mc:Fallback>
            <w:pict>
              <v:rect id="Shape 4" o:spid="_x0000_s1029" style="position:absolute;margin-left:-8.9499pt;margin-top:-103.7999pt;width:485.95pt;height:17.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DF5" stroked="f"/>
            </w:pict>
          </mc:Fallback>
        </mc:AlternateContent>
        <mc:AlternateContent>
          <mc:Choice Requires="wps">
            <w:drawing>
              <wp:anchor simplePos="0" relativeHeight="251657728" behindDoc="1" locked="0" layoutInCell="0" allowOverlap="1">
                <wp:simplePos x="0" y="0"/>
                <wp:positionH relativeFrom="column">
                  <wp:posOffset>-113665</wp:posOffset>
                </wp:positionH>
                <wp:positionV relativeFrom="paragraph">
                  <wp:posOffset>-869950</wp:posOffset>
                </wp:positionV>
                <wp:extent cx="6171565" cy="2190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219075"/>
                        </a:xfrm>
                        <a:prstGeom prst="rect">
                          <a:avLst/>
                        </a:prstGeom>
                        <a:solidFill>
                          <a:srgbClr val="E7EDF5"/>
                        </a:solidFill>
                      </wps:spPr>
                      <wps:bodyPr/>
                    </wps:wsp>
                  </a:graphicData>
                </a:graphic>
              </wp:anchor>
            </w:drawing>
          </mc:Choice>
          <mc:Fallback>
            <w:pict>
              <v:rect id="Shape 5" o:spid="_x0000_s1030" style="position:absolute;margin-left:-8.9499pt;margin-top:-68.4999pt;width:485.95pt;height:1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DF5" stroked="f"/>
            </w:pict>
          </mc:Fallback>
        </mc:AlternateContent>
        <mc:AlternateContent>
          <mc:Choice Requires="wps">
            <w:drawing>
              <wp:anchor simplePos="0" relativeHeight="251657728" behindDoc="1" locked="0" layoutInCell="0" allowOverlap="1">
                <wp:simplePos x="0" y="0"/>
                <wp:positionH relativeFrom="column">
                  <wp:posOffset>-113665</wp:posOffset>
                </wp:positionH>
                <wp:positionV relativeFrom="paragraph">
                  <wp:posOffset>-422275</wp:posOffset>
                </wp:positionV>
                <wp:extent cx="6171565" cy="21971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219710"/>
                        </a:xfrm>
                        <a:prstGeom prst="rect">
                          <a:avLst/>
                        </a:prstGeom>
                        <a:solidFill>
                          <a:srgbClr val="E7EDF5"/>
                        </a:solidFill>
                      </wps:spPr>
                      <wps:bodyPr/>
                    </wps:wsp>
                  </a:graphicData>
                </a:graphic>
              </wp:anchor>
            </w:drawing>
          </mc:Choice>
          <mc:Fallback>
            <w:pict>
              <v:rect id="Shape 6" o:spid="_x0000_s1031" style="position:absolute;margin-left:-8.9499pt;margin-top:-33.2499pt;width:485.95pt;height:17.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DF5" stroked="f"/>
            </w:pict>
          </mc:Fallback>
        </mc:AlternateContent>
      </w:r>
    </w:p>
    <w:p>
      <w:pPr>
        <w:spacing w:after="0" w:line="3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4C7998"/>
        </w:rPr>
        <w:t>(In millions, except per share data, percentages and ratios)</w:t>
      </w:r>
    </w:p>
    <w:p>
      <w:pPr>
        <w:spacing w:after="0" w:line="4" w:lineRule="exact"/>
        <w:rPr>
          <w:sz w:val="20"/>
          <w:szCs w:val="20"/>
          <w:color w:val="auto"/>
        </w:rPr>
      </w:pPr>
    </w:p>
    <w:p>
      <w:pPr>
        <w:ind w:left="240" w:hanging="62"/>
        <w:spacing w:after="0"/>
        <w:tabs>
          <w:tab w:leader="none" w:pos="240" w:val="left"/>
        </w:tabs>
        <w:numPr>
          <w:ilvl w:val="0"/>
          <w:numId w:val="1"/>
        </w:numPr>
        <w:rPr>
          <w:rFonts w:ascii="Arial" w:cs="Arial" w:eastAsia="Arial" w:hAnsi="Arial"/>
          <w:sz w:val="16"/>
          <w:szCs w:val="16"/>
          <w:b w:val="1"/>
          <w:bCs w:val="1"/>
          <w:color w:val="231F20"/>
          <w:vertAlign w:val="superscript"/>
        </w:rPr>
      </w:pPr>
      <w:r>
        <w:rPr>
          <w:rFonts w:ascii="Arial" w:cs="Arial" w:eastAsia="Arial" w:hAnsi="Arial"/>
          <w:sz w:val="13"/>
          <w:szCs w:val="13"/>
          <w:b w:val="1"/>
          <w:bCs w:val="1"/>
          <w:color w:val="231F20"/>
        </w:rPr>
        <w:t>EBITDA is defined as earnings before interest, taxes, depreciation and amortization.</w:t>
      </w:r>
    </w:p>
    <w:p>
      <w:pPr>
        <w:spacing w:after="0" w:line="8" w:lineRule="exact"/>
        <w:rPr>
          <w:sz w:val="20"/>
          <w:szCs w:val="20"/>
          <w:color w:val="auto"/>
        </w:rPr>
      </w:pPr>
    </w:p>
    <w:p>
      <w:pPr>
        <w:ind w:left="240" w:hanging="62"/>
        <w:spacing w:after="0"/>
        <w:tabs>
          <w:tab w:leader="none" w:pos="240" w:val="left"/>
        </w:tabs>
        <w:numPr>
          <w:ilvl w:val="0"/>
          <w:numId w:val="2"/>
        </w:numPr>
        <w:rPr>
          <w:rFonts w:ascii="Arial" w:cs="Arial" w:eastAsia="Arial" w:hAnsi="Arial"/>
          <w:sz w:val="16"/>
          <w:szCs w:val="16"/>
          <w:b w:val="1"/>
          <w:bCs w:val="1"/>
          <w:color w:val="231F20"/>
          <w:vertAlign w:val="superscript"/>
        </w:rPr>
      </w:pPr>
      <w:r>
        <w:rPr>
          <w:rFonts w:ascii="Arial" w:cs="Arial" w:eastAsia="Arial" w:hAnsi="Arial"/>
          <w:sz w:val="13"/>
          <w:szCs w:val="13"/>
          <w:b w:val="1"/>
          <w:bCs w:val="1"/>
          <w:color w:val="231F20"/>
        </w:rPr>
        <w:t>Non-GAAP financial measures are reconciled in the appendix at the back of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332105</wp:posOffset>
            </wp:positionV>
            <wp:extent cx="6239510" cy="2155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6239510"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4C7998"/>
        </w:rPr>
        <w:t>AWARDS</w:t>
      </w:r>
    </w:p>
    <w:p>
      <w:pPr>
        <w:sectPr>
          <w:pgSz w:w="11880" w:h="15480" w:orient="portrait"/>
          <w:cols w:equalWidth="0" w:num="1">
            <w:col w:w="9180"/>
          </w:cols>
          <w:pgMar w:left="1440" w:top="1086"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20"/>
        <w:spacing w:after="0"/>
        <w:rPr>
          <w:sz w:val="20"/>
          <w:szCs w:val="20"/>
          <w:color w:val="auto"/>
        </w:rPr>
      </w:pPr>
      <w:r>
        <w:rPr>
          <w:rFonts w:ascii="Arial" w:cs="Arial" w:eastAsia="Arial" w:hAnsi="Arial"/>
          <w:sz w:val="7"/>
          <w:szCs w:val="7"/>
          <w:color w:val="FFFF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617855</wp:posOffset>
            </wp:positionV>
            <wp:extent cx="110045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1100455" cy="248920"/>
                    </a:xfrm>
                    <a:prstGeom prst="rect">
                      <a:avLst/>
                    </a:prstGeom>
                    <a:noFill/>
                  </pic:spPr>
                </pic:pic>
              </a:graphicData>
            </a:graphic>
          </wp:anchor>
        </w:drawing>
      </w:r>
    </w:p>
    <w:p>
      <w:pPr>
        <w:sectPr>
          <w:pgSz w:w="11880" w:h="15480" w:orient="portrait"/>
          <w:cols w:equalWidth="0" w:num="1">
            <w:col w:w="9180"/>
          </w:cols>
          <w:pgMar w:left="1440" w:top="1086" w:right="1260" w:bottom="1440" w:gutter="0" w:footer="0" w:header="0"/>
          <w:type w:val="continuous"/>
        </w:sectPr>
      </w:pPr>
    </w:p>
    <w:bookmarkStart w:id="3" w:name="page4"/>
    <w:bookmarkEnd w:id="3"/>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147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7543800" cy="214757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24"/>
          <w:szCs w:val="24"/>
          <w:b w:val="1"/>
          <w:bCs w:val="1"/>
          <w:color w:val="FFFFFF"/>
        </w:rPr>
        <w:t>JOHN ENGEL’S LETTER</w:t>
      </w:r>
    </w:p>
    <w:p>
      <w:pPr>
        <w:ind w:left="1720"/>
        <w:spacing w:after="0"/>
        <w:rPr>
          <w:sz w:val="20"/>
          <w:szCs w:val="20"/>
          <w:color w:val="auto"/>
        </w:rPr>
      </w:pPr>
      <w:r>
        <w:rPr>
          <w:rFonts w:ascii="Arial" w:cs="Arial" w:eastAsia="Arial" w:hAnsi="Arial"/>
          <w:sz w:val="50"/>
          <w:szCs w:val="50"/>
          <w:b w:val="1"/>
          <w:bCs w:val="1"/>
          <w:color w:val="00B14C"/>
        </w:rPr>
        <w:t>To Our Stockholders,</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44"/>
          <w:szCs w:val="44"/>
          <w:b w:val="1"/>
          <w:bCs w:val="1"/>
          <w:color w:val="00B14C"/>
        </w:rPr>
        <w:t>Employees and Business Partners</w:t>
      </w:r>
    </w:p>
    <w:p>
      <w:pPr>
        <w:sectPr>
          <w:pgSz w:w="11880" w:h="15509" w:orient="portrait"/>
          <w:cols w:equalWidth="0" w:num="1">
            <w:col w:w="9940"/>
          </w:cols>
          <w:pgMar w:left="980" w:top="95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right="280"/>
        <w:spacing w:after="0" w:line="259" w:lineRule="auto"/>
        <w:rPr>
          <w:sz w:val="20"/>
          <w:szCs w:val="20"/>
          <w:color w:val="auto"/>
        </w:rPr>
      </w:pPr>
      <w:r>
        <w:rPr>
          <w:rFonts w:ascii="Arial" w:cs="Arial" w:eastAsia="Arial" w:hAnsi="Arial"/>
          <w:sz w:val="19"/>
          <w:szCs w:val="19"/>
          <w:color w:val="000E1E"/>
        </w:rPr>
        <w:t>As we look back on 2025, it is clear that Wesco has entered a new era of performance, innovation and opportunity. Building on the strong foundation we set in 2024, we accelerated progress across our enterprise and generated substantial shareholder value last year. Our markets continue to be shaped by powerful secular trends:</w:t>
      </w:r>
    </w:p>
    <w:p>
      <w:pPr>
        <w:spacing w:after="0" w:line="190" w:lineRule="exact"/>
        <w:rPr>
          <w:sz w:val="20"/>
          <w:szCs w:val="20"/>
          <w:color w:val="auto"/>
        </w:rPr>
      </w:pPr>
    </w:p>
    <w:p>
      <w:pPr>
        <w:ind w:left="260" w:right="700" w:hanging="154"/>
        <w:spacing w:after="0" w:line="227" w:lineRule="auto"/>
        <w:tabs>
          <w:tab w:leader="none" w:pos="241" w:val="left"/>
        </w:tabs>
        <w:numPr>
          <w:ilvl w:val="0"/>
          <w:numId w:val="3"/>
        </w:numPr>
        <w:rPr>
          <w:rFonts w:ascii="Arial" w:cs="Arial" w:eastAsia="Arial" w:hAnsi="Arial"/>
          <w:sz w:val="20"/>
          <w:szCs w:val="20"/>
          <w:color w:val="00B14C"/>
        </w:rPr>
      </w:pPr>
      <w:r>
        <w:rPr>
          <w:rFonts w:ascii="Arial" w:cs="Arial" w:eastAsia="Arial" w:hAnsi="Arial"/>
          <w:sz w:val="20"/>
          <w:szCs w:val="20"/>
          <w:color w:val="000E1E"/>
        </w:rPr>
        <w:t>Digitalization, including explosive growth in AI-driven data centers</w:t>
      </w:r>
    </w:p>
    <w:p>
      <w:pPr>
        <w:spacing w:after="0" w:line="170" w:lineRule="exact"/>
        <w:rPr>
          <w:rFonts w:ascii="Arial" w:cs="Arial" w:eastAsia="Arial" w:hAnsi="Arial"/>
          <w:sz w:val="20"/>
          <w:szCs w:val="20"/>
          <w:color w:val="00B14C"/>
        </w:rPr>
      </w:pPr>
    </w:p>
    <w:p>
      <w:pPr>
        <w:ind w:left="240" w:hanging="134"/>
        <w:spacing w:after="0"/>
        <w:tabs>
          <w:tab w:leader="none" w:pos="240" w:val="left"/>
        </w:tabs>
        <w:numPr>
          <w:ilvl w:val="0"/>
          <w:numId w:val="3"/>
        </w:numPr>
        <w:rPr>
          <w:rFonts w:ascii="Arial" w:cs="Arial" w:eastAsia="Arial" w:hAnsi="Arial"/>
          <w:sz w:val="20"/>
          <w:szCs w:val="20"/>
          <w:color w:val="00B14C"/>
        </w:rPr>
      </w:pPr>
      <w:r>
        <w:rPr>
          <w:rFonts w:ascii="Arial" w:cs="Arial" w:eastAsia="Arial" w:hAnsi="Arial"/>
          <w:sz w:val="20"/>
          <w:szCs w:val="20"/>
          <w:color w:val="000E1E"/>
        </w:rPr>
        <w:t>Increased power generation and reliability</w:t>
      </w:r>
    </w:p>
    <w:p>
      <w:pPr>
        <w:spacing w:after="0" w:line="170" w:lineRule="exact"/>
        <w:rPr>
          <w:rFonts w:ascii="Arial" w:cs="Arial" w:eastAsia="Arial" w:hAnsi="Arial"/>
          <w:sz w:val="20"/>
          <w:szCs w:val="20"/>
          <w:color w:val="00B14C"/>
        </w:rPr>
      </w:pPr>
    </w:p>
    <w:p>
      <w:pPr>
        <w:ind w:left="240" w:hanging="134"/>
        <w:spacing w:after="0"/>
        <w:tabs>
          <w:tab w:leader="none" w:pos="240" w:val="left"/>
        </w:tabs>
        <w:numPr>
          <w:ilvl w:val="0"/>
          <w:numId w:val="3"/>
        </w:numPr>
        <w:rPr>
          <w:rFonts w:ascii="Arial" w:cs="Arial" w:eastAsia="Arial" w:hAnsi="Arial"/>
          <w:sz w:val="20"/>
          <w:szCs w:val="20"/>
          <w:color w:val="00B14C"/>
        </w:rPr>
      </w:pPr>
      <w:r>
        <w:rPr>
          <w:rFonts w:ascii="Arial" w:cs="Arial" w:eastAsia="Arial" w:hAnsi="Arial"/>
          <w:sz w:val="20"/>
          <w:szCs w:val="20"/>
          <w:color w:val="000E1E"/>
        </w:rPr>
        <w:t>Supply chain reshoring and resiliency</w:t>
      </w:r>
    </w:p>
    <w:p>
      <w:pPr>
        <w:spacing w:after="0" w:line="205" w:lineRule="exact"/>
        <w:rPr>
          <w:sz w:val="20"/>
          <w:szCs w:val="20"/>
          <w:color w:val="auto"/>
        </w:rPr>
      </w:pPr>
    </w:p>
    <w:p>
      <w:pPr>
        <w:ind w:left="100" w:right="240"/>
        <w:spacing w:after="0" w:line="238" w:lineRule="auto"/>
        <w:rPr>
          <w:sz w:val="20"/>
          <w:szCs w:val="20"/>
          <w:color w:val="auto"/>
        </w:rPr>
      </w:pPr>
      <w:r>
        <w:rPr>
          <w:rFonts w:ascii="Arial" w:cs="Arial" w:eastAsia="Arial" w:hAnsi="Arial"/>
          <w:sz w:val="20"/>
          <w:szCs w:val="20"/>
          <w:color w:val="000E1E"/>
        </w:rPr>
        <w:t>Wesco, with distinctive capabilities and the leading scale in our industry, sits squarely at the center of the global supply chain and these converging secular trends.</w:t>
      </w:r>
    </w:p>
    <w:p>
      <w:pPr>
        <w:spacing w:after="0" w:line="208" w:lineRule="exact"/>
        <w:rPr>
          <w:sz w:val="20"/>
          <w:szCs w:val="20"/>
          <w:color w:val="auto"/>
        </w:rPr>
      </w:pPr>
    </w:p>
    <w:p>
      <w:pPr>
        <w:ind w:left="100"/>
        <w:spacing w:after="0" w:line="262" w:lineRule="auto"/>
        <w:rPr>
          <w:sz w:val="20"/>
          <w:szCs w:val="20"/>
          <w:color w:val="auto"/>
        </w:rPr>
      </w:pPr>
      <w:r>
        <w:rPr>
          <w:rFonts w:ascii="Arial" w:cs="Arial" w:eastAsia="Arial" w:hAnsi="Arial"/>
          <w:sz w:val="19"/>
          <w:szCs w:val="19"/>
          <w:color w:val="000E1E"/>
        </w:rPr>
        <w:t>Throughout 2025, our Wesco associates demonstrated agility and disciplined execution as we captured outsized growth in high-demand segments while advancing our multi-year technology-enabled business transformation agenda. We have made progress on our technology and capabilities build and have deployed our new technology stack in pilot locations in each of our three business units. The centerpiece of our new tech stack is a world-class data lake where we’re working to apply AI to improve the efficiency and effectiveness of our business. Once our tech-enabled business transformation is completed, we expect to accelerate our earnings growth through increased cross-sell, expand our margins through improved pricing and operating cost leverage and increase our working capital turns by leveraging our single global IT instance.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60"/>
        <w:spacing w:after="0" w:line="370" w:lineRule="auto"/>
        <w:rPr>
          <w:sz w:val="20"/>
          <w:szCs w:val="20"/>
          <w:color w:val="auto"/>
        </w:rPr>
      </w:pPr>
      <w:r>
        <w:rPr>
          <w:rFonts w:ascii="Arial" w:cs="Arial" w:eastAsia="Arial" w:hAnsi="Arial"/>
          <w:sz w:val="28"/>
          <w:szCs w:val="28"/>
          <w:b w:val="1"/>
          <w:bCs w:val="1"/>
          <w:color w:val="000E1E"/>
        </w:rPr>
        <w:t>Extending Our Industry Leading Scale and Value Proposition</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9"/>
          <w:szCs w:val="19"/>
          <w:color w:val="000E1E"/>
        </w:rPr>
        <w:t>In 2025, we expanded our position as a leading provider of B2B distribution, logistics services and supply chain solutions, serving nearly 90% of Fortune 100 companies. Wesco effectively serves as a critical enabler for our customers and supplier partners across high-growth global markets including data centers, utility, broadband, industrial and OEM, construction, automation and large scale global mega projects. Our differentiated global services offerings help customers build, connect, power and protect their businesses in an increasingly complex, uncertain and volatile world.</w:t>
      </w:r>
    </w:p>
    <w:p>
      <w:pPr>
        <w:spacing w:after="0" w:line="269"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000E1E"/>
        </w:rPr>
        <w:t>We continue to invest in our core capabilities and accelerate our cross-sell initiatives to leverage our unparalleled breadth of products, services and solutions. While we are organized as three distinct strategic business units, our strength is cross-selling</w:t>
      </w:r>
    </w:p>
    <w:p>
      <w:pPr>
        <w:spacing w:after="0" w:line="18"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000E1E"/>
        </w:rPr>
        <w:t>— leveraging the capabilities and expertise of each unit to meet the needs of the customer with a “One Wesco” approach. Whether delivering full lifecycle support to a data center customer — from design through decommissioning — or leading one of our other blue-chip customers through converging technology environments where power, security, AV and networking operate as a single ecosystem, Wesco’s scale and expertise remain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00E1E"/>
        </w:rPr>
        <w:t>a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77470</wp:posOffset>
            </wp:positionV>
            <wp:extent cx="6473825" cy="2326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6473825" cy="2326640"/>
                    </a:xfrm>
                    <a:prstGeom prst="rect">
                      <a:avLst/>
                    </a:prstGeom>
                    <a:noFill/>
                  </pic:spPr>
                </pic:pic>
              </a:graphicData>
            </a:graphic>
          </wp:anchor>
        </w:drawing>
      </w:r>
    </w:p>
    <w:p>
      <w:pPr>
        <w:spacing w:after="0" w:line="1092" w:lineRule="exact"/>
        <w:rPr>
          <w:sz w:val="20"/>
          <w:szCs w:val="20"/>
          <w:color w:val="auto"/>
        </w:rPr>
      </w:pPr>
    </w:p>
    <w:p>
      <w:pPr>
        <w:sectPr>
          <w:pgSz w:w="11880" w:h="15509" w:orient="portrait"/>
          <w:cols w:equalWidth="0" w:num="2">
            <w:col w:w="4580" w:space="560"/>
            <w:col w:w="4800"/>
          </w:cols>
          <w:pgMar w:left="980" w:top="95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9120" w:type="dxa"/>
            <w:vAlign w:val="bottom"/>
          </w:tcPr>
          <w:p>
            <w:pPr>
              <w:ind w:left="500"/>
              <w:spacing w:after="0"/>
              <w:rPr>
                <w:sz w:val="20"/>
                <w:szCs w:val="20"/>
                <w:color w:val="auto"/>
              </w:rPr>
            </w:pPr>
            <w:r>
              <w:rPr>
                <w:rFonts w:ascii="Arial" w:cs="Arial" w:eastAsia="Arial" w:hAnsi="Arial"/>
                <w:sz w:val="31"/>
                <w:szCs w:val="31"/>
                <w:color w:val="000E1E"/>
                <w:w w:val="95"/>
              </w:rPr>
              <w:t xml:space="preserve">Today, Wesco is a growth enterprise that is </w:t>
            </w:r>
            <w:r>
              <w:rPr>
                <w:rFonts w:ascii="Arial" w:cs="Arial" w:eastAsia="Arial" w:hAnsi="Arial"/>
                <w:sz w:val="31"/>
                <w:szCs w:val="31"/>
                <w:b w:val="1"/>
                <w:bCs w:val="1"/>
                <w:color w:val="000E1E"/>
                <w:w w:val="95"/>
              </w:rPr>
              <w:t>more capable, more</w:t>
            </w:r>
          </w:p>
        </w:tc>
        <w:tc>
          <w:tcPr>
            <w:tcW w:w="820" w:type="dxa"/>
            <w:vAlign w:val="bottom"/>
            <w:vMerge w:val="restart"/>
          </w:tcPr>
          <w:p>
            <w:pPr>
              <w:ind w:left="380"/>
              <w:spacing w:after="0"/>
              <w:rPr>
                <w:sz w:val="20"/>
                <w:szCs w:val="20"/>
                <w:color w:val="auto"/>
              </w:rPr>
            </w:pPr>
            <w:r>
              <w:rPr>
                <w:rFonts w:ascii="Arial" w:cs="Arial" w:eastAsia="Arial" w:hAnsi="Arial"/>
                <w:sz w:val="100"/>
                <w:szCs w:val="100"/>
                <w:b w:val="1"/>
                <w:bCs w:val="1"/>
                <w:color w:val="00B14C"/>
                <w:w w:val="83"/>
              </w:rPr>
              <w:t>”</w:t>
            </w:r>
          </w:p>
        </w:tc>
        <w:tc>
          <w:tcPr>
            <w:tcW w:w="0" w:type="dxa"/>
            <w:vAlign w:val="bottom"/>
          </w:tcPr>
          <w:p>
            <w:pPr>
              <w:spacing w:after="0"/>
              <w:rPr>
                <w:sz w:val="1"/>
                <w:szCs w:val="1"/>
                <w:color w:val="auto"/>
              </w:rPr>
            </w:pPr>
          </w:p>
        </w:tc>
      </w:tr>
      <w:tr>
        <w:trPr>
          <w:trHeight w:val="1521"/>
        </w:trPr>
        <w:tc>
          <w:tcPr>
            <w:tcW w:w="9120" w:type="dxa"/>
            <w:vAlign w:val="bottom"/>
          </w:tcPr>
          <w:p>
            <w:pPr>
              <w:spacing w:after="0"/>
              <w:rPr>
                <w:sz w:val="20"/>
                <w:szCs w:val="20"/>
                <w:color w:val="auto"/>
              </w:rPr>
            </w:pPr>
            <w:r>
              <w:rPr>
                <w:rFonts w:ascii="Arial" w:cs="Arial" w:eastAsia="Arial" w:hAnsi="Arial"/>
                <w:sz w:val="100"/>
                <w:szCs w:val="100"/>
                <w:b w:val="1"/>
                <w:bCs w:val="1"/>
                <w:color w:val="00B14C"/>
                <w:w w:val="96"/>
              </w:rPr>
              <w:t>“</w:t>
            </w:r>
            <w:r>
              <w:rPr>
                <w:rFonts w:ascii="Arial" w:cs="Arial" w:eastAsia="Arial" w:hAnsi="Arial"/>
                <w:sz w:val="31"/>
                <w:szCs w:val="31"/>
                <w:b w:val="1"/>
                <w:bCs w:val="1"/>
                <w:color w:val="000E1E"/>
                <w:w w:val="96"/>
              </w:rPr>
              <w:t>resilient and better positioned</w:t>
            </w:r>
            <w:r>
              <w:rPr>
                <w:rFonts w:ascii="Arial" w:cs="Arial" w:eastAsia="Arial" w:hAnsi="Arial"/>
                <w:sz w:val="100"/>
                <w:szCs w:val="100"/>
                <w:b w:val="1"/>
                <w:bCs w:val="1"/>
                <w:color w:val="00B14C"/>
                <w:w w:val="96"/>
              </w:rPr>
              <w:t xml:space="preserve"> </w:t>
            </w:r>
            <w:r>
              <w:rPr>
                <w:rFonts w:ascii="Arial" w:cs="Arial" w:eastAsia="Arial" w:hAnsi="Arial"/>
                <w:sz w:val="31"/>
                <w:szCs w:val="31"/>
                <w:color w:val="000E1E"/>
                <w:w w:val="96"/>
              </w:rPr>
              <w:t>than at any point in our history.</w:t>
            </w: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880" w:h="15509" w:orient="portrait"/>
          <w:cols w:equalWidth="0" w:num="1">
            <w:col w:w="9940"/>
          </w:cols>
          <w:pgMar w:left="980" w:top="951" w:right="960" w:bottom="0" w:gutter="0" w:footer="0" w:header="0"/>
          <w:type w:val="continuous"/>
        </w:sectPr>
      </w:pPr>
    </w:p>
    <w:bookmarkStart w:id="4" w:name="page5"/>
    <w:bookmarkEnd w:id="4"/>
    <w:p>
      <w:pPr>
        <w:ind w:right="660"/>
        <w:spacing w:after="0" w:line="355" w:lineRule="auto"/>
        <w:rPr>
          <w:sz w:val="20"/>
          <w:szCs w:val="20"/>
          <w:color w:val="auto"/>
        </w:rPr>
      </w:pPr>
      <w:r>
        <w:rPr>
          <w:rFonts w:ascii="Arial" w:cs="Arial" w:eastAsia="Arial" w:hAnsi="Arial"/>
          <w:sz w:val="28"/>
          <w:szCs w:val="28"/>
          <w:b w:val="1"/>
          <w:bCs w:val="1"/>
          <w:color w:val="000E1E"/>
        </w:rPr>
        <w:drawing>
          <wp:anchor simplePos="0" relativeHeight="251657728" behindDoc="1" locked="0" layoutInCell="0" allowOverlap="1">
            <wp:simplePos x="0" y="0"/>
            <wp:positionH relativeFrom="page">
              <wp:posOffset>0</wp:posOffset>
            </wp:positionH>
            <wp:positionV relativeFrom="page">
              <wp:posOffset>0</wp:posOffset>
            </wp:positionV>
            <wp:extent cx="2848610" cy="1805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2848610" cy="1805940"/>
                    </a:xfrm>
                    <a:prstGeom prst="rect">
                      <a:avLst/>
                    </a:prstGeom>
                    <a:noFill/>
                  </pic:spPr>
                </pic:pic>
              </a:graphicData>
            </a:graphic>
          </wp:anchor>
        </w:drawing>
        <w:t>Further Developing Our Team and Culture of Excellence</w:t>
      </w:r>
    </w:p>
    <w:p>
      <w:pPr>
        <w:spacing w:after="0" w:line="1" w:lineRule="exact"/>
        <w:rPr>
          <w:sz w:val="20"/>
          <w:szCs w:val="20"/>
          <w:color w:val="auto"/>
        </w:rPr>
      </w:pPr>
    </w:p>
    <w:p>
      <w:pPr>
        <w:ind w:right="360"/>
        <w:spacing w:after="0" w:line="273" w:lineRule="auto"/>
        <w:rPr>
          <w:sz w:val="20"/>
          <w:szCs w:val="20"/>
          <w:color w:val="auto"/>
        </w:rPr>
      </w:pPr>
      <w:r>
        <w:rPr>
          <w:rFonts w:ascii="Arial" w:cs="Arial" w:eastAsia="Arial" w:hAnsi="Arial"/>
          <w:sz w:val="18"/>
          <w:szCs w:val="18"/>
          <w:color w:val="000E1E"/>
        </w:rPr>
        <w:t>Our people and our culture are central to everything we do and we’re focused on building a more agile, digital-savvy workforce capable of supporting the evolving needs of our business. In 2025, we were</w:t>
      </w:r>
    </w:p>
    <w:p>
      <w:pPr>
        <w:spacing w:after="0" w:line="15" w:lineRule="exact"/>
        <w:rPr>
          <w:sz w:val="20"/>
          <w:szCs w:val="20"/>
          <w:color w:val="auto"/>
        </w:rPr>
      </w:pPr>
    </w:p>
    <w:p>
      <w:pPr>
        <w:ind w:right="380"/>
        <w:spacing w:after="0" w:line="254" w:lineRule="auto"/>
        <w:rPr>
          <w:sz w:val="20"/>
          <w:szCs w:val="20"/>
          <w:color w:val="auto"/>
        </w:rPr>
      </w:pPr>
      <w:r>
        <w:rPr>
          <w:rFonts w:ascii="Arial" w:cs="Arial" w:eastAsia="Arial" w:hAnsi="Arial"/>
          <w:sz w:val="19"/>
          <w:szCs w:val="19"/>
          <w:color w:val="000E1E"/>
        </w:rPr>
        <w:t>honored to be re-certified as a Great Place to Work</w:t>
      </w:r>
      <w:r>
        <w:rPr>
          <w:rFonts w:ascii="Arial" w:cs="Arial" w:eastAsia="Arial" w:hAnsi="Arial"/>
          <w:sz w:val="22"/>
          <w:szCs w:val="22"/>
          <w:color w:val="000E1E"/>
          <w:vertAlign w:val="superscript"/>
        </w:rPr>
        <w:t>®</w:t>
      </w:r>
      <w:r>
        <w:rPr>
          <w:rFonts w:ascii="Arial" w:cs="Arial" w:eastAsia="Arial" w:hAnsi="Arial"/>
          <w:sz w:val="19"/>
          <w:szCs w:val="19"/>
          <w:color w:val="000E1E"/>
        </w:rPr>
        <w:t xml:space="preserve"> in the U.S. and again to be named one of Fortune’s World’s Most Admired Companies. We were also included on The Drucker Institute’s list of Best Managed Companies in the World and were pleased to be recognized by Fortune with a number 10 ranking in their inaugural AI ranking of Fortune 500</w:t>
      </w:r>
      <w:r>
        <w:rPr>
          <w:rFonts w:ascii="Arial" w:cs="Arial" w:eastAsia="Arial" w:hAnsi="Arial"/>
          <w:sz w:val="22"/>
          <w:szCs w:val="22"/>
          <w:color w:val="000E1E"/>
          <w:vertAlign w:val="superscript"/>
        </w:rPr>
        <w:t>®</w:t>
      </w:r>
      <w:r>
        <w:rPr>
          <w:rFonts w:ascii="Arial" w:cs="Arial" w:eastAsia="Arial" w:hAnsi="Arial"/>
          <w:sz w:val="19"/>
          <w:szCs w:val="19"/>
          <w:color w:val="000E1E"/>
        </w:rPr>
        <w:t xml:space="preserve"> companies.</w:t>
      </w:r>
    </w:p>
    <w:p>
      <w:pPr>
        <w:spacing w:after="0" w:line="160"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000E1E"/>
        </w:rPr>
        <w:t>We continue to maintain our deeply rooted commitments to safety and community. Safety is a core component of our values. And while we believe even one safety incident is one too many, we continue to have a benchmark safety record in our industry.</w:t>
      </w:r>
    </w:p>
    <w:p>
      <w:pPr>
        <w:spacing w:after="0" w:line="18" w:lineRule="exact"/>
        <w:rPr>
          <w:sz w:val="20"/>
          <w:szCs w:val="20"/>
          <w:color w:val="auto"/>
        </w:rPr>
      </w:pPr>
    </w:p>
    <w:p>
      <w:pPr>
        <w:spacing w:after="0" w:line="261" w:lineRule="auto"/>
        <w:rPr>
          <w:sz w:val="20"/>
          <w:szCs w:val="20"/>
          <w:color w:val="auto"/>
        </w:rPr>
      </w:pPr>
      <w:r>
        <w:rPr>
          <w:rFonts w:ascii="Arial" w:cs="Arial" w:eastAsia="Arial" w:hAnsi="Arial"/>
          <w:sz w:val="19"/>
          <w:szCs w:val="19"/>
          <w:color w:val="000E1E"/>
        </w:rPr>
        <w:t xml:space="preserve">Our commitment to our community is also a component of our values. We are pleased that in addition to supporting our customers in responding to storms and other natural disasters, Wesco made a positive impact in our communities with volunteerism and humanitarian partnerships through our Wesco Cares program. We expanded our partnership with </w:t>
      </w:r>
      <w:r>
        <w:rPr>
          <w:rFonts w:ascii="Arial" w:cs="Arial" w:eastAsia="Arial" w:hAnsi="Arial"/>
          <w:sz w:val="19"/>
          <w:szCs w:val="19"/>
          <w:b w:val="1"/>
          <w:bCs w:val="1"/>
          <w:color w:val="000E1E"/>
        </w:rPr>
        <w:t>Habitat</w:t>
      </w:r>
      <w:r>
        <w:rPr>
          <w:rFonts w:ascii="Arial" w:cs="Arial" w:eastAsia="Arial" w:hAnsi="Arial"/>
          <w:sz w:val="19"/>
          <w:szCs w:val="19"/>
          <w:color w:val="000E1E"/>
        </w:rPr>
        <w:t xml:space="preserve"> </w:t>
      </w:r>
      <w:r>
        <w:rPr>
          <w:rFonts w:ascii="Arial" w:cs="Arial" w:eastAsia="Arial" w:hAnsi="Arial"/>
          <w:sz w:val="19"/>
          <w:szCs w:val="19"/>
          <w:b w:val="1"/>
          <w:bCs w:val="1"/>
          <w:color w:val="000E1E"/>
        </w:rPr>
        <w:t>for Humanity</w:t>
      </w:r>
      <w:r>
        <w:rPr>
          <w:rFonts w:ascii="Arial" w:cs="Arial" w:eastAsia="Arial" w:hAnsi="Arial"/>
          <w:sz w:val="19"/>
          <w:szCs w:val="19"/>
          <w:color w:val="000E1E"/>
        </w:rPr>
        <w:t>, contributing to new projects such as</w:t>
      </w:r>
      <w:r>
        <w:rPr>
          <w:rFonts w:ascii="Arial" w:cs="Arial" w:eastAsia="Arial" w:hAnsi="Arial"/>
          <w:sz w:val="19"/>
          <w:szCs w:val="19"/>
          <w:b w:val="1"/>
          <w:bCs w:val="1"/>
          <w:color w:val="000E1E"/>
        </w:rPr>
        <w:t xml:space="preserve"> </w:t>
      </w:r>
      <w:r>
        <w:rPr>
          <w:rFonts w:ascii="Arial" w:cs="Arial" w:eastAsia="Arial" w:hAnsi="Arial"/>
          <w:sz w:val="19"/>
          <w:szCs w:val="19"/>
          <w:color w:val="000E1E"/>
        </w:rPr>
        <w:t xml:space="preserve">the </w:t>
      </w:r>
      <w:r>
        <w:rPr>
          <w:rFonts w:ascii="Arial" w:cs="Arial" w:eastAsia="Arial" w:hAnsi="Arial"/>
          <w:sz w:val="19"/>
          <w:szCs w:val="19"/>
          <w:b w:val="1"/>
          <w:bCs w:val="1"/>
          <w:color w:val="000E1E"/>
        </w:rPr>
        <w:t>100,000 Floors to Play On</w:t>
      </w:r>
      <w:r>
        <w:rPr>
          <w:rFonts w:ascii="Arial" w:cs="Arial" w:eastAsia="Arial" w:hAnsi="Arial"/>
          <w:sz w:val="19"/>
          <w:szCs w:val="19"/>
          <w:color w:val="000E1E"/>
        </w:rPr>
        <w:t xml:space="preserve"> initiative and </w:t>
      </w:r>
      <w:r>
        <w:rPr>
          <w:rFonts w:ascii="Arial" w:cs="Arial" w:eastAsia="Arial" w:hAnsi="Arial"/>
          <w:sz w:val="19"/>
          <w:szCs w:val="19"/>
          <w:b w:val="1"/>
          <w:bCs w:val="1"/>
          <w:color w:val="000E1E"/>
        </w:rPr>
        <w:t>Home</w:t>
      </w:r>
      <w:r>
        <w:rPr>
          <w:rFonts w:ascii="Arial" w:cs="Arial" w:eastAsia="Arial" w:hAnsi="Arial"/>
          <w:sz w:val="19"/>
          <w:szCs w:val="19"/>
          <w:color w:val="000E1E"/>
        </w:rPr>
        <w:t xml:space="preserve"> </w:t>
      </w:r>
      <w:r>
        <w:rPr>
          <w:rFonts w:ascii="Arial" w:cs="Arial" w:eastAsia="Arial" w:hAnsi="Arial"/>
          <w:sz w:val="19"/>
          <w:szCs w:val="19"/>
          <w:b w:val="1"/>
          <w:bCs w:val="1"/>
          <w:color w:val="000E1E"/>
        </w:rPr>
        <w:t>Equals</w:t>
      </w:r>
      <w:r>
        <w:rPr>
          <w:rFonts w:ascii="Arial" w:cs="Arial" w:eastAsia="Arial" w:hAnsi="Arial"/>
          <w:sz w:val="19"/>
          <w:szCs w:val="19"/>
          <w:color w:val="000E1E"/>
        </w:rPr>
        <w:t>. Once again, we participated in the annual</w:t>
      </w:r>
      <w:r>
        <w:rPr>
          <w:rFonts w:ascii="Arial" w:cs="Arial" w:eastAsia="Arial" w:hAnsi="Arial"/>
          <w:sz w:val="19"/>
          <w:szCs w:val="19"/>
          <w:b w:val="1"/>
          <w:bCs w:val="1"/>
          <w:color w:val="000E1E"/>
        </w:rPr>
        <w:t xml:space="preserve"> Jimmy &amp; Rosalynn Carter Work Project </w:t>
      </w:r>
      <w:r>
        <w:rPr>
          <w:rFonts w:ascii="Arial" w:cs="Arial" w:eastAsia="Arial" w:hAnsi="Arial"/>
          <w:sz w:val="19"/>
          <w:szCs w:val="19"/>
          <w:color w:val="000E1E"/>
        </w:rPr>
        <w:t>and provided</w:t>
      </w:r>
      <w:r>
        <w:rPr>
          <w:rFonts w:ascii="Arial" w:cs="Arial" w:eastAsia="Arial" w:hAnsi="Arial"/>
          <w:sz w:val="19"/>
          <w:szCs w:val="19"/>
          <w:b w:val="1"/>
          <w:bCs w:val="1"/>
          <w:color w:val="000E1E"/>
        </w:rPr>
        <w:t xml:space="preserve"> </w:t>
      </w:r>
      <w:r>
        <w:rPr>
          <w:rFonts w:ascii="Arial" w:cs="Arial" w:eastAsia="Arial" w:hAnsi="Arial"/>
          <w:sz w:val="19"/>
          <w:szCs w:val="19"/>
          <w:color w:val="000E1E"/>
        </w:rPr>
        <w:t xml:space="preserve">relief for disasters occurring around the world through the </w:t>
      </w:r>
      <w:r>
        <w:rPr>
          <w:rFonts w:ascii="Arial" w:cs="Arial" w:eastAsia="Arial" w:hAnsi="Arial"/>
          <w:sz w:val="19"/>
          <w:szCs w:val="19"/>
          <w:b w:val="1"/>
          <w:bCs w:val="1"/>
          <w:color w:val="000E1E"/>
        </w:rPr>
        <w:t>American Red Cross Annual Disaster Giving</w:t>
      </w:r>
      <w:r>
        <w:rPr>
          <w:rFonts w:ascii="Arial" w:cs="Arial" w:eastAsia="Arial" w:hAnsi="Arial"/>
          <w:sz w:val="19"/>
          <w:szCs w:val="19"/>
          <w:color w:val="000E1E"/>
        </w:rPr>
        <w:t xml:space="preserve"> </w:t>
      </w:r>
      <w:r>
        <w:rPr>
          <w:rFonts w:ascii="Arial" w:cs="Arial" w:eastAsia="Arial" w:hAnsi="Arial"/>
          <w:sz w:val="19"/>
          <w:szCs w:val="19"/>
          <w:b w:val="1"/>
          <w:bCs w:val="1"/>
          <w:color w:val="000E1E"/>
        </w:rPr>
        <w:t>Program</w:t>
      </w:r>
      <w:r>
        <w:rPr>
          <w:rFonts w:ascii="Arial" w:cs="Arial" w:eastAsia="Arial" w:hAnsi="Arial"/>
          <w:sz w:val="19"/>
          <w:szCs w:val="19"/>
          <w:color w:val="000E1E"/>
        </w:rPr>
        <w:t>. And we supported the next class of</w:t>
      </w:r>
      <w:r>
        <w:rPr>
          <w:rFonts w:ascii="Arial" w:cs="Arial" w:eastAsia="Arial" w:hAnsi="Arial"/>
          <w:sz w:val="19"/>
          <w:szCs w:val="19"/>
          <w:b w:val="1"/>
          <w:bCs w:val="1"/>
          <w:color w:val="000E1E"/>
        </w:rPr>
        <w:t xml:space="preserve"> </w:t>
      </w:r>
      <w:r>
        <w:rPr>
          <w:rFonts w:ascii="Arial" w:cs="Arial" w:eastAsia="Arial" w:hAnsi="Arial"/>
          <w:sz w:val="19"/>
          <w:szCs w:val="19"/>
          <w:color w:val="000E1E"/>
        </w:rPr>
        <w:t xml:space="preserve">electrical tradespeople with our </w:t>
      </w:r>
      <w:r>
        <w:rPr>
          <w:rFonts w:ascii="Arial" w:cs="Arial" w:eastAsia="Arial" w:hAnsi="Arial"/>
          <w:sz w:val="19"/>
          <w:szCs w:val="19"/>
          <w:b w:val="1"/>
          <w:bCs w:val="1"/>
          <w:color w:val="000E1E"/>
        </w:rPr>
        <w:t>Wesco Cares</w:t>
      </w:r>
      <w:r>
        <w:rPr>
          <w:rFonts w:ascii="Arial" w:cs="Arial" w:eastAsia="Arial" w:hAnsi="Arial"/>
          <w:sz w:val="19"/>
          <w:szCs w:val="19"/>
          <w:color w:val="000E1E"/>
        </w:rPr>
        <w:t xml:space="preserve"> </w:t>
      </w:r>
      <w:r>
        <w:rPr>
          <w:rFonts w:ascii="Arial" w:cs="Arial" w:eastAsia="Arial" w:hAnsi="Arial"/>
          <w:sz w:val="19"/>
          <w:szCs w:val="19"/>
          <w:b w:val="1"/>
          <w:bCs w:val="1"/>
          <w:color w:val="000E1E"/>
        </w:rPr>
        <w:t>Scholarship Program</w:t>
      </w:r>
      <w:r>
        <w:rPr>
          <w:rFonts w:ascii="Arial" w:cs="Arial" w:eastAsia="Arial" w:hAnsi="Arial"/>
          <w:sz w:val="19"/>
          <w:szCs w:val="19"/>
          <w:color w:val="000E1E"/>
        </w:rPr>
        <w:t>.</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9"/>
          <w:szCs w:val="19"/>
          <w:color w:val="000E1E"/>
        </w:rPr>
        <w:t>Our annual Day of Caring showcased the strength of our culture and commitment to the communities where we live and work. Last year’s events brought together Wesco employees from across the globe with various nonprofit community partners. Wesco team members donated approximately $600,000 including Wesco Cares matches, an increase of more than 130% from 2024 and volunteered nearly 3,500 hours of their time in 2025. Our team’s dedication, resilience and ingenuity continue to be among Wesco’s greatest strengths.</w:t>
      </w:r>
    </w:p>
    <w:p>
      <w:pPr>
        <w:spacing w:after="0" w:line="140" w:lineRule="exact"/>
        <w:rPr>
          <w:sz w:val="20"/>
          <w:szCs w:val="20"/>
          <w:color w:val="auto"/>
        </w:rPr>
      </w:pPr>
    </w:p>
    <w:p>
      <w:pPr>
        <w:ind w:right="620"/>
        <w:spacing w:after="0" w:line="355" w:lineRule="auto"/>
        <w:rPr>
          <w:sz w:val="20"/>
          <w:szCs w:val="20"/>
          <w:color w:val="auto"/>
        </w:rPr>
      </w:pPr>
      <w:r>
        <w:rPr>
          <w:rFonts w:ascii="Arial" w:cs="Arial" w:eastAsia="Arial" w:hAnsi="Arial"/>
          <w:sz w:val="28"/>
          <w:szCs w:val="28"/>
          <w:b w:val="1"/>
          <w:bCs w:val="1"/>
          <w:color w:val="000E1E"/>
        </w:rPr>
        <w:t>Digitalizing and Transforming Our B2B Business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000E1E"/>
        </w:rPr>
        <w:t xml:space="preserve">Wesco’s vision is to become the best tech-enabled supply chain solutions provider in the world and the industry’s premier agnostic aggregator of data across the entire value chain — seamlessly integrating customers, suppliers and partners in a unified digital ecosystem. </w:t>
      </w:r>
      <w:r>
        <w:rPr>
          <w:rFonts w:ascii="Arial" w:cs="Arial" w:eastAsia="Arial" w:hAnsi="Arial"/>
          <w:sz w:val="19"/>
          <w:szCs w:val="19"/>
          <w:b w:val="1"/>
          <w:bCs w:val="1"/>
          <w:color w:val="000E1E"/>
        </w:rPr>
        <w:t>Key advancements include:</w:t>
      </w:r>
    </w:p>
    <w:p>
      <w:pPr>
        <w:spacing w:after="0" w:line="191" w:lineRule="exact"/>
        <w:rPr>
          <w:sz w:val="20"/>
          <w:szCs w:val="20"/>
          <w:color w:val="auto"/>
        </w:rPr>
      </w:pPr>
    </w:p>
    <w:p>
      <w:pPr>
        <w:ind w:left="140" w:hanging="140"/>
        <w:spacing w:after="0" w:line="238" w:lineRule="auto"/>
        <w:tabs>
          <w:tab w:leader="none" w:pos="133" w:val="left"/>
        </w:tabs>
        <w:numPr>
          <w:ilvl w:val="0"/>
          <w:numId w:val="5"/>
        </w:numPr>
        <w:rPr>
          <w:rFonts w:ascii="Arial" w:cs="Arial" w:eastAsia="Arial" w:hAnsi="Arial"/>
          <w:sz w:val="20"/>
          <w:szCs w:val="20"/>
          <w:color w:val="00B14C"/>
        </w:rPr>
      </w:pPr>
      <w:r>
        <w:rPr>
          <w:rFonts w:ascii="Arial" w:cs="Arial" w:eastAsia="Arial" w:hAnsi="Arial"/>
          <w:sz w:val="20"/>
          <w:szCs w:val="20"/>
          <w:color w:val="000E1E"/>
        </w:rPr>
        <w:t>Expansion of our customer management software, bringing Wesco data and capabilities to the fingertips of our global sales organization and enterprise functions.</w:t>
      </w:r>
    </w:p>
    <w:p>
      <w:pPr>
        <w:spacing w:after="0" w:line="207" w:lineRule="exact"/>
        <w:rPr>
          <w:rFonts w:ascii="Arial" w:cs="Arial" w:eastAsia="Arial" w:hAnsi="Arial"/>
          <w:sz w:val="20"/>
          <w:szCs w:val="20"/>
          <w:color w:val="00B14C"/>
        </w:rPr>
      </w:pPr>
    </w:p>
    <w:p>
      <w:pPr>
        <w:ind w:left="160" w:right="520" w:hanging="160"/>
        <w:spacing w:after="0" w:line="234" w:lineRule="auto"/>
        <w:tabs>
          <w:tab w:leader="none" w:pos="141" w:val="left"/>
        </w:tabs>
        <w:numPr>
          <w:ilvl w:val="0"/>
          <w:numId w:val="5"/>
        </w:numPr>
        <w:rPr>
          <w:rFonts w:ascii="Arial" w:cs="Arial" w:eastAsia="Arial" w:hAnsi="Arial"/>
          <w:sz w:val="20"/>
          <w:szCs w:val="20"/>
          <w:color w:val="00B14C"/>
        </w:rPr>
      </w:pPr>
      <w:r>
        <w:rPr>
          <w:rFonts w:ascii="Arial" w:cs="Arial" w:eastAsia="Arial" w:hAnsi="Arial"/>
          <w:sz w:val="20"/>
          <w:szCs w:val="20"/>
          <w:color w:val="000E1E"/>
        </w:rPr>
        <w:t>Improvements in customer experience through enhanced omnichannel connectivity and applications.</w:t>
      </w:r>
    </w:p>
    <w:p>
      <w:pPr>
        <w:spacing w:after="0" w:line="207" w:lineRule="exact"/>
        <w:rPr>
          <w:rFonts w:ascii="Arial" w:cs="Arial" w:eastAsia="Arial" w:hAnsi="Arial"/>
          <w:sz w:val="20"/>
          <w:szCs w:val="20"/>
          <w:color w:val="00B14C"/>
        </w:rPr>
      </w:pPr>
    </w:p>
    <w:p>
      <w:pPr>
        <w:ind w:left="140" w:right="220" w:hanging="140"/>
        <w:spacing w:after="0" w:line="234" w:lineRule="auto"/>
        <w:tabs>
          <w:tab w:leader="none" w:pos="133" w:val="left"/>
        </w:tabs>
        <w:numPr>
          <w:ilvl w:val="0"/>
          <w:numId w:val="5"/>
        </w:numPr>
        <w:rPr>
          <w:rFonts w:ascii="Arial" w:cs="Arial" w:eastAsia="Arial" w:hAnsi="Arial"/>
          <w:sz w:val="20"/>
          <w:szCs w:val="20"/>
          <w:color w:val="00B14C"/>
        </w:rPr>
      </w:pPr>
      <w:r>
        <w:rPr>
          <w:rFonts w:ascii="Arial" w:cs="Arial" w:eastAsia="Arial" w:hAnsi="Arial"/>
          <w:sz w:val="20"/>
          <w:szCs w:val="20"/>
          <w:color w:val="000E1E"/>
        </w:rPr>
        <w:t>Buildout of AI-enabled tools for cost and inventory management, quote-to-invoice cycles and sales lead generation.</w:t>
      </w:r>
    </w:p>
    <w:p>
      <w:pPr>
        <w:spacing w:after="0" w:line="207" w:lineRule="exact"/>
        <w:rPr>
          <w:rFonts w:ascii="Arial" w:cs="Arial" w:eastAsia="Arial" w:hAnsi="Arial"/>
          <w:sz w:val="20"/>
          <w:szCs w:val="20"/>
          <w:color w:val="00B14C"/>
        </w:rPr>
      </w:pPr>
    </w:p>
    <w:p>
      <w:pPr>
        <w:ind w:left="140" w:right="300" w:hanging="140"/>
        <w:spacing w:after="0" w:line="234" w:lineRule="auto"/>
        <w:tabs>
          <w:tab w:leader="none" w:pos="133" w:val="left"/>
        </w:tabs>
        <w:numPr>
          <w:ilvl w:val="0"/>
          <w:numId w:val="5"/>
        </w:numPr>
        <w:rPr>
          <w:rFonts w:ascii="Arial" w:cs="Arial" w:eastAsia="Arial" w:hAnsi="Arial"/>
          <w:sz w:val="20"/>
          <w:szCs w:val="20"/>
          <w:color w:val="00B14C"/>
        </w:rPr>
      </w:pPr>
      <w:r>
        <w:rPr>
          <w:rFonts w:ascii="Arial" w:cs="Arial" w:eastAsia="Arial" w:hAnsi="Arial"/>
          <w:sz w:val="20"/>
          <w:szCs w:val="20"/>
          <w:color w:val="000E1E"/>
        </w:rPr>
        <w:t>Growth of digital solutions to enable building intelligence, lifecycle management and advanced project execution.</w:t>
      </w:r>
    </w:p>
    <w:p>
      <w:pPr>
        <w:spacing w:after="0" w:line="207" w:lineRule="exact"/>
        <w:rPr>
          <w:sz w:val="20"/>
          <w:szCs w:val="20"/>
          <w:color w:val="auto"/>
        </w:rPr>
      </w:pPr>
    </w:p>
    <w:p>
      <w:pPr>
        <w:jc w:val="both"/>
        <w:ind w:right="420"/>
        <w:spacing w:after="0" w:line="238" w:lineRule="auto"/>
        <w:rPr>
          <w:sz w:val="20"/>
          <w:szCs w:val="20"/>
          <w:color w:val="auto"/>
        </w:rPr>
      </w:pPr>
      <w:r>
        <w:rPr>
          <w:rFonts w:ascii="Arial" w:cs="Arial" w:eastAsia="Arial" w:hAnsi="Arial"/>
          <w:sz w:val="20"/>
          <w:szCs w:val="20"/>
          <w:color w:val="000E1E"/>
        </w:rPr>
        <w:t>Our digital business transformation is designed to unlock the power of our big data, creating speed, accuracy, innovation and competitive advantage at scale.</w:t>
      </w:r>
    </w:p>
    <w:p>
      <w:pPr>
        <w:spacing w:after="0" w:line="174" w:lineRule="exact"/>
        <w:rPr>
          <w:sz w:val="20"/>
          <w:szCs w:val="20"/>
          <w:color w:val="auto"/>
        </w:rPr>
      </w:pPr>
    </w:p>
    <w:p>
      <w:pPr>
        <w:ind w:right="1000"/>
        <w:spacing w:after="0" w:line="368" w:lineRule="auto"/>
        <w:rPr>
          <w:sz w:val="20"/>
          <w:szCs w:val="20"/>
          <w:color w:val="auto"/>
        </w:rPr>
      </w:pPr>
      <w:r>
        <w:rPr>
          <w:rFonts w:ascii="Arial" w:cs="Arial" w:eastAsia="Arial" w:hAnsi="Arial"/>
          <w:sz w:val="27"/>
          <w:szCs w:val="27"/>
          <w:b w:val="1"/>
          <w:bCs w:val="1"/>
          <w:color w:val="000E1E"/>
        </w:rPr>
        <w:t>Advancing Our Ecosystem of Extraordinary Partners</w:t>
      </w:r>
    </w:p>
    <w:p>
      <w:pPr>
        <w:spacing w:after="0" w:line="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231F20"/>
        </w:rPr>
        <w:t xml:space="preserve">Partnerships across the value chain have always been a defining element of Wesco’s success. Our ecosystem spans architects, contractors, engineers, system integrators, specialized trades, suppliers, technology innovators and customers </w:t>
      </w:r>
      <w:r>
        <w:rPr>
          <w:rFonts w:ascii="Arial" w:cs="Arial" w:eastAsia="Arial" w:hAnsi="Arial"/>
          <w:sz w:val="18"/>
          <w:szCs w:val="18"/>
          <w:color w:val="000E1E"/>
        </w:rPr>
        <w:t>—</w:t>
      </w:r>
      <w:r>
        <w:rPr>
          <w:rFonts w:ascii="Arial" w:cs="Arial" w:eastAsia="Arial" w:hAnsi="Arial"/>
          <w:sz w:val="18"/>
          <w:szCs w:val="18"/>
          <w:color w:val="231F20"/>
        </w:rPr>
        <w:t xml:space="preserve"> each contributing to smarter, more connected outcomes across increasingly complex environments.</w:t>
      </w:r>
    </w:p>
    <w:p>
      <w:pPr>
        <w:spacing w:after="0" w:line="174" w:lineRule="exact"/>
        <w:rPr>
          <w:sz w:val="20"/>
          <w:szCs w:val="20"/>
          <w:color w:val="auto"/>
        </w:rPr>
      </w:pPr>
    </w:p>
    <w:p>
      <w:pPr>
        <w:ind w:right="460"/>
        <w:spacing w:after="0" w:line="259" w:lineRule="auto"/>
        <w:rPr>
          <w:sz w:val="20"/>
          <w:szCs w:val="20"/>
          <w:color w:val="auto"/>
        </w:rPr>
      </w:pPr>
      <w:r>
        <w:rPr>
          <w:rFonts w:ascii="Arial" w:cs="Arial" w:eastAsia="Arial" w:hAnsi="Arial"/>
          <w:sz w:val="19"/>
          <w:szCs w:val="19"/>
          <w:color w:val="231F20"/>
        </w:rPr>
        <w:t>Last year we strengthened our ability to serve as a strategic catalyst for innovation by integrating engineering collaboration, advisory services, project kitting, prefabrication, advanced wire and cable solutions and digital tools that improve job site efficiency and help customers manage labor challenges and global supply chain risks.</w:t>
      </w:r>
    </w:p>
    <w:p>
      <w:pPr>
        <w:spacing w:after="0" w:line="190"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231F20"/>
        </w:rPr>
        <w:t>Our supplier relationships continued to deepen as well, helping us to innovate next generation solutions in automation, IoT, power and security to reduce risk, accelerate deployment and create value.</w:t>
      </w:r>
    </w:p>
    <w:p>
      <w:pPr>
        <w:spacing w:after="0" w:line="390" w:lineRule="exact"/>
        <w:rPr>
          <w:sz w:val="20"/>
          <w:szCs w:val="20"/>
          <w:color w:val="auto"/>
        </w:rPr>
      </w:pPr>
    </w:p>
    <w:p>
      <w:pPr>
        <w:sectPr>
          <w:pgSz w:w="11880" w:h="15480" w:orient="portrait"/>
          <w:cols w:equalWidth="0" w:num="2">
            <w:col w:w="4680" w:space="360"/>
            <w:col w:w="4560"/>
          </w:cols>
          <w:pgMar w:left="1080" w:top="940" w:right="1200" w:bottom="647" w:gutter="0" w:footer="0" w:header="0"/>
        </w:sectPr>
      </w:pPr>
    </w:p>
    <w:p>
      <w:pPr>
        <w:spacing w:after="0" w:line="204" w:lineRule="auto"/>
        <w:rPr>
          <w:sz w:val="20"/>
          <w:szCs w:val="20"/>
          <w:color w:val="auto"/>
        </w:rPr>
      </w:pPr>
      <w:r>
        <w:rPr>
          <w:rFonts w:ascii="Arial" w:cs="Arial" w:eastAsia="Arial" w:hAnsi="Arial"/>
          <w:sz w:val="20"/>
          <w:szCs w:val="20"/>
          <w:color w:val="000E1E"/>
        </w:rPr>
        <w:t>Our tech-enabled business transformation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-64135</wp:posOffset>
            </wp:positionV>
            <wp:extent cx="4758690" cy="1139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4758690" cy="11391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000E1E"/>
        </w:rPr>
        <w:t>fundamentally reshaping how we operate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000E1E"/>
        </w:rPr>
        <w:t>provide supply chain solutions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5592445</wp:posOffset>
            </wp:positionH>
            <wp:positionV relativeFrom="paragraph">
              <wp:posOffset>132080</wp:posOffset>
            </wp:positionV>
            <wp:extent cx="593725" cy="130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593725" cy="130810"/>
                    </a:xfrm>
                    <a:prstGeom prst="rect">
                      <a:avLst/>
                    </a:prstGeom>
                    <a:noFill/>
                  </pic:spPr>
                </pic:pic>
              </a:graphicData>
            </a:graphic>
          </wp:anchor>
        </w:drawing>
      </w:r>
    </w:p>
    <w:p>
      <w:pPr>
        <w:sectPr>
          <w:pgSz w:w="11880" w:h="15480" w:orient="portrait"/>
          <w:cols w:equalWidth="0" w:num="1">
            <w:col w:w="9600"/>
          </w:cols>
          <w:pgMar w:left="1080" w:top="940" w:right="1200" w:bottom="647" w:gutter="0" w:footer="0" w:header="0"/>
          <w:type w:val="continuous"/>
        </w:sectPr>
      </w:pPr>
    </w:p>
    <w:bookmarkStart w:id="5" w:name="page6"/>
    <w:bookmarkEnd w:id="5"/>
    <w:p>
      <w:pPr>
        <w:ind w:left="37"/>
        <w:spacing w:after="0"/>
        <w:rPr>
          <w:sz w:val="20"/>
          <w:szCs w:val="20"/>
          <w:color w:val="auto"/>
        </w:rPr>
      </w:pPr>
      <w:r>
        <w:rPr>
          <w:rFonts w:ascii="Arial" w:cs="Arial" w:eastAsia="Arial" w:hAnsi="Arial"/>
          <w:sz w:val="28"/>
          <w:szCs w:val="2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4376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7543800" cy="4376420"/>
                    </a:xfrm>
                    <a:prstGeom prst="rect">
                      <a:avLst/>
                    </a:prstGeom>
                    <a:noFill/>
                  </pic:spPr>
                </pic:pic>
              </a:graphicData>
            </a:graphic>
          </wp:anchor>
        </w:drawing>
        <w:t>Superior Shareholder Return Over the Last Five Years</w:t>
      </w:r>
    </w:p>
    <w:p>
      <w:pPr>
        <w:sectPr>
          <w:pgSz w:w="11880" w:h="15480" w:orient="portrait"/>
          <w:cols w:equalWidth="0" w:num="1">
            <w:col w:w="9757"/>
          </w:cols>
          <w:pgMar w:left="1043" w:top="943" w:right="1080" w:bottom="474" w:gutter="0" w:footer="0" w:header="0"/>
        </w:sect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860"/>
        </w:trPr>
        <w:tc>
          <w:tcPr>
            <w:tcW w:w="230" w:type="dxa"/>
            <w:vAlign w:val="bottom"/>
            <w:textDirection w:val="btLr"/>
          </w:tcPr>
          <w:p>
            <w:pPr>
              <w:spacing w:after="0"/>
              <w:rPr>
                <w:sz w:val="20"/>
                <w:szCs w:val="20"/>
                <w:color w:val="auto"/>
              </w:rPr>
            </w:pPr>
            <w:r>
              <w:rPr>
                <w:rFonts w:ascii="Arial" w:cs="Arial" w:eastAsia="Arial" w:hAnsi="Arial"/>
                <w:sz w:val="20"/>
                <w:szCs w:val="20"/>
                <w:b w:val="1"/>
                <w:bCs w:val="1"/>
                <w:color w:val="B7C9D3"/>
              </w:rPr>
              <w:t>Cumulative Investment Value*</w:t>
            </w: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ind w:right="-519"/>
        <w:spacing w:after="0"/>
        <w:rPr>
          <w:sz w:val="20"/>
          <w:szCs w:val="20"/>
          <w:color w:val="auto"/>
        </w:rPr>
      </w:pPr>
      <w:r>
        <w:rPr>
          <w:rFonts w:ascii="Arial" w:cs="Arial" w:eastAsia="Arial" w:hAnsi="Arial"/>
          <w:sz w:val="20"/>
          <w:szCs w:val="20"/>
          <w:b w:val="1"/>
          <w:bCs w:val="1"/>
          <w:color w:val="B7C9D3"/>
        </w:rPr>
        <w:t>Cumulative Total Shareholder Return</w:t>
      </w:r>
    </w:p>
    <w:p>
      <w:pPr>
        <w:spacing w:after="0" w:line="2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FFFFFF"/>
        </w:rPr>
        <w:t>Growth of $100 over 5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FFFFFF"/>
        </w:rPr>
        <w:t>$350</w:t>
      </w:r>
    </w:p>
    <w:p>
      <w:pPr>
        <w:spacing w:after="0" w:line="69"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FFFFFF"/>
        </w:rPr>
        <w:t>$300</w:t>
      </w:r>
      <w:r>
        <w:rPr>
          <w:sz w:val="20"/>
          <w:szCs w:val="20"/>
          <w:color w:val="auto"/>
        </w:rPr>
        <w:tab/>
      </w:r>
      <w:r>
        <w:rPr>
          <w:rFonts w:ascii="Arial" w:cs="Arial" w:eastAsia="Arial" w:hAnsi="Arial"/>
          <w:sz w:val="32"/>
          <w:szCs w:val="32"/>
          <w:b w:val="1"/>
          <w:bCs w:val="1"/>
          <w:color w:val="FFFFFF"/>
        </w:rPr>
        <w:t>$321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FFFFFF"/>
        </w:rPr>
        <w:t>$250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43"/>
        </w:trPr>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880" w:type="dxa"/>
            <w:vAlign w:val="bottom"/>
            <w:gridSpan w:val="3"/>
            <w:vMerge w:val="restart"/>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540" w:type="dxa"/>
            <w:vAlign w:val="bottom"/>
            <w:vMerge w:val="restart"/>
          </w:tcPr>
          <w:p>
            <w:pPr>
              <w:jc w:val="right"/>
              <w:ind w:right="90"/>
              <w:spacing w:after="0"/>
              <w:rPr>
                <w:sz w:val="20"/>
                <w:szCs w:val="20"/>
                <w:color w:val="auto"/>
              </w:rPr>
            </w:pPr>
            <w:r>
              <w:rPr>
                <w:rFonts w:ascii="Arial" w:cs="Arial" w:eastAsia="Arial" w:hAnsi="Arial"/>
                <w:sz w:val="18"/>
                <w:szCs w:val="18"/>
                <w:color w:val="FFFFFF"/>
                <w:w w:val="84"/>
              </w:rPr>
              <w:t>$200</w:t>
            </w:r>
          </w:p>
        </w:tc>
        <w:tc>
          <w:tcPr>
            <w:tcW w:w="600" w:type="dxa"/>
            <w:vAlign w:val="bottom"/>
            <w:tcBorders>
              <w:bottom w:val="single" w:sz="8" w:color="B9D0E5"/>
            </w:tcBorders>
          </w:tcPr>
          <w:p>
            <w:pPr>
              <w:spacing w:after="0"/>
              <w:rPr>
                <w:sz w:val="9"/>
                <w:szCs w:val="9"/>
                <w:color w:val="auto"/>
              </w:rPr>
            </w:pPr>
          </w:p>
        </w:tc>
        <w:tc>
          <w:tcPr>
            <w:tcW w:w="200" w:type="dxa"/>
            <w:vAlign w:val="bottom"/>
            <w:tcBorders>
              <w:bottom w:val="single" w:sz="8" w:color="B9D0E5"/>
            </w:tcBorders>
          </w:tcPr>
          <w:p>
            <w:pPr>
              <w:spacing w:after="0"/>
              <w:rPr>
                <w:sz w:val="9"/>
                <w:szCs w:val="9"/>
                <w:color w:val="auto"/>
              </w:rPr>
            </w:pPr>
          </w:p>
        </w:tc>
        <w:tc>
          <w:tcPr>
            <w:tcW w:w="240" w:type="dxa"/>
            <w:vAlign w:val="bottom"/>
            <w:tcBorders>
              <w:bottom w:val="single" w:sz="8" w:color="B9D0E5"/>
            </w:tcBorders>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Borders>
              <w:bottom w:val="single" w:sz="8" w:color="B9D0E5"/>
            </w:tcBorders>
          </w:tcPr>
          <w:p>
            <w:pPr>
              <w:spacing w:after="0"/>
              <w:rPr>
                <w:sz w:val="9"/>
                <w:szCs w:val="9"/>
                <w:color w:val="auto"/>
              </w:rPr>
            </w:pPr>
          </w:p>
        </w:tc>
        <w:tc>
          <w:tcPr>
            <w:tcW w:w="1400" w:type="dxa"/>
            <w:vAlign w:val="bottom"/>
            <w:tcBorders>
              <w:bottom w:val="single" w:sz="8" w:color="B9D0E5"/>
            </w:tcBorders>
          </w:tcPr>
          <w:p>
            <w:pPr>
              <w:spacing w:after="0"/>
              <w:rPr>
                <w:sz w:val="9"/>
                <w:szCs w:val="9"/>
                <w:color w:val="auto"/>
              </w:rPr>
            </w:pPr>
          </w:p>
        </w:tc>
        <w:tc>
          <w:tcPr>
            <w:tcW w:w="2880" w:type="dxa"/>
            <w:vAlign w:val="bottom"/>
            <w:tcBorders>
              <w:bottom w:val="single" w:sz="8" w:color="B9D0E5"/>
            </w:tcBorders>
            <w:gridSpan w:val="3"/>
            <w:vMerge w:val="continue"/>
          </w:tcPr>
          <w:p>
            <w:pPr>
              <w:spacing w:after="0"/>
              <w:rPr>
                <w:sz w:val="9"/>
                <w:szCs w:val="9"/>
                <w:color w:val="auto"/>
              </w:rPr>
            </w:pPr>
          </w:p>
        </w:tc>
        <w:tc>
          <w:tcPr>
            <w:tcW w:w="1160" w:type="dxa"/>
            <w:vAlign w:val="bottom"/>
            <w:tcBorders>
              <w:bottom w:val="single" w:sz="8" w:color="4C7998"/>
            </w:tcBorders>
            <w:shd w:val="clear" w:color="auto" w:fill="4C7998"/>
          </w:tcPr>
          <w:p>
            <w:pPr>
              <w:jc w:val="right"/>
              <w:ind w:right="135"/>
              <w:spacing w:after="0" w:line="114" w:lineRule="exact"/>
              <w:rPr>
                <w:sz w:val="20"/>
                <w:szCs w:val="20"/>
                <w:color w:val="auto"/>
              </w:rPr>
            </w:pPr>
            <w:r>
              <w:rPr>
                <w:rFonts w:ascii="Arial" w:cs="Arial" w:eastAsia="Arial" w:hAnsi="Arial"/>
                <w:sz w:val="13"/>
                <w:szCs w:val="13"/>
                <w:b w:val="1"/>
                <w:bCs w:val="1"/>
                <w:color w:val="FFFFFF"/>
              </w:rPr>
              <w:t>$219</w:t>
            </w:r>
          </w:p>
        </w:tc>
        <w:tc>
          <w:tcPr>
            <w:tcW w:w="880" w:type="dxa"/>
            <w:vAlign w:val="bottom"/>
            <w:tcBorders>
              <w:bottom w:val="single" w:sz="8" w:color="B9D0E5"/>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gridSpan w:val="2"/>
            <w:vMerge w:val="restart"/>
          </w:tcPr>
          <w:p>
            <w:pPr>
              <w:jc w:val="right"/>
              <w:ind w:right="140"/>
              <w:spacing w:after="0" w:line="342" w:lineRule="exact"/>
              <w:rPr>
                <w:sz w:val="20"/>
                <w:szCs w:val="20"/>
                <w:color w:val="auto"/>
              </w:rPr>
            </w:pPr>
            <w:r>
              <w:rPr>
                <w:rFonts w:ascii="Arial" w:cs="Arial" w:eastAsia="Arial" w:hAnsi="Arial"/>
                <w:sz w:val="32"/>
                <w:szCs w:val="32"/>
                <w:b w:val="1"/>
                <w:bCs w:val="1"/>
                <w:color w:val="000E1E"/>
              </w:rPr>
              <w:t>$155</w:t>
            </w:r>
          </w:p>
        </w:tc>
        <w:tc>
          <w:tcPr>
            <w:tcW w:w="1600" w:type="dxa"/>
            <w:vAlign w:val="bottom"/>
          </w:tcPr>
          <w:p>
            <w:pPr>
              <w:spacing w:after="0"/>
              <w:rPr>
                <w:sz w:val="7"/>
                <w:szCs w:val="7"/>
                <w:color w:val="auto"/>
              </w:rPr>
            </w:pPr>
          </w:p>
        </w:tc>
        <w:tc>
          <w:tcPr>
            <w:tcW w:w="1160" w:type="dxa"/>
            <w:vAlign w:val="bottom"/>
            <w:shd w:val="clear" w:color="auto" w:fill="4C7998"/>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40" w:type="dxa"/>
            <w:vAlign w:val="bottom"/>
            <w:vMerge w:val="restart"/>
          </w:tcPr>
          <w:p>
            <w:pPr>
              <w:jc w:val="right"/>
              <w:ind w:right="90"/>
              <w:spacing w:after="0"/>
              <w:rPr>
                <w:sz w:val="20"/>
                <w:szCs w:val="20"/>
                <w:color w:val="auto"/>
              </w:rPr>
            </w:pPr>
            <w:r>
              <w:rPr>
                <w:rFonts w:ascii="Arial" w:cs="Arial" w:eastAsia="Arial" w:hAnsi="Arial"/>
                <w:sz w:val="18"/>
                <w:szCs w:val="18"/>
                <w:color w:val="FFFFFF"/>
                <w:w w:val="84"/>
              </w:rPr>
              <w:t>$150</w:t>
            </w:r>
          </w:p>
        </w:tc>
        <w:tc>
          <w:tcPr>
            <w:tcW w:w="600" w:type="dxa"/>
            <w:vAlign w:val="bottom"/>
            <w:tcBorders>
              <w:bottom w:val="single" w:sz="8" w:color="B9D0E5"/>
            </w:tcBorders>
          </w:tcPr>
          <w:p>
            <w:pPr>
              <w:spacing w:after="0"/>
              <w:rPr>
                <w:sz w:val="24"/>
                <w:szCs w:val="24"/>
                <w:color w:val="auto"/>
              </w:rPr>
            </w:pPr>
          </w:p>
        </w:tc>
        <w:tc>
          <w:tcPr>
            <w:tcW w:w="200" w:type="dxa"/>
            <w:vAlign w:val="bottom"/>
            <w:tcBorders>
              <w:bottom w:val="single" w:sz="8" w:color="B9D0E5"/>
            </w:tcBorders>
          </w:tcPr>
          <w:p>
            <w:pPr>
              <w:spacing w:after="0"/>
              <w:rPr>
                <w:sz w:val="24"/>
                <w:szCs w:val="24"/>
                <w:color w:val="auto"/>
              </w:rPr>
            </w:pPr>
          </w:p>
        </w:tc>
        <w:tc>
          <w:tcPr>
            <w:tcW w:w="240" w:type="dxa"/>
            <w:vAlign w:val="bottom"/>
            <w:tcBorders>
              <w:bottom w:val="single" w:sz="8" w:color="B9D0E5"/>
            </w:tcBorders>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Borders>
              <w:bottom w:val="single" w:sz="8" w:color="B9D0E5"/>
            </w:tcBorders>
          </w:tcPr>
          <w:p>
            <w:pPr>
              <w:spacing w:after="0"/>
              <w:rPr>
                <w:sz w:val="24"/>
                <w:szCs w:val="24"/>
                <w:color w:val="auto"/>
              </w:rPr>
            </w:pPr>
          </w:p>
        </w:tc>
        <w:tc>
          <w:tcPr>
            <w:tcW w:w="1400" w:type="dxa"/>
            <w:vAlign w:val="bottom"/>
            <w:tcBorders>
              <w:bottom w:val="single" w:sz="8" w:color="B9D0E5"/>
            </w:tcBorders>
          </w:tcPr>
          <w:p>
            <w:pPr>
              <w:spacing w:after="0"/>
              <w:rPr>
                <w:sz w:val="24"/>
                <w:szCs w:val="24"/>
                <w:color w:val="auto"/>
              </w:rPr>
            </w:pPr>
          </w:p>
        </w:tc>
        <w:tc>
          <w:tcPr>
            <w:tcW w:w="1280" w:type="dxa"/>
            <w:vAlign w:val="bottom"/>
            <w:tcBorders>
              <w:bottom w:val="single" w:sz="8" w:color="B9D0E5"/>
            </w:tcBorders>
            <w:gridSpan w:val="2"/>
            <w:vMerge w:val="continue"/>
          </w:tcPr>
          <w:p>
            <w:pPr>
              <w:spacing w:after="0"/>
              <w:rPr>
                <w:sz w:val="24"/>
                <w:szCs w:val="24"/>
                <w:color w:val="auto"/>
              </w:rPr>
            </w:pPr>
          </w:p>
        </w:tc>
        <w:tc>
          <w:tcPr>
            <w:tcW w:w="1600" w:type="dxa"/>
            <w:vAlign w:val="bottom"/>
            <w:tcBorders>
              <w:bottom w:val="single" w:sz="8" w:color="B9D0E5"/>
            </w:tcBorders>
          </w:tcPr>
          <w:p>
            <w:pPr>
              <w:spacing w:after="0"/>
              <w:rPr>
                <w:sz w:val="24"/>
                <w:szCs w:val="24"/>
                <w:color w:val="auto"/>
              </w:rPr>
            </w:pPr>
          </w:p>
        </w:tc>
        <w:tc>
          <w:tcPr>
            <w:tcW w:w="1160" w:type="dxa"/>
            <w:vAlign w:val="bottom"/>
            <w:tcBorders>
              <w:bottom w:val="single" w:sz="8" w:color="4C7998"/>
            </w:tcBorders>
            <w:shd w:val="clear" w:color="auto" w:fill="4C7998"/>
          </w:tcPr>
          <w:p>
            <w:pPr>
              <w:spacing w:after="0"/>
              <w:rPr>
                <w:sz w:val="24"/>
                <w:szCs w:val="24"/>
                <w:color w:val="auto"/>
              </w:rPr>
            </w:pPr>
          </w:p>
        </w:tc>
        <w:tc>
          <w:tcPr>
            <w:tcW w:w="880" w:type="dxa"/>
            <w:vAlign w:val="bottom"/>
            <w:tcBorders>
              <w:bottom w:val="single" w:sz="8" w:color="B9D0E5"/>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Borders>
              <w:right w:val="single" w:sz="8" w:color="B9D0E5"/>
            </w:tcBorders>
          </w:tcPr>
          <w:p>
            <w:pPr>
              <w:spacing w:after="0"/>
              <w:rPr>
                <w:sz w:val="5"/>
                <w:szCs w:val="5"/>
                <w:color w:val="auto"/>
              </w:rPr>
            </w:pPr>
          </w:p>
        </w:tc>
        <w:tc>
          <w:tcPr>
            <w:tcW w:w="1100" w:type="dxa"/>
            <w:vAlign w:val="bottom"/>
            <w:shd w:val="clear" w:color="auto" w:fill="B9D0E5"/>
          </w:tcPr>
          <w:p>
            <w:pPr>
              <w:spacing w:after="0"/>
              <w:rPr>
                <w:sz w:val="5"/>
                <w:szCs w:val="5"/>
                <w:color w:val="auto"/>
              </w:rPr>
            </w:pPr>
          </w:p>
        </w:tc>
        <w:tc>
          <w:tcPr>
            <w:tcW w:w="1600" w:type="dxa"/>
            <w:vAlign w:val="bottom"/>
          </w:tcPr>
          <w:p>
            <w:pPr>
              <w:spacing w:after="0"/>
              <w:rPr>
                <w:sz w:val="5"/>
                <w:szCs w:val="5"/>
                <w:color w:val="auto"/>
              </w:rPr>
            </w:pPr>
          </w:p>
        </w:tc>
        <w:tc>
          <w:tcPr>
            <w:tcW w:w="1160" w:type="dxa"/>
            <w:vAlign w:val="bottom"/>
            <w:shd w:val="clear" w:color="auto" w:fill="4C7998"/>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40" w:type="dxa"/>
            <w:vAlign w:val="bottom"/>
            <w:vMerge w:val="restart"/>
          </w:tcPr>
          <w:p>
            <w:pPr>
              <w:jc w:val="right"/>
              <w:ind w:right="90"/>
              <w:spacing w:after="0"/>
              <w:rPr>
                <w:sz w:val="20"/>
                <w:szCs w:val="20"/>
                <w:color w:val="auto"/>
              </w:rPr>
            </w:pPr>
            <w:r>
              <w:rPr>
                <w:rFonts w:ascii="Arial" w:cs="Arial" w:eastAsia="Arial" w:hAnsi="Arial"/>
                <w:sz w:val="18"/>
                <w:szCs w:val="18"/>
                <w:color w:val="FFFFFF"/>
                <w:w w:val="84"/>
              </w:rPr>
              <w:t>$100</w:t>
            </w:r>
          </w:p>
        </w:tc>
        <w:tc>
          <w:tcPr>
            <w:tcW w:w="600" w:type="dxa"/>
            <w:vAlign w:val="bottom"/>
            <w:tcBorders>
              <w:bottom w:val="single" w:sz="8" w:color="B9D0E5"/>
            </w:tcBorders>
          </w:tcPr>
          <w:p>
            <w:pPr>
              <w:spacing w:after="0"/>
              <w:rPr>
                <w:sz w:val="24"/>
                <w:szCs w:val="24"/>
                <w:color w:val="auto"/>
              </w:rPr>
            </w:pPr>
          </w:p>
        </w:tc>
        <w:tc>
          <w:tcPr>
            <w:tcW w:w="200" w:type="dxa"/>
            <w:vAlign w:val="bottom"/>
            <w:tcBorders>
              <w:bottom w:val="single" w:sz="8" w:color="B9D0E5"/>
            </w:tcBorders>
          </w:tcPr>
          <w:p>
            <w:pPr>
              <w:spacing w:after="0"/>
              <w:rPr>
                <w:sz w:val="24"/>
                <w:szCs w:val="24"/>
                <w:color w:val="auto"/>
              </w:rPr>
            </w:pPr>
          </w:p>
        </w:tc>
        <w:tc>
          <w:tcPr>
            <w:tcW w:w="240" w:type="dxa"/>
            <w:vAlign w:val="bottom"/>
            <w:tcBorders>
              <w:bottom w:val="single" w:sz="8" w:color="B9D0E5"/>
            </w:tcBorders>
          </w:tcPr>
          <w:p>
            <w:pPr>
              <w:spacing w:after="0"/>
              <w:rPr>
                <w:sz w:val="24"/>
                <w:szCs w:val="24"/>
                <w:color w:val="auto"/>
              </w:rPr>
            </w:pPr>
          </w:p>
        </w:tc>
        <w:tc>
          <w:tcPr>
            <w:tcW w:w="1100" w:type="dxa"/>
            <w:vAlign w:val="bottom"/>
            <w:tcBorders>
              <w:bottom w:val="single" w:sz="8" w:color="B9D0E5"/>
            </w:tcBorders>
          </w:tcPr>
          <w:p>
            <w:pPr>
              <w:spacing w:after="0"/>
              <w:rPr>
                <w:sz w:val="24"/>
                <w:szCs w:val="24"/>
                <w:color w:val="auto"/>
              </w:rPr>
            </w:pPr>
          </w:p>
        </w:tc>
        <w:tc>
          <w:tcPr>
            <w:tcW w:w="180" w:type="dxa"/>
            <w:vAlign w:val="bottom"/>
            <w:tcBorders>
              <w:bottom w:val="single" w:sz="8" w:color="B9D0E5"/>
            </w:tcBorders>
          </w:tcPr>
          <w:p>
            <w:pPr>
              <w:spacing w:after="0"/>
              <w:rPr>
                <w:sz w:val="24"/>
                <w:szCs w:val="24"/>
                <w:color w:val="auto"/>
              </w:rPr>
            </w:pPr>
          </w:p>
        </w:tc>
        <w:tc>
          <w:tcPr>
            <w:tcW w:w="1400" w:type="dxa"/>
            <w:vAlign w:val="bottom"/>
            <w:tcBorders>
              <w:bottom w:val="single" w:sz="8" w:color="B9D0E5"/>
            </w:tcBorders>
          </w:tcPr>
          <w:p>
            <w:pPr>
              <w:spacing w:after="0"/>
              <w:rPr>
                <w:sz w:val="24"/>
                <w:szCs w:val="24"/>
                <w:color w:val="auto"/>
              </w:rPr>
            </w:pPr>
          </w:p>
        </w:tc>
        <w:tc>
          <w:tcPr>
            <w:tcW w:w="180" w:type="dxa"/>
            <w:vAlign w:val="bottom"/>
            <w:tcBorders>
              <w:bottom w:val="single" w:sz="8" w:color="B9D0E5"/>
              <w:right w:val="single" w:sz="8" w:color="B9D0E5"/>
            </w:tcBorders>
          </w:tcPr>
          <w:p>
            <w:pPr>
              <w:spacing w:after="0"/>
              <w:rPr>
                <w:sz w:val="24"/>
                <w:szCs w:val="24"/>
                <w:color w:val="auto"/>
              </w:rPr>
            </w:pPr>
          </w:p>
        </w:tc>
        <w:tc>
          <w:tcPr>
            <w:tcW w:w="1100" w:type="dxa"/>
            <w:vAlign w:val="bottom"/>
            <w:tcBorders>
              <w:bottom w:val="single" w:sz="8" w:color="B9D0E5"/>
            </w:tcBorders>
            <w:shd w:val="clear" w:color="auto" w:fill="B9D0E5"/>
          </w:tcPr>
          <w:p>
            <w:pPr>
              <w:spacing w:after="0"/>
              <w:rPr>
                <w:sz w:val="24"/>
                <w:szCs w:val="24"/>
                <w:color w:val="auto"/>
              </w:rPr>
            </w:pPr>
          </w:p>
        </w:tc>
        <w:tc>
          <w:tcPr>
            <w:tcW w:w="1600" w:type="dxa"/>
            <w:vAlign w:val="bottom"/>
            <w:tcBorders>
              <w:bottom w:val="single" w:sz="8" w:color="B9D0E5"/>
            </w:tcBorders>
          </w:tcPr>
          <w:p>
            <w:pPr>
              <w:spacing w:after="0"/>
              <w:rPr>
                <w:sz w:val="24"/>
                <w:szCs w:val="24"/>
                <w:color w:val="auto"/>
              </w:rPr>
            </w:pPr>
          </w:p>
        </w:tc>
        <w:tc>
          <w:tcPr>
            <w:tcW w:w="1160" w:type="dxa"/>
            <w:vAlign w:val="bottom"/>
            <w:tcBorders>
              <w:bottom w:val="single" w:sz="8" w:color="4C7998"/>
            </w:tcBorders>
            <w:shd w:val="clear" w:color="auto" w:fill="4C7998"/>
          </w:tcPr>
          <w:p>
            <w:pPr>
              <w:spacing w:after="0"/>
              <w:rPr>
                <w:sz w:val="24"/>
                <w:szCs w:val="24"/>
                <w:color w:val="auto"/>
              </w:rPr>
            </w:pPr>
          </w:p>
        </w:tc>
        <w:tc>
          <w:tcPr>
            <w:tcW w:w="880" w:type="dxa"/>
            <w:vAlign w:val="bottom"/>
            <w:tcBorders>
              <w:bottom w:val="single" w:sz="8" w:color="B9D0E5"/>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5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FFFFFF"/>
              </w:rPr>
              <w:t>Wesco Intl. Inc.</w:t>
            </w:r>
          </w:p>
        </w:tc>
        <w:tc>
          <w:tcPr>
            <w:tcW w:w="180" w:type="dxa"/>
            <w:vAlign w:val="bottom"/>
          </w:tcPr>
          <w:p>
            <w:pPr>
              <w:spacing w:after="0"/>
              <w:rPr>
                <w:sz w:val="6"/>
                <w:szCs w:val="6"/>
                <w:color w:val="auto"/>
              </w:rPr>
            </w:pPr>
          </w:p>
        </w:tc>
        <w:tc>
          <w:tcPr>
            <w:tcW w:w="1400" w:type="dxa"/>
            <w:vAlign w:val="bottom"/>
            <w:vMerge w:val="restart"/>
          </w:tcPr>
          <w:p>
            <w:pPr>
              <w:ind w:left="80"/>
              <w:spacing w:after="0"/>
              <w:rPr>
                <w:sz w:val="20"/>
                <w:szCs w:val="20"/>
                <w:color w:val="auto"/>
              </w:rPr>
            </w:pPr>
            <w:r>
              <w:rPr>
                <w:rFonts w:ascii="Arial" w:cs="Arial" w:eastAsia="Arial" w:hAnsi="Arial"/>
                <w:sz w:val="16"/>
                <w:szCs w:val="16"/>
                <w:b w:val="1"/>
                <w:bCs w:val="1"/>
                <w:color w:val="FFFFFF"/>
              </w:rPr>
              <w:t>S&amp;P MidCap 400</w:t>
            </w:r>
          </w:p>
        </w:tc>
        <w:tc>
          <w:tcPr>
            <w:tcW w:w="180" w:type="dxa"/>
            <w:vAlign w:val="bottom"/>
          </w:tcPr>
          <w:p>
            <w:pPr>
              <w:spacing w:after="0"/>
              <w:rPr>
                <w:sz w:val="6"/>
                <w:szCs w:val="6"/>
                <w:color w:val="auto"/>
              </w:rPr>
            </w:pPr>
          </w:p>
        </w:tc>
        <w:tc>
          <w:tcPr>
            <w:tcW w:w="474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FFFFFF"/>
              </w:rPr>
              <w:t>Dow Jones U.S. Industrial Suppliers Index</w:t>
            </w:r>
          </w:p>
        </w:tc>
        <w:tc>
          <w:tcPr>
            <w:tcW w:w="0" w:type="dxa"/>
            <w:vAlign w:val="bottom"/>
          </w:tcPr>
          <w:p>
            <w:pPr>
              <w:spacing w:after="0"/>
              <w:rPr>
                <w:sz w:val="1"/>
                <w:szCs w:val="1"/>
                <w:color w:val="auto"/>
              </w:rPr>
            </w:pPr>
          </w:p>
        </w:tc>
      </w:tr>
      <w:tr>
        <w:trPr>
          <w:trHeight w:val="110"/>
        </w:trPr>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shd w:val="clear" w:color="auto" w:fill="00B14C"/>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Borders>
              <w:left w:val="single" w:sz="8" w:color="B7C9D3"/>
            </w:tcBorders>
            <w:shd w:val="clear" w:color="auto" w:fill="B7C9D3"/>
          </w:tcPr>
          <w:p>
            <w:pPr>
              <w:spacing w:after="0"/>
              <w:rPr>
                <w:sz w:val="16"/>
                <w:szCs w:val="16"/>
                <w:color w:val="auto"/>
              </w:rPr>
            </w:pPr>
          </w:p>
        </w:tc>
        <w:tc>
          <w:tcPr>
            <w:tcW w:w="1400" w:type="dxa"/>
            <w:vAlign w:val="bottom"/>
            <w:vMerge w:val="continue"/>
          </w:tcPr>
          <w:p>
            <w:pPr>
              <w:spacing w:after="0"/>
              <w:rPr>
                <w:sz w:val="16"/>
                <w:szCs w:val="16"/>
                <w:color w:val="auto"/>
              </w:rPr>
            </w:pPr>
          </w:p>
        </w:tc>
        <w:tc>
          <w:tcPr>
            <w:tcW w:w="180" w:type="dxa"/>
            <w:vAlign w:val="bottom"/>
            <w:tcBorders>
              <w:right w:val="single" w:sz="8" w:color="4C7998"/>
            </w:tcBorders>
            <w:shd w:val="clear" w:color="auto" w:fill="4C7998"/>
          </w:tcPr>
          <w:p>
            <w:pPr>
              <w:spacing w:after="0"/>
              <w:rPr>
                <w:sz w:val="16"/>
                <w:szCs w:val="16"/>
                <w:color w:val="auto"/>
              </w:rPr>
            </w:pPr>
          </w:p>
        </w:tc>
        <w:tc>
          <w:tcPr>
            <w:tcW w:w="47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880" w:h="15480" w:orient="portrait"/>
          <w:cols w:equalWidth="0" w:num="2">
            <w:col w:w="230" w:space="347"/>
            <w:col w:w="9180"/>
          </w:cols>
          <w:pgMar w:left="1043" w:top="943" w:right="1080" w:bottom="474" w:gutter="0" w:footer="0" w:header="0"/>
          <w:type w:val="continuous"/>
        </w:sectPr>
      </w:pPr>
    </w:p>
    <w:p>
      <w:pPr>
        <w:jc w:val="center"/>
        <w:ind w:right="-36"/>
        <w:spacing w:after="0"/>
        <w:rPr>
          <w:sz w:val="20"/>
          <w:szCs w:val="20"/>
          <w:color w:val="auto"/>
        </w:rPr>
      </w:pPr>
      <w:r>
        <w:rPr>
          <w:rFonts w:ascii="Arial" w:cs="Arial" w:eastAsia="Arial" w:hAnsi="Arial"/>
          <w:sz w:val="14"/>
          <w:szCs w:val="14"/>
          <w:b w:val="1"/>
          <w:bCs w:val="1"/>
          <w:i w:val="1"/>
          <w:iCs w:val="1"/>
          <w:color w:val="FFFFFF"/>
        </w:rPr>
        <w:t>*The chart compares the performance of $100 invested in Wesco International, Inc., on 12/31/2020, including reinvestment of dividends.</w:t>
      </w:r>
    </w:p>
    <w:p>
      <w:pPr>
        <w:sectPr>
          <w:pgSz w:w="11880" w:h="15480" w:orient="portrait"/>
          <w:cols w:equalWidth="0" w:num="1">
            <w:col w:w="9757"/>
          </w:cols>
          <w:pgMar w:left="1043" w:top="943" w:right="1080" w:bottom="4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 w:right="400"/>
        <w:spacing w:after="0" w:line="368" w:lineRule="auto"/>
        <w:rPr>
          <w:sz w:val="20"/>
          <w:szCs w:val="20"/>
          <w:color w:val="auto"/>
        </w:rPr>
      </w:pPr>
      <w:r>
        <w:rPr>
          <w:rFonts w:ascii="Arial" w:cs="Arial" w:eastAsia="Arial" w:hAnsi="Arial"/>
          <w:sz w:val="28"/>
          <w:szCs w:val="28"/>
          <w:b w:val="1"/>
          <w:bCs w:val="1"/>
          <w:color w:val="000E1E"/>
        </w:rPr>
        <w:t>Extending Our Industry Leading Scale and Value Proposition</w:t>
      </w:r>
    </w:p>
    <w:p>
      <w:pPr>
        <w:spacing w:after="0" w:line="2" w:lineRule="exact"/>
        <w:rPr>
          <w:sz w:val="20"/>
          <w:szCs w:val="20"/>
          <w:color w:val="auto"/>
        </w:rPr>
      </w:pPr>
    </w:p>
    <w:p>
      <w:pPr>
        <w:ind w:left="37" w:right="120"/>
        <w:spacing w:after="0" w:line="266" w:lineRule="auto"/>
        <w:rPr>
          <w:sz w:val="20"/>
          <w:szCs w:val="20"/>
          <w:color w:val="auto"/>
        </w:rPr>
      </w:pPr>
      <w:r>
        <w:rPr>
          <w:rFonts w:ascii="Arial" w:cs="Arial" w:eastAsia="Arial" w:hAnsi="Arial"/>
          <w:sz w:val="19"/>
          <w:szCs w:val="19"/>
          <w:color w:val="000E1E"/>
        </w:rPr>
        <w:t>Looking ahead, Wesco is exceptionally well positioned to deliver continued market out-performance.</w:t>
      </w:r>
    </w:p>
    <w:p>
      <w:pPr>
        <w:spacing w:after="0" w:line="36" w:lineRule="exact"/>
        <w:rPr>
          <w:sz w:val="20"/>
          <w:szCs w:val="20"/>
          <w:color w:val="auto"/>
        </w:rPr>
      </w:pPr>
    </w:p>
    <w:p>
      <w:pPr>
        <w:ind w:left="37"/>
        <w:spacing w:after="0" w:line="282" w:lineRule="auto"/>
        <w:rPr>
          <w:sz w:val="20"/>
          <w:szCs w:val="20"/>
          <w:color w:val="auto"/>
        </w:rPr>
      </w:pPr>
      <w:r>
        <w:rPr>
          <w:rFonts w:ascii="Arial" w:cs="Arial" w:eastAsia="Arial" w:hAnsi="Arial"/>
          <w:sz w:val="19"/>
          <w:szCs w:val="19"/>
          <w:color w:val="000E1E"/>
        </w:rPr>
        <w:t>The enduring secular trends shaping our future — digitalization, power generation and reliability, and supply chain resiliency — continue, and our capabilities map directly to addressing these needs. Our capital allocation strategy prioritizes organic investments and strategic acquisitions including services and digital platforms, while sustaining our stock buyback program and continuing to increase our dividend.</w:t>
      </w:r>
    </w:p>
    <w:p>
      <w:pPr>
        <w:spacing w:after="0" w:line="264" w:lineRule="exact"/>
        <w:rPr>
          <w:sz w:val="20"/>
          <w:szCs w:val="20"/>
          <w:color w:val="auto"/>
        </w:rPr>
      </w:pPr>
    </w:p>
    <w:p>
      <w:pPr>
        <w:ind w:left="37"/>
        <w:spacing w:after="0"/>
        <w:rPr>
          <w:sz w:val="20"/>
          <w:szCs w:val="20"/>
          <w:color w:val="auto"/>
        </w:rPr>
      </w:pPr>
      <w:r>
        <w:rPr>
          <w:rFonts w:ascii="Arial" w:cs="Arial" w:eastAsia="Arial" w:hAnsi="Arial"/>
          <w:sz w:val="21"/>
          <w:szCs w:val="21"/>
          <w:b w:val="1"/>
          <w:bCs w:val="1"/>
          <w:color w:val="000E1E"/>
        </w:rPr>
        <w:t>Our long term strategy focuses on:</w:t>
      </w:r>
    </w:p>
    <w:p>
      <w:pPr>
        <w:spacing w:after="0" w:line="308" w:lineRule="exact"/>
        <w:rPr>
          <w:sz w:val="20"/>
          <w:szCs w:val="20"/>
          <w:color w:val="auto"/>
        </w:rPr>
      </w:pPr>
    </w:p>
    <w:p>
      <w:pPr>
        <w:ind w:left="177" w:right="100" w:hanging="134"/>
        <w:spacing w:after="0" w:line="245" w:lineRule="auto"/>
        <w:tabs>
          <w:tab w:leader="none" w:pos="178" w:val="left"/>
        </w:tabs>
        <w:numPr>
          <w:ilvl w:val="0"/>
          <w:numId w:val="6"/>
        </w:numPr>
        <w:rPr>
          <w:rFonts w:ascii="Arial" w:cs="Arial" w:eastAsia="Arial" w:hAnsi="Arial"/>
          <w:sz w:val="20"/>
          <w:szCs w:val="20"/>
          <w:color w:val="00B14C"/>
        </w:rPr>
      </w:pPr>
      <w:r>
        <w:rPr>
          <w:rFonts w:ascii="Arial" w:cs="Arial" w:eastAsia="Arial" w:hAnsi="Arial"/>
          <w:sz w:val="21"/>
          <w:szCs w:val="21"/>
          <w:color w:val="000E1E"/>
        </w:rPr>
        <w:t>Leveraging our global scale and our leading portfolio of products, services and solutions to effectively manage global supply chains and complex infrastructure projects.</w:t>
      </w:r>
    </w:p>
    <w:p>
      <w:pPr>
        <w:spacing w:after="0" w:line="193" w:lineRule="exact"/>
        <w:rPr>
          <w:rFonts w:ascii="Arial" w:cs="Arial" w:eastAsia="Arial" w:hAnsi="Arial"/>
          <w:sz w:val="20"/>
          <w:szCs w:val="20"/>
          <w:color w:val="00B14C"/>
        </w:rPr>
      </w:pPr>
    </w:p>
    <w:p>
      <w:pPr>
        <w:ind w:left="177" w:right="240" w:hanging="134"/>
        <w:spacing w:after="0" w:line="229" w:lineRule="auto"/>
        <w:tabs>
          <w:tab w:leader="none" w:pos="176" w:val="left"/>
        </w:tabs>
        <w:numPr>
          <w:ilvl w:val="0"/>
          <w:numId w:val="6"/>
        </w:numPr>
        <w:rPr>
          <w:rFonts w:ascii="Arial" w:cs="Arial" w:eastAsia="Arial" w:hAnsi="Arial"/>
          <w:sz w:val="20"/>
          <w:szCs w:val="20"/>
          <w:color w:val="00B14C"/>
        </w:rPr>
      </w:pPr>
      <w:r>
        <w:rPr>
          <w:rFonts w:ascii="Arial" w:cs="Arial" w:eastAsia="Arial" w:hAnsi="Arial"/>
          <w:sz w:val="21"/>
          <w:szCs w:val="21"/>
          <w:color w:val="000E1E"/>
        </w:rPr>
        <w:t>Expanding our mix of services, solutions and digital offerings.</w:t>
      </w:r>
    </w:p>
    <w:p>
      <w:pPr>
        <w:spacing w:after="0" w:line="199" w:lineRule="exact"/>
        <w:rPr>
          <w:rFonts w:ascii="Arial" w:cs="Arial" w:eastAsia="Arial" w:hAnsi="Arial"/>
          <w:sz w:val="20"/>
          <w:szCs w:val="20"/>
          <w:color w:val="00B14C"/>
        </w:rPr>
      </w:pPr>
    </w:p>
    <w:p>
      <w:pPr>
        <w:ind w:left="177" w:right="620" w:hanging="134"/>
        <w:spacing w:after="0" w:line="266" w:lineRule="auto"/>
        <w:tabs>
          <w:tab w:leader="none" w:pos="176" w:val="left"/>
        </w:tabs>
        <w:numPr>
          <w:ilvl w:val="0"/>
          <w:numId w:val="6"/>
        </w:numPr>
        <w:rPr>
          <w:rFonts w:ascii="Arial" w:cs="Arial" w:eastAsia="Arial" w:hAnsi="Arial"/>
          <w:sz w:val="18"/>
          <w:szCs w:val="18"/>
          <w:color w:val="00B14C"/>
        </w:rPr>
      </w:pPr>
      <w:r>
        <w:rPr>
          <w:rFonts w:ascii="Arial" w:cs="Arial" w:eastAsia="Arial" w:hAnsi="Arial"/>
          <w:sz w:val="19"/>
          <w:szCs w:val="19"/>
          <w:color w:val="000E1E"/>
        </w:rPr>
        <w:t>Driving operating leverage, expanding margins and increasing working capital efficiency.</w:t>
      </w:r>
    </w:p>
    <w:p>
      <w:pPr>
        <w:spacing w:after="0" w:line="175" w:lineRule="exact"/>
        <w:rPr>
          <w:rFonts w:ascii="Arial" w:cs="Arial" w:eastAsia="Arial" w:hAnsi="Arial"/>
          <w:sz w:val="18"/>
          <w:szCs w:val="18"/>
          <w:color w:val="00B14C"/>
        </w:rPr>
      </w:pPr>
    </w:p>
    <w:p>
      <w:pPr>
        <w:ind w:left="177" w:right="1140" w:hanging="134"/>
        <w:spacing w:after="0" w:line="229" w:lineRule="auto"/>
        <w:tabs>
          <w:tab w:leader="none" w:pos="176" w:val="left"/>
        </w:tabs>
        <w:numPr>
          <w:ilvl w:val="0"/>
          <w:numId w:val="6"/>
        </w:numPr>
        <w:rPr>
          <w:rFonts w:ascii="Arial" w:cs="Arial" w:eastAsia="Arial" w:hAnsi="Arial"/>
          <w:sz w:val="20"/>
          <w:szCs w:val="20"/>
          <w:color w:val="00B14C"/>
        </w:rPr>
      </w:pPr>
      <w:r>
        <w:rPr>
          <w:rFonts w:ascii="Arial" w:cs="Arial" w:eastAsia="Arial" w:hAnsi="Arial"/>
          <w:sz w:val="21"/>
          <w:szCs w:val="21"/>
          <w:color w:val="000E1E"/>
        </w:rPr>
        <w:t>Further developing our team and culture of excellence.</w:t>
      </w:r>
    </w:p>
    <w:p>
      <w:pPr>
        <w:spacing w:after="0" w:line="199" w:lineRule="exact"/>
        <w:rPr>
          <w:rFonts w:ascii="Arial" w:cs="Arial" w:eastAsia="Arial" w:hAnsi="Arial"/>
          <w:sz w:val="20"/>
          <w:szCs w:val="20"/>
          <w:color w:val="00B14C"/>
        </w:rPr>
      </w:pPr>
    </w:p>
    <w:p>
      <w:pPr>
        <w:ind w:left="177" w:right="620" w:hanging="134"/>
        <w:spacing w:after="0" w:line="229" w:lineRule="auto"/>
        <w:tabs>
          <w:tab w:leader="none" w:pos="178" w:val="left"/>
        </w:tabs>
        <w:numPr>
          <w:ilvl w:val="0"/>
          <w:numId w:val="6"/>
        </w:numPr>
        <w:rPr>
          <w:rFonts w:ascii="Arial" w:cs="Arial" w:eastAsia="Arial" w:hAnsi="Arial"/>
          <w:sz w:val="20"/>
          <w:szCs w:val="20"/>
          <w:color w:val="00B14C"/>
        </w:rPr>
      </w:pPr>
      <w:r>
        <w:rPr>
          <w:rFonts w:ascii="Arial" w:cs="Arial" w:eastAsia="Arial" w:hAnsi="Arial"/>
          <w:sz w:val="21"/>
          <w:szCs w:val="21"/>
          <w:color w:val="000E1E"/>
        </w:rPr>
        <w:t>Accelerating speed to value through our digital business transformation.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42" w:lineRule="auto"/>
        <w:rPr>
          <w:sz w:val="20"/>
          <w:szCs w:val="20"/>
          <w:color w:val="auto"/>
        </w:rPr>
      </w:pPr>
      <w:r>
        <w:rPr>
          <w:rFonts w:ascii="Arial" w:cs="Arial" w:eastAsia="Arial" w:hAnsi="Arial"/>
          <w:sz w:val="21"/>
          <w:szCs w:val="21"/>
          <w:color w:val="000E1E"/>
        </w:rPr>
        <w:t>As I reflect on 2025, I am again very proud of our talented and dedicated Wesco team, whose relentless focus on serving customers, advancing our tech-enabled business transformation and driving superior execution across our businesses is producing notable results.</w:t>
      </w:r>
    </w:p>
    <w:p>
      <w:pPr>
        <w:spacing w:after="0" w:line="295"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000E1E"/>
        </w:rPr>
        <w:t xml:space="preserve">To our customers </w:t>
      </w:r>
      <w:r>
        <w:rPr>
          <w:rFonts w:ascii="Arial" w:cs="Arial" w:eastAsia="Arial" w:hAnsi="Arial"/>
          <w:sz w:val="20"/>
          <w:szCs w:val="20"/>
          <w:color w:val="000E1E"/>
        </w:rPr>
        <w:t>—</w:t>
      </w:r>
      <w:r>
        <w:rPr>
          <w:rFonts w:ascii="Arial" w:cs="Arial" w:eastAsia="Arial" w:hAnsi="Arial"/>
          <w:sz w:val="21"/>
          <w:szCs w:val="21"/>
          <w:color w:val="000E1E"/>
        </w:rPr>
        <w:t xml:space="preserve"> thank you for placing your trust in Wesco and giving us the opportunity to support your most important initiatives and address your most pressing business needs.</w:t>
      </w:r>
    </w:p>
    <w:p>
      <w:pPr>
        <w:spacing w:after="0" w:line="47" w:lineRule="exact"/>
        <w:rPr>
          <w:sz w:val="20"/>
          <w:szCs w:val="20"/>
          <w:color w:val="auto"/>
        </w:rPr>
      </w:pPr>
    </w:p>
    <w:p>
      <w:pPr>
        <w:ind w:right="520"/>
        <w:spacing w:after="0" w:line="252" w:lineRule="auto"/>
        <w:rPr>
          <w:sz w:val="20"/>
          <w:szCs w:val="20"/>
          <w:color w:val="auto"/>
        </w:rPr>
      </w:pPr>
      <w:r>
        <w:rPr>
          <w:rFonts w:ascii="Arial" w:cs="Arial" w:eastAsia="Arial" w:hAnsi="Arial"/>
          <w:sz w:val="19"/>
          <w:szCs w:val="19"/>
          <w:color w:val="000E1E"/>
        </w:rPr>
        <w:t xml:space="preserve">To our suppliers </w:t>
      </w:r>
      <w:r>
        <w:rPr>
          <w:rFonts w:ascii="Arial" w:cs="Arial" w:eastAsia="Arial" w:hAnsi="Arial"/>
          <w:sz w:val="18"/>
          <w:szCs w:val="18"/>
          <w:color w:val="000E1E"/>
        </w:rPr>
        <w:t>—</w:t>
      </w:r>
      <w:r>
        <w:rPr>
          <w:rFonts w:ascii="Arial" w:cs="Arial" w:eastAsia="Arial" w:hAnsi="Arial"/>
          <w:sz w:val="19"/>
          <w:szCs w:val="19"/>
          <w:color w:val="000E1E"/>
        </w:rPr>
        <w:t xml:space="preserve"> thank you for your continuing support and our strong business partnerships.</w:t>
      </w:r>
    </w:p>
    <w:p>
      <w:pPr>
        <w:spacing w:after="0" w:line="28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000E1E"/>
        </w:rPr>
        <w:t xml:space="preserve">To our shareholders </w:t>
      </w:r>
      <w:r>
        <w:rPr>
          <w:rFonts w:ascii="Arial" w:cs="Arial" w:eastAsia="Arial" w:hAnsi="Arial"/>
          <w:sz w:val="18"/>
          <w:szCs w:val="18"/>
          <w:color w:val="000E1E"/>
        </w:rPr>
        <w:t>—</w:t>
      </w:r>
      <w:r>
        <w:rPr>
          <w:rFonts w:ascii="Arial" w:cs="Arial" w:eastAsia="Arial" w:hAnsi="Arial"/>
          <w:sz w:val="19"/>
          <w:szCs w:val="19"/>
          <w:color w:val="000E1E"/>
        </w:rPr>
        <w:t xml:space="preserve"> thank you for your investment in Wesco. We remain committed to delivering superior returns and generating exceptional shareholder value. Wesco enters 2026 with positive business momentum, a winning strategy and a steadfast commitment to delivering results that exceed your expectations, as we continue on our journey of becoming the best tech-enabled supply chain solutions provider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227330</wp:posOffset>
            </wp:positionV>
            <wp:extent cx="1030605" cy="506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10306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000E1E"/>
        </w:rPr>
        <w:t>John J. Engel</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000E1E"/>
        </w:rPr>
        <w:t>Chairman, President and Chief Executive Officer</w:t>
      </w:r>
    </w:p>
    <w:p>
      <w:pPr>
        <w:sectPr>
          <w:pgSz w:w="11880" w:h="15480" w:orient="portrait"/>
          <w:cols w:equalWidth="0" w:num="2">
            <w:col w:w="4797" w:space="280"/>
            <w:col w:w="4680"/>
          </w:cols>
          <w:pgMar w:left="1043" w:top="943" w:right="1080" w:bottom="474"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4"/>
          <w:szCs w:val="24"/>
          <w:b w:val="1"/>
          <w:bCs w:val="1"/>
          <w:color w:val="231F20"/>
        </w:rPr>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31F20"/>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(Mark One)</w:t>
      </w:r>
    </w:p>
    <w:p>
      <w:pPr>
        <w:spacing w:after="0" w:line="55" w:lineRule="exact"/>
        <w:rPr>
          <w:sz w:val="20"/>
          <w:szCs w:val="20"/>
          <w:color w:val="auto"/>
        </w:rPr>
      </w:pPr>
    </w:p>
    <w:p>
      <w:pPr>
        <w:ind w:left="1020" w:right="100" w:hanging="658"/>
        <w:spacing w:after="0" w:line="220" w:lineRule="auto"/>
        <w:tabs>
          <w:tab w:leader="none" w:pos="1020" w:val="left"/>
        </w:tabs>
        <w:numPr>
          <w:ilvl w:val="0"/>
          <w:numId w:val="7"/>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the fiscal year ended December 31, 2025</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137" w:lineRule="exact"/>
        <w:rPr>
          <w:sz w:val="20"/>
          <w:szCs w:val="20"/>
          <w:color w:val="auto"/>
        </w:rPr>
      </w:pPr>
    </w:p>
    <w:p>
      <w:pPr>
        <w:ind w:left="1020" w:right="480" w:hanging="658"/>
        <w:spacing w:after="0" w:line="220" w:lineRule="auto"/>
        <w:tabs>
          <w:tab w:leader="none" w:pos="1020" w:val="left"/>
        </w:tabs>
        <w:numPr>
          <w:ilvl w:val="0"/>
          <w:numId w:val="8"/>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TRANSITION REPORT PURSUANT TO SECTION 13 OR 15(d) OF THE SECURITIES EXCHANGE ACT OF 1934</w:t>
      </w:r>
    </w:p>
    <w:p>
      <w:pPr>
        <w:spacing w:after="0" w:line="71"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231F20"/>
        </w:rPr>
        <w:t>For the transition period from</w:t>
      </w:r>
      <w:r>
        <w:rPr>
          <w:sz w:val="20"/>
          <w:szCs w:val="20"/>
          <w:color w:val="auto"/>
        </w:rPr>
        <w:tab/>
      </w:r>
      <w:r>
        <w:rPr>
          <w:rFonts w:ascii="Times New Roman" w:cs="Times New Roman" w:eastAsia="Times New Roman" w:hAnsi="Times New Roman"/>
          <w:sz w:val="20"/>
          <w:szCs w:val="20"/>
          <w:color w:val="231F20"/>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1508125</wp:posOffset>
                </wp:positionH>
                <wp:positionV relativeFrom="paragraph">
                  <wp:posOffset>-5080</wp:posOffset>
                </wp:positionV>
                <wp:extent cx="6667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75pt,-0.3999pt" to="171.25pt,-0.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2273935</wp:posOffset>
                </wp:positionH>
                <wp:positionV relativeFrom="paragraph">
                  <wp:posOffset>-5080</wp:posOffset>
                </wp:positionV>
                <wp:extent cx="635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05pt,-0.3999pt" to="229.05pt,-0.3999pt" o:allowincell="f" strokecolor="#231F20" strokeweight="0.5pt"/>
            </w:pict>
          </mc:Fallback>
        </mc:AlternateConten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Commission file number 001-14989</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231F20"/>
        </w:rPr>
        <w:t>WESCO International, Inc.</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(Exact name of registrant as specified in its charter)</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45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231F20"/>
              </w:rPr>
              <w:t>Delaware</w:t>
            </w:r>
          </w:p>
        </w:tc>
        <w:tc>
          <w:tcPr>
            <w:tcW w:w="3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231F20"/>
              </w:rPr>
              <w:t>25-1723342</w:t>
            </w:r>
          </w:p>
        </w:tc>
      </w:tr>
      <w:tr>
        <w:trPr>
          <w:trHeight w:val="201"/>
        </w:trPr>
        <w:tc>
          <w:tcPr>
            <w:tcW w:w="4580" w:type="dxa"/>
            <w:vAlign w:val="bottom"/>
          </w:tcPr>
          <w:p>
            <w:pPr>
              <w:jc w:val="center"/>
              <w:ind w:right="1630"/>
              <w:spacing w:after="0" w:line="201" w:lineRule="exact"/>
              <w:rPr>
                <w:sz w:val="20"/>
                <w:szCs w:val="20"/>
                <w:color w:val="auto"/>
              </w:rPr>
            </w:pPr>
            <w:r>
              <w:rPr>
                <w:rFonts w:ascii="Times New Roman" w:cs="Times New Roman" w:eastAsia="Times New Roman" w:hAnsi="Times New Roman"/>
                <w:sz w:val="18"/>
                <w:szCs w:val="18"/>
                <w:color w:val="231F20"/>
              </w:rPr>
              <w:t>(State or other jurisdiction of</w:t>
            </w:r>
          </w:p>
        </w:tc>
        <w:tc>
          <w:tcPr>
            <w:tcW w:w="3080" w:type="dxa"/>
            <w:vAlign w:val="bottom"/>
          </w:tcPr>
          <w:p>
            <w:pPr>
              <w:jc w:val="center"/>
              <w:ind w:left="1650"/>
              <w:spacing w:after="0" w:line="201" w:lineRule="exact"/>
              <w:rPr>
                <w:sz w:val="20"/>
                <w:szCs w:val="20"/>
                <w:color w:val="auto"/>
              </w:rPr>
            </w:pPr>
            <w:r>
              <w:rPr>
                <w:rFonts w:ascii="Times New Roman" w:cs="Times New Roman" w:eastAsia="Times New Roman" w:hAnsi="Times New Roman"/>
                <w:sz w:val="18"/>
                <w:szCs w:val="18"/>
                <w:color w:val="231F20"/>
                <w:w w:val="99"/>
              </w:rPr>
              <w:t>(I.R.S. Employer</w:t>
            </w:r>
          </w:p>
        </w:tc>
      </w:tr>
      <w:tr>
        <w:trPr>
          <w:trHeight w:val="234"/>
        </w:trPr>
        <w:tc>
          <w:tcPr>
            <w:tcW w:w="45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231F20"/>
              </w:rPr>
              <w:t>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231F20"/>
                <w:w w:val="99"/>
              </w:rPr>
              <w:t>Identification No.)</w:t>
            </w:r>
          </w:p>
        </w:tc>
      </w:tr>
      <w:tr>
        <w:trPr>
          <w:trHeight w:val="360"/>
        </w:trPr>
        <w:tc>
          <w:tcPr>
            <w:tcW w:w="45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231F20"/>
              </w:rPr>
              <w:t>225 West Station Square Drive</w:t>
            </w:r>
          </w:p>
        </w:tc>
        <w:tc>
          <w:tcPr>
            <w:tcW w:w="3080" w:type="dxa"/>
            <w:vAlign w:val="bottom"/>
          </w:tcPr>
          <w:p>
            <w:pPr>
              <w:spacing w:after="0"/>
              <w:rPr>
                <w:sz w:val="24"/>
                <w:szCs w:val="24"/>
                <w:color w:val="auto"/>
              </w:rPr>
            </w:pPr>
          </w:p>
        </w:tc>
      </w:tr>
      <w:tr>
        <w:trPr>
          <w:trHeight w:val="255"/>
        </w:trPr>
        <w:tc>
          <w:tcPr>
            <w:tcW w:w="45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231F20"/>
                <w:w w:val="99"/>
              </w:rPr>
              <w:t>Suite 700</w:t>
            </w:r>
          </w:p>
        </w:tc>
        <w:tc>
          <w:tcPr>
            <w:tcW w:w="3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231F20"/>
              </w:rPr>
              <w:t>15219</w:t>
            </w:r>
          </w:p>
        </w:tc>
      </w:tr>
      <w:tr>
        <w:trPr>
          <w:trHeight w:val="255"/>
        </w:trPr>
        <w:tc>
          <w:tcPr>
            <w:tcW w:w="45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231F20"/>
              </w:rPr>
              <w:t>Pittsburgh, Pennsylvania</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231F20"/>
                <w:w w:val="98"/>
              </w:rPr>
              <w:t>(Zip Code)</w:t>
            </w:r>
          </w:p>
        </w:tc>
      </w:tr>
      <w:tr>
        <w:trPr>
          <w:trHeight w:val="255"/>
        </w:trPr>
        <w:tc>
          <w:tcPr>
            <w:tcW w:w="45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231F20"/>
              </w:rPr>
              <w:t>(Address of principal executive offices)</w:t>
            </w:r>
          </w:p>
        </w:tc>
        <w:tc>
          <w:tcPr>
            <w:tcW w:w="3080" w:type="dxa"/>
            <w:vAlign w:val="bottom"/>
          </w:tcPr>
          <w:p>
            <w:pPr>
              <w:spacing w:after="0"/>
              <w:rPr>
                <w:sz w:val="22"/>
                <w:szCs w:val="22"/>
                <w:color w:val="auto"/>
              </w:rPr>
            </w:pPr>
          </w:p>
        </w:tc>
      </w:tr>
    </w:tbl>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(412) 454-2200</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(Registrant’s telephone number, including area code)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SECURITIES REGISTERED PURSUANT TO SECTION 12(b) OF THE ACT:</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Title of each class</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Trading Symbol(s)</w:t>
            </w:r>
          </w:p>
        </w:tc>
        <w:tc>
          <w:tcPr>
            <w:tcW w:w="2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Name of each exchange on which registered</w:t>
            </w:r>
          </w:p>
        </w:tc>
      </w:tr>
      <w:tr>
        <w:trPr>
          <w:trHeight w:val="47"/>
        </w:trPr>
        <w:tc>
          <w:tcPr>
            <w:tcW w:w="4080" w:type="dxa"/>
            <w:vAlign w:val="bottom"/>
            <w:tcBorders>
              <w:bottom w:val="single" w:sz="8" w:color="231F20"/>
            </w:tcBorders>
          </w:tcPr>
          <w:p>
            <w:pPr>
              <w:spacing w:after="0"/>
              <w:rPr>
                <w:sz w:val="4"/>
                <w:szCs w:val="4"/>
                <w:color w:val="auto"/>
              </w:rPr>
            </w:pPr>
          </w:p>
        </w:tc>
        <w:tc>
          <w:tcPr>
            <w:tcW w:w="260" w:type="dxa"/>
            <w:vAlign w:val="bottom"/>
          </w:tcPr>
          <w:p>
            <w:pPr>
              <w:spacing w:after="0"/>
              <w:rPr>
                <w:sz w:val="4"/>
                <w:szCs w:val="4"/>
                <w:color w:val="auto"/>
              </w:rPr>
            </w:pPr>
          </w:p>
        </w:tc>
        <w:tc>
          <w:tcPr>
            <w:tcW w:w="1760" w:type="dxa"/>
            <w:vAlign w:val="bottom"/>
            <w:tcBorders>
              <w:bottom w:val="single" w:sz="8" w:color="231F20"/>
            </w:tcBorders>
          </w:tcPr>
          <w:p>
            <w:pPr>
              <w:spacing w:after="0"/>
              <w:rPr>
                <w:sz w:val="4"/>
                <w:szCs w:val="4"/>
                <w:color w:val="auto"/>
              </w:rPr>
            </w:pPr>
          </w:p>
        </w:tc>
        <w:tc>
          <w:tcPr>
            <w:tcW w:w="260" w:type="dxa"/>
            <w:vAlign w:val="bottom"/>
          </w:tcPr>
          <w:p>
            <w:pPr>
              <w:spacing w:after="0"/>
              <w:rPr>
                <w:sz w:val="4"/>
                <w:szCs w:val="4"/>
                <w:color w:val="auto"/>
              </w:rPr>
            </w:pPr>
          </w:p>
        </w:tc>
        <w:tc>
          <w:tcPr>
            <w:tcW w:w="3540" w:type="dxa"/>
            <w:vAlign w:val="bottom"/>
            <w:tcBorders>
              <w:bottom w:val="single" w:sz="8" w:color="231F20"/>
            </w:tcBorders>
          </w:tcPr>
          <w:p>
            <w:pPr>
              <w:spacing w:after="0"/>
              <w:rPr>
                <w:sz w:val="4"/>
                <w:szCs w:val="4"/>
                <w:color w:val="auto"/>
              </w:rPr>
            </w:pPr>
          </w:p>
        </w:tc>
      </w:tr>
      <w:tr>
        <w:trPr>
          <w:trHeight w:val="260"/>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Common Stock, par value $.01 per share</w:t>
            </w:r>
          </w:p>
        </w:tc>
        <w:tc>
          <w:tcPr>
            <w:tcW w:w="26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WCC</w:t>
            </w:r>
          </w:p>
        </w:tc>
        <w:tc>
          <w:tcPr>
            <w:tcW w:w="260" w:type="dxa"/>
            <w:vAlign w:val="bottom"/>
          </w:tcPr>
          <w:p>
            <w:pPr>
              <w:spacing w:after="0"/>
              <w:rPr>
                <w:sz w:val="22"/>
                <w:szCs w:val="22"/>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New York Stock Exchange</w:t>
            </w:r>
          </w:p>
        </w:tc>
      </w:tr>
    </w:tbl>
    <w:p>
      <w:pPr>
        <w:spacing w:after="0" w:line="39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231F20"/>
        </w:rPr>
        <w:t xml:space="preserve">SECURITIES REGISTERED PURSUANT TO SECTION 12(g) OF THE ACT: </w:t>
      </w:r>
      <w:r>
        <w:rPr>
          <w:rFonts w:ascii="Times New Roman" w:cs="Times New Roman" w:eastAsia="Times New Roman" w:hAnsi="Times New Roman"/>
          <w:sz w:val="18"/>
          <w:szCs w:val="18"/>
          <w:color w:val="231F20"/>
        </w:rPr>
        <w:t>None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Indicate by check mark if the registrant is a well-known seasoned issuer, as defined in Rule 405 of the Securities Act. Yes </w:t>
      </w:r>
      <w:r>
        <w:rPr>
          <w:rFonts w:ascii="Arial" w:cs="Arial" w:eastAsia="Arial" w:hAnsi="Arial"/>
          <w:sz w:val="18"/>
          <w:szCs w:val="18"/>
          <w:color w:val="231F20"/>
        </w:rPr>
        <w:t>þ</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o</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Indicate by check mark if the registrant is not required to file reports pursuant to Section 13 or 15(d) of the Act. Yes </w:t>
      </w:r>
      <w:r>
        <w:rPr>
          <w:rFonts w:ascii="Arial" w:cs="Arial" w:eastAsia="Arial" w:hAnsi="Arial"/>
          <w:sz w:val="18"/>
          <w:szCs w:val="18"/>
          <w:color w:val="231F20"/>
        </w:rPr>
        <w:t>o</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þ</w:t>
      </w:r>
    </w:p>
    <w:p>
      <w:pPr>
        <w:spacing w:after="0" w:line="114" w:lineRule="exact"/>
        <w:rPr>
          <w:sz w:val="20"/>
          <w:szCs w:val="20"/>
          <w:color w:val="auto"/>
        </w:rPr>
      </w:pPr>
    </w:p>
    <w:p>
      <w:pPr>
        <w:ind w:right="80" w:firstLine="315"/>
        <w:spacing w:after="0" w:line="273"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231F20"/>
        </w:rPr>
        <w:t>þ</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o</w:t>
      </w:r>
    </w:p>
    <w:p>
      <w:pPr>
        <w:spacing w:after="0" w:line="61" w:lineRule="exact"/>
        <w:rPr>
          <w:sz w:val="20"/>
          <w:szCs w:val="20"/>
          <w:color w:val="auto"/>
        </w:rPr>
      </w:pPr>
    </w:p>
    <w:p>
      <w:pPr>
        <w:ind w:right="140" w:firstLine="315"/>
        <w:spacing w:after="0" w:line="263" w:lineRule="auto"/>
        <w:rPr>
          <w:sz w:val="20"/>
          <w:szCs w:val="20"/>
          <w:color w:val="auto"/>
        </w:rPr>
      </w:pPr>
      <w:r>
        <w:rPr>
          <w:rFonts w:ascii="Times New Roman" w:cs="Times New Roman" w:eastAsia="Times New Roman" w:hAnsi="Times New Roman"/>
          <w:sz w:val="18"/>
          <w:szCs w:val="18"/>
          <w:color w:val="231F20"/>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 xml:space="preserve"> 232.405 of this chapter) during the preceding 12 months (or for such shorter period that the registrant was required to submit such files). Yes </w:t>
      </w:r>
      <w:r>
        <w:rPr>
          <w:rFonts w:ascii="Arial" w:cs="Arial" w:eastAsia="Arial" w:hAnsi="Arial"/>
          <w:sz w:val="18"/>
          <w:szCs w:val="18"/>
          <w:color w:val="231F20"/>
        </w:rPr>
        <w:t>þ</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o</w:t>
      </w:r>
    </w:p>
    <w:p>
      <w:pPr>
        <w:spacing w:after="0" w:line="57" w:lineRule="exact"/>
        <w:rPr>
          <w:sz w:val="20"/>
          <w:szCs w:val="20"/>
          <w:color w:val="auto"/>
        </w:rPr>
      </w:pPr>
    </w:p>
    <w:p>
      <w:pPr>
        <w:ind w:firstLine="315"/>
        <w:spacing w:after="0" w:line="266"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0"/>
          <w:szCs w:val="20"/>
          <w:color w:val="auto"/>
        </w:rPr>
      </w:pPr>
    </w:p>
    <w:tbl>
      <w:tblPr>
        <w:tblLayout w:type="fixed"/>
        <w:tblInd w:w="118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182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231F20"/>
              </w:rPr>
              <w:t>☑</w:t>
            </w:r>
          </w:p>
        </w:tc>
        <w:tc>
          <w:tcPr>
            <w:tcW w:w="358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Accelerated Filer</w:t>
            </w:r>
          </w:p>
        </w:tc>
        <w:tc>
          <w:tcPr>
            <w:tcW w:w="32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231F20"/>
                <w:w w:val="75"/>
              </w:rPr>
              <w:t>☐</w:t>
            </w:r>
          </w:p>
        </w:tc>
      </w:tr>
      <w:tr>
        <w:trPr>
          <w:trHeight w:val="31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182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231F20"/>
              </w:rPr>
              <w:t>☐</w:t>
            </w:r>
          </w:p>
        </w:tc>
        <w:tc>
          <w:tcPr>
            <w:tcW w:w="358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Smaller reporting company</w:t>
            </w:r>
          </w:p>
        </w:tc>
        <w:tc>
          <w:tcPr>
            <w:tcW w:w="32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231F20"/>
                <w:w w:val="75"/>
              </w:rPr>
              <w:t>☐</w:t>
            </w:r>
          </w:p>
        </w:tc>
      </w:tr>
      <w:tr>
        <w:trPr>
          <w:trHeight w:val="300"/>
        </w:trPr>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8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Emerging growth company</w:t>
            </w:r>
          </w:p>
        </w:tc>
        <w:tc>
          <w:tcPr>
            <w:tcW w:w="32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231F20"/>
                <w:w w:val="75"/>
              </w:rPr>
              <w:t>☐</w:t>
            </w:r>
          </w:p>
        </w:tc>
      </w:tr>
    </w:tbl>
    <w:p>
      <w:pPr>
        <w:spacing w:after="0" w:line="114" w:lineRule="exact"/>
        <w:rPr>
          <w:sz w:val="20"/>
          <w:szCs w:val="20"/>
          <w:color w:val="auto"/>
        </w:rPr>
      </w:pPr>
    </w:p>
    <w:p>
      <w:pPr>
        <w:ind w:right="40" w:firstLine="315"/>
        <w:spacing w:after="0" w:line="242" w:lineRule="exact"/>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20"/>
          <w:szCs w:val="20"/>
          <w:color w:val="231F20"/>
        </w:rPr>
        <w:t>☐</w:t>
      </w:r>
    </w:p>
    <w:p>
      <w:pPr>
        <w:spacing w:after="0" w:line="33" w:lineRule="exact"/>
        <w:rPr>
          <w:sz w:val="20"/>
          <w:szCs w:val="20"/>
          <w:color w:val="auto"/>
        </w:rPr>
      </w:pPr>
    </w:p>
    <w:p>
      <w:pPr>
        <w:jc w:val="both"/>
        <w:ind w:firstLine="315"/>
        <w:spacing w:after="0" w:line="273"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8"/>
          <w:szCs w:val="18"/>
          <w:color w:val="231F20"/>
        </w:rPr>
        <w:t>þ</w:t>
      </w:r>
    </w:p>
    <w:p>
      <w:pPr>
        <w:spacing w:after="0" w:line="1" w:lineRule="exact"/>
        <w:rPr>
          <w:sz w:val="20"/>
          <w:szCs w:val="20"/>
          <w:color w:val="auto"/>
        </w:rPr>
      </w:pPr>
    </w:p>
    <w:p>
      <w:pPr>
        <w:ind w:right="300" w:firstLine="315"/>
        <w:spacing w:after="0" w:line="241" w:lineRule="exact"/>
        <w:rPr>
          <w:sz w:val="20"/>
          <w:szCs w:val="20"/>
          <w:color w:val="auto"/>
        </w:rPr>
      </w:pPr>
      <w:r>
        <w:rPr>
          <w:rFonts w:ascii="Times New Roman" w:cs="Times New Roman" w:eastAsia="Times New Roman" w:hAnsi="Times New Roman"/>
          <w:sz w:val="18"/>
          <w:szCs w:val="18"/>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color w:val="231F20"/>
        </w:rPr>
        <w:t>☐</w:t>
      </w:r>
    </w:p>
    <w:p>
      <w:pPr>
        <w:sectPr>
          <w:pgSz w:w="11880" w:h="15480" w:orient="portrait"/>
          <w:cols w:equalWidth="0" w:num="1">
            <w:col w:w="10440"/>
          </w:cols>
          <w:pgMar w:left="720" w:top="196" w:right="720" w:bottom="0" w:gutter="0" w:footer="0" w:header="0"/>
        </w:sectPr>
      </w:pPr>
    </w:p>
    <w:bookmarkStart w:id="7" w:name="page8"/>
    <w:bookmarkEnd w:id="7"/>
    <w:p>
      <w:pPr>
        <w:ind w:right="580" w:firstLine="315"/>
        <w:spacing w:after="0" w:line="242" w:lineRule="exact"/>
        <w:rPr>
          <w:sz w:val="20"/>
          <w:szCs w:val="20"/>
          <w:color w:val="auto"/>
        </w:rPr>
      </w:pPr>
      <w:r>
        <w:rPr>
          <w:rFonts w:ascii="Times New Roman" w:cs="Times New Roman" w:eastAsia="Times New Roman" w:hAnsi="Times New Roman"/>
          <w:sz w:val="18"/>
          <w:szCs w:val="18"/>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20"/>
          <w:szCs w:val="20"/>
          <w:color w:val="231F20"/>
        </w:rPr>
        <w:t>☐</w:t>
      </w:r>
    </w:p>
    <w:p>
      <w:pPr>
        <w:spacing w:after="0" w:line="21" w:lineRule="exact"/>
        <w:rPr>
          <w:sz w:val="20"/>
          <w:szCs w:val="20"/>
          <w:color w:val="auto"/>
        </w:rPr>
      </w:pPr>
    </w:p>
    <w:p>
      <w:pPr>
        <w:ind w:left="320"/>
        <w:spacing w:after="0" w:line="268" w:lineRule="exact"/>
        <w:rPr>
          <w:sz w:val="20"/>
          <w:szCs w:val="20"/>
          <w:color w:val="auto"/>
        </w:rPr>
      </w:pPr>
      <w:r>
        <w:rPr>
          <w:rFonts w:ascii="Times New Roman" w:cs="Times New Roman" w:eastAsia="Times New Roman" w:hAnsi="Times New Roman"/>
          <w:sz w:val="18"/>
          <w:szCs w:val="18"/>
          <w:color w:val="231F20"/>
        </w:rPr>
        <w:t xml:space="preserve">Indicate by check mark whether the registrant is a shell company (as defined in Rule 12b-2 of the Act). Yes </w:t>
      </w:r>
      <w:r>
        <w:rPr>
          <w:rFonts w:ascii="Arial Unicode MS" w:cs="Arial Unicode MS" w:eastAsia="Arial Unicode MS" w:hAnsi="Arial Unicode MS"/>
          <w:sz w:val="20"/>
          <w:szCs w:val="20"/>
          <w:color w:val="231F20"/>
        </w:rPr>
        <w:t>☐</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þ</w:t>
      </w:r>
    </w:p>
    <w:p>
      <w:pPr>
        <w:spacing w:after="0" w:line="44" w:lineRule="exact"/>
        <w:rPr>
          <w:sz w:val="20"/>
          <w:szCs w:val="20"/>
          <w:color w:val="auto"/>
        </w:rPr>
      </w:pPr>
    </w:p>
    <w:p>
      <w:pPr>
        <w:jc w:val="both"/>
        <w:ind w:firstLine="315"/>
        <w:spacing w:after="0" w:line="266" w:lineRule="auto"/>
        <w:rPr>
          <w:sz w:val="20"/>
          <w:szCs w:val="20"/>
          <w:color w:val="auto"/>
        </w:rPr>
      </w:pPr>
      <w:r>
        <w:rPr>
          <w:rFonts w:ascii="Times New Roman" w:cs="Times New Roman" w:eastAsia="Times New Roman" w:hAnsi="Times New Roman"/>
          <w:sz w:val="18"/>
          <w:szCs w:val="18"/>
          <w:color w:val="231F20"/>
        </w:rPr>
        <w:t>The registrant estimates that the aggregate market value of the voting shares held by non-affiliates of the registrant was approximately $8.9 billion as of June 30, 2025, the last business day of the registrant’s most recently completed second fiscal quarter, based on the closing price on the New York Stock Exchange for such stock.</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February 12, 2026, 48,661,915 shares of Common Stock, par value $.01 per share, of the registrant were outstanding.</w:t>
      </w: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Part III of this Form 10-K incorporates by reference portions of the registrant’s Proxy Statement for its 2026 Annual Meeting of Stockholders.</w:t>
      </w:r>
    </w:p>
    <w:p>
      <w:pPr>
        <w:sectPr>
          <w:pgSz w:w="11880" w:h="15480" w:orient="portrait"/>
          <w:cols w:equalWidth="0" w:num="1">
            <w:col w:w="10340"/>
          </w:cols>
          <w:pgMar w:left="720" w:top="224" w:right="82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4"/>
        </w:trPr>
        <w:tc>
          <w:tcPr>
            <w:tcW w:w="9500" w:type="dxa"/>
            <w:vAlign w:val="bottom"/>
          </w:tcPr>
          <w:p>
            <w:pPr>
              <w:ind w:left="398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500" w:type="dxa"/>
            <w:vAlign w:val="bottom"/>
          </w:tcPr>
          <w:p>
            <w:pPr>
              <w:spacing w:after="0"/>
              <w:rPr>
                <w:sz w:val="24"/>
                <w:szCs w:val="24"/>
                <w:color w:val="auto"/>
              </w:rPr>
            </w:pPr>
          </w:p>
        </w:tc>
        <w:tc>
          <w:tcPr>
            <w:tcW w:w="68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8"/>
                <w:szCs w:val="18"/>
                <w:b w:val="1"/>
                <w:bCs w:val="1"/>
                <w:color w:val="231F20"/>
              </w:rPr>
              <w:t>Page</w:t>
            </w:r>
          </w:p>
        </w:tc>
        <w:tc>
          <w:tcPr>
            <w:tcW w:w="0" w:type="dxa"/>
            <w:vAlign w:val="bottom"/>
          </w:tcPr>
          <w:p>
            <w:pPr>
              <w:spacing w:after="0"/>
              <w:rPr>
                <w:sz w:val="1"/>
                <w:szCs w:val="1"/>
                <w:color w:val="auto"/>
              </w:rPr>
            </w:pPr>
          </w:p>
        </w:tc>
      </w:tr>
      <w:tr>
        <w:trPr>
          <w:trHeight w:val="262"/>
        </w:trPr>
        <w:tc>
          <w:tcPr>
            <w:tcW w:w="95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 Business</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1A. Risk Factors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1B. Unresolved Staff Comments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24</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1C. Cybersecurity</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24</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2. Properties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25</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3. Legal Proceedings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26</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4. Mine Safety Disclosures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26</w:t>
            </w:r>
          </w:p>
        </w:tc>
        <w:tc>
          <w:tcPr>
            <w:tcW w:w="0" w:type="dxa"/>
            <w:vAlign w:val="bottom"/>
          </w:tcPr>
          <w:p>
            <w:pPr>
              <w:spacing w:after="0"/>
              <w:rPr>
                <w:sz w:val="1"/>
                <w:szCs w:val="1"/>
                <w:color w:val="auto"/>
              </w:rPr>
            </w:pPr>
          </w:p>
        </w:tc>
      </w:tr>
      <w:tr>
        <w:trPr>
          <w:trHeight w:val="570"/>
        </w:trPr>
        <w:tc>
          <w:tcPr>
            <w:tcW w:w="95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5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Item 5. Market for Registrant’s Common Equity, Related Stockholder Matters and Issuer Purchases of Equity</w:t>
            </w:r>
          </w:p>
        </w:tc>
        <w:tc>
          <w:tcPr>
            <w:tcW w:w="68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231F20"/>
                <w:w w:val="99"/>
              </w:rPr>
              <w:t>27</w:t>
            </w:r>
          </w:p>
        </w:tc>
        <w:tc>
          <w:tcPr>
            <w:tcW w:w="0" w:type="dxa"/>
            <w:vAlign w:val="bottom"/>
          </w:tcPr>
          <w:p>
            <w:pPr>
              <w:spacing w:after="0"/>
              <w:rPr>
                <w:sz w:val="1"/>
                <w:szCs w:val="1"/>
                <w:color w:val="auto"/>
              </w:rPr>
            </w:pPr>
          </w:p>
        </w:tc>
      </w:tr>
      <w:tr>
        <w:trPr>
          <w:trHeight w:val="260"/>
        </w:trPr>
        <w:tc>
          <w:tcPr>
            <w:tcW w:w="950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Securities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6. [Reserved]</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28</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7. 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29</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7A. Quantitative and Qualitative Disclosures About Market Risk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41</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8. Financial Statements and Supplementary Data</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43</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9. Changes in and Disagreements With Accountants on Accounting and Financial Disclosure</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89</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9A. Controls and Procedures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89</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9B. Other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89</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9C. Disclosure Regarding Foreign Jurisdictions that Prevent Inspections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89</w:t>
            </w:r>
          </w:p>
        </w:tc>
        <w:tc>
          <w:tcPr>
            <w:tcW w:w="0" w:type="dxa"/>
            <w:vAlign w:val="bottom"/>
          </w:tcPr>
          <w:p>
            <w:pPr>
              <w:spacing w:after="0"/>
              <w:rPr>
                <w:sz w:val="1"/>
                <w:szCs w:val="1"/>
                <w:color w:val="auto"/>
              </w:rPr>
            </w:pPr>
          </w:p>
        </w:tc>
      </w:tr>
      <w:tr>
        <w:trPr>
          <w:trHeight w:val="570"/>
        </w:trPr>
        <w:tc>
          <w:tcPr>
            <w:tcW w:w="95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10. Directors, Executive Officers and Corporate Governance</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90</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11. Executive Compensation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90</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12. Security Ownership of Certain Beneficial Owners and Management and Related Stockholder Matters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90</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13. Certain Relationships and Related Transactions, and Director Independence</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90</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14. Principal Accountant Fees and Services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91</w:t>
            </w:r>
          </w:p>
        </w:tc>
        <w:tc>
          <w:tcPr>
            <w:tcW w:w="0" w:type="dxa"/>
            <w:vAlign w:val="bottom"/>
          </w:tcPr>
          <w:p>
            <w:pPr>
              <w:spacing w:after="0"/>
              <w:rPr>
                <w:sz w:val="1"/>
                <w:szCs w:val="1"/>
                <w:color w:val="auto"/>
              </w:rPr>
            </w:pPr>
          </w:p>
        </w:tc>
      </w:tr>
      <w:tr>
        <w:trPr>
          <w:trHeight w:val="570"/>
        </w:trPr>
        <w:tc>
          <w:tcPr>
            <w:tcW w:w="95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15. Exhibits and Financial Statement Schedule</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92</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Item 16. Form 10-K Summary</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99</w:t>
            </w:r>
          </w:p>
        </w:tc>
        <w:tc>
          <w:tcPr>
            <w:tcW w:w="0" w:type="dxa"/>
            <w:vAlign w:val="bottom"/>
          </w:tcPr>
          <w:p>
            <w:pPr>
              <w:spacing w:after="0"/>
              <w:rPr>
                <w:sz w:val="1"/>
                <w:szCs w:val="1"/>
                <w:color w:val="auto"/>
              </w:rPr>
            </w:pPr>
          </w:p>
        </w:tc>
      </w:tr>
      <w:tr>
        <w:trPr>
          <w:trHeight w:val="285"/>
        </w:trPr>
        <w:tc>
          <w:tcPr>
            <w:tcW w:w="9500" w:type="dxa"/>
            <w:vAlign w:val="bottom"/>
          </w:tcPr>
          <w:p>
            <w:pPr>
              <w:spacing w:after="0"/>
              <w:rPr>
                <w:sz w:val="20"/>
                <w:szCs w:val="20"/>
                <w:color w:val="auto"/>
              </w:rPr>
            </w:pPr>
            <w:r>
              <w:rPr>
                <w:rFonts w:ascii="Times New Roman" w:cs="Times New Roman" w:eastAsia="Times New Roman" w:hAnsi="Times New Roman"/>
                <w:sz w:val="20"/>
                <w:szCs w:val="20"/>
                <w:color w:val="231F20"/>
              </w:rPr>
              <w:t>Signatures</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100</w:t>
            </w:r>
          </w:p>
        </w:tc>
        <w:tc>
          <w:tcPr>
            <w:tcW w:w="0" w:type="dxa"/>
            <w:vAlign w:val="bottom"/>
          </w:tcPr>
          <w:p>
            <w:pPr>
              <w:spacing w:after="0"/>
              <w:rPr>
                <w:sz w:val="1"/>
                <w:szCs w:val="1"/>
                <w:color w:val="auto"/>
              </w:rPr>
            </w:pPr>
          </w:p>
        </w:tc>
      </w:tr>
    </w:tbl>
    <w:p>
      <w:pPr>
        <w:sectPr>
          <w:pgSz w:w="11880" w:h="15480" w:orient="portrait"/>
          <w:cols w:equalWidth="0" w:num="1">
            <w:col w:w="10180"/>
          </w:cols>
          <w:pgMar w:left="880" w:top="606" w:right="82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28"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20"/>
          <w:szCs w:val="20"/>
          <w:i w:val="1"/>
          <w:iCs w:val="1"/>
          <w:color w:val="231F20"/>
        </w:rPr>
        <w:t>In this Annual Report on Form 10-K, “Wesco” refers to WESCO International, Inc., and its subsidiaries and its predecessors unless the context otherwise requires. References to “we,” “us,” “our” and the “Company” refer to Wesco and its subsidiaries.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Company</w:t>
      </w:r>
    </w:p>
    <w:p>
      <w:pPr>
        <w:spacing w:after="0" w:line="13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77"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Wesco operates more than 700 sites, including distribution centers, fulfillment centers and sales offices in approximately 50 countries, providing a local presence for customers and a global network to serve multi-location businesses and global corporations.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Segments and Industry Overview</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Wesco has operating segments comprising three strategic business units consisting of Electrical &amp; Electronic Solutions (“EES”), Communications &amp; Security Solutions (“CSS”) and Utility &amp; Broadband Solutions (“UBS”).</w:t>
      </w:r>
    </w:p>
    <w:p>
      <w:pPr>
        <w:spacing w:after="0" w:line="64" w:lineRule="exact"/>
        <w:rPr>
          <w:sz w:val="20"/>
          <w:szCs w:val="20"/>
          <w:color w:val="auto"/>
        </w:rPr>
      </w:pPr>
    </w:p>
    <w:p>
      <w:pPr>
        <w:ind w:left="280" w:right="1600"/>
        <w:spacing w:after="0" w:line="370" w:lineRule="auto"/>
        <w:rPr>
          <w:sz w:val="20"/>
          <w:szCs w:val="20"/>
          <w:color w:val="auto"/>
        </w:rPr>
      </w:pPr>
      <w:r>
        <w:rPr>
          <w:rFonts w:ascii="Times New Roman" w:cs="Times New Roman" w:eastAsia="Times New Roman" w:hAnsi="Times New Roman"/>
          <w:sz w:val="20"/>
          <w:szCs w:val="20"/>
          <w:color w:val="231F20"/>
        </w:rPr>
        <w:t xml:space="preserve">The following is a description of each of our business segments and the industries in which they operate. </w:t>
      </w:r>
      <w:r>
        <w:rPr>
          <w:rFonts w:ascii="Times New Roman" w:cs="Times New Roman" w:eastAsia="Times New Roman" w:hAnsi="Times New Roman"/>
          <w:sz w:val="20"/>
          <w:szCs w:val="20"/>
          <w:i w:val="1"/>
          <w:iCs w:val="1"/>
          <w:color w:val="231F20"/>
        </w:rPr>
        <w:t>Electrical &amp; Electronic Solutions</w:t>
      </w: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The EES segment, serving customers in over 50 countries, is a North American leader, and supplies a broad range of products and solutions primarily to construction, industrial and original equipment manufacturer (“OEM”) customers. Construction and industrial customers include a wide array of diversified manufacturers and contractors, engineering, procurement and construction firms for industrial, infrastructure, electrical, commercial, and data and broadband communications projects. Specific applications include projects for data centers, hospitals, public transit, waste water treatment facilities, EV charging stations, and renewable and solar power plants. OEM customers require products used in the manufacturing of automotive, industrial, medical, transportation, marine, military and communications equipment.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 The EES segment operates in highly fragmented markets that include thousands of small, regional and locally based privately owned competitors, as well as several large, multi-national companies.</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1</w:t>
      </w:r>
    </w:p>
    <w:p>
      <w:pPr>
        <w:sectPr>
          <w:pgSz w:w="11880" w:h="15480" w:orient="portrait"/>
          <w:cols w:equalWidth="0" w:num="1">
            <w:col w:w="10120"/>
          </w:cols>
          <w:pgMar w:left="880" w:top="672" w:right="880" w:bottom="0" w:gutter="0" w:footer="0" w:header="0"/>
          <w:type w:val="continuous"/>
        </w:sectPr>
      </w:pPr>
    </w:p>
    <w:bookmarkStart w:id="11" w:name="page12"/>
    <w:bookmarkEnd w:id="11"/>
    <w:p>
      <w:pPr>
        <w:ind w:left="280"/>
        <w:spacing w:after="0"/>
        <w:rPr>
          <w:sz w:val="20"/>
          <w:szCs w:val="20"/>
          <w:color w:val="auto"/>
        </w:rPr>
      </w:pPr>
      <w:r>
        <w:rPr>
          <w:rFonts w:ascii="Times New Roman" w:cs="Times New Roman" w:eastAsia="Times New Roman" w:hAnsi="Times New Roman"/>
          <w:sz w:val="20"/>
          <w:szCs w:val="20"/>
          <w:i w:val="1"/>
          <w:iCs w:val="1"/>
          <w:color w:val="231F20"/>
        </w:rPr>
        <w:t>Communications &amp; Security Solutions</w:t>
      </w:r>
    </w:p>
    <w:p>
      <w:pPr>
        <w:spacing w:after="0" w:line="128"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The CSS segment, serving customers in over 50 countries, is a global leader in data center, network infrastructure and security solutions. For data centers, the CSS business leverages the complementary expertise and resources of the UBS and EES business units to deliver an integrated offering, combining various Wesco products and services, with specialized capabilities across all stages of data center design, development, operations, maintenance, and support. Its network infrastructure portfolio includes cabling and connectivity, power systems, wireless technologies, connected devices (IoT), and related products to enable seamless connectivity and communications in commercial buildings, hyperscale data centers, multi-tenant data centers, and cloud-based platforms. In the security business, CSS offers on-premise, cloud or hybrid comprehensive solutions for video surveillance, fire and intrusion detection, access control, door locking, and other technologies that help create safe and intelligent environments for customers. The data center, network infrastructure, and security businesses are large and diverse, encompassing sectors such as technology, finance, telecommunications, transportation, education, government, healthcare, and retail.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spacing w:after="0" w:line="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231F20"/>
        </w:rPr>
        <w:t>Utility &amp; Broadband Solutions</w:t>
      </w:r>
    </w:p>
    <w:p>
      <w:pPr>
        <w:spacing w:after="0" w:line="128"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The UBS segment is a leader in North America, serving customers primarily in the U.S. and Canada, and provides products and services to investor owned utilities, electric power cooperatives and municipalities, as well as global service providers, wireless providers, broadband operators and the contractors that service these customers. Investor owned utility companies provide a combination of electric generation, transmission and/or distribution and are owned by investors or shareholders. Public power entities are generally non-profit entities owned by their members or governed by local, state, or municipal governments. These two businesses comprise the vast majority of our utility customers in the U.S. and Canada. The products sold include wire and cable, transformers, transmission and distribution hardware, switches, protective devices, connectors, lighting, conduit, fiber and power cable, connectivity products, pole line hardware, racks, cabinets, safety and MRO products, and point-to-point wireless devices. UBS also offers a complete set of service solutions including fiber project management, high and medium voltage project design and support, pre-wired meters and capacitor banks, meter testing and advanced metering infrastructure installation, personal protective equipment, dielectric testing, tool repair, emergency response management, storage yard management, materials management, and logistics management to improve customer supply chain efficiencies.</w:t>
      </w:r>
    </w:p>
    <w:p>
      <w:pPr>
        <w:spacing w:after="0" w:line="90"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For information concerning the financial results of our business segments, as well as our domestic and foreign operations, see Note 16, “Business Segments” in the Notes to Consolidated Financial Statements.</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2</w:t>
      </w:r>
    </w:p>
    <w:p>
      <w:pPr>
        <w:sectPr>
          <w:pgSz w:w="11880" w:h="15480" w:orient="portrait"/>
          <w:cols w:equalWidth="0" w:num="1">
            <w:col w:w="10120"/>
          </w:cols>
          <w:pgMar w:left="880" w:top="675" w:right="8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31F20"/>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635</wp:posOffset>
            </wp:positionV>
            <wp:extent cx="6385560" cy="1017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385560" cy="1017905"/>
                    </a:xfrm>
                    <a:prstGeom prst="rect">
                      <a:avLst/>
                    </a:prstGeom>
                    <a:noFill/>
                  </pic:spPr>
                </pic:pic>
              </a:graphicData>
            </a:graphic>
          </wp:anchor>
        </w:drawing>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3DB44A"/>
        </w:rPr>
        <w:t>Our Vision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FFFFFF"/>
        </w:rPr>
        <w:t>Be the best tech-enabled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FFFFFF"/>
        </w:rPr>
        <w:t>supply chain solutions provider in the world.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46990</wp:posOffset>
                </wp:positionH>
                <wp:positionV relativeFrom="paragraph">
                  <wp:posOffset>262890</wp:posOffset>
                </wp:positionV>
                <wp:extent cx="6332855" cy="3073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307340"/>
                        </a:xfrm>
                        <a:prstGeom prst="rect">
                          <a:avLst/>
                        </a:prstGeom>
                        <a:solidFill>
                          <a:srgbClr val="00010E"/>
                        </a:solidFill>
                      </wps:spPr>
                      <wps:bodyPr/>
                    </wps:wsp>
                  </a:graphicData>
                </a:graphic>
              </wp:anchor>
            </w:drawing>
          </mc:Choice>
          <mc:Fallback>
            <w:pict>
              <v:rect id="Shape 19" o:spid="_x0000_s1044" style="position:absolute;margin-left:3.7pt;margin-top:20.7pt;width:498.65pt;height:2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10E" stroked="f"/>
            </w:pict>
          </mc:Fallback>
        </mc:AlternateConten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3DB44A"/>
        </w:rPr>
        <w:t xml:space="preserve">Our Mission </w:t>
      </w:r>
      <w:r>
        <w:rPr>
          <w:rFonts w:ascii="Arial" w:cs="Arial" w:eastAsia="Arial" w:hAnsi="Arial"/>
          <w:sz w:val="23"/>
          <w:szCs w:val="23"/>
          <w:color w:val="FFFFFF"/>
        </w:rPr>
        <w:t>We build, connect, power and protect the world.</w:t>
      </w:r>
    </w:p>
    <w:p>
      <w:pPr>
        <w:spacing w:after="0" w:line="243" w:lineRule="exact"/>
        <w:rPr>
          <w:sz w:val="20"/>
          <w:szCs w:val="20"/>
          <w:color w:val="auto"/>
        </w:rPr>
      </w:pPr>
    </w:p>
    <w:tbl>
      <w:tblPr>
        <w:tblLayout w:type="fixed"/>
        <w:tblInd w:w="90" w:type="dxa"/>
        <w:tblCellMar>
          <w:top w:w="0" w:type="dxa"/>
          <w:left w:w="0" w:type="dxa"/>
          <w:bottom w:w="0" w:type="dxa"/>
          <w:right w:w="0" w:type="dxa"/>
        </w:tblCellMar>
      </w:tblPr>
      <w:tr>
        <w:trPr>
          <w:trHeight w:val="426"/>
        </w:trPr>
        <w:tc>
          <w:tcPr>
            <w:tcW w:w="100" w:type="dxa"/>
            <w:vAlign w:val="bottom"/>
            <w:tcBorders>
              <w:top w:val="single" w:sz="8" w:color="00010E"/>
              <w:left w:val="single" w:sz="8" w:color="00010E"/>
            </w:tcBorders>
          </w:tcPr>
          <w:p>
            <w:pPr>
              <w:spacing w:after="0"/>
              <w:rPr>
                <w:sz w:val="24"/>
                <w:szCs w:val="24"/>
                <w:color w:val="auto"/>
              </w:rPr>
            </w:pPr>
          </w:p>
        </w:tc>
        <w:tc>
          <w:tcPr>
            <w:tcW w:w="3440" w:type="dxa"/>
            <w:vAlign w:val="bottom"/>
            <w:tcBorders>
              <w:top w:val="single" w:sz="8" w:color="00010E"/>
            </w:tcBorders>
            <w:gridSpan w:val="3"/>
          </w:tcPr>
          <w:p>
            <w:pPr>
              <w:ind w:left="80"/>
              <w:spacing w:after="0"/>
              <w:rPr>
                <w:sz w:val="20"/>
                <w:szCs w:val="20"/>
                <w:color w:val="auto"/>
              </w:rPr>
            </w:pPr>
            <w:r>
              <w:rPr>
                <w:rFonts w:ascii="Arial" w:cs="Arial" w:eastAsia="Arial" w:hAnsi="Arial"/>
                <w:sz w:val="21"/>
                <w:szCs w:val="21"/>
                <w:b w:val="1"/>
                <w:bCs w:val="1"/>
                <w:color w:val="3DB44A"/>
                <w:w w:val="98"/>
              </w:rPr>
              <w:t>Our Core</w:t>
            </w:r>
            <w:r>
              <w:rPr>
                <w:rFonts w:ascii="Arial" w:cs="Arial" w:eastAsia="Arial" w:hAnsi="Arial"/>
                <w:sz w:val="21"/>
                <w:szCs w:val="21"/>
                <w:b w:val="1"/>
                <w:bCs w:val="1"/>
                <w:color w:val="00010D"/>
                <w:w w:val="98"/>
              </w:rPr>
              <w:t>5</w:t>
            </w:r>
            <w:r>
              <w:rPr>
                <w:rFonts w:ascii="Arial" w:cs="Arial" w:eastAsia="Arial" w:hAnsi="Arial"/>
                <w:sz w:val="21"/>
                <w:szCs w:val="21"/>
                <w:b w:val="1"/>
                <w:bCs w:val="1"/>
                <w:color w:val="3DB44A"/>
                <w:w w:val="98"/>
              </w:rPr>
              <w:t xml:space="preserve"> Values   </w:t>
            </w:r>
            <w:r>
              <w:rPr>
                <w:rFonts w:ascii="Arial" w:cs="Arial" w:eastAsia="Arial" w:hAnsi="Arial"/>
                <w:sz w:val="21"/>
                <w:szCs w:val="21"/>
                <w:color w:val="00010D"/>
                <w:w w:val="98"/>
              </w:rPr>
              <w:t>Our</w:t>
            </w:r>
            <w:r>
              <w:rPr>
                <w:rFonts w:ascii="Arial" w:cs="Arial" w:eastAsia="Arial" w:hAnsi="Arial"/>
                <w:sz w:val="21"/>
                <w:szCs w:val="21"/>
                <w:b w:val="1"/>
                <w:bCs w:val="1"/>
                <w:color w:val="3DB44A"/>
                <w:w w:val="98"/>
              </w:rPr>
              <w:t xml:space="preserve"> </w:t>
            </w:r>
            <w:r>
              <w:rPr>
                <w:rFonts w:ascii="Arial" w:cs="Arial" w:eastAsia="Arial" w:hAnsi="Arial"/>
                <w:sz w:val="21"/>
                <w:szCs w:val="21"/>
                <w:b w:val="1"/>
                <w:bCs w:val="1"/>
                <w:color w:val="00010D"/>
                <w:w w:val="98"/>
              </w:rPr>
              <w:t>people</w:t>
            </w:r>
            <w:r>
              <w:rPr>
                <w:rFonts w:ascii="Arial" w:cs="Arial" w:eastAsia="Arial" w:hAnsi="Arial"/>
                <w:sz w:val="21"/>
                <w:szCs w:val="21"/>
                <w:b w:val="1"/>
                <w:bCs w:val="1"/>
                <w:color w:val="3DB44A"/>
                <w:w w:val="98"/>
              </w:rPr>
              <w:t xml:space="preserve"> </w:t>
            </w:r>
            <w:r>
              <w:rPr>
                <w:rFonts w:ascii="Arial" w:cs="Arial" w:eastAsia="Arial" w:hAnsi="Arial"/>
                <w:sz w:val="21"/>
                <w:szCs w:val="21"/>
                <w:color w:val="00010D"/>
                <w:w w:val="98"/>
              </w:rPr>
              <w:t>are</w:t>
            </w:r>
          </w:p>
        </w:tc>
        <w:tc>
          <w:tcPr>
            <w:tcW w:w="2780" w:type="dxa"/>
            <w:vAlign w:val="bottom"/>
            <w:tcBorders>
              <w:top w:val="single" w:sz="8" w:color="00010E"/>
            </w:tcBorders>
          </w:tcPr>
          <w:p>
            <w:pPr>
              <w:ind w:left="200"/>
              <w:spacing w:after="0"/>
              <w:rPr>
                <w:sz w:val="20"/>
                <w:szCs w:val="20"/>
                <w:color w:val="auto"/>
              </w:rPr>
            </w:pPr>
            <w:r>
              <w:rPr>
                <w:rFonts w:ascii="Arial" w:cs="Arial" w:eastAsia="Arial" w:hAnsi="Arial"/>
                <w:sz w:val="21"/>
                <w:szCs w:val="21"/>
                <w:color w:val="00010D"/>
              </w:rPr>
              <w:t xml:space="preserve">One </w:t>
            </w:r>
            <w:r>
              <w:rPr>
                <w:rFonts w:ascii="Arial" w:cs="Arial" w:eastAsia="Arial" w:hAnsi="Arial"/>
                <w:sz w:val="21"/>
                <w:szCs w:val="21"/>
                <w:b w:val="1"/>
                <w:bCs w:val="1"/>
                <w:color w:val="00010D"/>
              </w:rPr>
              <w:t>team</w:t>
            </w:r>
            <w:r>
              <w:rPr>
                <w:rFonts w:ascii="Arial" w:cs="Arial" w:eastAsia="Arial" w:hAnsi="Arial"/>
                <w:sz w:val="21"/>
                <w:szCs w:val="21"/>
                <w:color w:val="00010D"/>
              </w:rPr>
              <w:t xml:space="preserve">  Always strive</w:t>
            </w:r>
          </w:p>
        </w:tc>
        <w:tc>
          <w:tcPr>
            <w:tcW w:w="1100" w:type="dxa"/>
            <w:vAlign w:val="bottom"/>
            <w:tcBorders>
              <w:top w:val="single" w:sz="8" w:color="00010E"/>
            </w:tcBorders>
            <w:gridSpan w:val="3"/>
          </w:tcPr>
          <w:p>
            <w:pPr>
              <w:ind w:left="20"/>
              <w:spacing w:after="0"/>
              <w:rPr>
                <w:sz w:val="20"/>
                <w:szCs w:val="20"/>
                <w:color w:val="auto"/>
              </w:rPr>
            </w:pPr>
            <w:r>
              <w:rPr>
                <w:rFonts w:ascii="Arial" w:cs="Arial" w:eastAsia="Arial" w:hAnsi="Arial"/>
                <w:sz w:val="21"/>
                <w:szCs w:val="21"/>
                <w:b w:val="1"/>
                <w:bCs w:val="1"/>
                <w:color w:val="00010D"/>
                <w:w w:val="99"/>
              </w:rPr>
              <w:t>Innovation</w:t>
            </w:r>
          </w:p>
        </w:tc>
        <w:tc>
          <w:tcPr>
            <w:tcW w:w="2520" w:type="dxa"/>
            <w:vAlign w:val="bottom"/>
            <w:tcBorders>
              <w:top w:val="single" w:sz="8" w:color="00010E"/>
              <w:right w:val="single" w:sz="8" w:color="00010E"/>
            </w:tcBorders>
            <w:gridSpan w:val="2"/>
          </w:tcPr>
          <w:p>
            <w:pPr>
              <w:jc w:val="center"/>
              <w:ind w:right="120"/>
              <w:spacing w:after="0"/>
              <w:rPr>
                <w:sz w:val="20"/>
                <w:szCs w:val="20"/>
                <w:color w:val="auto"/>
              </w:rPr>
            </w:pPr>
            <w:r>
              <w:rPr>
                <w:rFonts w:ascii="Arial" w:cs="Arial" w:eastAsia="Arial" w:hAnsi="Arial"/>
                <w:sz w:val="21"/>
                <w:szCs w:val="21"/>
                <w:b w:val="1"/>
                <w:bCs w:val="1"/>
                <w:color w:val="00010D"/>
                <w:w w:val="95"/>
              </w:rPr>
              <w:t xml:space="preserve">Winning </w:t>
            </w:r>
            <w:r>
              <w:rPr>
                <w:rFonts w:ascii="Arial" w:cs="Arial" w:eastAsia="Arial" w:hAnsi="Arial"/>
                <w:sz w:val="21"/>
                <w:szCs w:val="21"/>
                <w:color w:val="00010D"/>
                <w:w w:val="95"/>
              </w:rPr>
              <w:t>with</w:t>
            </w:r>
          </w:p>
        </w:tc>
        <w:tc>
          <w:tcPr>
            <w:tcW w:w="0" w:type="dxa"/>
            <w:vAlign w:val="bottom"/>
          </w:tcPr>
          <w:p>
            <w:pPr>
              <w:spacing w:after="0"/>
              <w:rPr>
                <w:sz w:val="1"/>
                <w:szCs w:val="1"/>
                <w:color w:val="auto"/>
              </w:rPr>
            </w:pPr>
          </w:p>
        </w:tc>
      </w:tr>
      <w:tr>
        <w:trPr>
          <w:trHeight w:val="230"/>
        </w:trPr>
        <w:tc>
          <w:tcPr>
            <w:tcW w:w="100" w:type="dxa"/>
            <w:vAlign w:val="bottom"/>
            <w:tcBorders>
              <w:left w:val="single" w:sz="8" w:color="00010E"/>
            </w:tcBorders>
          </w:tcPr>
          <w:p>
            <w:pPr>
              <w:spacing w:after="0"/>
              <w:rPr>
                <w:sz w:val="20"/>
                <w:szCs w:val="20"/>
                <w:color w:val="auto"/>
              </w:rPr>
            </w:pPr>
          </w:p>
        </w:tc>
        <w:tc>
          <w:tcPr>
            <w:tcW w:w="3440" w:type="dxa"/>
            <w:vAlign w:val="bottom"/>
            <w:gridSpan w:val="3"/>
          </w:tcPr>
          <w:p>
            <w:pPr>
              <w:ind w:left="1880"/>
              <w:spacing w:after="0" w:line="230" w:lineRule="exact"/>
              <w:rPr>
                <w:sz w:val="20"/>
                <w:szCs w:val="20"/>
                <w:color w:val="auto"/>
              </w:rPr>
            </w:pPr>
            <w:r>
              <w:rPr>
                <w:rFonts w:ascii="Arial" w:cs="Arial" w:eastAsia="Arial" w:hAnsi="Arial"/>
                <w:sz w:val="21"/>
                <w:szCs w:val="21"/>
                <w:color w:val="00010D"/>
                <w:w w:val="91"/>
              </w:rPr>
              <w:t>our greatest asset</w:t>
            </w:r>
          </w:p>
        </w:tc>
        <w:tc>
          <w:tcPr>
            <w:tcW w:w="2780" w:type="dxa"/>
            <w:vAlign w:val="bottom"/>
          </w:tcPr>
          <w:p>
            <w:pPr>
              <w:ind w:left="1320"/>
              <w:spacing w:after="0" w:line="230" w:lineRule="exact"/>
              <w:rPr>
                <w:sz w:val="20"/>
                <w:szCs w:val="20"/>
                <w:color w:val="auto"/>
              </w:rPr>
            </w:pPr>
            <w:r>
              <w:rPr>
                <w:rFonts w:ascii="Arial" w:cs="Arial" w:eastAsia="Arial" w:hAnsi="Arial"/>
                <w:sz w:val="21"/>
                <w:szCs w:val="21"/>
                <w:color w:val="00010D"/>
              </w:rPr>
              <w:t xml:space="preserve">to be the </w:t>
            </w:r>
            <w:r>
              <w:rPr>
                <w:rFonts w:ascii="Arial" w:cs="Arial" w:eastAsia="Arial" w:hAnsi="Arial"/>
                <w:sz w:val="21"/>
                <w:szCs w:val="21"/>
                <w:b w:val="1"/>
                <w:bCs w:val="1"/>
                <w:color w:val="00010D"/>
              </w:rPr>
              <w:t>best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right w:val="single" w:sz="8" w:color="00010E"/>
            </w:tcBorders>
            <w:gridSpan w:val="2"/>
          </w:tcPr>
          <w:p>
            <w:pPr>
              <w:jc w:val="center"/>
              <w:ind w:right="140"/>
              <w:spacing w:after="0" w:line="230" w:lineRule="exact"/>
              <w:rPr>
                <w:sz w:val="20"/>
                <w:szCs w:val="20"/>
                <w:color w:val="auto"/>
              </w:rPr>
            </w:pPr>
            <w:r>
              <w:rPr>
                <w:rFonts w:ascii="Arial" w:cs="Arial" w:eastAsia="Arial" w:hAnsi="Arial"/>
                <w:sz w:val="21"/>
                <w:szCs w:val="21"/>
                <w:color w:val="00010D"/>
                <w:w w:val="94"/>
              </w:rPr>
              <w:t>customers and suppliers</w:t>
            </w:r>
          </w:p>
        </w:tc>
        <w:tc>
          <w:tcPr>
            <w:tcW w:w="0" w:type="dxa"/>
            <w:vAlign w:val="bottom"/>
          </w:tcPr>
          <w:p>
            <w:pPr>
              <w:spacing w:after="0"/>
              <w:rPr>
                <w:sz w:val="1"/>
                <w:szCs w:val="1"/>
                <w:color w:val="auto"/>
              </w:rPr>
            </w:pPr>
          </w:p>
        </w:tc>
      </w:tr>
      <w:tr>
        <w:trPr>
          <w:trHeight w:val="146"/>
        </w:trPr>
        <w:tc>
          <w:tcPr>
            <w:tcW w:w="100" w:type="dxa"/>
            <w:vAlign w:val="bottom"/>
            <w:tcBorders>
              <w:left w:val="single" w:sz="8" w:color="00010E"/>
              <w:bottom w:val="single" w:sz="8" w:color="00010E"/>
            </w:tcBorders>
          </w:tcPr>
          <w:p>
            <w:pPr>
              <w:spacing w:after="0"/>
              <w:rPr>
                <w:sz w:val="12"/>
                <w:szCs w:val="12"/>
                <w:color w:val="auto"/>
              </w:rPr>
            </w:pPr>
          </w:p>
        </w:tc>
        <w:tc>
          <w:tcPr>
            <w:tcW w:w="3120" w:type="dxa"/>
            <w:vAlign w:val="bottom"/>
            <w:tcBorders>
              <w:bottom w:val="single" w:sz="8" w:color="00010E"/>
            </w:tcBorders>
          </w:tcPr>
          <w:p>
            <w:pPr>
              <w:spacing w:after="0"/>
              <w:rPr>
                <w:sz w:val="12"/>
                <w:szCs w:val="12"/>
                <w:color w:val="auto"/>
              </w:rPr>
            </w:pPr>
          </w:p>
        </w:tc>
        <w:tc>
          <w:tcPr>
            <w:tcW w:w="200" w:type="dxa"/>
            <w:vAlign w:val="bottom"/>
            <w:tcBorders>
              <w:bottom w:val="single" w:sz="8" w:color="00010E"/>
            </w:tcBorders>
          </w:tcPr>
          <w:p>
            <w:pPr>
              <w:spacing w:after="0"/>
              <w:rPr>
                <w:sz w:val="12"/>
                <w:szCs w:val="12"/>
                <w:color w:val="auto"/>
              </w:rPr>
            </w:pPr>
          </w:p>
        </w:tc>
        <w:tc>
          <w:tcPr>
            <w:tcW w:w="120" w:type="dxa"/>
            <w:vAlign w:val="bottom"/>
            <w:tcBorders>
              <w:bottom w:val="single" w:sz="8" w:color="00010E"/>
            </w:tcBorders>
          </w:tcPr>
          <w:p>
            <w:pPr>
              <w:spacing w:after="0"/>
              <w:rPr>
                <w:sz w:val="12"/>
                <w:szCs w:val="12"/>
                <w:color w:val="auto"/>
              </w:rPr>
            </w:pPr>
          </w:p>
        </w:tc>
        <w:tc>
          <w:tcPr>
            <w:tcW w:w="2980" w:type="dxa"/>
            <w:vAlign w:val="bottom"/>
            <w:tcBorders>
              <w:bottom w:val="single" w:sz="8" w:color="00010E"/>
            </w:tcBorders>
            <w:gridSpan w:val="2"/>
          </w:tcPr>
          <w:p>
            <w:pPr>
              <w:spacing w:after="0"/>
              <w:rPr>
                <w:sz w:val="12"/>
                <w:szCs w:val="12"/>
                <w:color w:val="auto"/>
              </w:rPr>
            </w:pPr>
          </w:p>
        </w:tc>
        <w:tc>
          <w:tcPr>
            <w:tcW w:w="200" w:type="dxa"/>
            <w:vAlign w:val="bottom"/>
            <w:tcBorders>
              <w:bottom w:val="single" w:sz="8" w:color="00010E"/>
            </w:tcBorders>
          </w:tcPr>
          <w:p>
            <w:pPr>
              <w:spacing w:after="0"/>
              <w:rPr>
                <w:sz w:val="12"/>
                <w:szCs w:val="12"/>
                <w:color w:val="auto"/>
              </w:rPr>
            </w:pPr>
          </w:p>
        </w:tc>
        <w:tc>
          <w:tcPr>
            <w:tcW w:w="700" w:type="dxa"/>
            <w:vAlign w:val="bottom"/>
            <w:tcBorders>
              <w:bottom w:val="single" w:sz="8" w:color="00010E"/>
            </w:tcBorders>
          </w:tcPr>
          <w:p>
            <w:pPr>
              <w:spacing w:after="0"/>
              <w:rPr>
                <w:sz w:val="12"/>
                <w:szCs w:val="12"/>
                <w:color w:val="auto"/>
              </w:rPr>
            </w:pPr>
          </w:p>
        </w:tc>
        <w:tc>
          <w:tcPr>
            <w:tcW w:w="2380" w:type="dxa"/>
            <w:vAlign w:val="bottom"/>
            <w:tcBorders>
              <w:bottom w:val="single" w:sz="8" w:color="00010E"/>
            </w:tcBorders>
          </w:tcPr>
          <w:p>
            <w:pPr>
              <w:spacing w:after="0"/>
              <w:rPr>
                <w:sz w:val="12"/>
                <w:szCs w:val="12"/>
                <w:color w:val="auto"/>
              </w:rPr>
            </w:pPr>
          </w:p>
        </w:tc>
        <w:tc>
          <w:tcPr>
            <w:tcW w:w="140" w:type="dxa"/>
            <w:vAlign w:val="bottom"/>
            <w:tcBorders>
              <w:bottom w:val="single" w:sz="8" w:color="00010E"/>
              <w:right w:val="single" w:sz="8" w:color="00010E"/>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80" w:type="dxa"/>
            <w:vAlign w:val="bottom"/>
            <w:gridSpan w:val="3"/>
          </w:tcPr>
          <w:p>
            <w:pPr>
              <w:spacing w:after="0"/>
              <w:rPr>
                <w:sz w:val="6"/>
                <w:szCs w:val="6"/>
                <w:color w:val="auto"/>
              </w:rPr>
            </w:pPr>
          </w:p>
        </w:tc>
        <w:tc>
          <w:tcPr>
            <w:tcW w:w="7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00010E"/>
            </w:tcBorders>
          </w:tcPr>
          <w:p>
            <w:pPr>
              <w:spacing w:after="0"/>
              <w:rPr>
                <w:sz w:val="3"/>
                <w:szCs w:val="3"/>
                <w:color w:val="auto"/>
              </w:rPr>
            </w:pPr>
          </w:p>
        </w:tc>
        <w:tc>
          <w:tcPr>
            <w:tcW w:w="3120" w:type="dxa"/>
            <w:vAlign w:val="bottom"/>
            <w:tcBorders>
              <w:bottom w:val="single" w:sz="8" w:color="00010E"/>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gridSpan w:val="3"/>
            <w:vMerge w:val="restart"/>
          </w:tcPr>
          <w:p>
            <w:pPr>
              <w:jc w:val="center"/>
              <w:ind w:right="340"/>
              <w:spacing w:after="0"/>
              <w:rPr>
                <w:sz w:val="20"/>
                <w:szCs w:val="20"/>
                <w:color w:val="auto"/>
              </w:rPr>
            </w:pPr>
            <w:r>
              <w:rPr>
                <w:rFonts w:ascii="Arial" w:cs="Arial" w:eastAsia="Arial" w:hAnsi="Arial"/>
                <w:sz w:val="23"/>
                <w:szCs w:val="23"/>
                <w:b w:val="1"/>
                <w:bCs w:val="1"/>
                <w:color w:val="3DB44A"/>
                <w:w w:val="91"/>
              </w:rPr>
              <w:t>Our Foundational Strategies</w:t>
            </w:r>
          </w:p>
        </w:tc>
        <w:tc>
          <w:tcPr>
            <w:tcW w:w="700" w:type="dxa"/>
            <w:vAlign w:val="bottom"/>
            <w:tcBorders>
              <w:bottom w:val="single" w:sz="8" w:color="00010E"/>
            </w:tcBorders>
          </w:tcPr>
          <w:p>
            <w:pPr>
              <w:spacing w:after="0"/>
              <w:rPr>
                <w:sz w:val="3"/>
                <w:szCs w:val="3"/>
                <w:color w:val="auto"/>
              </w:rPr>
            </w:pPr>
          </w:p>
        </w:tc>
        <w:tc>
          <w:tcPr>
            <w:tcW w:w="2380" w:type="dxa"/>
            <w:vAlign w:val="bottom"/>
            <w:tcBorders>
              <w:bottom w:val="single" w:sz="8" w:color="00010E"/>
            </w:tcBorders>
          </w:tcPr>
          <w:p>
            <w:pPr>
              <w:spacing w:after="0"/>
              <w:rPr>
                <w:sz w:val="3"/>
                <w:szCs w:val="3"/>
                <w:color w:val="auto"/>
              </w:rPr>
            </w:pPr>
          </w:p>
        </w:tc>
        <w:tc>
          <w:tcPr>
            <w:tcW w:w="140" w:type="dxa"/>
            <w:vAlign w:val="bottom"/>
            <w:tcBorders>
              <w:bottom w:val="single" w:sz="8" w:color="00010E"/>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00" w:type="dxa"/>
            <w:vAlign w:val="bottom"/>
            <w:tcBorders>
              <w:left w:val="single" w:sz="8" w:color="00010E"/>
            </w:tcBorders>
          </w:tcPr>
          <w:p>
            <w:pPr>
              <w:spacing w:after="0"/>
              <w:rPr>
                <w:sz w:val="19"/>
                <w:szCs w:val="19"/>
                <w:color w:val="auto"/>
              </w:rPr>
            </w:pP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Borders>
              <w:right w:val="single" w:sz="8" w:color="00010E"/>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tcBorders>
              <w:left w:val="single" w:sz="8" w:color="00010E"/>
            </w:tcBorders>
          </w:tcPr>
          <w:p>
            <w:pPr>
              <w:spacing w:after="0"/>
              <w:rPr>
                <w:sz w:val="12"/>
                <w:szCs w:val="12"/>
                <w:color w:val="auto"/>
              </w:rPr>
            </w:pPr>
          </w:p>
        </w:tc>
        <w:tc>
          <w:tcPr>
            <w:tcW w:w="3120" w:type="dxa"/>
            <w:vAlign w:val="bottom"/>
            <w:tcBorders>
              <w:bottom w:val="single" w:sz="8" w:color="3DB44A"/>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3DB44A"/>
            </w:tcBorders>
          </w:tcPr>
          <w:p>
            <w:pPr>
              <w:spacing w:after="0"/>
              <w:rPr>
                <w:sz w:val="12"/>
                <w:szCs w:val="12"/>
                <w:color w:val="auto"/>
              </w:rPr>
            </w:pPr>
          </w:p>
        </w:tc>
        <w:tc>
          <w:tcPr>
            <w:tcW w:w="2780" w:type="dxa"/>
            <w:vAlign w:val="bottom"/>
            <w:tcBorders>
              <w:bottom w:val="single" w:sz="8" w:color="3DB44A"/>
            </w:tcBorders>
          </w:tcPr>
          <w:p>
            <w:pPr>
              <w:spacing w:after="0"/>
              <w:rPr>
                <w:sz w:val="12"/>
                <w:szCs w:val="12"/>
                <w:color w:val="auto"/>
              </w:rPr>
            </w:pPr>
          </w:p>
        </w:tc>
        <w:tc>
          <w:tcPr>
            <w:tcW w:w="200" w:type="dxa"/>
            <w:vAlign w:val="bottom"/>
            <w:tcBorders>
              <w:bottom w:val="single" w:sz="8" w:color="3DB44A"/>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3DB44A"/>
            </w:tcBorders>
          </w:tcPr>
          <w:p>
            <w:pPr>
              <w:spacing w:after="0"/>
              <w:rPr>
                <w:sz w:val="12"/>
                <w:szCs w:val="12"/>
                <w:color w:val="auto"/>
              </w:rPr>
            </w:pPr>
          </w:p>
        </w:tc>
        <w:tc>
          <w:tcPr>
            <w:tcW w:w="2380" w:type="dxa"/>
            <w:vAlign w:val="bottom"/>
            <w:tcBorders>
              <w:bottom w:val="single" w:sz="8" w:color="3DB44A"/>
            </w:tcBorders>
          </w:tcPr>
          <w:p>
            <w:pPr>
              <w:spacing w:after="0"/>
              <w:rPr>
                <w:sz w:val="12"/>
                <w:szCs w:val="12"/>
                <w:color w:val="auto"/>
              </w:rPr>
            </w:pPr>
          </w:p>
        </w:tc>
        <w:tc>
          <w:tcPr>
            <w:tcW w:w="140" w:type="dxa"/>
            <w:vAlign w:val="bottom"/>
            <w:tcBorders>
              <w:right w:val="single" w:sz="8" w:color="00010E"/>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100" w:type="dxa"/>
            <w:vAlign w:val="bottom"/>
            <w:tcBorders>
              <w:left w:val="single" w:sz="8" w:color="00010E"/>
              <w:right w:val="single" w:sz="8" w:color="3DB44A"/>
            </w:tcBorders>
          </w:tcPr>
          <w:p>
            <w:pPr>
              <w:spacing w:after="0"/>
              <w:rPr>
                <w:sz w:val="23"/>
                <w:szCs w:val="23"/>
                <w:color w:val="auto"/>
              </w:rPr>
            </w:pPr>
          </w:p>
        </w:tc>
        <w:tc>
          <w:tcPr>
            <w:tcW w:w="3120" w:type="dxa"/>
            <w:vAlign w:val="bottom"/>
            <w:tcBorders>
              <w:right w:val="single" w:sz="8" w:color="3DB44A"/>
            </w:tcBorders>
          </w:tcPr>
          <w:p>
            <w:pPr>
              <w:ind w:left="280"/>
              <w:spacing w:after="0"/>
              <w:rPr>
                <w:sz w:val="20"/>
                <w:szCs w:val="20"/>
                <w:color w:val="auto"/>
              </w:rPr>
            </w:pPr>
            <w:r>
              <w:rPr>
                <w:rFonts w:ascii="Arial" w:cs="Arial" w:eastAsia="Arial" w:hAnsi="Arial"/>
                <w:sz w:val="21"/>
                <w:szCs w:val="21"/>
                <w:b w:val="1"/>
                <w:bCs w:val="1"/>
                <w:color w:val="00010D"/>
              </w:rPr>
              <w:t>Extend our industry-leading</w:t>
            </w:r>
          </w:p>
        </w:tc>
        <w:tc>
          <w:tcPr>
            <w:tcW w:w="200" w:type="dxa"/>
            <w:vAlign w:val="bottom"/>
            <w:tcBorders>
              <w:right w:val="single" w:sz="8" w:color="3DB44A"/>
            </w:tcBorders>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tcPr>
          <w:p>
            <w:pPr>
              <w:jc w:val="center"/>
              <w:spacing w:after="0"/>
              <w:rPr>
                <w:sz w:val="20"/>
                <w:szCs w:val="20"/>
                <w:color w:val="auto"/>
              </w:rPr>
            </w:pPr>
            <w:r>
              <w:rPr>
                <w:rFonts w:ascii="Arial" w:cs="Arial" w:eastAsia="Arial" w:hAnsi="Arial"/>
                <w:sz w:val="21"/>
                <w:szCs w:val="21"/>
                <w:b w:val="1"/>
                <w:bCs w:val="1"/>
                <w:color w:val="00010D"/>
                <w:w w:val="92"/>
              </w:rPr>
              <w:t xml:space="preserve">Further develop </w:t>
            </w:r>
            <w:r>
              <w:rPr>
                <w:rFonts w:ascii="Arial" w:cs="Arial" w:eastAsia="Arial" w:hAnsi="Arial"/>
                <w:sz w:val="21"/>
                <w:szCs w:val="21"/>
                <w:color w:val="00010D"/>
                <w:w w:val="92"/>
              </w:rPr>
              <w:t>our team and</w:t>
            </w:r>
          </w:p>
        </w:tc>
        <w:tc>
          <w:tcPr>
            <w:tcW w:w="200" w:type="dxa"/>
            <w:vAlign w:val="bottom"/>
            <w:tcBorders>
              <w:right w:val="single" w:sz="8" w:color="3DB44A"/>
            </w:tcBorders>
          </w:tcPr>
          <w:p>
            <w:pPr>
              <w:spacing w:after="0"/>
              <w:rPr>
                <w:sz w:val="23"/>
                <w:szCs w:val="23"/>
                <w:color w:val="auto"/>
              </w:rPr>
            </w:pPr>
          </w:p>
        </w:tc>
        <w:tc>
          <w:tcPr>
            <w:tcW w:w="200" w:type="dxa"/>
            <w:vAlign w:val="bottom"/>
            <w:tcBorders>
              <w:right w:val="single" w:sz="8" w:color="3DB44A"/>
            </w:tcBorders>
          </w:tcPr>
          <w:p>
            <w:pPr>
              <w:spacing w:after="0"/>
              <w:rPr>
                <w:sz w:val="23"/>
                <w:szCs w:val="23"/>
                <w:color w:val="auto"/>
              </w:rPr>
            </w:pPr>
          </w:p>
        </w:tc>
        <w:tc>
          <w:tcPr>
            <w:tcW w:w="3080" w:type="dxa"/>
            <w:vAlign w:val="bottom"/>
            <w:tcBorders>
              <w:left w:val="single" w:sz="8" w:color="3DB44A"/>
              <w:right w:val="single" w:sz="8" w:color="3DB44A"/>
            </w:tcBorders>
            <w:gridSpan w:val="2"/>
          </w:tcPr>
          <w:p>
            <w:pPr>
              <w:jc w:val="center"/>
              <w:spacing w:after="0"/>
              <w:rPr>
                <w:sz w:val="20"/>
                <w:szCs w:val="20"/>
                <w:color w:val="auto"/>
              </w:rPr>
            </w:pPr>
            <w:r>
              <w:rPr>
                <w:rFonts w:ascii="Arial" w:cs="Arial" w:eastAsia="Arial" w:hAnsi="Arial"/>
                <w:sz w:val="21"/>
                <w:szCs w:val="21"/>
                <w:b w:val="1"/>
                <w:bCs w:val="1"/>
                <w:color w:val="00010D"/>
                <w:w w:val="92"/>
              </w:rPr>
              <w:t xml:space="preserve">Digitalize </w:t>
            </w:r>
            <w:r>
              <w:rPr>
                <w:rFonts w:ascii="Arial" w:cs="Arial" w:eastAsia="Arial" w:hAnsi="Arial"/>
                <w:sz w:val="21"/>
                <w:szCs w:val="21"/>
                <w:color w:val="00010D"/>
                <w:w w:val="92"/>
              </w:rPr>
              <w:t>and</w:t>
            </w:r>
            <w:r>
              <w:rPr>
                <w:rFonts w:ascii="Arial" w:cs="Arial" w:eastAsia="Arial" w:hAnsi="Arial"/>
                <w:sz w:val="21"/>
                <w:szCs w:val="21"/>
                <w:b w:val="1"/>
                <w:bCs w:val="1"/>
                <w:color w:val="00010D"/>
                <w:w w:val="92"/>
              </w:rPr>
              <w:t xml:space="preserve"> transform</w:t>
            </w:r>
          </w:p>
        </w:tc>
        <w:tc>
          <w:tcPr>
            <w:tcW w:w="140" w:type="dxa"/>
            <w:vAlign w:val="bottom"/>
            <w:tcBorders>
              <w:right w:val="single" w:sz="8" w:color="00010E"/>
            </w:tcBorders>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100" w:type="dxa"/>
            <w:vAlign w:val="bottom"/>
            <w:tcBorders>
              <w:left w:val="single" w:sz="8" w:color="00010E"/>
              <w:right w:val="single" w:sz="8" w:color="3DB44A"/>
            </w:tcBorders>
          </w:tcPr>
          <w:p>
            <w:pPr>
              <w:spacing w:after="0"/>
              <w:rPr>
                <w:sz w:val="24"/>
                <w:szCs w:val="24"/>
                <w:color w:val="auto"/>
              </w:rPr>
            </w:pPr>
          </w:p>
        </w:tc>
        <w:tc>
          <w:tcPr>
            <w:tcW w:w="3120" w:type="dxa"/>
            <w:vAlign w:val="bottom"/>
            <w:tcBorders>
              <w:right w:val="single" w:sz="8" w:color="3DB44A"/>
            </w:tcBorders>
          </w:tcPr>
          <w:p>
            <w:pPr>
              <w:ind w:left="280"/>
              <w:spacing w:after="0"/>
              <w:rPr>
                <w:sz w:val="20"/>
                <w:szCs w:val="20"/>
                <w:color w:val="auto"/>
              </w:rPr>
            </w:pPr>
            <w:r>
              <w:rPr>
                <w:rFonts w:ascii="Arial" w:cs="Arial" w:eastAsia="Arial" w:hAnsi="Arial"/>
                <w:sz w:val="21"/>
                <w:szCs w:val="21"/>
                <w:b w:val="1"/>
                <w:bCs w:val="1"/>
                <w:color w:val="00010D"/>
                <w:w w:val="99"/>
              </w:rPr>
              <w:t xml:space="preserve">scale </w:t>
            </w:r>
            <w:r>
              <w:rPr>
                <w:rFonts w:ascii="Arial" w:cs="Arial" w:eastAsia="Arial" w:hAnsi="Arial"/>
                <w:sz w:val="21"/>
                <w:szCs w:val="21"/>
                <w:color w:val="00010D"/>
                <w:w w:val="99"/>
              </w:rPr>
              <w:t>and</w:t>
            </w:r>
            <w:r>
              <w:rPr>
                <w:rFonts w:ascii="Arial" w:cs="Arial" w:eastAsia="Arial" w:hAnsi="Arial"/>
                <w:sz w:val="21"/>
                <w:szCs w:val="21"/>
                <w:b w:val="1"/>
                <w:bCs w:val="1"/>
                <w:color w:val="00010D"/>
                <w:w w:val="99"/>
              </w:rPr>
              <w:t xml:space="preserve"> value proposition.</w:t>
            </w:r>
          </w:p>
        </w:tc>
        <w:tc>
          <w:tcPr>
            <w:tcW w:w="200" w:type="dxa"/>
            <w:vAlign w:val="bottom"/>
            <w:tcBorders>
              <w:right w:val="single" w:sz="8" w:color="3DB44A"/>
            </w:tcBorders>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21"/>
                <w:szCs w:val="21"/>
                <w:color w:val="00010D"/>
                <w:w w:val="94"/>
              </w:rPr>
              <w:t>our culture of excellence.</w:t>
            </w:r>
          </w:p>
        </w:tc>
        <w:tc>
          <w:tcPr>
            <w:tcW w:w="200" w:type="dxa"/>
            <w:vAlign w:val="bottom"/>
            <w:tcBorders>
              <w:right w:val="single" w:sz="8" w:color="3DB44A"/>
            </w:tcBorders>
          </w:tcPr>
          <w:p>
            <w:pPr>
              <w:spacing w:after="0"/>
              <w:rPr>
                <w:sz w:val="24"/>
                <w:szCs w:val="24"/>
                <w:color w:val="auto"/>
              </w:rPr>
            </w:pPr>
          </w:p>
        </w:tc>
        <w:tc>
          <w:tcPr>
            <w:tcW w:w="200" w:type="dxa"/>
            <w:vAlign w:val="bottom"/>
            <w:tcBorders>
              <w:right w:val="single" w:sz="8" w:color="3DB44A"/>
            </w:tcBorders>
          </w:tcPr>
          <w:p>
            <w:pPr>
              <w:spacing w:after="0"/>
              <w:rPr>
                <w:sz w:val="24"/>
                <w:szCs w:val="24"/>
                <w:color w:val="auto"/>
              </w:rPr>
            </w:pPr>
          </w:p>
        </w:tc>
        <w:tc>
          <w:tcPr>
            <w:tcW w:w="700" w:type="dxa"/>
            <w:vAlign w:val="bottom"/>
            <w:tcBorders>
              <w:left w:val="single" w:sz="8" w:color="3DB44A"/>
            </w:tcBorders>
          </w:tcPr>
          <w:p>
            <w:pPr>
              <w:spacing w:after="0"/>
              <w:rPr>
                <w:sz w:val="24"/>
                <w:szCs w:val="24"/>
                <w:color w:val="auto"/>
              </w:rPr>
            </w:pPr>
          </w:p>
        </w:tc>
        <w:tc>
          <w:tcPr>
            <w:tcW w:w="2380" w:type="dxa"/>
            <w:vAlign w:val="bottom"/>
            <w:tcBorders>
              <w:right w:val="single" w:sz="8" w:color="3DB44A"/>
            </w:tcBorders>
          </w:tcPr>
          <w:p>
            <w:pPr>
              <w:jc w:val="center"/>
              <w:ind w:right="575"/>
              <w:spacing w:after="0"/>
              <w:rPr>
                <w:sz w:val="20"/>
                <w:szCs w:val="20"/>
                <w:color w:val="auto"/>
              </w:rPr>
            </w:pPr>
            <w:r>
              <w:rPr>
                <w:rFonts w:ascii="Arial" w:cs="Arial" w:eastAsia="Arial" w:hAnsi="Arial"/>
                <w:sz w:val="21"/>
                <w:szCs w:val="21"/>
                <w:color w:val="00010D"/>
                <w:w w:val="90"/>
              </w:rPr>
              <w:t>our B2B business.</w:t>
            </w:r>
          </w:p>
        </w:tc>
        <w:tc>
          <w:tcPr>
            <w:tcW w:w="140" w:type="dxa"/>
            <w:vAlign w:val="bottom"/>
            <w:tcBorders>
              <w:right w:val="single" w:sz="8" w:color="00010E"/>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00" w:type="dxa"/>
            <w:vAlign w:val="bottom"/>
            <w:tcBorders>
              <w:left w:val="single" w:sz="8" w:color="00010E"/>
              <w:right w:val="single" w:sz="8" w:color="3DB44A"/>
            </w:tcBorders>
          </w:tcPr>
          <w:p>
            <w:pPr>
              <w:spacing w:after="0"/>
              <w:rPr>
                <w:sz w:val="5"/>
                <w:szCs w:val="5"/>
                <w:color w:val="auto"/>
              </w:rPr>
            </w:pPr>
          </w:p>
        </w:tc>
        <w:tc>
          <w:tcPr>
            <w:tcW w:w="3120" w:type="dxa"/>
            <w:vAlign w:val="bottom"/>
            <w:tcBorders>
              <w:bottom w:val="single" w:sz="8" w:color="3DB44A"/>
              <w:right w:val="single" w:sz="8" w:color="3DB44A"/>
            </w:tcBorders>
          </w:tcPr>
          <w:p>
            <w:pPr>
              <w:spacing w:after="0"/>
              <w:rPr>
                <w:sz w:val="5"/>
                <w:szCs w:val="5"/>
                <w:color w:val="auto"/>
              </w:rPr>
            </w:pPr>
          </w:p>
        </w:tc>
        <w:tc>
          <w:tcPr>
            <w:tcW w:w="200" w:type="dxa"/>
            <w:vAlign w:val="bottom"/>
            <w:tcBorders>
              <w:right w:val="single" w:sz="8" w:color="3DB44A"/>
            </w:tcBorders>
          </w:tcPr>
          <w:p>
            <w:pPr>
              <w:spacing w:after="0"/>
              <w:rPr>
                <w:sz w:val="5"/>
                <w:szCs w:val="5"/>
                <w:color w:val="auto"/>
              </w:rPr>
            </w:pPr>
          </w:p>
        </w:tc>
        <w:tc>
          <w:tcPr>
            <w:tcW w:w="120" w:type="dxa"/>
            <w:vAlign w:val="bottom"/>
            <w:tcBorders>
              <w:bottom w:val="single" w:sz="8" w:color="3DB44A"/>
            </w:tcBorders>
          </w:tcPr>
          <w:p>
            <w:pPr>
              <w:spacing w:after="0"/>
              <w:rPr>
                <w:sz w:val="5"/>
                <w:szCs w:val="5"/>
                <w:color w:val="auto"/>
              </w:rPr>
            </w:pPr>
          </w:p>
        </w:tc>
        <w:tc>
          <w:tcPr>
            <w:tcW w:w="2780" w:type="dxa"/>
            <w:vAlign w:val="bottom"/>
            <w:tcBorders>
              <w:bottom w:val="single" w:sz="8" w:color="3DB44A"/>
            </w:tcBorders>
          </w:tcPr>
          <w:p>
            <w:pPr>
              <w:spacing w:after="0"/>
              <w:rPr>
                <w:sz w:val="5"/>
                <w:szCs w:val="5"/>
                <w:color w:val="auto"/>
              </w:rPr>
            </w:pPr>
          </w:p>
        </w:tc>
        <w:tc>
          <w:tcPr>
            <w:tcW w:w="200" w:type="dxa"/>
            <w:vAlign w:val="bottom"/>
            <w:tcBorders>
              <w:bottom w:val="single" w:sz="8" w:color="3DB44A"/>
              <w:right w:val="single" w:sz="8" w:color="3DB44A"/>
            </w:tcBorders>
          </w:tcPr>
          <w:p>
            <w:pPr>
              <w:spacing w:after="0"/>
              <w:rPr>
                <w:sz w:val="5"/>
                <w:szCs w:val="5"/>
                <w:color w:val="auto"/>
              </w:rPr>
            </w:pPr>
          </w:p>
        </w:tc>
        <w:tc>
          <w:tcPr>
            <w:tcW w:w="200" w:type="dxa"/>
            <w:vAlign w:val="bottom"/>
            <w:tcBorders>
              <w:right w:val="single" w:sz="8" w:color="3DB44A"/>
            </w:tcBorders>
          </w:tcPr>
          <w:p>
            <w:pPr>
              <w:spacing w:after="0"/>
              <w:rPr>
                <w:sz w:val="5"/>
                <w:szCs w:val="5"/>
                <w:color w:val="auto"/>
              </w:rPr>
            </w:pPr>
          </w:p>
        </w:tc>
        <w:tc>
          <w:tcPr>
            <w:tcW w:w="700" w:type="dxa"/>
            <w:vAlign w:val="bottom"/>
            <w:tcBorders>
              <w:left w:val="single" w:sz="8" w:color="3DB44A"/>
              <w:bottom w:val="single" w:sz="8" w:color="3DB44A"/>
            </w:tcBorders>
          </w:tcPr>
          <w:p>
            <w:pPr>
              <w:spacing w:after="0"/>
              <w:rPr>
                <w:sz w:val="5"/>
                <w:szCs w:val="5"/>
                <w:color w:val="auto"/>
              </w:rPr>
            </w:pPr>
          </w:p>
        </w:tc>
        <w:tc>
          <w:tcPr>
            <w:tcW w:w="2380" w:type="dxa"/>
            <w:vAlign w:val="bottom"/>
            <w:tcBorders>
              <w:bottom w:val="single" w:sz="8" w:color="3DB44A"/>
              <w:right w:val="single" w:sz="8" w:color="3DB44A"/>
            </w:tcBorders>
          </w:tcPr>
          <w:p>
            <w:pPr>
              <w:spacing w:after="0"/>
              <w:rPr>
                <w:sz w:val="5"/>
                <w:szCs w:val="5"/>
                <w:color w:val="auto"/>
              </w:rPr>
            </w:pPr>
          </w:p>
        </w:tc>
        <w:tc>
          <w:tcPr>
            <w:tcW w:w="140" w:type="dxa"/>
            <w:vAlign w:val="bottom"/>
            <w:tcBorders>
              <w:right w:val="single" w:sz="8" w:color="00010E"/>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0" w:type="dxa"/>
            <w:vAlign w:val="bottom"/>
            <w:tcBorders>
              <w:left w:val="single" w:sz="8" w:color="00010E"/>
              <w:bottom w:val="single" w:sz="8" w:color="00010E"/>
            </w:tcBorders>
          </w:tcPr>
          <w:p>
            <w:pPr>
              <w:spacing w:after="0"/>
              <w:rPr>
                <w:sz w:val="10"/>
                <w:szCs w:val="10"/>
                <w:color w:val="auto"/>
              </w:rPr>
            </w:pPr>
          </w:p>
        </w:tc>
        <w:tc>
          <w:tcPr>
            <w:tcW w:w="3120" w:type="dxa"/>
            <w:vAlign w:val="bottom"/>
            <w:tcBorders>
              <w:bottom w:val="single" w:sz="8" w:color="00010E"/>
            </w:tcBorders>
          </w:tcPr>
          <w:p>
            <w:pPr>
              <w:spacing w:after="0"/>
              <w:rPr>
                <w:sz w:val="10"/>
                <w:szCs w:val="10"/>
                <w:color w:val="auto"/>
              </w:rPr>
            </w:pPr>
          </w:p>
        </w:tc>
        <w:tc>
          <w:tcPr>
            <w:tcW w:w="200" w:type="dxa"/>
            <w:vAlign w:val="bottom"/>
            <w:tcBorders>
              <w:bottom w:val="single" w:sz="8" w:color="00010E"/>
            </w:tcBorders>
          </w:tcPr>
          <w:p>
            <w:pPr>
              <w:spacing w:after="0"/>
              <w:rPr>
                <w:sz w:val="10"/>
                <w:szCs w:val="10"/>
                <w:color w:val="auto"/>
              </w:rPr>
            </w:pPr>
          </w:p>
        </w:tc>
        <w:tc>
          <w:tcPr>
            <w:tcW w:w="120" w:type="dxa"/>
            <w:vAlign w:val="bottom"/>
            <w:tcBorders>
              <w:bottom w:val="single" w:sz="8" w:color="00010E"/>
            </w:tcBorders>
          </w:tcPr>
          <w:p>
            <w:pPr>
              <w:spacing w:after="0"/>
              <w:rPr>
                <w:sz w:val="10"/>
                <w:szCs w:val="10"/>
                <w:color w:val="auto"/>
              </w:rPr>
            </w:pPr>
          </w:p>
        </w:tc>
        <w:tc>
          <w:tcPr>
            <w:tcW w:w="2780" w:type="dxa"/>
            <w:vAlign w:val="bottom"/>
            <w:tcBorders>
              <w:bottom w:val="single" w:sz="8" w:color="00010E"/>
            </w:tcBorders>
          </w:tcPr>
          <w:p>
            <w:pPr>
              <w:spacing w:after="0"/>
              <w:rPr>
                <w:sz w:val="10"/>
                <w:szCs w:val="10"/>
                <w:color w:val="auto"/>
              </w:rPr>
            </w:pPr>
          </w:p>
        </w:tc>
        <w:tc>
          <w:tcPr>
            <w:tcW w:w="200" w:type="dxa"/>
            <w:vAlign w:val="bottom"/>
            <w:tcBorders>
              <w:bottom w:val="single" w:sz="8" w:color="00010E"/>
            </w:tcBorders>
          </w:tcPr>
          <w:p>
            <w:pPr>
              <w:spacing w:after="0"/>
              <w:rPr>
                <w:sz w:val="10"/>
                <w:szCs w:val="10"/>
                <w:color w:val="auto"/>
              </w:rPr>
            </w:pPr>
          </w:p>
        </w:tc>
        <w:tc>
          <w:tcPr>
            <w:tcW w:w="200" w:type="dxa"/>
            <w:vAlign w:val="bottom"/>
            <w:tcBorders>
              <w:bottom w:val="single" w:sz="8" w:color="00010E"/>
            </w:tcBorders>
          </w:tcPr>
          <w:p>
            <w:pPr>
              <w:spacing w:after="0"/>
              <w:rPr>
                <w:sz w:val="10"/>
                <w:szCs w:val="10"/>
                <w:color w:val="auto"/>
              </w:rPr>
            </w:pPr>
          </w:p>
        </w:tc>
        <w:tc>
          <w:tcPr>
            <w:tcW w:w="700" w:type="dxa"/>
            <w:vAlign w:val="bottom"/>
            <w:tcBorders>
              <w:bottom w:val="single" w:sz="8" w:color="00010E"/>
            </w:tcBorders>
          </w:tcPr>
          <w:p>
            <w:pPr>
              <w:spacing w:after="0"/>
              <w:rPr>
                <w:sz w:val="10"/>
                <w:szCs w:val="10"/>
                <w:color w:val="auto"/>
              </w:rPr>
            </w:pPr>
          </w:p>
        </w:tc>
        <w:tc>
          <w:tcPr>
            <w:tcW w:w="2380" w:type="dxa"/>
            <w:vAlign w:val="bottom"/>
            <w:tcBorders>
              <w:bottom w:val="single" w:sz="8" w:color="00010E"/>
            </w:tcBorders>
          </w:tcPr>
          <w:p>
            <w:pPr>
              <w:spacing w:after="0"/>
              <w:rPr>
                <w:sz w:val="10"/>
                <w:szCs w:val="10"/>
                <w:color w:val="auto"/>
              </w:rPr>
            </w:pPr>
          </w:p>
        </w:tc>
        <w:tc>
          <w:tcPr>
            <w:tcW w:w="140" w:type="dxa"/>
            <w:vAlign w:val="bottom"/>
            <w:tcBorders>
              <w:bottom w:val="single" w:sz="8" w:color="00010E"/>
              <w:right w:val="single" w:sz="8" w:color="00010E"/>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Wesco’s vision is to be the best tech-enabled supply chain solutions provider in the world. We believe that accomplishing this vision depends on the successful execution of our strategy, which comprises three elements:</w:t>
      </w:r>
    </w:p>
    <w:p>
      <w:pPr>
        <w:spacing w:after="0" w:line="60"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color w:val="231F20"/>
        </w:rPr>
        <w:t xml:space="preserve">Extend Our Leading Scale and Value Proposition: </w:t>
      </w:r>
      <w:r>
        <w:rPr>
          <w:rFonts w:ascii="Times New Roman" w:cs="Times New Roman" w:eastAsia="Times New Roman" w:hAnsi="Times New Roman"/>
          <w:sz w:val="20"/>
          <w:szCs w:val="20"/>
          <w:color w:val="231F20"/>
        </w:rPr>
        <w:t>Our long-term growth potential benefits from secular trends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digitalization, including AI-driven data centers and automation; electrification, including increased power generation and reliability; and supply chain resiliency, including reshoring. Our broad portfolio of product and service offerings, as well as our global footprint and capabilities, enable us to provide value to our customers.</w:t>
      </w:r>
    </w:p>
    <w:p>
      <w:pPr>
        <w:spacing w:after="0" w:line="79"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Further Develop the Organization and Our Culture of Excellence: </w:t>
      </w:r>
      <w:r>
        <w:rPr>
          <w:rFonts w:ascii="Times New Roman" w:cs="Times New Roman" w:eastAsia="Times New Roman" w:hAnsi="Times New Roman"/>
          <w:sz w:val="20"/>
          <w:szCs w:val="20"/>
          <w:color w:val="231F20"/>
        </w:rPr>
        <w:t>Wesco’s five core values are foundational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everything we do: Our people are our greatest asset, One team, Always strive to be the best, Innovation, and Winning with customers and suppliers. Safety remains a priority and a company-wide responsibility at Wesco. Our goal is to provide a safe work environment for our employees and all those who visit our facilities. Our education and awareness campaigns for employees include training for our fulfillment and distribution centers, enhanced reporting and investigative tools, and reinforced processes at the local site level. Additionally, our commitment to continuous improvement is a hallmark of our business, and we do so by deploying Lean business practices and Agile methodologies. Wesco continues to enhance its approach to Environmental, Social, and Governance (“ESG”) matters, including integrating sustainability into our corporate strategy and expanding our employee training and leadership development programming.</w:t>
      </w:r>
    </w:p>
    <w:p>
      <w:pPr>
        <w:spacing w:after="0" w:line="90"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b w:val="1"/>
          <w:bCs w:val="1"/>
          <w:color w:val="231F20"/>
        </w:rPr>
        <w:t xml:space="preserve">Digitalize and Transform the Business: </w:t>
      </w:r>
      <w:r>
        <w:rPr>
          <w:rFonts w:ascii="Times New Roman" w:cs="Times New Roman" w:eastAsia="Times New Roman" w:hAnsi="Times New Roman"/>
          <w:sz w:val="20"/>
          <w:szCs w:val="20"/>
          <w:color w:val="231F20"/>
        </w:rPr>
        <w:t>Digitalization is a secular trend affecting the entire business-to-business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distribution value chain. Wesco offers significant digital capabilities today and intends to lead the further digitalization of our industry in the years to come, making it easier to do business with Wesco, and increase the value of our data by providing unique insight into end-market and customer use of the products and services we offer. We are implementing digital tools to add value within the company and at both ends of the supply chain. We continue to make progress on our digital transformation journey. These digital capabilities are expected to improve efficiency and sales effectiveness of our business, and to enable us to create more value for our customers and supplier partners.</w:t>
      </w:r>
    </w:p>
    <w:p>
      <w:pPr>
        <w:spacing w:after="0" w:line="87"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three elements of our strategy touch every aspect of our business, from how we add value to our supplier partners and how we go-to-market within our three strategic business units to how we drive efficiency across the organization. We believe that the successful execution of these strategies, combined with our comprehensive product and service offerings, will provide cost-effective and innovative end-to-end supply chain solutions for a diverse set of customers across our end markets. Due to our leadership position, scale, global reach, complete portfolio of products, extensive services and insights from our data, we expect to grow our sales over the long term at a faster rate than the overall industry.</w:t>
      </w:r>
    </w:p>
    <w:p>
      <w:pPr>
        <w:spacing w:after="0" w:line="8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As a distribution and supply chain services company, our approach to sustainability is to reduce the environmental impacts of our own operations and assist our customers and suppliers with attaining their sustainability goals through the products and services we provide. We do this by designing and providing solutions to help them reduce greenhouse gas (“GHG”) emissions at their facilities and in their supply chains, improve productivity through automation and increase output more efficiently and effectively through digital tools and applications. We build on our own internal strategies for sustainability, while reinforcing our corporate responsibility. Our sustainability efforts are an integral part of our operations and core values.</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3</w:t>
      </w:r>
    </w:p>
    <w:p>
      <w:pPr>
        <w:sectPr>
          <w:pgSz w:w="11880" w:h="15480" w:orient="portrait"/>
          <w:cols w:equalWidth="0" w:num="1">
            <w:col w:w="10120"/>
          </w:cols>
          <w:pgMar w:left="880" w:top="672" w:right="8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231F20"/>
        </w:rPr>
        <w:t>Customers</w:t>
      </w:r>
    </w:p>
    <w:p>
      <w:pPr>
        <w:spacing w:after="0" w:line="13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 have a large base of nearly 130,000 active customers across commercial and industrial businesses, technology companies, telecommunications providers and utilities. Our top ten customers accounted for approximately 15% of our sales in 2025. No single customer accounted for more than 5% of our sales in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Suppliers</w:t>
      </w:r>
    </w:p>
    <w:p>
      <w:pPr>
        <w:spacing w:after="0" w:line="13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Our global network of distribution centers, fulfillment centers and sales offices provide customers with access to millions of products. Specific locations tailor their inventories to meet the needs of their customers, providing a local presence and a global network to service multi-location businesses and global corporations.</w:t>
      </w:r>
    </w:p>
    <w:p>
      <w:pPr>
        <w:spacing w:after="0" w:line="77"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 purchase products from a diverse group of more than 35,000 suppliers who are located predominantly in North America, but who manufacture products around the world. The main product categories we source are electrical distribution and controls, communications and security, wire, cable and conduit, lighting and sustainability, automation and motors, and general supplies. In 2025, our ten largest suppliers accounted for approximately 32% of our purchases. No single supplier accounted for more than 6% of our total purchases.</w:t>
      </w:r>
    </w:p>
    <w:p>
      <w:pPr>
        <w:spacing w:after="0" w:line="8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Our supplier relationships are important to us, providing access to a wide range of products, services, technical training, and sales and marketing support. We have commercial agreements with more than 450 preferred suppliers and approximately 68% of our purchases are made pursuant to these arrangements.</w:t>
      </w:r>
    </w:p>
    <w:p>
      <w:pPr>
        <w:spacing w:after="0" w:line="77"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 offer a wide range of sustainable products from the world’s leading manufacturers and help our customers determine solutions to meet their sustainability goals. Key categories include energy-efficient products, energy-management solutions, renewable energy products, sustainable MRO products and workplace safety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Services</w:t>
      </w:r>
    </w:p>
    <w:p>
      <w:pPr>
        <w:spacing w:after="0" w:line="132" w:lineRule="exact"/>
        <w:rPr>
          <w:sz w:val="20"/>
          <w:szCs w:val="20"/>
          <w:color w:val="auto"/>
        </w:rPr>
      </w:pPr>
    </w:p>
    <w:p>
      <w:pPr>
        <w:jc w:val="both"/>
        <w:ind w:firstLine="266"/>
        <w:spacing w:after="0" w:line="281" w:lineRule="auto"/>
        <w:rPr>
          <w:sz w:val="20"/>
          <w:szCs w:val="20"/>
          <w:color w:val="auto"/>
        </w:rPr>
      </w:pPr>
      <w:r>
        <w:rPr>
          <w:rFonts w:ascii="Times New Roman" w:cs="Times New Roman" w:eastAsia="Times New Roman" w:hAnsi="Times New Roman"/>
          <w:sz w:val="19"/>
          <w:szCs w:val="19"/>
          <w:color w:val="231F20"/>
        </w:rPr>
        <w:t>Our customers’ challenges are constantly evolving and require comprehensive yet practical solutions. As part of our overall offerings, we provide a comprehensive portfolio of differentiated solutions designed to address our customers’ business needs, help drive efficiency, improve productivity, increase profitability, and mitigate risk. These include, among others:</w:t>
      </w:r>
    </w:p>
    <w:p>
      <w:pPr>
        <w:spacing w:after="0" w:line="88" w:lineRule="exact"/>
        <w:rPr>
          <w:sz w:val="20"/>
          <w:szCs w:val="20"/>
          <w:color w:val="auto"/>
        </w:rPr>
      </w:pPr>
    </w:p>
    <w:p>
      <w:pPr>
        <w:ind w:left="720" w:hanging="359"/>
        <w:spacing w:after="0" w:line="234" w:lineRule="auto"/>
        <w:tabs>
          <w:tab w:leader="none" w:pos="720" w:val="left"/>
        </w:tabs>
        <w:numPr>
          <w:ilvl w:val="0"/>
          <w:numId w:val="9"/>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Advisory services to help our partners and customers with advanced solutions that leverage the industry’s leading technologies, optimize supply chains, implement Lean practices, improve safety and digitally transform workplaces;</w:t>
      </w:r>
    </w:p>
    <w:p>
      <w:pPr>
        <w:spacing w:after="0" w:line="97" w:lineRule="exact"/>
        <w:rPr>
          <w:rFonts w:ascii="Times New Roman" w:cs="Times New Roman" w:eastAsia="Times New Roman" w:hAnsi="Times New Roman"/>
          <w:sz w:val="24"/>
          <w:szCs w:val="24"/>
          <w:color w:val="231F20"/>
        </w:rPr>
      </w:pPr>
    </w:p>
    <w:p>
      <w:pPr>
        <w:ind w:left="720" w:hanging="359"/>
        <w:spacing w:after="0" w:line="234" w:lineRule="auto"/>
        <w:tabs>
          <w:tab w:leader="none" w:pos="720" w:val="left"/>
        </w:tabs>
        <w:numPr>
          <w:ilvl w:val="0"/>
          <w:numId w:val="9"/>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Installation enhancement services to adapt products and packaging in order to streamline processes and reduce the total cost of installation;</w:t>
      </w:r>
    </w:p>
    <w:p>
      <w:pPr>
        <w:spacing w:after="0" w:line="97" w:lineRule="exact"/>
        <w:rPr>
          <w:rFonts w:ascii="Times New Roman" w:cs="Times New Roman" w:eastAsia="Times New Roman" w:hAnsi="Times New Roman"/>
          <w:sz w:val="24"/>
          <w:szCs w:val="24"/>
          <w:color w:val="231F20"/>
        </w:rPr>
      </w:pPr>
    </w:p>
    <w:p>
      <w:pPr>
        <w:ind w:left="720" w:hanging="359"/>
        <w:spacing w:after="0" w:line="234" w:lineRule="auto"/>
        <w:tabs>
          <w:tab w:leader="none" w:pos="720" w:val="left"/>
        </w:tabs>
        <w:numPr>
          <w:ilvl w:val="0"/>
          <w:numId w:val="9"/>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Project deployment services to help secure job site materials, prevent loss, improve efficiency, reduce job site waste, ensure day-to-day supplies are on hand and improve scalability across global deployments;</w:t>
      </w:r>
    </w:p>
    <w:p>
      <w:pPr>
        <w:spacing w:after="0" w:line="97" w:lineRule="exact"/>
        <w:rPr>
          <w:rFonts w:ascii="Times New Roman" w:cs="Times New Roman" w:eastAsia="Times New Roman" w:hAnsi="Times New Roman"/>
          <w:sz w:val="24"/>
          <w:szCs w:val="24"/>
          <w:color w:val="231F20"/>
        </w:rPr>
      </w:pPr>
    </w:p>
    <w:p>
      <w:pPr>
        <w:ind w:left="720" w:hanging="359"/>
        <w:spacing w:after="0" w:line="234" w:lineRule="auto"/>
        <w:tabs>
          <w:tab w:leader="none" w:pos="720" w:val="left"/>
        </w:tabs>
        <w:numPr>
          <w:ilvl w:val="0"/>
          <w:numId w:val="9"/>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Supply chain management programs to improve productivity, reduce operating costs and increase operational efficiencies;</w:t>
      </w:r>
    </w:p>
    <w:p>
      <w:pPr>
        <w:spacing w:after="0" w:line="97" w:lineRule="exact"/>
        <w:rPr>
          <w:rFonts w:ascii="Times New Roman" w:cs="Times New Roman" w:eastAsia="Times New Roman" w:hAnsi="Times New Roman"/>
          <w:sz w:val="24"/>
          <w:szCs w:val="24"/>
          <w:color w:val="231F20"/>
        </w:rPr>
      </w:pPr>
    </w:p>
    <w:p>
      <w:pPr>
        <w:ind w:left="720" w:hanging="359"/>
        <w:spacing w:after="0" w:line="234" w:lineRule="auto"/>
        <w:tabs>
          <w:tab w:leader="none" w:pos="720" w:val="left"/>
        </w:tabs>
        <w:numPr>
          <w:ilvl w:val="0"/>
          <w:numId w:val="9"/>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Digital products, services and e-business integrations to transform how our customers consume, deploy, and procure materials and technologies, supporting data-driven decisions and increased operational efficiency; and</w:t>
      </w:r>
    </w:p>
    <w:p>
      <w:pPr>
        <w:spacing w:after="0" w:line="97" w:lineRule="exact"/>
        <w:rPr>
          <w:rFonts w:ascii="Times New Roman" w:cs="Times New Roman" w:eastAsia="Times New Roman" w:hAnsi="Times New Roman"/>
          <w:sz w:val="24"/>
          <w:szCs w:val="24"/>
          <w:color w:val="231F20"/>
        </w:rPr>
      </w:pPr>
    </w:p>
    <w:p>
      <w:pPr>
        <w:ind w:left="720" w:hanging="359"/>
        <w:spacing w:after="0" w:line="234" w:lineRule="auto"/>
        <w:tabs>
          <w:tab w:leader="none" w:pos="720" w:val="left"/>
        </w:tabs>
        <w:numPr>
          <w:ilvl w:val="0"/>
          <w:numId w:val="9"/>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Data center services and solutions to ensure the efficiency and reliability of facilities throughout every phase of the data center lifecycle from construction to operation.</w:t>
      </w:r>
    </w:p>
    <w:p>
      <w:pPr>
        <w:spacing w:after="0" w:line="70"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 seek to drive efficiency and profitability by providing innovative and customizable services that help our customers and partners work smarter. Positioned in the center of the value chain, we aggregate technologies and digital capabilities to help deliver deeper insights and new opportunities for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Strengths</w:t>
      </w:r>
    </w:p>
    <w:p>
      <w:pPr>
        <w:spacing w:after="0" w:line="13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Wesco’s mission is to help our customers build, connect, power and protect the world. We believe that our business possesses strengths that will enable us to achieve this mission. The environment in which we operate is highly fragmented and there is significant competition within each end market and geographic area that we serve. Customers look to product line breadth, product availability, service capabilities, geographic proximity and price. Our scale, broad portfolio of products, technical expertise, global reach with local relationships, smart, digital solutions, and comprehensive value-added services provide distinct advantages that benefit our customers.</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4</w:t>
      </w:r>
    </w:p>
    <w:p>
      <w:pPr>
        <w:sectPr>
          <w:pgSz w:w="11880" w:h="15480" w:orient="portrait"/>
          <w:cols w:equalWidth="0" w:num="1">
            <w:col w:w="10120"/>
          </w:cols>
          <w:pgMar w:left="880" w:top="672" w:right="880" w:bottom="0" w:gutter="0" w:footer="0" w:header="0"/>
          <w:type w:val="continuous"/>
        </w:sectPr>
      </w:pPr>
    </w:p>
    <w:bookmarkStart w:id="14" w:name="page15"/>
    <w:bookmarkEnd w:id="14"/>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Broad Portfolio of Products from Top Brands. </w:t>
      </w:r>
      <w:r>
        <w:rPr>
          <w:rFonts w:ascii="Times New Roman" w:cs="Times New Roman" w:eastAsia="Times New Roman" w:hAnsi="Times New Roman"/>
          <w:sz w:val="20"/>
          <w:szCs w:val="20"/>
          <w:color w:val="231F20"/>
        </w:rPr>
        <w:t>Our broad product portfolio enables us to offer comprehensive, end-to-end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solutions in each of our three business units. We partner with the industries’ largest suppliers to deliver leading brands across every product category including automation/IoT, broadband, communications, electrical, electronics, energy, lighting, MRO, networking, renewables, safety, security, utility and wire and cable.</w:t>
      </w:r>
    </w:p>
    <w:p>
      <w:pPr>
        <w:spacing w:after="0" w:line="79"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Customized Solutions. </w:t>
      </w:r>
      <w:r>
        <w:rPr>
          <w:rFonts w:ascii="Times New Roman" w:cs="Times New Roman" w:eastAsia="Times New Roman" w:hAnsi="Times New Roman"/>
          <w:sz w:val="20"/>
          <w:szCs w:val="20"/>
          <w:color w:val="231F20"/>
        </w:rPr>
        <w:t>Our customers have unique business models, challenges and priorities. Our dedicated technical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experts have extensive experience and product and services knowledge that enable them to provide solutions tailored to the various needs of our customers. With specialized industry knowledge and a focus on the leading technologies, we help design and deploy solutions that address critical business priorities.</w:t>
      </w:r>
    </w:p>
    <w:p>
      <w:pPr>
        <w:spacing w:after="0" w:line="79"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Uniquely Positioned to Benefit from Secular Trends</w:t>
      </w:r>
      <w:r>
        <w:rPr>
          <w:rFonts w:ascii="Times New Roman" w:cs="Times New Roman" w:eastAsia="Times New Roman" w:hAnsi="Times New Roman"/>
          <w:sz w:val="20"/>
          <w:szCs w:val="20"/>
          <w:color w:val="231F20"/>
        </w:rPr>
        <w:t>. Each of our business units is positioned to benefit from secular trends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that are driving growth. These include digitalization, including AI-driven data centers and automation; electrification, including increased power generation and reliability; and supply chain resiliency, including reshoring.</w:t>
      </w:r>
    </w:p>
    <w:p>
      <w:pPr>
        <w:spacing w:after="0" w:line="71"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Ingenuity and Expertise. </w:t>
      </w:r>
      <w:r>
        <w:rPr>
          <w:rFonts w:ascii="Times New Roman" w:cs="Times New Roman" w:eastAsia="Times New Roman" w:hAnsi="Times New Roman"/>
          <w:sz w:val="20"/>
          <w:szCs w:val="20"/>
          <w:color w:val="231F20"/>
        </w:rPr>
        <w:t>Our teams are empowered with access to real-time information and tools that enable better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decision-making and facilitate easier interaction with customers. Our sales, service and operational specialists bring a depth of industry experience spanning construction, manufacturing, electrical, renewables, lighting, communications, data centers, security, professional audio and visual equipment, utility, broadband and more.</w:t>
      </w:r>
    </w:p>
    <w:p>
      <w:pPr>
        <w:spacing w:after="0" w:line="79"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Innovative Digital Roadmap. </w:t>
      </w:r>
      <w:r>
        <w:rPr>
          <w:rFonts w:ascii="Times New Roman" w:cs="Times New Roman" w:eastAsia="Times New Roman" w:hAnsi="Times New Roman"/>
          <w:sz w:val="20"/>
          <w:szCs w:val="20"/>
          <w:color w:val="231F20"/>
        </w:rPr>
        <w:t>We are investing in digital tools and platforms to enable a new level of collaboration, agility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and productivity. From adaptable omni-channel e-commerce tools and platforms, to connected buildings and facility management, we are a supply chain partner that addresses our customers’ digital needs and drives operational excellence.</w:t>
      </w:r>
    </w:p>
    <w:p>
      <w:pPr>
        <w:spacing w:after="0" w:line="71"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Global Reach with Local Expertise. </w:t>
      </w:r>
      <w:r>
        <w:rPr>
          <w:rFonts w:ascii="Times New Roman" w:cs="Times New Roman" w:eastAsia="Times New Roman" w:hAnsi="Times New Roman"/>
          <w:sz w:val="20"/>
          <w:szCs w:val="20"/>
          <w:color w:val="231F20"/>
        </w:rPr>
        <w:t>Our international operations and global sourcing capabilities enable us to service 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customers around the world. Wesco has more than 700 sites, including distribution centers, fulfillment centers and sales offices, with operations in approximately 50 countries. Our global distribution network includes facilities that operate as large distribution centers or fulfillment centers in key geographic areas in North America, Europe, South America and the Asia Pacific region. These facilities add value for our customers and suppliers through the combination of inventory selection, online ordering, shipment capabilities, and order handling and fulfillment. Our global network allows us to enhance local customer service by tailoring individual site products and services to local customer needs.</w:t>
      </w:r>
    </w:p>
    <w:p>
      <w:pPr>
        <w:spacing w:after="0" w:line="83"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Smart, Digital Solutions. </w:t>
      </w:r>
      <w:r>
        <w:rPr>
          <w:rFonts w:ascii="Times New Roman" w:cs="Times New Roman" w:eastAsia="Times New Roman" w:hAnsi="Times New Roman"/>
          <w:sz w:val="20"/>
          <w:szCs w:val="20"/>
          <w:color w:val="231F20"/>
        </w:rPr>
        <w:t>Our work with technology companies brings capabilities in digital and information-based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solutions. These solutions include global e-commerce platforms, vendor managed inventory, point of use systems, last mile optimization, supply chain engineering and intelligent automation. Our recent acquisitions further extend our end-to-end service offerings and digital solutions for our customers. From enterprise-wide connectivity to real-time analytics and reporting, our digital ecosystem supports our customers’ business needs.</w:t>
      </w:r>
    </w:p>
    <w:p>
      <w:pPr>
        <w:spacing w:after="0" w:line="83"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Comprehensive Value-Added Services. </w:t>
      </w:r>
      <w:r>
        <w:rPr>
          <w:rFonts w:ascii="Times New Roman" w:cs="Times New Roman" w:eastAsia="Times New Roman" w:hAnsi="Times New Roman"/>
          <w:sz w:val="20"/>
          <w:szCs w:val="20"/>
          <w:color w:val="231F20"/>
        </w:rPr>
        <w:t>We provide a wide range of value-added services, which draw on our product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knowledge and logistics expertise, to help our customers save time, improve productivity, mitigate risk and increase profitability. Our broad service offering includes installation enhancement, materials management, kitting and labeling, extensive MRO solutions, onsite job trailer solutions, end-to-end supply chain management and project management/execution across the project lifecycle.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Geography</w:t>
      </w:r>
    </w:p>
    <w:p>
      <w:pPr>
        <w:spacing w:after="0" w:line="132"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 sell to global customers through our network of distribution centers, fulfillment centers and sales offices consisting of 427 locations in the U.S., 144 in Canada, 49 in the Asia Pacific region, which includes Australia, 48 in Europe and the Middle East, and 45 in Central America, the Caribbean and South America. This includes 63 facilities that operate as large distribution centers or large fulfillment centers in key geographic areas, of which 49 are located in the U.S., eight in Canada, three in Europe, two in South America and one in Australia.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3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At Wesco, our people and our high-performance culture are our greatest assets. We are committed to continuous improvement and leveraging our talented workforce in pursuing Wesco’s vision to be the best tech-enabled supply chain solutions provider in the world. We also believe that our employees should be treated with dignity and respect. Our Human Rights Policy promotes safety in the workplace, training, disabled employee accommodations, and freedom of association and collective bargaining. It prohibits discrimination, harassment, and child and forced labor. It also provides guidance on appropriate working hours, wages and benefits, and safe and healthy workplace conditions.</w:t>
      </w:r>
    </w:p>
    <w:p>
      <w:pPr>
        <w:spacing w:after="0" w:line="8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As of December 31, 2025, Wesco had approximately 21,000 full-time employees worldwide, with more than 13,000 in the U.S. and more than 7,000 in international locations.</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5</w:t>
      </w:r>
    </w:p>
    <w:p>
      <w:pPr>
        <w:sectPr>
          <w:pgSz w:w="11880" w:h="15480" w:orient="portrait"/>
          <w:cols w:equalWidth="0" w:num="1">
            <w:col w:w="10120"/>
          </w:cols>
          <w:pgMar w:left="880" w:top="675" w:right="880" w:bottom="0" w:gutter="0" w:footer="0" w:header="0"/>
          <w:type w:val="continuous"/>
        </w:sectPr>
      </w:pPr>
    </w:p>
    <w:bookmarkStart w:id="15" w:name="page16"/>
    <w:bookmarkEnd w:id="15"/>
    <w:p>
      <w:pPr>
        <w:jc w:val="both"/>
        <w:ind w:firstLine="266"/>
        <w:spacing w:after="0" w:line="275"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Safety. </w:t>
      </w:r>
      <w:r>
        <w:rPr>
          <w:rFonts w:ascii="Times New Roman" w:cs="Times New Roman" w:eastAsia="Times New Roman" w:hAnsi="Times New Roman"/>
          <w:sz w:val="19"/>
          <w:szCs w:val="19"/>
          <w:color w:val="231F20"/>
        </w:rPr>
        <w:t>Safety is the first tenet of our core value of commitment to our people and we do not tolerate violations of</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established safety protocol. We work to reduce or eliminate health and safety risks through dedicated preventative and reactionary programs, leadership commitment, and employee best practice sharing and training. We seek to achieve continuous improvement in the safety of our facilities and track a series of metrics that provide guidance toward that improvement.</w:t>
      </w:r>
    </w:p>
    <w:p>
      <w:pPr>
        <w:spacing w:after="0" w:line="67"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Our Global Corporate Safety team oversees our health and safety program, which covers the core processes and procedures for health and safety management, safe work practices, and regulatory compliance. Our health and safety program considers elements of the ISO-45001 guidelines and standards. The key components of our health and safety program are management and supervisory responsibilities, employee responsibilities, incident investigation processes, reporting of safety concerns, safety committee systems, new employee orientation, enforcement procedure, and regulatory compliance. We have set a goal to achieve a 15% reduction in the total recordable injury rate (“TRIR”) from a 2020 baseline by 2030.</w:t>
      </w:r>
    </w:p>
    <w:p>
      <w:pPr>
        <w:spacing w:after="0" w:line="84"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Training and Development. </w:t>
      </w:r>
      <w:r>
        <w:rPr>
          <w:rFonts w:ascii="Times New Roman" w:cs="Times New Roman" w:eastAsia="Times New Roman" w:hAnsi="Times New Roman"/>
          <w:sz w:val="20"/>
          <w:szCs w:val="20"/>
          <w:color w:val="231F20"/>
        </w:rPr>
        <w:t>Wesco offers certification and training programs, some of which are required for all employees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while others are voluntary or based on job role. Employees also have access to external training resources. Our learning and development function is comprised of seasoned talent that is continuously improving our process and enhancing our learning technology. This enables us to execute our learning strategy of providing employees with the knowledge, skills, and experiences they need to be effective and productive. We align our learning and development priorities to Wesco’s strategic business goals and initiatives. We offer a tuition reimbursement program to eligible employees to encourage the pursuit of undergraduate and graduate education to prepare employees for expanded roles in our business.</w:t>
      </w:r>
    </w:p>
    <w:p>
      <w:pPr>
        <w:spacing w:after="0" w:line="87"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Our sales and operations development training program has been in place for more than ten years. The program is designed to systematically train and develop new college graduates through on-the-job rotations and cohort learning and development during the first year of employment. Graduates of the program move into various sales and operations roles after completing the one-year program. Additionally, we have a function-specific development program for recent college graduates seeking a career in IT, finance, or supply chain that provides members with eligibility for roles with increasing responsibilities commensurate with their career development goals. Individuals in this program have the opportunity to accelerate the development of their business and technical skills through three 8-month job rotations. We also sponsor a summer internship program to provide college students with work experience within staff or business functions and give them the opportunity to evaluate different career fields.</w:t>
      </w:r>
    </w:p>
    <w:p>
      <w:pPr>
        <w:spacing w:after="0" w:line="90"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 have developed a collective approach to deliver personalized, successive development aligned with enterprise needs, known as “Leadership Essentials.” Leadership Essentials consists of separate programs curated for managers that are new to leading people or leaders of teams. The programs include personalized development journeys which are aligned to both the individual’s and the Company’s needs. Wesco also provides specific tools and resources to help leaders across the enterprise support ongoing transformational change.</w:t>
      </w:r>
    </w:p>
    <w:p>
      <w:pPr>
        <w:spacing w:after="0" w:line="84"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Inclusive and Respectful Workplace Culture. </w:t>
      </w:r>
      <w:r>
        <w:rPr>
          <w:rFonts w:ascii="Times New Roman" w:cs="Times New Roman" w:eastAsia="Times New Roman" w:hAnsi="Times New Roman"/>
          <w:sz w:val="20"/>
          <w:szCs w:val="20"/>
          <w:color w:val="231F20"/>
        </w:rPr>
        <w:t>We aim to foster a sense of individual and group belonging by 1) leveraging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unique experiences, backgrounds and perspectives of our talented workforce to support Wesco’s mission, 2) engaging employees and building an inclusive culture, 3) recruiting and developing talent from different backgrounds to bring new perspectives and thought processes to Wesco, and 4) supporting the communities in which we operate.</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Wesco has six Business Resource Groups (“BRGs”) to support the following groups: women, BLIPOC (Black, Latino, Indigenous, and People of Color), LGBTQ+, people with diverse abilities, veterans of the armed forces, and our early-career employees. These BRGs foster a sense of community and inclusion and provide opportunities to network. The BRGs are global and open to all employees regardless of any aspect of their personal identity.</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Our BRGs engage in various activities, such as:</w:t>
      </w:r>
    </w:p>
    <w:p>
      <w:pPr>
        <w:spacing w:after="0" w:line="152" w:lineRule="exact"/>
        <w:rPr>
          <w:sz w:val="20"/>
          <w:szCs w:val="20"/>
          <w:color w:val="auto"/>
        </w:rPr>
      </w:pPr>
    </w:p>
    <w:p>
      <w:pPr>
        <w:ind w:left="720" w:hanging="359"/>
        <w:spacing w:after="0" w:line="276" w:lineRule="auto"/>
        <w:tabs>
          <w:tab w:leader="none" w:pos="720" w:val="left"/>
        </w:tabs>
        <w:numPr>
          <w:ilvl w:val="0"/>
          <w:numId w:val="10"/>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Building an inclusive culture, positively impacting employee engagement and creating an open forum for the exchange of ideas;</w:t>
      </w:r>
    </w:p>
    <w:p>
      <w:pPr>
        <w:spacing w:after="0" w:line="85" w:lineRule="exact"/>
        <w:rPr>
          <w:rFonts w:ascii="Times New Roman" w:cs="Times New Roman" w:eastAsia="Times New Roman" w:hAnsi="Times New Roman"/>
          <w:sz w:val="24"/>
          <w:szCs w:val="24"/>
          <w:color w:val="231F20"/>
        </w:rPr>
      </w:pPr>
    </w:p>
    <w:p>
      <w:pPr>
        <w:ind w:left="720" w:hanging="359"/>
        <w:spacing w:after="0"/>
        <w:tabs>
          <w:tab w:leader="none" w:pos="720" w:val="left"/>
        </w:tabs>
        <w:numPr>
          <w:ilvl w:val="0"/>
          <w:numId w:val="10"/>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Providing professional development opportunities for employees;</w:t>
      </w:r>
    </w:p>
    <w:p>
      <w:pPr>
        <w:spacing w:after="0" w:line="125" w:lineRule="exact"/>
        <w:rPr>
          <w:rFonts w:ascii="Times New Roman" w:cs="Times New Roman" w:eastAsia="Times New Roman" w:hAnsi="Times New Roman"/>
          <w:sz w:val="24"/>
          <w:szCs w:val="24"/>
          <w:color w:val="231F20"/>
        </w:rPr>
      </w:pPr>
    </w:p>
    <w:p>
      <w:pPr>
        <w:ind w:left="720" w:hanging="359"/>
        <w:spacing w:after="0"/>
        <w:tabs>
          <w:tab w:leader="none" w:pos="720" w:val="left"/>
        </w:tabs>
        <w:numPr>
          <w:ilvl w:val="0"/>
          <w:numId w:val="10"/>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Identifying opportunities for adding value and growing Wesco’s business through community engagement; and</w:t>
      </w:r>
    </w:p>
    <w:p>
      <w:pPr>
        <w:spacing w:after="0" w:line="144" w:lineRule="exact"/>
        <w:rPr>
          <w:rFonts w:ascii="Times New Roman" w:cs="Times New Roman" w:eastAsia="Times New Roman" w:hAnsi="Times New Roman"/>
          <w:sz w:val="24"/>
          <w:szCs w:val="24"/>
          <w:color w:val="231F20"/>
        </w:rPr>
      </w:pPr>
    </w:p>
    <w:p>
      <w:pPr>
        <w:ind w:left="720" w:hanging="359"/>
        <w:spacing w:after="0" w:line="276" w:lineRule="auto"/>
        <w:tabs>
          <w:tab w:leader="none" w:pos="720" w:val="left"/>
        </w:tabs>
        <w:numPr>
          <w:ilvl w:val="0"/>
          <w:numId w:val="10"/>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Engaging with suppliers, customers and industry groups to share best practices, advance the industry, and drive business growth.</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6</w:t>
      </w:r>
    </w:p>
    <w:p>
      <w:pPr>
        <w:sectPr>
          <w:pgSz w:w="11880" w:h="15480" w:orient="portrait"/>
          <w:cols w:equalWidth="0" w:num="1">
            <w:col w:w="10120"/>
          </w:cols>
          <w:pgMar w:left="880" w:top="675" w:right="880" w:bottom="0" w:gutter="0" w:footer="0" w:header="0"/>
          <w:type w:val="continuous"/>
        </w:sectPr>
      </w:pPr>
    </w:p>
    <w:bookmarkStart w:id="16" w:name="page17"/>
    <w:bookmarkEnd w:id="16"/>
    <w:p>
      <w:pPr>
        <w:jc w:val="both"/>
        <w:ind w:firstLine="266"/>
        <w:spacing w:after="0" w:line="255"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Company Ethics. </w:t>
      </w:r>
      <w:r>
        <w:rPr>
          <w:rFonts w:ascii="Times New Roman" w:cs="Times New Roman" w:eastAsia="Times New Roman" w:hAnsi="Times New Roman"/>
          <w:sz w:val="20"/>
          <w:szCs w:val="20"/>
          <w:color w:val="231F20"/>
        </w:rPr>
        <w:t>We are firmly committed to operating with the highest level of ethics and integrity. This commitment is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reflected in our Code of Business Conduct, which applies to our Directors, officers, employees and other parties when they are acting on behalf of Wesco. Annually, employees must acknowledge that they have received, read and will comply with the Code of Business Conduct. Our global Ethics and Compliance program provides employees with the tools they need to understand our expectations for ethical business conduct. It also provides an anonymous reporting channel for employees and outside parties to report issues of concern regarding workplace activities or business practices without fear of retaliation</w:t>
      </w:r>
      <w:r>
        <w:rPr>
          <w:rFonts w:ascii="Arial" w:cs="Arial" w:eastAsia="Arial" w:hAnsi="Arial"/>
          <w:sz w:val="20"/>
          <w:szCs w:val="20"/>
          <w:color w:val="231F20"/>
        </w:rPr>
        <w:t>.</w:t>
      </w:r>
    </w:p>
    <w:p>
      <w:pPr>
        <w:spacing w:after="0" w:line="69"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Compensation and Benefits Program. </w:t>
      </w:r>
      <w:r>
        <w:rPr>
          <w:rFonts w:ascii="Times New Roman" w:cs="Times New Roman" w:eastAsia="Times New Roman" w:hAnsi="Times New Roman"/>
          <w:sz w:val="20"/>
          <w:szCs w:val="20"/>
          <w:color w:val="231F20"/>
        </w:rPr>
        <w:t>Wesco provides competitive compensation and benefits packages in our locations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around the globe. In the U.S., we provide a comprehensive benefits program that offers choices to fit our employees’ diverse needs including health and disability benefits, paid time off (including a self-managed time off policy, flexible work arrangements, and family leave options for certain eligible employees), life insurance, retirement programs, and access to other services that support health and wellness. To further improve the health of our employees, we offer a variety of activities and programs that assist our employees and their family members to better manage or overcome major well-being challenges, including an employee assistance program, wellness coaching, case/disease management and wellness discounts.</w:t>
      </w:r>
    </w:p>
    <w:p>
      <w:pPr>
        <w:spacing w:after="0" w:line="83"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Employee Engagement. </w:t>
      </w:r>
      <w:r>
        <w:rPr>
          <w:rFonts w:ascii="Times New Roman" w:cs="Times New Roman" w:eastAsia="Times New Roman" w:hAnsi="Times New Roman"/>
          <w:sz w:val="20"/>
          <w:szCs w:val="20"/>
          <w:color w:val="231F20"/>
        </w:rPr>
        <w:t>We believe that employee engagement is good for our people and our business through improved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productivity, better customer service, and importantly, an increased focus on safety. Wesco regularly surveys employees to assess their engagement, as well as to solicit feedback and ideas on organizational changes, so senior management may more intelligently adjust to our employees’ evolving needs and support employee success. Wesco also promotes employee engagement through regular town hall discussions.</w:t>
      </w:r>
    </w:p>
    <w:p>
      <w:pPr>
        <w:spacing w:after="0" w:line="83"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Community. </w:t>
      </w:r>
      <w:r>
        <w:rPr>
          <w:rFonts w:ascii="Times New Roman" w:cs="Times New Roman" w:eastAsia="Times New Roman" w:hAnsi="Times New Roman"/>
          <w:sz w:val="20"/>
          <w:szCs w:val="20"/>
          <w:color w:val="231F20"/>
        </w:rPr>
        <w:t>Wesco has established relationships with several charitable organizations and encourages employees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volunteer in the community by organizing events and promoting a wide-range of options globally. Every employee is provided a full day of paid time off to volunteer in the community annually. By connecting with and contributing to local charitable organizations, Wesco supports the development of strong, vibrant and diverse communities. Wesco Cares is our corporate philanthropy program focused on affordable housing, humanitarian aid, and science, technology, engineering and mathematics education, and provides for corporate charitable donations, employee volunteerism, employee assistance grants and employee gift-matching. Employees are encouraged to volunteer in their communities by taking part in Wesco’s global annual day of caring.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Management</w:t>
      </w:r>
    </w:p>
    <w:p>
      <w:pPr>
        <w:spacing w:after="0" w:line="13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strive to continually improve our environmental management by establishing and working towards various sustainability objectives. We leverage our environmental management experience in our offerings of products and services to our customers. The foundation of our environmental management is our Sustainability and Environmental Compliance Policy, which aligns with key provisions of the ISO 14001:2015 environmental management standards. The policy outlines accountability for environmental sustainability, direct program responsibilities, key performance indicators and other metrics to track progress. We produce a Sustainability Report annually which is made public on our website. Refer to our Sustainability Report for updates on our sustainability efforts and goals. Information contained in the Sustainability Report is not part of, and should not be construed as being incorporated by reference into, this Annual Report on Form 10-K.</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We are working to reduce our environmental impact in the following areas:</w:t>
      </w:r>
    </w:p>
    <w:p>
      <w:pPr>
        <w:spacing w:after="0" w:line="121" w:lineRule="exact"/>
        <w:rPr>
          <w:sz w:val="20"/>
          <w:szCs w:val="20"/>
          <w:color w:val="auto"/>
        </w:rPr>
      </w:pPr>
    </w:p>
    <w:p>
      <w:pPr>
        <w:jc w:val="both"/>
        <w:ind w:firstLine="266"/>
        <w:spacing w:after="0" w:line="269"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Energy. </w:t>
      </w:r>
      <w:r>
        <w:rPr>
          <w:rFonts w:ascii="Times New Roman" w:cs="Times New Roman" w:eastAsia="Times New Roman" w:hAnsi="Times New Roman"/>
          <w:sz w:val="19"/>
          <w:szCs w:val="19"/>
          <w:color w:val="231F20"/>
        </w:rPr>
        <w:t>The vast majority of the energy we use is for lighting, heating, and cooling our more than 700 sites, in</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approximately 50 countries around the world. Where practicable, we engage with the owners and agents of the buildings we lease to improve energy efficiency, and we include energy-efficiency requirements in new building leases. We have implemented lighting retrofit projects, conducted energy audits, and installed solar systems at certain facilities. Adding to our energy consumption is our North American fleet of approximately 3,300 vehicles for our distribution and sales activities. Our Fleet Efficiency Policy includes the use of fuel-efficient vehicles, determining the most efficient routes, and idling restrictions.</w:t>
      </w:r>
    </w:p>
    <w:p>
      <w:pPr>
        <w:spacing w:after="0" w:line="67"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Emissions. </w:t>
      </w:r>
      <w:r>
        <w:rPr>
          <w:rFonts w:ascii="Times New Roman" w:cs="Times New Roman" w:eastAsia="Times New Roman" w:hAnsi="Times New Roman"/>
          <w:sz w:val="19"/>
          <w:szCs w:val="19"/>
          <w:color w:val="231F20"/>
        </w:rPr>
        <w:t>Our main source of direct and indirect GHG emissions from our own activities is attributed to the electricity and</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natural gas used by our facilities, which accounts for approximately 70% of total emissions from our own activities. Our decarbonization strategy is focused on initiatives targeting these emissions sources, such as renewable energy, energy efficiency improvements, heating, ventilation and air conditioning upgrades and electrification. A secondary source of our GHG emissions is our fleet. We have implemented policies and technology to reduce the emissions impact of our fleet, which include evaluating alternative fuel sources, assessing the integration of hybrid and electric vehicle into our fleet, efficient route practices and idling restrictions. We also have emissions from employees commuting, corporate travel and the lifecycle impact of our landfilled waste. We have a goal to reduce absolute direct and certain indirect GHG emissions by 30% from a 2021 baseline by 2030.</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7</w:t>
      </w:r>
    </w:p>
    <w:p>
      <w:pPr>
        <w:sectPr>
          <w:pgSz w:w="11880" w:h="15480" w:orient="portrait"/>
          <w:cols w:equalWidth="0" w:num="1">
            <w:col w:w="10120"/>
          </w:cols>
          <w:pgMar w:left="880" w:top="675" w:right="880" w:bottom="0" w:gutter="0" w:footer="0" w:header="0"/>
          <w:type w:val="continuous"/>
        </w:sectPr>
      </w:pPr>
    </w:p>
    <w:bookmarkStart w:id="17" w:name="page18"/>
    <w:bookmarkEnd w:id="17"/>
    <w:p>
      <w:pPr>
        <w:jc w:val="both"/>
        <w:ind w:firstLine="266"/>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Climate Impact. </w:t>
      </w:r>
      <w:r>
        <w:rPr>
          <w:rFonts w:ascii="Times New Roman" w:cs="Times New Roman" w:eastAsia="Times New Roman" w:hAnsi="Times New Roman"/>
          <w:sz w:val="20"/>
          <w:szCs w:val="20"/>
          <w:color w:val="231F20"/>
        </w:rPr>
        <w:t>Wesco aligns with the International Financial Reporting Standards S2</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i w:val="1"/>
          <w:iCs w:val="1"/>
          <w:color w:val="231F20"/>
        </w:rPr>
        <w:t>Climate-related Disclosures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(“IFRS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S2”), developed by the International Sustainability Standards Board (“ISSB”). IFRS S2 fully incorporates the recommendations of the now decommissioned Task Force on Climate-related Financial Disclosures (“TCFD”). We annually review environmental programs, policies, and data, including energy consumption and GHG emissions to identify and assess climate-related risks. The Board of Directors oversees the integration of ESG principles throughout our enterprise. This includes oversight of enterprise risk. Our Board of Directors receives regular updates and ongoing information on significant risks and risk mitigation plans. Our ESG management team also reports to the Board of Directors annually on the status of our ESG programs and progress on achieving sustainability goals. We have identified climate-related opportunities that include expanding our offering of energy-efficient and renewable energy products. We believe that Wesco is well positioned to expand our business in these energy efficiency and renewable energy technologies and projects.</w:t>
      </w:r>
    </w:p>
    <w:p>
      <w:pPr>
        <w:spacing w:after="0" w:line="87"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Waste. </w:t>
      </w:r>
      <w:r>
        <w:rPr>
          <w:rFonts w:ascii="Times New Roman" w:cs="Times New Roman" w:eastAsia="Times New Roman" w:hAnsi="Times New Roman"/>
          <w:sz w:val="20"/>
          <w:szCs w:val="20"/>
          <w:color w:val="231F20"/>
        </w:rPr>
        <w:t>Our top waste streams are cardboard, wood pallets and reels, metal and plastic. We strive to reduce these waste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streams by applying Lean principles and identifying opportunities for reuse and recycling. We have developed regional relationships with recycling vendors that recycle non-traditional waste streams, specifically metal and wood. We have a goal to reduce landfill waste intensity by 15% across our U.S. and Canadian locations from a 2020 baseline by 2030.</w:t>
      </w:r>
    </w:p>
    <w:p>
      <w:pPr>
        <w:spacing w:after="0" w:line="79"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Water. </w:t>
      </w:r>
      <w:r>
        <w:rPr>
          <w:rFonts w:ascii="Times New Roman" w:cs="Times New Roman" w:eastAsia="Times New Roman" w:hAnsi="Times New Roman"/>
          <w:sz w:val="20"/>
          <w:szCs w:val="20"/>
          <w:color w:val="231F20"/>
        </w:rPr>
        <w:t>As a distributor and supply chain solutions provider, we are not a major consumer of water. Our facilities primarily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use water for sanitation, cleaning, and irrigation purposes. We track water usage at our locations and use the data to identify unusual consumption patterns that could indicate undetected leaks or excessive usage that requires intervention.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32"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We consider our intellectual property, including trademarks, service marks, copyrights, patents, domain names, trade dress, trade secrets, proprietary technologies, and similar assets, to be important to our business. To protect our intellectual property rights, we rely on trademark, copyright and patent laws, trade secret procedures, and confidentiality and other agreements with employees, consultants, customers and other partners. We have registered trademarks, service marks, and patents in the U.S. and in various other countries. The “Wesco” and “Anixter” trademarks and service marks are registered in the U.S. and various foreign jurisdictions, and the “EECOL” service mark is registered in Canada, Chile, and Peru. Our U.S. trademarks and service marks include “Wesco®” and our corporate logo, among others. While in the aggregate our patents are valuable to our business, we do not believe that the loss of any of them would materially affect our business or financial condition. For a discussion of certain risks related to our intellectual property, see Item 1A, “Risk Factors - Risks Related to Our Information Systems and Technology and Intellectual Property.”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Matters</w:t>
      </w:r>
    </w:p>
    <w:p>
      <w:pPr>
        <w:spacing w:after="0" w:line="132"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Our facilities and operations are subject to federal, state and local laws and regulations relating to environmental protection and human health and safety. Some of these laws and regulations may impose strict, joint and several liabilities on certain persons for the cost of investigation or remediation of contaminated properties. These persons may include former, current or future owners or operators of properties and persons who arranged for the disposal of hazardous substances. Our owned and leased real property may give rise to such investigation, remediation and monitoring liabilities under environmental laws. In addition, anyone disposing of certain products we distribute, such as ballasts, fluorescent lighting and batteries, must comply with environmental laws that regulate certain materials in these products.</w:t>
      </w:r>
    </w:p>
    <w:p>
      <w:pPr>
        <w:spacing w:after="0" w:line="89"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 believe that we are in compliance, in all material respects, with applicable environmental laws. As a result, we do not anticipate making significant capital expenditures for environmental control matters either in the current year or in the near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Website Access</w:t>
      </w:r>
    </w:p>
    <w:p>
      <w:pPr>
        <w:spacing w:after="0" w:line="132" w:lineRule="exact"/>
        <w:rPr>
          <w:sz w:val="20"/>
          <w:szCs w:val="20"/>
          <w:color w:val="auto"/>
        </w:rPr>
      </w:pPr>
    </w:p>
    <w:p>
      <w:pPr>
        <w:jc w:val="both"/>
        <w:ind w:firstLine="266"/>
        <w:spacing w:after="0" w:line="268" w:lineRule="auto"/>
        <w:rPr>
          <w:sz w:val="20"/>
          <w:szCs w:val="20"/>
          <w:color w:val="auto"/>
        </w:rPr>
      </w:pPr>
      <w:r>
        <w:rPr>
          <w:rFonts w:ascii="Times New Roman" w:cs="Times New Roman" w:eastAsia="Times New Roman" w:hAnsi="Times New Roman"/>
          <w:sz w:val="19"/>
          <w:szCs w:val="19"/>
          <w:color w:val="231F20"/>
        </w:rPr>
        <w:t xml:space="preserve">Our Internet address is </w:t>
      </w:r>
      <w:r>
        <w:rPr>
          <w:rFonts w:ascii="Times New Roman" w:cs="Times New Roman" w:eastAsia="Times New Roman" w:hAnsi="Times New Roman"/>
          <w:sz w:val="19"/>
          <w:szCs w:val="19"/>
          <w:u w:val="single" w:color="auto"/>
          <w:color w:val="231F20"/>
        </w:rPr>
        <w:t>www.wesco.com</w:t>
      </w:r>
      <w:r>
        <w:rPr>
          <w:rFonts w:ascii="Times New Roman" w:cs="Times New Roman" w:eastAsia="Times New Roman" w:hAnsi="Times New Roman"/>
          <w:sz w:val="19"/>
          <w:szCs w:val="19"/>
          <w:color w:val="231F20"/>
        </w:rPr>
        <w:t>. Information contained on our website is not part of, and should not be construed as being incorporated by reference into, this Annual Report on Form 10-K. We make available free of charge under the “Investors” heading on our website our annual reports on Form 10-K, quarterly reports on Form 10-Q, current reports on Form 8-K and amendments to those reports filed or furnished pursuant to Section 13(a) or 15(d) of the Securities Exchange Act of 1934, as amended (the “Exchange Act”), as well as our Proxy Statements, as soon as reasonably practicable after such documents are electronically filed or furnished, as applicable, with the U.S. Securities and Exchange Commission (the “SEC”).</w:t>
      </w:r>
    </w:p>
    <w:p>
      <w:pPr>
        <w:spacing w:after="0" w:line="7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In addition, the charters for our Audit, Compensation, Executive, and Nominating and Governance committees, as well as our Corporate Governance Guidelines, Code of Principles for Senior Financial Executives, Independence Policy, Global Antibribery and Anticorruption Policy, and Code of Business Conduct for our Directors, officers and employees, are all available on our website at the “Leadership” link under the “Our Company” heading.</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8</w:t>
      </w:r>
    </w:p>
    <w:p>
      <w:pPr>
        <w:sectPr>
          <w:pgSz w:w="11880" w:h="15480" w:orient="portrait"/>
          <w:cols w:equalWidth="0" w:num="1">
            <w:col w:w="10120"/>
          </w:cols>
          <w:pgMar w:left="880" w:top="675" w:right="8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231F20"/>
        </w:rPr>
        <w:t>Forward-Looking Information</w:t>
      </w:r>
    </w:p>
    <w:p>
      <w:pPr>
        <w:spacing w:after="0" w:line="132"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This Annual Report on Form 10-K contains various “forward-looking statements” within the meaning of the Private Securities Litigation Reform Act of 1995. These statements involve certain unknown risks and uncertainties, including, among others, those contained in Item 1, “Business,” Item 1A, “Risk Factors,” and Item 7, “Management’s Discussion and Analysis of Financial Condition and Results of Operations.” When used in this Annual Report on Form 10-K, the words “anticipates,” “plans,” “believes,” “estimates,” “intends,” “expects,” “projects,” “will” and similar expressions may identify forward-looking statements, although not all forward-looking statements contain such words. Such statements, including, but not limited to, our statements regarding business strategy, growth strategy, competitive strengths, productivity and profitability enhancement, competition, new product and service introductions and liquidity and capital resources, are based on management’s current expectations and beliefs, as well as on assumptions made by and information currently available to management, current market trends and market conditions and involve various risks and uncertainties, some of which are beyond our control and which may cause actual results to differ materially from those contained in the forward-looking statements. Our actual results could differ materially from those expressed in any forward-looking statement made by us or on our behalf. In light of these risks and uncertainties, there can be no assurance that the forward-looking information will in fact prove to be accurate. We have undertaken no obligation to publicly update or revise any forward-looking statements, whether as a result of new information, future events or otherwise.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Officers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Our executive officers and their respective ages and positions as of February 13, 2026 are set forth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8"/>
                <w:szCs w:val="18"/>
                <w:b w:val="1"/>
                <w:bCs w:val="1"/>
                <w:color w:val="231F20"/>
              </w:rPr>
              <w:t>Name</w:t>
            </w:r>
          </w:p>
        </w:tc>
        <w:tc>
          <w:tcPr>
            <w:tcW w:w="80" w:type="dxa"/>
            <w:vAlign w:val="bottom"/>
            <w:tcBorders>
              <w:bottom w:val="single" w:sz="8" w:color="CFEBF4"/>
            </w:tcBorders>
          </w:tcPr>
          <w:p>
            <w:pPr>
              <w:spacing w:after="0"/>
              <w:rPr>
                <w:sz w:val="20"/>
                <w:szCs w:val="20"/>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Age</w:t>
            </w:r>
          </w:p>
        </w:tc>
        <w:tc>
          <w:tcPr>
            <w:tcW w:w="60" w:type="dxa"/>
            <w:vAlign w:val="bottom"/>
            <w:tcBorders>
              <w:bottom w:val="single" w:sz="8" w:color="CFEBF4"/>
            </w:tcBorders>
          </w:tcPr>
          <w:p>
            <w:pPr>
              <w:spacing w:after="0"/>
              <w:rPr>
                <w:sz w:val="20"/>
                <w:szCs w:val="20"/>
                <w:color w:val="auto"/>
              </w:rPr>
            </w:pPr>
          </w:p>
        </w:tc>
        <w:tc>
          <w:tcPr>
            <w:tcW w:w="56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8"/>
                <w:szCs w:val="18"/>
                <w:b w:val="1"/>
                <w:bCs w:val="1"/>
                <w:color w:val="231F20"/>
              </w:rPr>
              <w:t>Position</w:t>
            </w:r>
          </w:p>
        </w:tc>
      </w:tr>
      <w:tr>
        <w:trPr>
          <w:trHeight w:val="266"/>
        </w:trPr>
        <w:tc>
          <w:tcPr>
            <w:tcW w:w="34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John J. Engel</w:t>
            </w:r>
          </w:p>
        </w:tc>
        <w:tc>
          <w:tcPr>
            <w:tcW w:w="80" w:type="dxa"/>
            <w:vAlign w:val="bottom"/>
            <w:tcBorders>
              <w:bottom w:val="single" w:sz="8" w:color="CFEBF4"/>
            </w:tcBorders>
            <w:shd w:val="clear" w:color="auto" w:fill="CFEBF4"/>
          </w:tcPr>
          <w:p>
            <w:pPr>
              <w:spacing w:after="0"/>
              <w:rPr>
                <w:sz w:val="23"/>
                <w:szCs w:val="23"/>
                <w:color w:val="auto"/>
              </w:rPr>
            </w:pPr>
          </w:p>
        </w:tc>
        <w:tc>
          <w:tcPr>
            <w:tcW w:w="820" w:type="dxa"/>
            <w:vAlign w:val="bottom"/>
            <w:tcBorders>
              <w:bottom w:val="single" w:sz="8" w:color="CFEBF4"/>
            </w:tcBorders>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64</w:t>
            </w:r>
          </w:p>
        </w:tc>
        <w:tc>
          <w:tcPr>
            <w:tcW w:w="60" w:type="dxa"/>
            <w:vAlign w:val="bottom"/>
            <w:tcBorders>
              <w:bottom w:val="single" w:sz="8" w:color="CFEBF4"/>
            </w:tcBorders>
            <w:shd w:val="clear" w:color="auto" w:fill="CFEBF4"/>
          </w:tcPr>
          <w:p>
            <w:pPr>
              <w:spacing w:after="0"/>
              <w:rPr>
                <w:sz w:val="23"/>
                <w:szCs w:val="23"/>
                <w:color w:val="auto"/>
              </w:rPr>
            </w:pPr>
          </w:p>
        </w:tc>
        <w:tc>
          <w:tcPr>
            <w:tcW w:w="568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Chairman, President and Chief Executive Officer</w:t>
            </w:r>
          </w:p>
        </w:tc>
      </w:tr>
      <w:tr>
        <w:trPr>
          <w:trHeight w:val="258"/>
        </w:trPr>
        <w:tc>
          <w:tcPr>
            <w:tcW w:w="3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David S. Schulz</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231F20"/>
                <w:w w:val="99"/>
              </w:rPr>
              <w:t>60</w:t>
            </w:r>
          </w:p>
        </w:tc>
        <w:tc>
          <w:tcPr>
            <w:tcW w:w="60" w:type="dxa"/>
            <w:vAlign w:val="bottom"/>
          </w:tcPr>
          <w:p>
            <w:pPr>
              <w:spacing w:after="0"/>
              <w:rPr>
                <w:sz w:val="22"/>
                <w:szCs w:val="22"/>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Executive Vice President and Chief Financial Officer</w:t>
            </w:r>
          </w:p>
        </w:tc>
      </w:tr>
      <w:tr>
        <w:trPr>
          <w:trHeight w:val="23"/>
        </w:trPr>
        <w:tc>
          <w:tcPr>
            <w:tcW w:w="3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188"/>
        </w:trPr>
        <w:tc>
          <w:tcPr>
            <w:tcW w:w="3440" w:type="dxa"/>
            <w:vAlign w:val="bottom"/>
            <w:shd w:val="clear" w:color="auto" w:fill="CFEBF4"/>
          </w:tcPr>
          <w:p>
            <w:pPr>
              <w:ind w:left="60"/>
              <w:spacing w:after="0" w:line="188" w:lineRule="exact"/>
              <w:rPr>
                <w:sz w:val="20"/>
                <w:szCs w:val="20"/>
                <w:color w:val="auto"/>
              </w:rPr>
            </w:pPr>
            <w:r>
              <w:rPr>
                <w:rFonts w:ascii="Times New Roman" w:cs="Times New Roman" w:eastAsia="Times New Roman" w:hAnsi="Times New Roman"/>
                <w:sz w:val="20"/>
                <w:szCs w:val="20"/>
                <w:color w:val="231F20"/>
              </w:rPr>
              <w:t>James F. Cameron</w:t>
            </w:r>
          </w:p>
        </w:tc>
        <w:tc>
          <w:tcPr>
            <w:tcW w:w="900" w:type="dxa"/>
            <w:vAlign w:val="bottom"/>
            <w:gridSpan w:val="2"/>
            <w:shd w:val="clear" w:color="auto" w:fill="CFEBF4"/>
          </w:tcPr>
          <w:p>
            <w:pPr>
              <w:jc w:val="center"/>
              <w:ind w:left="1"/>
              <w:spacing w:after="0" w:line="188" w:lineRule="exact"/>
              <w:rPr>
                <w:sz w:val="20"/>
                <w:szCs w:val="20"/>
                <w:color w:val="auto"/>
              </w:rPr>
            </w:pPr>
            <w:r>
              <w:rPr>
                <w:rFonts w:ascii="Times New Roman" w:cs="Times New Roman" w:eastAsia="Times New Roman" w:hAnsi="Times New Roman"/>
                <w:sz w:val="20"/>
                <w:szCs w:val="20"/>
                <w:color w:val="231F20"/>
                <w:w w:val="99"/>
              </w:rPr>
              <w:t>60</w:t>
            </w:r>
          </w:p>
        </w:tc>
        <w:tc>
          <w:tcPr>
            <w:tcW w:w="60" w:type="dxa"/>
            <w:vAlign w:val="bottom"/>
            <w:shd w:val="clear" w:color="auto" w:fill="CFEBF4"/>
          </w:tcPr>
          <w:p>
            <w:pPr>
              <w:spacing w:after="0"/>
              <w:rPr>
                <w:sz w:val="16"/>
                <w:szCs w:val="16"/>
                <w:color w:val="auto"/>
              </w:rPr>
            </w:pPr>
          </w:p>
        </w:tc>
        <w:tc>
          <w:tcPr>
            <w:tcW w:w="5680" w:type="dxa"/>
            <w:vAlign w:val="bottom"/>
            <w:shd w:val="clear" w:color="auto" w:fill="CFEBF4"/>
          </w:tcPr>
          <w:p>
            <w:pPr>
              <w:ind w:left="60"/>
              <w:spacing w:after="0" w:line="188" w:lineRule="exact"/>
              <w:rPr>
                <w:sz w:val="20"/>
                <w:szCs w:val="20"/>
                <w:color w:val="auto"/>
              </w:rPr>
            </w:pPr>
            <w:r>
              <w:rPr>
                <w:rFonts w:ascii="Times New Roman" w:cs="Times New Roman" w:eastAsia="Times New Roman" w:hAnsi="Times New Roman"/>
                <w:sz w:val="20"/>
                <w:szCs w:val="20"/>
                <w:color w:val="231F20"/>
              </w:rPr>
              <w:t>Executive Vice President and General Manager, Utility &amp; Broadband</w:t>
            </w:r>
          </w:p>
        </w:tc>
      </w:tr>
      <w:tr>
        <w:trPr>
          <w:trHeight w:val="270"/>
        </w:trPr>
        <w:tc>
          <w:tcPr>
            <w:tcW w:w="3440" w:type="dxa"/>
            <w:vAlign w:val="bottom"/>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82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56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Solutions</w:t>
            </w:r>
          </w:p>
        </w:tc>
      </w:tr>
      <w:tr>
        <w:trPr>
          <w:trHeight w:val="188"/>
        </w:trPr>
        <w:tc>
          <w:tcPr>
            <w:tcW w:w="3440" w:type="dxa"/>
            <w:vAlign w:val="bottom"/>
          </w:tcPr>
          <w:p>
            <w:pPr>
              <w:ind w:left="60"/>
              <w:spacing w:after="0" w:line="188" w:lineRule="exact"/>
              <w:rPr>
                <w:sz w:val="20"/>
                <w:szCs w:val="20"/>
                <w:color w:val="auto"/>
              </w:rPr>
            </w:pPr>
            <w:r>
              <w:rPr>
                <w:rFonts w:ascii="Times New Roman" w:cs="Times New Roman" w:eastAsia="Times New Roman" w:hAnsi="Times New Roman"/>
                <w:sz w:val="20"/>
                <w:szCs w:val="20"/>
                <w:color w:val="231F20"/>
              </w:rPr>
              <w:t>Daniel J. Castillo</w:t>
            </w:r>
          </w:p>
        </w:tc>
        <w:tc>
          <w:tcPr>
            <w:tcW w:w="900" w:type="dxa"/>
            <w:vAlign w:val="bottom"/>
            <w:gridSpan w:val="2"/>
          </w:tcPr>
          <w:p>
            <w:pPr>
              <w:jc w:val="center"/>
              <w:ind w:left="21"/>
              <w:spacing w:after="0" w:line="188" w:lineRule="exact"/>
              <w:rPr>
                <w:sz w:val="20"/>
                <w:szCs w:val="20"/>
                <w:color w:val="auto"/>
              </w:rPr>
            </w:pPr>
            <w:r>
              <w:rPr>
                <w:rFonts w:ascii="Times New Roman" w:cs="Times New Roman" w:eastAsia="Times New Roman" w:hAnsi="Times New Roman"/>
                <w:sz w:val="20"/>
                <w:szCs w:val="20"/>
                <w:color w:val="231F20"/>
                <w:w w:val="89"/>
              </w:rPr>
              <w:t>57</w:t>
            </w:r>
          </w:p>
        </w:tc>
        <w:tc>
          <w:tcPr>
            <w:tcW w:w="60" w:type="dxa"/>
            <w:vAlign w:val="bottom"/>
          </w:tcPr>
          <w:p>
            <w:pPr>
              <w:spacing w:after="0"/>
              <w:rPr>
                <w:sz w:val="16"/>
                <w:szCs w:val="16"/>
                <w:color w:val="auto"/>
              </w:rPr>
            </w:pPr>
          </w:p>
        </w:tc>
        <w:tc>
          <w:tcPr>
            <w:tcW w:w="5680" w:type="dxa"/>
            <w:vAlign w:val="bottom"/>
          </w:tcPr>
          <w:p>
            <w:pPr>
              <w:ind w:left="60"/>
              <w:spacing w:after="0" w:line="188" w:lineRule="exact"/>
              <w:rPr>
                <w:sz w:val="20"/>
                <w:szCs w:val="20"/>
                <w:color w:val="auto"/>
              </w:rPr>
            </w:pPr>
            <w:r>
              <w:rPr>
                <w:rFonts w:ascii="Times New Roman" w:cs="Times New Roman" w:eastAsia="Times New Roman" w:hAnsi="Times New Roman"/>
                <w:sz w:val="20"/>
                <w:szCs w:val="20"/>
                <w:color w:val="231F20"/>
              </w:rPr>
              <w:t>Executive Vice President and General Manager, Electrical &amp;</w:t>
            </w:r>
          </w:p>
        </w:tc>
      </w:tr>
      <w:tr>
        <w:trPr>
          <w:trHeight w:val="264"/>
        </w:trPr>
        <w:tc>
          <w:tcPr>
            <w:tcW w:w="3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Electronic Solutions</w:t>
            </w:r>
          </w:p>
        </w:tc>
      </w:tr>
      <w:tr>
        <w:trPr>
          <w:trHeight w:val="267"/>
        </w:trPr>
        <w:tc>
          <w:tcPr>
            <w:tcW w:w="34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Akash Khurana</w:t>
            </w:r>
          </w:p>
        </w:tc>
        <w:tc>
          <w:tcPr>
            <w:tcW w:w="900" w:type="dxa"/>
            <w:vAlign w:val="bottom"/>
            <w:tcBorders>
              <w:bottom w:val="single" w:sz="8" w:color="CFEBF4"/>
            </w:tcBorders>
            <w:gridSpan w:val="2"/>
            <w:shd w:val="clear" w:color="auto" w:fill="CFEBF4"/>
          </w:tcPr>
          <w:p>
            <w:pPr>
              <w:jc w:val="center"/>
              <w:ind w:left="1"/>
              <w:spacing w:after="0"/>
              <w:rPr>
                <w:sz w:val="20"/>
                <w:szCs w:val="20"/>
                <w:color w:val="auto"/>
              </w:rPr>
            </w:pPr>
            <w:r>
              <w:rPr>
                <w:rFonts w:ascii="Times New Roman" w:cs="Times New Roman" w:eastAsia="Times New Roman" w:hAnsi="Times New Roman"/>
                <w:sz w:val="20"/>
                <w:szCs w:val="20"/>
                <w:color w:val="231F20"/>
                <w:w w:val="99"/>
              </w:rPr>
              <w:t>52</w:t>
            </w:r>
          </w:p>
        </w:tc>
        <w:tc>
          <w:tcPr>
            <w:tcW w:w="60" w:type="dxa"/>
            <w:vAlign w:val="bottom"/>
            <w:tcBorders>
              <w:bottom w:val="single" w:sz="8" w:color="CFEBF4"/>
            </w:tcBorders>
            <w:shd w:val="clear" w:color="auto" w:fill="CFEBF4"/>
          </w:tcPr>
          <w:p>
            <w:pPr>
              <w:spacing w:after="0"/>
              <w:rPr>
                <w:sz w:val="23"/>
                <w:szCs w:val="23"/>
                <w:color w:val="auto"/>
              </w:rPr>
            </w:pPr>
          </w:p>
        </w:tc>
        <w:tc>
          <w:tcPr>
            <w:tcW w:w="568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Executive Vice President and Chief Information and Digital Officer</w:t>
            </w:r>
          </w:p>
        </w:tc>
      </w:tr>
      <w:tr>
        <w:trPr>
          <w:trHeight w:val="258"/>
        </w:trPr>
        <w:tc>
          <w:tcPr>
            <w:tcW w:w="3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Diane E. Lazzaris</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231F20"/>
                <w:w w:val="89"/>
              </w:rPr>
              <w:t>59</w:t>
            </w:r>
          </w:p>
        </w:tc>
        <w:tc>
          <w:tcPr>
            <w:tcW w:w="60" w:type="dxa"/>
            <w:vAlign w:val="bottom"/>
          </w:tcPr>
          <w:p>
            <w:pPr>
              <w:spacing w:after="0"/>
              <w:rPr>
                <w:sz w:val="22"/>
                <w:szCs w:val="22"/>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Executive Vice President and General Counsel</w:t>
            </w:r>
          </w:p>
        </w:tc>
      </w:tr>
      <w:tr>
        <w:trPr>
          <w:trHeight w:val="38"/>
        </w:trPr>
        <w:tc>
          <w:tcPr>
            <w:tcW w:w="3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80" w:type="dxa"/>
            <w:vAlign w:val="bottom"/>
          </w:tcPr>
          <w:p>
            <w:pPr>
              <w:spacing w:after="0"/>
              <w:rPr>
                <w:sz w:val="3"/>
                <w:szCs w:val="3"/>
                <w:color w:val="auto"/>
              </w:rPr>
            </w:pPr>
          </w:p>
        </w:tc>
      </w:tr>
      <w:tr>
        <w:trPr>
          <w:trHeight w:val="188"/>
        </w:trPr>
        <w:tc>
          <w:tcPr>
            <w:tcW w:w="3440" w:type="dxa"/>
            <w:vAlign w:val="bottom"/>
            <w:shd w:val="clear" w:color="auto" w:fill="CFEBF4"/>
          </w:tcPr>
          <w:p>
            <w:pPr>
              <w:ind w:left="60"/>
              <w:spacing w:after="0" w:line="188" w:lineRule="exact"/>
              <w:rPr>
                <w:sz w:val="20"/>
                <w:szCs w:val="20"/>
                <w:color w:val="auto"/>
              </w:rPr>
            </w:pPr>
            <w:r>
              <w:rPr>
                <w:rFonts w:ascii="Times New Roman" w:cs="Times New Roman" w:eastAsia="Times New Roman" w:hAnsi="Times New Roman"/>
                <w:sz w:val="20"/>
                <w:szCs w:val="20"/>
                <w:color w:val="231F20"/>
              </w:rPr>
              <w:t>Dirk W. Naylor</w:t>
            </w:r>
          </w:p>
        </w:tc>
        <w:tc>
          <w:tcPr>
            <w:tcW w:w="900" w:type="dxa"/>
            <w:vAlign w:val="bottom"/>
            <w:gridSpan w:val="2"/>
            <w:shd w:val="clear" w:color="auto" w:fill="CFEBF4"/>
          </w:tcPr>
          <w:p>
            <w:pPr>
              <w:jc w:val="center"/>
              <w:ind w:left="1"/>
              <w:spacing w:after="0" w:line="188" w:lineRule="exact"/>
              <w:rPr>
                <w:sz w:val="20"/>
                <w:szCs w:val="20"/>
                <w:color w:val="auto"/>
              </w:rPr>
            </w:pPr>
            <w:r>
              <w:rPr>
                <w:rFonts w:ascii="Times New Roman" w:cs="Times New Roman" w:eastAsia="Times New Roman" w:hAnsi="Times New Roman"/>
                <w:sz w:val="20"/>
                <w:szCs w:val="20"/>
                <w:color w:val="231F20"/>
                <w:w w:val="99"/>
              </w:rPr>
              <w:t>61</w:t>
            </w:r>
          </w:p>
        </w:tc>
        <w:tc>
          <w:tcPr>
            <w:tcW w:w="60" w:type="dxa"/>
            <w:vAlign w:val="bottom"/>
            <w:shd w:val="clear" w:color="auto" w:fill="CFEBF4"/>
          </w:tcPr>
          <w:p>
            <w:pPr>
              <w:spacing w:after="0"/>
              <w:rPr>
                <w:sz w:val="16"/>
                <w:szCs w:val="16"/>
                <w:color w:val="auto"/>
              </w:rPr>
            </w:pPr>
          </w:p>
        </w:tc>
        <w:tc>
          <w:tcPr>
            <w:tcW w:w="5680" w:type="dxa"/>
            <w:vAlign w:val="bottom"/>
            <w:shd w:val="clear" w:color="auto" w:fill="CFEBF4"/>
          </w:tcPr>
          <w:p>
            <w:pPr>
              <w:ind w:left="60"/>
              <w:spacing w:after="0" w:line="188" w:lineRule="exact"/>
              <w:rPr>
                <w:sz w:val="20"/>
                <w:szCs w:val="20"/>
                <w:color w:val="auto"/>
              </w:rPr>
            </w:pPr>
            <w:r>
              <w:rPr>
                <w:rFonts w:ascii="Times New Roman" w:cs="Times New Roman" w:eastAsia="Times New Roman" w:hAnsi="Times New Roman"/>
                <w:sz w:val="20"/>
                <w:szCs w:val="20"/>
                <w:color w:val="231F20"/>
              </w:rPr>
              <w:t>Executive Vice President and General Manager, Communications &amp;</w:t>
            </w:r>
          </w:p>
        </w:tc>
      </w:tr>
      <w:tr>
        <w:trPr>
          <w:trHeight w:val="270"/>
        </w:trPr>
        <w:tc>
          <w:tcPr>
            <w:tcW w:w="3440" w:type="dxa"/>
            <w:vAlign w:val="bottom"/>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82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56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Security Solutions</w:t>
            </w:r>
          </w:p>
        </w:tc>
      </w:tr>
      <w:tr>
        <w:trPr>
          <w:trHeight w:val="258"/>
        </w:trPr>
        <w:tc>
          <w:tcPr>
            <w:tcW w:w="3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Hemant Porwal</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231F20"/>
                <w:w w:val="99"/>
              </w:rPr>
              <w:t>52</w:t>
            </w:r>
          </w:p>
        </w:tc>
        <w:tc>
          <w:tcPr>
            <w:tcW w:w="60" w:type="dxa"/>
            <w:vAlign w:val="bottom"/>
          </w:tcPr>
          <w:p>
            <w:pPr>
              <w:spacing w:after="0"/>
              <w:rPr>
                <w:sz w:val="22"/>
                <w:szCs w:val="22"/>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Executive Vice President, Supply Chain and Operations</w:t>
            </w:r>
          </w:p>
        </w:tc>
      </w:tr>
      <w:tr>
        <w:trPr>
          <w:trHeight w:val="38"/>
        </w:trPr>
        <w:tc>
          <w:tcPr>
            <w:tcW w:w="3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80" w:type="dxa"/>
            <w:vAlign w:val="bottom"/>
          </w:tcPr>
          <w:p>
            <w:pPr>
              <w:spacing w:after="0"/>
              <w:rPr>
                <w:sz w:val="3"/>
                <w:szCs w:val="3"/>
                <w:color w:val="auto"/>
              </w:rPr>
            </w:pPr>
          </w:p>
        </w:tc>
      </w:tr>
      <w:tr>
        <w:trPr>
          <w:trHeight w:val="258"/>
        </w:trPr>
        <w:tc>
          <w:tcPr>
            <w:tcW w:w="3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Christine A. Wolf</w:t>
            </w:r>
          </w:p>
        </w:tc>
        <w:tc>
          <w:tcPr>
            <w:tcW w:w="900" w:type="dxa"/>
            <w:vAlign w:val="bottom"/>
            <w:gridSpan w:val="2"/>
            <w:shd w:val="clear" w:color="auto" w:fill="CFEBF4"/>
          </w:tcPr>
          <w:p>
            <w:pPr>
              <w:jc w:val="center"/>
              <w:ind w:left="1"/>
              <w:spacing w:after="0"/>
              <w:rPr>
                <w:sz w:val="20"/>
                <w:szCs w:val="20"/>
                <w:color w:val="auto"/>
              </w:rPr>
            </w:pPr>
            <w:r>
              <w:rPr>
                <w:rFonts w:ascii="Times New Roman" w:cs="Times New Roman" w:eastAsia="Times New Roman" w:hAnsi="Times New Roman"/>
                <w:sz w:val="20"/>
                <w:szCs w:val="20"/>
                <w:color w:val="231F20"/>
                <w:w w:val="99"/>
              </w:rPr>
              <w:t>65</w:t>
            </w:r>
          </w:p>
        </w:tc>
        <w:tc>
          <w:tcPr>
            <w:tcW w:w="60" w:type="dxa"/>
            <w:vAlign w:val="bottom"/>
            <w:shd w:val="clear" w:color="auto" w:fill="CFEBF4"/>
          </w:tcPr>
          <w:p>
            <w:pPr>
              <w:spacing w:after="0"/>
              <w:rPr>
                <w:sz w:val="22"/>
                <w:szCs w:val="22"/>
                <w:color w:val="auto"/>
              </w:rPr>
            </w:pPr>
          </w:p>
        </w:tc>
        <w:tc>
          <w:tcPr>
            <w:tcW w:w="56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Executive Vice President and Chief Human Resources Officer</w:t>
            </w:r>
          </w:p>
        </w:tc>
      </w:tr>
      <w:tr>
        <w:trPr>
          <w:trHeight w:val="38"/>
        </w:trPr>
        <w:tc>
          <w:tcPr>
            <w:tcW w:w="3440" w:type="dxa"/>
            <w:vAlign w:val="bottom"/>
            <w:shd w:val="clear" w:color="auto" w:fill="CFEBF4"/>
          </w:tcPr>
          <w:p>
            <w:pPr>
              <w:spacing w:after="0"/>
              <w:rPr>
                <w:sz w:val="3"/>
                <w:szCs w:val="3"/>
                <w:color w:val="auto"/>
              </w:rPr>
            </w:pPr>
          </w:p>
        </w:tc>
        <w:tc>
          <w:tcPr>
            <w:tcW w:w="80" w:type="dxa"/>
            <w:vAlign w:val="bottom"/>
            <w:shd w:val="clear" w:color="auto" w:fill="CFEBF4"/>
          </w:tcPr>
          <w:p>
            <w:pPr>
              <w:spacing w:after="0"/>
              <w:rPr>
                <w:sz w:val="3"/>
                <w:szCs w:val="3"/>
                <w:color w:val="auto"/>
              </w:rPr>
            </w:pPr>
          </w:p>
        </w:tc>
        <w:tc>
          <w:tcPr>
            <w:tcW w:w="820" w:type="dxa"/>
            <w:vAlign w:val="bottom"/>
            <w:shd w:val="clear" w:color="auto" w:fill="CFEBF4"/>
          </w:tcPr>
          <w:p>
            <w:pPr>
              <w:spacing w:after="0"/>
              <w:rPr>
                <w:sz w:val="3"/>
                <w:szCs w:val="3"/>
                <w:color w:val="auto"/>
              </w:rPr>
            </w:pPr>
          </w:p>
        </w:tc>
        <w:tc>
          <w:tcPr>
            <w:tcW w:w="60" w:type="dxa"/>
            <w:vAlign w:val="bottom"/>
            <w:shd w:val="clear" w:color="auto" w:fill="CFEBF4"/>
          </w:tcPr>
          <w:p>
            <w:pPr>
              <w:spacing w:after="0"/>
              <w:rPr>
                <w:sz w:val="3"/>
                <w:szCs w:val="3"/>
                <w:color w:val="auto"/>
              </w:rPr>
            </w:pPr>
          </w:p>
        </w:tc>
        <w:tc>
          <w:tcPr>
            <w:tcW w:w="5680" w:type="dxa"/>
            <w:vAlign w:val="bottom"/>
            <w:shd w:val="clear" w:color="auto" w:fill="CFEBF4"/>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-2004060</wp:posOffset>
            </wp:positionV>
            <wp:extent cx="6436995"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436995" cy="50165"/>
                    </a:xfrm>
                    <a:prstGeom prst="rect">
                      <a:avLst/>
                    </a:prstGeom>
                    <a:noFill/>
                  </pic:spPr>
                </pic:pic>
              </a:graphicData>
            </a:graphic>
          </wp:anchor>
        </w:drawing>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Set forth below is biographical information for our executive officers listed above.</w:t>
      </w:r>
    </w:p>
    <w:p>
      <w:pPr>
        <w:spacing w:after="0" w:line="121" w:lineRule="exact"/>
        <w:rPr>
          <w:sz w:val="20"/>
          <w:szCs w:val="20"/>
          <w:color w:val="auto"/>
        </w:rPr>
      </w:pPr>
    </w:p>
    <w:p>
      <w:pPr>
        <w:jc w:val="both"/>
        <w:ind w:firstLine="266"/>
        <w:spacing w:after="0" w:line="271"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John J. Engel </w:t>
      </w:r>
      <w:r>
        <w:rPr>
          <w:rFonts w:ascii="Times New Roman" w:cs="Times New Roman" w:eastAsia="Times New Roman" w:hAnsi="Times New Roman"/>
          <w:sz w:val="19"/>
          <w:szCs w:val="19"/>
          <w:color w:val="231F20"/>
        </w:rPr>
        <w:t>has served as Chairman of the Board of Directors since May 2011 and as our President and Chief Executive</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Officer since 2009. Previously, Mr. Engel served as our Senior Vice President and Chief Operating Officer from 2004 to 2009. Before joining Wesco in 2004, Mr. Engel served as Senior Vice President and General Manager of Gateway, Inc., Executive Vice President and Senior Vice President of Perkin Elmer, Inc., Vice President and General Manager of Allied Signal, Inc., and also held various engineering, manufacturing and general management positions at General Electric Company.</w:t>
      </w:r>
    </w:p>
    <w:p>
      <w:pPr>
        <w:spacing w:after="0" w:line="67"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David S. Schulz </w:t>
      </w:r>
      <w:r>
        <w:rPr>
          <w:rFonts w:ascii="Times New Roman" w:cs="Times New Roman" w:eastAsia="Times New Roman" w:hAnsi="Times New Roman"/>
          <w:sz w:val="20"/>
          <w:szCs w:val="20"/>
          <w:color w:val="231F20"/>
        </w:rPr>
        <w:t>has served as our Executive Vice President and Chief Financial Officer since June 2020, and from October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2016 to June 2020, he served as Senior Vice President and Chief Financial Officer. Prior to joining Wesco, Mr. Schulz served as Senior Vice President and Chief Operating Officer of Armstrong Flooring, Inc. from April 2016 to October 2016 and from November 2013 to March 2016, he served as Senior Vice President and Chief Financial Officer of Armstrong World Industries, Inc., and as Vice President, Finance of the Armstrong Building Products division from 2011 to November 2013. Prior to joining Armstrong World Industries in 2011, he held various financial leadership roles with Procter &amp; Gamble and The J.M. Smucker Company. Mr. Schulz began his career as an officer in the United States Marine Corps.</w:t>
      </w:r>
    </w:p>
    <w:p>
      <w:pPr>
        <w:spacing w:after="0" w:line="8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James F. Cameron </w:t>
      </w:r>
      <w:r>
        <w:rPr>
          <w:rFonts w:ascii="Times New Roman" w:cs="Times New Roman" w:eastAsia="Times New Roman" w:hAnsi="Times New Roman"/>
          <w:sz w:val="20"/>
          <w:szCs w:val="20"/>
          <w:color w:val="231F20"/>
        </w:rPr>
        <w:t>has served as our Executive Vice President and General Manager of the Utility &amp; Broadband Solutions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division since June 2020. From January 2014 to June 2020 he served as Vice President and General Manager, Utility and Broadband Group and from 2011 to 2013 he was Regional Vice President of the utility business. Prior to joining Wesco in 2011, Mr. Cameron served as Senior Vice President of the Utility Group, and Vice President of Marketing &amp; Operations with Irby, a Sonepar Company. Earlier in his career, Mr. Cameron held various positions with Hubbell Power Systems, Thomas &amp; Betts and the ABB Power T&amp;D Company.</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9</w:t>
      </w:r>
    </w:p>
    <w:p>
      <w:pPr>
        <w:sectPr>
          <w:pgSz w:w="11880" w:h="15480" w:orient="portrait"/>
          <w:cols w:equalWidth="0" w:num="1">
            <w:col w:w="10120"/>
          </w:cols>
          <w:pgMar w:left="880" w:top="672" w:right="880" w:bottom="0" w:gutter="0" w:footer="0" w:header="0"/>
          <w:type w:val="continuous"/>
        </w:sectPr>
      </w:pPr>
    </w:p>
    <w:bookmarkStart w:id="19" w:name="page20"/>
    <w:bookmarkEnd w:id="19"/>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Daniel J. Castillo </w:t>
      </w:r>
      <w:r>
        <w:rPr>
          <w:rFonts w:ascii="Times New Roman" w:cs="Times New Roman" w:eastAsia="Times New Roman" w:hAnsi="Times New Roman"/>
          <w:sz w:val="20"/>
          <w:szCs w:val="20"/>
          <w:color w:val="231F20"/>
        </w:rPr>
        <w:t>has served as our Executive Vice President and General Manager of the Electrical &amp; Electronic Solutions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division since September 1, 2025. Prior to joining Wesco, Mr. Castillo served as Executive Vice President and President, North America at Brink's Company from 2022 to 2025; Executive Vice President and President, North America at JELD-WEN, Inc. from 2020 to 2022 and President, North America Doors from 2018 to 2020. Previously, he served as President of Cree Lighting and held a variety of business leadership positions at Eaton and Cooper Industries.</w:t>
      </w:r>
    </w:p>
    <w:p>
      <w:pPr>
        <w:spacing w:after="0" w:line="83"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Akash Khurana </w:t>
      </w:r>
      <w:r>
        <w:rPr>
          <w:rFonts w:ascii="Times New Roman" w:cs="Times New Roman" w:eastAsia="Times New Roman" w:hAnsi="Times New Roman"/>
          <w:sz w:val="20"/>
          <w:szCs w:val="20"/>
          <w:color w:val="231F20"/>
        </w:rPr>
        <w:t>has served as our Executive Vice President and Chief Information and Digital Officer since joining the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Company in November 2020. Before joining Wesco, Mr. Khurana served as Chief Information Officer and Chief Data Officer of Global information at McDermott International, Ltd. from March 2015 to November 2020. Previously, he served as Senior Director of Global Product Lines and Regional P&amp;Ls at Baker Hughes and a variety of leadership roles at GE Healthcare and Power &amp; Water Divisions.</w:t>
      </w:r>
    </w:p>
    <w:p>
      <w:pPr>
        <w:spacing w:after="0" w:line="83"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Diane E. Lazzaris </w:t>
      </w:r>
      <w:r>
        <w:rPr>
          <w:rFonts w:ascii="Times New Roman" w:cs="Times New Roman" w:eastAsia="Times New Roman" w:hAnsi="Times New Roman"/>
          <w:sz w:val="20"/>
          <w:szCs w:val="20"/>
          <w:color w:val="231F20"/>
        </w:rPr>
        <w:t>has served as our Executive Vice President and General Counsel since June 2020 and also as Corporate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Secretary from February 2021 to December 2023. From 2014 to June 2020 she served as our Senior Vice President and General Counsel and from 2010 to December 2013 as our Vice President, Legal Affairs. From 2008 to 2010, Ms. Lazzaris served as Senior Vice President - Legal, General Counsel and Corporate Secretary of Dick’s Sporting Goods, Inc. From 1994 to 2008, she held various corporate counsel positions at Alcoa Inc., including Group Counsel to a group of global businesses.</w:t>
      </w:r>
    </w:p>
    <w:p>
      <w:pPr>
        <w:spacing w:after="0" w:line="83"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Dirk W. Naylor </w:t>
      </w:r>
      <w:r>
        <w:rPr>
          <w:rFonts w:ascii="Times New Roman" w:cs="Times New Roman" w:eastAsia="Times New Roman" w:hAnsi="Times New Roman"/>
          <w:sz w:val="20"/>
          <w:szCs w:val="20"/>
          <w:color w:val="231F20"/>
        </w:rPr>
        <w:t>has served as our Executive Vice President and General Manager of the Communications &amp; Security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Solutions division since July 2025, and from 2021 to June 2025, he served as Senior Vice President and General Manager - Communications &amp; Security Solutions USA and Global Accounts and Senior Vice President, Global Accounts from 2018 to 2021. Mr. Naylor has held various leadership roles since joining Anixter in 2005. Prior to that, he held leadership positions with Lowry Computer Products and Panduit.</w:t>
      </w:r>
    </w:p>
    <w:p>
      <w:pPr>
        <w:spacing w:after="0" w:line="83" w:lineRule="exact"/>
        <w:rPr>
          <w:sz w:val="20"/>
          <w:szCs w:val="20"/>
          <w:color w:val="auto"/>
        </w:rPr>
      </w:pPr>
    </w:p>
    <w:p>
      <w:pPr>
        <w:jc w:val="both"/>
        <w:ind w:firstLine="266"/>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Hemant Porwal </w:t>
      </w:r>
      <w:r>
        <w:rPr>
          <w:rFonts w:ascii="Times New Roman" w:cs="Times New Roman" w:eastAsia="Times New Roman" w:hAnsi="Times New Roman"/>
          <w:sz w:val="20"/>
          <w:szCs w:val="20"/>
          <w:color w:val="231F20"/>
        </w:rPr>
        <w:t>has served as our Executive Vice President, Supply Chain and Operations division since June 2020,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from January 2015 to June 2020 as Vice President of Global Supply Chain and Operations. Before joining Wesco, Mr. Porwal served as Vice President at Sears Holding Corporation, leading their global procurement function since 2011, and at PepsiCo, Inc. where he held roles with increasing responsibilities in Operations, Supply Chain, Procurement and Finance.</w:t>
      </w:r>
    </w:p>
    <w:p>
      <w:pPr>
        <w:spacing w:after="0" w:line="79"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Christine A. Wolf </w:t>
      </w:r>
      <w:r>
        <w:rPr>
          <w:rFonts w:ascii="Times New Roman" w:cs="Times New Roman" w:eastAsia="Times New Roman" w:hAnsi="Times New Roman"/>
          <w:sz w:val="20"/>
          <w:szCs w:val="20"/>
          <w:color w:val="231F20"/>
        </w:rPr>
        <w:t>has served as our Executive Vice President and Chief Human Resources Officer since June 2020,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from June 2018 to June 2020 she served as Senior Vice President and Chief Human Resources Officer. Before joining Wesco from 2011 to June 2018, Ms. Wolf served as the Chief Human Resources Officer of Orbital ATK, Inc. until its acquisition by Northrop Grumman. From 2008 to 2011, she served as the Chief Human Resources Officer of Fannie Mae and from 2004 to 2008 she served as Chief Human Resources Officer of E*Trade Financial Corporation. Prior to that, she held various positions in human resources with companies in a variety of industries.</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120"/>
          </w:cols>
          <w:pgMar w:left="880" w:top="675" w:right="8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32"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following factors, among others, could cause our actual results to differ materially from the forward-looking statements we make. All forward-looking statements attributable to us or persons working on our behalf are expressly qualified by the following factors. This information should be read in conjunction with Item 7, “Management’s Discussion and Analysis of Financial Condition and Results of Operations”, Item 7A, “Quantitative and Qualitative Disclosures about Market Risks” and the consolidated financial statements and related notes included in this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the Global Macroeconomic Environment and Our International Operations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Adverse conditions in the global economy and disruptions of financial and commodities markets could negatively impact us and our customers.</w:t>
      </w:r>
    </w:p>
    <w:p>
      <w:pPr>
        <w:spacing w:after="0" w:line="63"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Our results of operations are affected by the level of business activity of our customers, which in turn is affected by global economic conditions and market factors impacting the industries and markets that they serve. Certain global economies and the financial and commodities markets continue to experience significant uncertainty and volatility. Adverse economic conditions, disruptions in financial markets or lack of liquidity in these markets, particularly in North America, as well as those caused by political risk or instability globally, may adversely affect our revenues and operating results. Disruptions in financial markets can cause increases in interest rates and borrowing costs. Economic and financial market conditions may also affect the availability or the cost of financing for projects and for our customers’ capital or other expenditures, which can result in project delays or cancellations and thus affect demand for our products. There can be no assurance that any governmental responses to economic conditions or disruptions in the financial markets ultimately will stabilize the markets or increase our customers’ liquidity or the availability of credit for us or our customers. Although no single customer accounts for more than 5% of our sales, a payment default by one of our larger customers could have a negative short-term impact on earnings or liquidity. A financial or industry downturn could have an adverse effect on the collectability of our accounts receivable, which could result in longer payment cycles, increased collection costs and defaults, and limit our ability to borrow additional funds. Should one or more of our larger customers declare bankruptcy, it could adversely affect the collectability of our accounts receivable, along with credit loss reserves and net income. In addition, our ability to access the capital markets may be restricted at a time when we would like, or need, to do so.</w:t>
      </w:r>
    </w:p>
    <w:p>
      <w:pPr>
        <w:spacing w:after="0" w:line="9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economic, political and financial environment may also affect our business and financial condition in ways that we currently cannot predict. Certain geopolitical conflicts, and resulting international responses, have contributed to further volatility and uncertainty in the global financial and commodities markets, resulting in fluctuations in oil and commodity prices. There can be no assurance that economic and political instability, both domestically and internationally (for example, resulting from the geopolitical conflicts, changes in the creditworthiness of the U.S. or any government, changes to economic or trade policies, sanctions, tariffs or participation in trade agreements or economic and political unions) will not adversely affect our results of operations, cash flows or financial position in the future.</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31F20"/>
        </w:rPr>
        <w:t>Volatile trade policies, including a shift toward a “reciprocal” tariff regime in the U.S., and retaliatory measures by foreign governments, could materially increase our costs, disrupt supply availability and lead times, reduce price competitiveness, and adversely affect demand for our products and services.</w:t>
      </w:r>
    </w:p>
    <w:p>
      <w:pPr>
        <w:spacing w:after="0" w:line="79"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19"/>
          <w:szCs w:val="19"/>
          <w:color w:val="231F20"/>
        </w:rPr>
        <w:t>Global trade policy remains highly volatile. Sudden, material changes in U.S. and foreign tariff rates, scope, exclusions and enforcement, particularly following the adoption of a “reciprocal” tariff approach by the U.S., as well as retaliatory actions by other jurisdictions, including counter-tariffs and expanded export controls on critical minerals, components, and technologies, could negatively affect the availability and cost of certain products and inputs, extend lead times and impair our ability to fulfill customer orders. These measures may also increase our logistics, compliance and working capital costs, and contribute to broader inflationary pressures. We may be unable to pass through incremental costs to customers in a timely manner or at all without adversely affecting our price competitiveness or margins. If we are unable to adjust pricing, sourcing or inventory strategies effectively, or if customers reduce or defer purchases (including due to demand destruction arising from higher end-market prices), our business, financial condition and results of operations could be materially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global operations expose us to political, economic, legal, currency and other risks.</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 operate a network of more than 700 sites, including distribution centers, fulfillment centers and sales offices with operations in approximately 50 countries. Approximately one-third of our employee population are non-U.S. employees. We derive approximately 26% of our revenues from sales outside of the U.S. As a result, we are subject to additional risks associated with owning and operating businesses in these foreign markets and jurisdictions.</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Operating in the global marketplace exposes us to a number of risks including:</w:t>
      </w:r>
    </w:p>
    <w:p>
      <w:pPr>
        <w:spacing w:after="0" w:line="152" w:lineRule="exact"/>
        <w:rPr>
          <w:sz w:val="20"/>
          <w:szCs w:val="20"/>
          <w:color w:val="auto"/>
        </w:rPr>
      </w:pPr>
    </w:p>
    <w:p>
      <w:pPr>
        <w:ind w:left="720" w:hanging="359"/>
        <w:spacing w:after="0" w:line="276" w:lineRule="auto"/>
        <w:tabs>
          <w:tab w:leader="none" w:pos="720" w:val="left"/>
        </w:tabs>
        <w:numPr>
          <w:ilvl w:val="0"/>
          <w:numId w:val="11"/>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geopolitical and security issues, including armed conflict and civil or military unrest, political instability, terrorist activity and human rights concerns;</w:t>
      </w:r>
    </w:p>
    <w:p>
      <w:pPr>
        <w:sectPr>
          <w:pgSz w:w="11880" w:h="15480" w:orient="portrait"/>
          <w:cols w:equalWidth="0" w:num="1">
            <w:col w:w="10120"/>
          </w:cols>
          <w:pgMar w:left="880" w:top="672" w:right="88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120"/>
          </w:cols>
          <w:pgMar w:left="880" w:top="672" w:right="880" w:bottom="0" w:gutter="0" w:footer="0" w:header="0"/>
          <w:type w:val="continuous"/>
        </w:sectPr>
      </w:pPr>
    </w:p>
    <w:bookmarkStart w:id="21" w:name="page22"/>
    <w:bookmarkEnd w:id="21"/>
    <w:p>
      <w:pPr>
        <w:ind w:left="720" w:hanging="359"/>
        <w:spacing w:after="0" w:line="25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natural disasters (including as a result of climate change) and public health crises (including pandemics such as COVID-19 and its variants), and other catastrophic events;</w:t>
      </w:r>
    </w:p>
    <w:p>
      <w:pPr>
        <w:spacing w:after="0" w:line="27" w:lineRule="exact"/>
        <w:rPr>
          <w:rFonts w:ascii="Times New Roman" w:cs="Times New Roman" w:eastAsia="Times New Roman" w:hAnsi="Times New Roman"/>
          <w:sz w:val="24"/>
          <w:szCs w:val="24"/>
          <w:color w:val="231F20"/>
        </w:rPr>
      </w:pPr>
    </w:p>
    <w:p>
      <w:pPr>
        <w:ind w:left="720" w:hanging="359"/>
        <w:spacing w:after="0" w:line="25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global supply chain disruptions and large-scale outages or inefficient provision of services from utilities, transportation, data hosting, or telecommunications providers;</w:t>
      </w:r>
    </w:p>
    <w:p>
      <w:pPr>
        <w:spacing w:after="0" w:line="35" w:lineRule="exact"/>
        <w:rPr>
          <w:rFonts w:ascii="Times New Roman" w:cs="Times New Roman" w:eastAsia="Times New Roman" w:hAnsi="Times New Roman"/>
          <w:sz w:val="24"/>
          <w:szCs w:val="24"/>
          <w:color w:val="231F20"/>
        </w:rPr>
      </w:pPr>
    </w:p>
    <w:p>
      <w:pPr>
        <w:jc w:val="both"/>
        <w:ind w:left="720" w:hanging="359"/>
        <w:spacing w:after="0" w:line="266" w:lineRule="auto"/>
        <w:tabs>
          <w:tab w:leader="none" w:pos="720" w:val="left"/>
        </w:tabs>
        <w:numPr>
          <w:ilvl w:val="0"/>
          <w:numId w:val="12"/>
        </w:numPr>
        <w:rPr>
          <w:rFonts w:ascii="Arial" w:cs="Arial" w:eastAsia="Arial" w:hAnsi="Arial"/>
          <w:sz w:val="24"/>
          <w:szCs w:val="24"/>
          <w:color w:val="231F20"/>
        </w:rPr>
      </w:pPr>
      <w:r>
        <w:rPr>
          <w:rFonts w:ascii="Times New Roman" w:cs="Times New Roman" w:eastAsia="Times New Roman" w:hAnsi="Times New Roman"/>
          <w:sz w:val="20"/>
          <w:szCs w:val="20"/>
          <w:color w:val="231F20"/>
        </w:rPr>
        <w:t>abrupt changes in government policies, laws, regulations, executive orders, spending allocations, or treaties, including imposition of export, import, or doing-business regulations, trade sanctions, embargoes or other trade restrictions, as well as tariffs and trade measures that may increase the cost of goods, limit the availability of key materials, or otherwise disrupt supply chains, pricing, and demand;</w:t>
      </w:r>
    </w:p>
    <w:p>
      <w:pPr>
        <w:spacing w:after="0" w:line="16" w:lineRule="exact"/>
        <w:rPr>
          <w:rFonts w:ascii="Arial" w:cs="Arial" w:eastAsia="Arial" w:hAnsi="Arial"/>
          <w:sz w:val="24"/>
          <w:szCs w:val="24"/>
          <w:color w:val="231F20"/>
        </w:rPr>
      </w:pPr>
    </w:p>
    <w:p>
      <w:pPr>
        <w:ind w:left="720" w:hanging="359"/>
        <w:spacing w:after="0" w:line="251" w:lineRule="auto"/>
        <w:tabs>
          <w:tab w:leader="none" w:pos="720" w:val="left"/>
        </w:tabs>
        <w:numPr>
          <w:ilvl w:val="0"/>
          <w:numId w:val="12"/>
        </w:numPr>
        <w:rPr>
          <w:rFonts w:ascii="Arial" w:cs="Arial" w:eastAsia="Arial" w:hAnsi="Arial"/>
          <w:sz w:val="24"/>
          <w:szCs w:val="24"/>
          <w:color w:val="231F20"/>
        </w:rPr>
      </w:pPr>
      <w:r>
        <w:rPr>
          <w:rFonts w:ascii="Times New Roman" w:cs="Times New Roman" w:eastAsia="Times New Roman" w:hAnsi="Times New Roman"/>
          <w:sz w:val="20"/>
          <w:szCs w:val="20"/>
          <w:color w:val="231F20"/>
        </w:rPr>
        <w:t>changing and expanding export controls, sanctions, and data localization rules which could restrict our ability to source, sell or service certain products, software or technologies;</w:t>
      </w:r>
    </w:p>
    <w:p>
      <w:pPr>
        <w:spacing w:after="0" w:line="6" w:lineRule="exact"/>
        <w:rPr>
          <w:rFonts w:ascii="Arial" w:cs="Arial" w:eastAsia="Arial" w:hAnsi="Arial"/>
          <w:sz w:val="24"/>
          <w:szCs w:val="24"/>
          <w:color w:val="231F20"/>
        </w:rPr>
      </w:pPr>
    </w:p>
    <w:p>
      <w:pPr>
        <w:ind w:left="720" w:hanging="359"/>
        <w:spacing w:after="0" w:line="251"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regulatory uncertainty, including potential challenges to agency rulemaking authority, which could increase litigation risks, complicate compliance planning, and disrupt our operations;</w:t>
      </w:r>
    </w:p>
    <w:p>
      <w:pPr>
        <w:spacing w:after="0" w:line="14" w:lineRule="exact"/>
        <w:rPr>
          <w:rFonts w:ascii="Times New Roman" w:cs="Times New Roman" w:eastAsia="Times New Roman" w:hAnsi="Times New Roman"/>
          <w:sz w:val="24"/>
          <w:szCs w:val="24"/>
          <w:color w:val="231F20"/>
        </w:rPr>
      </w:pPr>
    </w:p>
    <w:p>
      <w:pPr>
        <w:jc w:val="both"/>
        <w:ind w:left="720" w:hanging="359"/>
        <w:spacing w:after="0" w:line="26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tax increases, tariff increases, or retaliatory trade measures, including those intended to address trade imbalances or protect domestic industries, that could impact the pricing of our products, the cost and availability of raw materials and components used in production, and the competitiveness of our goods in key markets, while also contributing to broader economic uncertainty, inflationary pressures, and disruptions in our supply chain;</w:t>
      </w:r>
    </w:p>
    <w:p>
      <w:pPr>
        <w:spacing w:after="0" w:line="2" w:lineRule="exact"/>
        <w:rPr>
          <w:rFonts w:ascii="Times New Roman" w:cs="Times New Roman" w:eastAsia="Times New Roman" w:hAnsi="Times New Roman"/>
          <w:sz w:val="24"/>
          <w:szCs w:val="24"/>
          <w:color w:val="231F20"/>
        </w:rPr>
      </w:pPr>
    </w:p>
    <w:p>
      <w:pPr>
        <w:ind w:left="720" w:hanging="359"/>
        <w:spacing w:after="0" w:line="23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government restrictions on, or nationalization of, our operations in any country;</w:t>
      </w:r>
    </w:p>
    <w:p>
      <w:pPr>
        <w:spacing w:after="0" w:line="26" w:lineRule="exact"/>
        <w:rPr>
          <w:rFonts w:ascii="Times New Roman" w:cs="Times New Roman" w:eastAsia="Times New Roman" w:hAnsi="Times New Roman"/>
          <w:sz w:val="24"/>
          <w:szCs w:val="24"/>
          <w:color w:val="231F20"/>
        </w:rPr>
      </w:pPr>
    </w:p>
    <w:p>
      <w:pPr>
        <w:ind w:left="720" w:hanging="359"/>
        <w:spacing w:after="0" w:line="25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changes in labor conditions and difficulties in staffing and managing international operations, including logistical and communication challenges;</w:t>
      </w:r>
    </w:p>
    <w:p>
      <w:pPr>
        <w:spacing w:after="0" w:line="9" w:lineRule="exact"/>
        <w:rPr>
          <w:rFonts w:ascii="Times New Roman" w:cs="Times New Roman" w:eastAsia="Times New Roman" w:hAnsi="Times New Roman"/>
          <w:sz w:val="24"/>
          <w:szCs w:val="24"/>
          <w:color w:val="231F20"/>
        </w:rPr>
      </w:pPr>
    </w:p>
    <w:p>
      <w:pPr>
        <w:ind w:left="720" w:hanging="359"/>
        <w:spacing w:after="0"/>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monetary policy of the countries where we operate and related currency exchange rate fluctuations;</w:t>
      </w:r>
    </w:p>
    <w:p>
      <w:pPr>
        <w:spacing w:after="0" w:line="12" w:lineRule="exact"/>
        <w:rPr>
          <w:rFonts w:ascii="Times New Roman" w:cs="Times New Roman" w:eastAsia="Times New Roman" w:hAnsi="Times New Roman"/>
          <w:sz w:val="24"/>
          <w:szCs w:val="24"/>
          <w:color w:val="231F20"/>
        </w:rPr>
      </w:pPr>
    </w:p>
    <w:p>
      <w:pPr>
        <w:ind w:left="720" w:hanging="359"/>
        <w:spacing w:after="0" w:line="23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challenges in protecting our IP rights in certain countries;</w:t>
      </w:r>
    </w:p>
    <w:p>
      <w:pPr>
        <w:spacing w:after="0" w:line="12" w:lineRule="exact"/>
        <w:rPr>
          <w:rFonts w:ascii="Times New Roman" w:cs="Times New Roman" w:eastAsia="Times New Roman" w:hAnsi="Times New Roman"/>
          <w:sz w:val="24"/>
          <w:szCs w:val="24"/>
          <w:color w:val="231F20"/>
        </w:rPr>
      </w:pPr>
    </w:p>
    <w:p>
      <w:pPr>
        <w:ind w:left="720" w:hanging="359"/>
        <w:spacing w:after="0" w:line="23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local business and cultural factors that differ from our current standards and practices;</w:t>
      </w:r>
    </w:p>
    <w:p>
      <w:pPr>
        <w:spacing w:after="0" w:line="12" w:lineRule="exact"/>
        <w:rPr>
          <w:rFonts w:ascii="Times New Roman" w:cs="Times New Roman" w:eastAsia="Times New Roman" w:hAnsi="Times New Roman"/>
          <w:sz w:val="24"/>
          <w:szCs w:val="24"/>
          <w:color w:val="231F20"/>
        </w:rPr>
      </w:pPr>
    </w:p>
    <w:p>
      <w:pPr>
        <w:ind w:left="720" w:hanging="359"/>
        <w:spacing w:after="0" w:line="23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continuing uncertainty regarding social, political, immigration, tax, and trade policies in the U.S. and abroad; and</w:t>
      </w:r>
    </w:p>
    <w:p>
      <w:pPr>
        <w:spacing w:after="0" w:line="12" w:lineRule="exact"/>
        <w:rPr>
          <w:rFonts w:ascii="Times New Roman" w:cs="Times New Roman" w:eastAsia="Times New Roman" w:hAnsi="Times New Roman"/>
          <w:sz w:val="24"/>
          <w:szCs w:val="24"/>
          <w:color w:val="231F20"/>
        </w:rPr>
      </w:pPr>
    </w:p>
    <w:p>
      <w:pPr>
        <w:ind w:left="720" w:hanging="359"/>
        <w:spacing w:after="0" w:line="236" w:lineRule="auto"/>
        <w:tabs>
          <w:tab w:leader="none" w:pos="720" w:val="left"/>
        </w:tabs>
        <w:numPr>
          <w:ilvl w:val="0"/>
          <w:numId w:val="12"/>
        </w:numPr>
        <w:rPr>
          <w:rFonts w:ascii="Times New Roman" w:cs="Times New Roman" w:eastAsia="Times New Roman" w:hAnsi="Times New Roman"/>
          <w:sz w:val="24"/>
          <w:szCs w:val="24"/>
          <w:color w:val="231F20"/>
        </w:rPr>
      </w:pPr>
      <w:r>
        <w:rPr>
          <w:rFonts w:ascii="Times New Roman" w:cs="Times New Roman" w:eastAsia="Times New Roman" w:hAnsi="Times New Roman"/>
          <w:sz w:val="20"/>
          <w:szCs w:val="20"/>
          <w:color w:val="231F20"/>
        </w:rPr>
        <w:t>other social, political and economic instability, including recessions and other economic crises in other regions.</w:t>
      </w:r>
    </w:p>
    <w:p>
      <w:pPr>
        <w:spacing w:after="0" w:line="103"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Broader geopolitical conflicts and instability could disrupt supply chains, energy markets, cross</w:t>
      </w:r>
      <w:r>
        <w:rPr>
          <w:rFonts w:ascii="Arial" w:cs="Arial" w:eastAsia="Arial" w:hAnsi="Arial"/>
          <w:sz w:val="20"/>
          <w:szCs w:val="20"/>
          <w:color w:val="231F20"/>
        </w:rPr>
        <w:t>-</w:t>
      </w:r>
      <w:r>
        <w:rPr>
          <w:rFonts w:ascii="Times New Roman" w:cs="Times New Roman" w:eastAsia="Times New Roman" w:hAnsi="Times New Roman"/>
          <w:sz w:val="20"/>
          <w:szCs w:val="20"/>
          <w:color w:val="231F20"/>
        </w:rPr>
        <w:t>border data flows, and vendor operations, and may result in new or expanded trade controls, export restrictions, sanctions, or heightened cybersecurity threats. To the extent conflicts escalate or are further prolonged, it may have the effect of heightening many of the risks described above or elsewhere in these risk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are subject to various laws and regulations globally and any failure to comply could adversely affect our business.</w:t>
      </w:r>
    </w:p>
    <w:p>
      <w:pPr>
        <w:spacing w:after="0" w:line="132"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We are subject to a broad range of laws and regulations in the jurisdictions where we operate globally, including, among others, those relating to data privacy and protection, cyber security, import and export requirements, anti-bribery and corruption, product compliance, extended producer responsibility requirements, supplier regulations regarding the sources of supplies or products (such as the Uyghur Forced Labor Prevention Act or other forced labor, traceability and country of origin verification requirements), sustainability and environmental protection, health and safety requirements, intellectual property, foreign exchange controls and cash repatriation restrictions, labor and employment, human rights, e-commerce, advertising and marketing, anti-competition, artificial intelligence and tax. Compliance with these domestic and foreign laws, regulations and requirements may be burdensome, increasing our cost of compliance and doing business. In addition, as a supplier to federal, state, and local government agencies, we must comply with certain laws and regulations relating specifically to our governmental contracts. Although we have implemented policies and procedures designed to facilitate compliance with various laws, we cannot assure you that our employees, contractors, or agents will not violate such laws and regulations, or our policies and procedures. Any such violations could result in the imposition of fines and penalties, remediation costs, product restrictions or prohibitions, contractual claims, litigation, damage to our reputation, and, in the case of laws and regulations relating to governmental contracts, the loss of those contracts.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Fluctuations in foreign currency have an effect on our results from operations.</w:t>
      </w:r>
    </w:p>
    <w:p>
      <w:pPr>
        <w:spacing w:after="0" w:line="132"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9"/>
          <w:szCs w:val="19"/>
          <w:color w:val="231F20"/>
        </w:rPr>
        <w:t>The results of certain of our foreign operations are reported in the local currency and then translated into U.S. dollars at the applicable exchange rates for inclusion in our consolidated financial statements. The exchange rates between some of these currencies and the U.S. dollar have fluctuated significantly in recent years, and may continue to do so in the future. Even small fluctuations in exchange rates in currencies where we significantly transact, such as the Canadian dollar, could have material impacts on our business and financial results. We may incur losses related to foreign currency fluctuations, and foreign exchange controls may prevent us from repatriating cash in countries outside the U.S. In addition, because our financial statements are stated in U.S. dollars, such fluctuations may also affect the comparability of our results between financial</w:t>
      </w:r>
    </w:p>
    <w:p>
      <w:pPr>
        <w:sectPr>
          <w:pgSz w:w="11880" w:h="15480" w:orient="portrait"/>
          <w:cols w:equalWidth="0" w:num="1">
            <w:col w:w="10120"/>
          </w:cols>
          <w:pgMar w:left="880" w:top="707" w:right="88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120"/>
          </w:cols>
          <w:pgMar w:left="880" w:top="707" w:right="880" w:bottom="0" w:gutter="0" w:footer="0" w:header="0"/>
          <w:type w:val="continuous"/>
        </w:sectPr>
      </w:pPr>
    </w:p>
    <w:bookmarkStart w:id="22" w:name="page23"/>
    <w:bookmarkEnd w:id="22"/>
    <w:p>
      <w:pPr>
        <w:jc w:val="both"/>
        <w:spacing w:after="0" w:line="275" w:lineRule="auto"/>
        <w:rPr>
          <w:sz w:val="20"/>
          <w:szCs w:val="20"/>
          <w:color w:val="auto"/>
        </w:rPr>
      </w:pPr>
      <w:r>
        <w:rPr>
          <w:rFonts w:ascii="Times New Roman" w:cs="Times New Roman" w:eastAsia="Times New Roman" w:hAnsi="Times New Roman"/>
          <w:sz w:val="20"/>
          <w:szCs w:val="20"/>
          <w:color w:val="231F20"/>
        </w:rPr>
        <w:t>periods. Refer to Item 7A, “Quantitative and Qualitative Disclosures About Market Risks” for additional details on foreign currency risks.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Our Strategic Initiatives and Acquisitions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Expansion into new business activities, industries, product lines, services offerings, or geographic areas could subject the Company to increased costs and risks and may not achieve the intended results.</w:t>
      </w:r>
    </w:p>
    <w:p>
      <w:pPr>
        <w:spacing w:after="0" w:line="63"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We have invested significantly in expanding our digital solutions and digitalization initiatives, including but not limited to, our digital and data platform, e-commerce capabilities, enhancing the online customer experience, software as a service (SaaS), internet of things (IoT) technology, artificial intelligence capabilities, electrification, automation, grid modernization, security, design and engineering services, smart building technology and advisory services. If our efforts to transform and expand our digital and service capabilities are not successful, or are not developed and deployed on a timely basis, we may not realize the return on our investments as anticipated, or our operating results could be adversely affected by slower than expected sales growth or additional costs. Furthermore, engaging in or significantly expanding business activities in product sourcing, sales and services could subject the Company to unexpected costs and risks. Such activities could subject us to increased operating costs, product liability, regulatory requirements and reputational risks. Our expansion into new and existing markets, including manufacturing related or regulated businesses, may present competitive distribution and regulatory challenges that differ from current ones.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geographic, industry and product markets for growth and do not meet the new challenges posed by such expansion, our future sales growth could be negatively impacted, our operating costs could increase, and our business operations and financial results could be negatively affected.</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Our strategic and operational initiatives, including our business transformation enabled by digital initiatives, are subject to various risks and uncertainties, and we may be unable to implement the initiatives successfully.</w:t>
      </w:r>
    </w:p>
    <w:p>
      <w:pPr>
        <w:spacing w:after="0" w:line="63"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are engaged in a number of strategic and operational initiatives, including our digital transformation initiatives, designed to optimize costs and improve operational efficiency. Our ability to successfully execute these initiatives is subject to various risks and uncertainties and there can be no assurance regarding the timing of or extent to which we will realize the anticipated benefits, if at all. The design, development, and implementation of new systems and applications carries inherent risks, including potential technical failures, integration challenges, inadequacy of internal controls, and business disruptions. These risks could result in operational inefficiencies, system downtime, or other unforeseen complications that may adversely affect our business operations and customer relationships. Additionally, our initiatives may require significant capital investments and resource allocation, and any delays, cost overruns, or implementation difficulties could negatively impact our expected return on investment and overall business performance.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may not be able to fully realize the anticipated benefits and cost savings of mergers and acquisitions.</w:t>
      </w:r>
    </w:p>
    <w:p>
      <w:pPr>
        <w:spacing w:after="0" w:line="13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In 2020, we completed our merger with Anixter; in 2022, we completed the acquisition of Rahi Systems; and in 2024 and 2025, we completed several acquisitions, including those of entroCIM, Independent Electric Supply, Ascent and Industrial Software Solutions. We consider and may pursue other acquisitions on an on-going basis. The success of these and future acquisitions, including anticipated benefits and cost savings, depends on the successful combination and integration of the companies’ businesses. It is possible that the integration process of an acquired business could result in the loss of key employees, higher than expected costs, diversion of management attention, the disruption of either company’s ongoing legacy businesses or inconsistencies in standards, controls, procedures and policies that adversely affect the Company’s ability to maintain relationships with customers, suppliers and employees or to achieve the anticipated benefits and cost savings of the transaction.</w:t>
      </w:r>
    </w:p>
    <w:p>
      <w:pPr>
        <w:spacing w:after="0" w:line="90"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We have incurred, and expect to continue to incur, non-recurring costs associated with recent acquisitions and related integration activities. This includes transaction fees and expenses related to formulating and implementing integration plans, including facilities, systems consolidation and employment-related costs. We continue to assess the magnitude of these costs, and additional unanticipated costs may be incurred in the integration of the acquired companies’ businesses. Although we anticipate that the elimination of duplicative costs, as well as the realization of other efficiencies related to the integration of the businesses, should allow us to offset integration-related costs over time, this net benefit may not be achieved in the near term, or at all.</w:t>
      </w:r>
    </w:p>
    <w:p>
      <w:pPr>
        <w:spacing w:after="0" w:line="89"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If we experience difficulties with the integration process, the anticipated benefits of recent or future mergers or acquisitions may not be realized or may take longer to realize than expected. These integration matters could have an adverse effect on us for an undetermined period.</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120"/>
          </w:cols>
          <w:pgMar w:left="880" w:top="679" w:right="880" w:bottom="0" w:gutter="0" w:footer="0" w:header="0"/>
          <w:type w:val="continuous"/>
        </w:sectPr>
      </w:pPr>
    </w:p>
    <w:bookmarkStart w:id="23" w:name="page24"/>
    <w:bookmarkEnd w:id="23"/>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Any future acquisitions that we may undertake will involve inherent risks, any of which could cause us not to realize the anticipated benefits.</w:t>
      </w:r>
    </w:p>
    <w:p>
      <w:pPr>
        <w:spacing w:after="0" w:line="63"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We have expanded our operations through organic growth and selected acquisitions of businesses and assets, such as our acquisitions of Rahi Systems, entroCIM, Independent Electric Supply, Ascent and Industrial Software Solutions, and may seek to do so in the future. Acquisitions involve various inherent risks, including: problems that could arise from the integration of the acquired business; uncertainties in assessing the value, strengths, weaknesses, contingent and other liabilities and potential profitability of acquisition candidates; the potential loss of key employees of an acquired business; the ability to achieve identified operating and financial synergies anticipated to result from an acquisition or other transaction; unanticipated changes in business, industry or general economic conditions that affect the assumptions underlying the acquisition or other transaction rationale; and expansion into new countries or geographic markets where we may be less familiar with operating requirements, target customers and regulatory compliance. Additionally, elevated valuations and increasing acquisition multiples across various sectors, such as those related to data centers, artificial intelligence, and technology services, may impact our ability to execute acquisitions at acceptable prices or achieve expected returns on investment. Any one or more of these factors could increase our costs or cause us not to realize the benefits anticipated to result from the acquisition of a business or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Divestitures are subject to various risks and uncertainties.</w:t>
      </w:r>
    </w:p>
    <w:p>
      <w:pPr>
        <w:spacing w:after="0" w:line="13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In 2024 we completed the divestiture of our Wesco Integrated Supply business. We may consider and undertake divestitures of other businesses in the future. Divestitures involve risks and uncertainties, such as the separation of assets that are being sold, employee distraction, potential disruptions to customer and vendor relationships, and tax obligations or loss of tax benefits. If we are unable to successfully transition divested businesses, our business and financial results could be negatively impacted. After we divest a business, we may retain exposure on financial or performance guarantees and other contractual, employment, or severance obligations, and potential liabilities that may arise under law because of the disposition or the subsequent failure of an acquirer. Purchase price adjustments could be unfavorable and other future proceeds owed to us as part of these transactions could be lower than we expect. In addition, the divestiture of any business could negatively impact our profitability, resulting in the loss of sales or income, or a decrease in cash flows.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Heightened antitrust and foreign investment scrutiny could delay, condition, or prevent our strategic transactions.</w:t>
      </w:r>
    </w:p>
    <w:p>
      <w:pPr>
        <w:spacing w:after="0" w:line="132"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Competition and foreign investment authorities in the U.S. and other jurisdictions are applying more expansive and unpredictable approaches to reviewing mergers, acquisitions, joint ventures, minority investments, and other strategic transactions. Premerger notification and reporting obligations under the Hart-Scott-Rodino Antitrust Improvements Act (“HSR Act”), as well as analogous merger control and foreign direct investment regimes globally, have become more burdensome, costly, and time-consuming. Recent rule changes and evolving agency practices require the submission of significantly more information, including detailed narratives, internal documents, data, and ordinary course materials. Filing fees and compliance costs have increased, and regulators are taking longer to accept filings as complete and to commence or conclude review periods. Even transactions that raise limited or no apparent competitive concerns can face prolonged timelines, significant expense, and uncertainty as to outcome. Authorities may also review consummated deals, require divestitures or unwinding, or impose penalties for alleged non-compliance. As a result, we may face delays, increased costs, and conditions, such as divestitures, behavioral commitments, or conduct restrictions, or we may be unable to close on expected terms or timelines, or at all. Evolving legal standards, shifting enforcement priorities, and new or revised rules that expand disclosure obligations, increase fees, or extend waiting periods may further reduce deal certainty. These factors could deter attractive opportunities, delay or diminish anticipated synergies and benefits, distract management, and adversely affect our strategy, reputation,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Our Information Systems and Technology and Intellectual Property</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Any significant disruption or failure of our information systems could lead to interruptions in our operations, which may materially adversely affect our business operations, financial condition, and results of operations.</w:t>
      </w:r>
    </w:p>
    <w:p>
      <w:pPr>
        <w:spacing w:after="0" w:line="63"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We operate a number of facilities and we coordinate company activities, including information technology systems, administrative services, and similar systems, through our headquarters and field operations. We rely on the proper functioning and availability of our information systems to successfully operate our business, including managing inventory, processing customer orders, shipping products, providing service to customers, maintaining customer and supplier information, and compiling financial results. Our operations depend on our ability to maintain existing systems and implement new technology, which includes allocating sufficient resources to upgrade our information technology systems, and to protect our equipment and the information stored in our databases against both man-made and natural disasters (including those as a result of climate change), as well as power losses, computer and telecommunications failures, technological breakdowns, unauthorized intrusions, cyber-attacks, and other events. Further, many of the products and services we provide to customers rely on information technology to transmit and store data in Company, cloud-based and third-party systems. Even where Company-managed information systems remain fully operational, a failure by a third-party’s systems or procedures could have negative</w:t>
      </w:r>
    </w:p>
    <w:p>
      <w:pPr>
        <w:sectPr>
          <w:pgSz w:w="11880" w:h="15480" w:orient="portrait"/>
          <w:cols w:equalWidth="0" w:num="1">
            <w:col w:w="10120"/>
          </w:cols>
          <w:pgMar w:left="880" w:top="672" w:right="88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120"/>
          </w:cols>
          <w:pgMar w:left="880" w:top="672" w:right="880" w:bottom="0" w:gutter="0" w:footer="0" w:header="0"/>
          <w:type w:val="continuous"/>
        </w:sectPr>
      </w:pPr>
    </w:p>
    <w:bookmarkStart w:id="24" w:name="page25"/>
    <w:bookmarkEnd w:id="24"/>
    <w:p>
      <w:pPr>
        <w:jc w:val="both"/>
        <w:spacing w:after="0" w:line="281" w:lineRule="auto"/>
        <w:rPr>
          <w:sz w:val="20"/>
          <w:szCs w:val="20"/>
          <w:color w:val="auto"/>
        </w:rPr>
      </w:pPr>
      <w:r>
        <w:rPr>
          <w:rFonts w:ascii="Times New Roman" w:cs="Times New Roman" w:eastAsia="Times New Roman" w:hAnsi="Times New Roman"/>
          <w:sz w:val="19"/>
          <w:szCs w:val="19"/>
          <w:color w:val="231F20"/>
        </w:rPr>
        <w:t>effects on our operations. Any significant or prolonged unavailability or failure of critical information systems could materially impair our ability to maintain proper levels of inventories, process orders, meet the demands of our customers and suppliers in a timely manner, and other harmful effects on our business operations, which could negatively affect our financial results.</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We may not be able to realize the anticipated benefits and cost savings of our digital transformation initiatives or enhancing existing, and deploying new, technology, digital products and information systems in our operations.</w:t>
      </w:r>
    </w:p>
    <w:p>
      <w:pPr>
        <w:spacing w:after="0" w:line="63"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We are executing our digital transformation strategy and seek to continually enhance existing and deploy new technology, digital products and information systems as a part of our technology-enablement strategy. Such changes could fail to realize anticipated benefits, create new liability or disrupt our existing information systems or other aspects of our operations. Conversions to new information technology systems may result in cost overruns, delays or business interruptions. Efforts to align portions of our business on common enterprise platforms, systems and processes could result in unforeseen interruptions, increased costs or liability, and other negative effects. Sales enablement initiatives that improve data analytics and automate, optimize, digitize or outsource tasks could result in unforeseen consequences, including our ability to process orders, receive and ship products, maintain inventories, collect accounts receivable and pay expenses, therefore impacting our results of operations. Additionally, exploring and deploying use cases for artificial intelligence, generative artificial intelligence and large language models to empower our employees and streamline our operations may introduce new risks such as biased output, inaccurate output, security vulnerabilities and increased stakeholder or regulatory scrutiny, which could impact the integrity of our business processes, expose us to litigation or fines, or erode the trust of our stakeholders. Our governance structures and control environment may not keep pace with the rapid adoption of these emerging technologies, potentially leading to inadequate oversight of their development and deployment. The dynamic and rapidly evolving nature of artificial intelligence technologies and their applications necessitates continuous monitoring and updating of systems, processes, and policies, which, if not adequately managed, could exacerbate the risks of obsolescence, unintended outcomes, or compliance failures. If our technology systems are disrupted, become obsolete or do not adequately support our strategic, operational or compliance needs, or if the controls placed over the use of new and existing technology prove inadequate, it could result in a competitive disadvantage or adversely affect our business operations, reputation or financial condition.</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31F20"/>
        </w:rPr>
        <w:t>Our increasing use and reliance on artificial intelligence (“AI”), including machine learning, generative AI, agentic AI and large language models, may expose us to significant risks that could adversely affect our operations, financial condition, and results of operations.</w:t>
      </w:r>
    </w:p>
    <w:p>
      <w:pPr>
        <w:spacing w:after="0" w:line="79"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have invested, and expect to continue to invest, significant time, capital, and resources to develop, upgrade, manage, and implement AI capabilities within our business and in support of our products and services. These initiatives are complex and may involve substantial upfront and ongoing expenditures, as well as diversion of management attention and internal resources. The design, testing, integration, and deployment of AI systems can be unpredictable and may take longer than anticipated, require greater expense than planned, or fail to deliver expected efficiencies or other benefits. In addition, implementation challenges, unforeseen technical limitations, integration issues with legacy systems or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technologies, and change</w:t>
      </w:r>
      <w:r>
        <w:rPr>
          <w:rFonts w:ascii="Arial" w:cs="Arial" w:eastAsia="Arial" w:hAnsi="Arial"/>
          <w:sz w:val="20"/>
          <w:szCs w:val="20"/>
          <w:color w:val="231F20"/>
        </w:rPr>
        <w:t>-</w:t>
      </w:r>
      <w:r>
        <w:rPr>
          <w:rFonts w:ascii="Times New Roman" w:cs="Times New Roman" w:eastAsia="Times New Roman" w:hAnsi="Times New Roman"/>
          <w:sz w:val="20"/>
          <w:szCs w:val="20"/>
          <w:color w:val="231F20"/>
        </w:rPr>
        <w:t>management complexities may disrupt our operations, impair productivity, or negatively affect the customer experience.</w:t>
      </w:r>
    </w:p>
    <w:p>
      <w:pPr>
        <w:spacing w:after="0" w:line="76"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 also depend on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AI vendors, platforms, cloud service providers, data sources, and other partners to enable and operate certain AI capabilities. These external dependencies may subject us to service outages, performance degradation, data accessibility constraints, changes in service offerings or roadmaps, discontinuation of products or features, pricing increases, or other unfavorable changes in terms and conditions. Providers may modify or terminate their contractual arrangements with us, fail to meet service</w:t>
      </w:r>
      <w:r>
        <w:rPr>
          <w:rFonts w:ascii="Arial" w:cs="Arial" w:eastAsia="Arial" w:hAnsi="Arial"/>
          <w:sz w:val="20"/>
          <w:szCs w:val="20"/>
          <w:color w:val="231F20"/>
        </w:rPr>
        <w:t>-</w:t>
      </w:r>
      <w:r>
        <w:rPr>
          <w:rFonts w:ascii="Times New Roman" w:cs="Times New Roman" w:eastAsia="Times New Roman" w:hAnsi="Times New Roman"/>
          <w:sz w:val="20"/>
          <w:szCs w:val="20"/>
          <w:color w:val="231F20"/>
        </w:rPr>
        <w:t>level commitments, experience business or technical failures, or be affected by regulatory or legal restrictions that limit the availability or functionality of their AI solutions. Any such developments could require costly transitions to alternative solutions, reduce or delay our ability to innovate, disrupt critical workflows, or otherwise adversely affect our business.</w:t>
      </w:r>
    </w:p>
    <w:p>
      <w:pPr>
        <w:spacing w:after="0" w:line="91"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Integrating AI into critical business processes introduces operational risks and business continuity challenges. AI models and AI</w:t>
      </w:r>
      <w:r>
        <w:rPr>
          <w:rFonts w:ascii="Arial" w:cs="Arial" w:eastAsia="Arial" w:hAnsi="Arial"/>
          <w:sz w:val="20"/>
          <w:szCs w:val="20"/>
          <w:color w:val="231F20"/>
        </w:rPr>
        <w:t>-</w:t>
      </w:r>
      <w:r>
        <w:rPr>
          <w:rFonts w:ascii="Times New Roman" w:cs="Times New Roman" w:eastAsia="Times New Roman" w:hAnsi="Times New Roman"/>
          <w:sz w:val="20"/>
          <w:szCs w:val="20"/>
          <w:color w:val="231F20"/>
        </w:rPr>
        <w:t>generated outputs can produce errors, inaccuracies, hallucinations, or biased results, and their performance and reliability may degrade over time, in new contexts, or when exposed to unanticipated inputs. These risks may result in flawed business decisions, operational interruptions, delays in order processing or fulfillment, impaired customer support, or quality issues in services and solutions, any of which could lead to reputational harm, customer dissatisfaction, contractual disputes, regulatory scrutiny, or financial losses. Model lifecycle risks, including data drift, concept drift, inadequate testing or validation, ineffective monitoring, or insufficient human oversight, could exacerbate such outcomes. Furthermore, AI</w:t>
      </w:r>
      <w:r>
        <w:rPr>
          <w:rFonts w:ascii="Arial" w:cs="Arial" w:eastAsia="Arial" w:hAnsi="Arial"/>
          <w:sz w:val="20"/>
          <w:szCs w:val="20"/>
          <w:color w:val="231F20"/>
        </w:rPr>
        <w:t>-</w:t>
      </w:r>
      <w:r>
        <w:rPr>
          <w:rFonts w:ascii="Times New Roman" w:cs="Times New Roman" w:eastAsia="Times New Roman" w:hAnsi="Times New Roman"/>
          <w:sz w:val="20"/>
          <w:szCs w:val="20"/>
          <w:color w:val="231F20"/>
        </w:rPr>
        <w:t>enabled automation may create single points of failure or amplify errors at scale if controls are not adequately designed and enforced.</w:t>
      </w:r>
    </w:p>
    <w:p>
      <w:pPr>
        <w:spacing w:after="0" w:line="91"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legal and regulatory landscape governing AI is rapidly evolving and varies across jurisdictions. New or existing laws, regulations, standards, contractual obligations, or industry guidelines applicable to AI, covering areas such as transparency, accountability, safety, human oversight, data protection and privacy, cybersecurity, intellectual property, and product liability, may require us to modify our AI development and deployment practices, implement additional controls, or limit certain use</w:t>
      </w:r>
    </w:p>
    <w:p>
      <w:pPr>
        <w:sectPr>
          <w:pgSz w:w="11880" w:h="15480" w:orient="portrait"/>
          <w:cols w:equalWidth="0" w:num="1">
            <w:col w:w="10120"/>
          </w:cols>
          <w:pgMar w:left="880" w:top="679" w:right="880" w:bottom="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120"/>
          </w:cols>
          <w:pgMar w:left="880" w:top="679" w:right="880" w:bottom="0" w:gutter="0" w:footer="0" w:header="0"/>
          <w:type w:val="continuous"/>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20"/>
          <w:szCs w:val="20"/>
          <w:color w:val="231F20"/>
        </w:rPr>
        <w:t>cases. We may incur significant costs to achieve and maintain compliance, including expenses associated with audits, assessments, documentation, disclosures, incident reporting,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assurance, and remediation. Divergent or conflicting requirements across jurisdictions may increase complexity and compliance risk. Failure to comply with applicable AI</w:t>
      </w:r>
      <w:r>
        <w:rPr>
          <w:rFonts w:ascii="Arial" w:cs="Arial" w:eastAsia="Arial" w:hAnsi="Arial"/>
          <w:sz w:val="20"/>
          <w:szCs w:val="20"/>
          <w:color w:val="231F20"/>
        </w:rPr>
        <w:t>-</w:t>
      </w:r>
      <w:r>
        <w:rPr>
          <w:rFonts w:ascii="Times New Roman" w:cs="Times New Roman" w:eastAsia="Times New Roman" w:hAnsi="Times New Roman"/>
          <w:sz w:val="20"/>
          <w:szCs w:val="20"/>
          <w:color w:val="231F20"/>
        </w:rPr>
        <w:t>related requirements, or to meet evolving customer, supplier, or market expectations regarding responsible AI, could result in investigations, enforcement actions, fines, litigation, contractual liabilities, or reputational damage.</w:t>
      </w:r>
    </w:p>
    <w:p>
      <w:pPr>
        <w:spacing w:after="0" w:line="8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Our competitive position could be adversely affected if we do not successfully integrate AI into our operations, processes, and offerings at the pace or scale achieved by competitors, or if competing solutions deliver superior performance, cost savings, or customer outcomes. Competitors may leverage AI more effectively to improve pricing, procurement, supply chain resilience, sales enablement, product content, design and engineering services, customer engagement, or service delivery, which could pressure our margins, reduce demand for our products and services, or erode our market share.</w:t>
      </w:r>
    </w:p>
    <w:p>
      <w:pPr>
        <w:spacing w:after="0" w:line="8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Our use of AI also presents risks related to data privacy and security, intellectual property, and content protection. AI systems often rely on large volumes of data, which can heighten the risk of unauthorized access, use, or disclosure, as well as data quality issues. Prompting or training on inappropriate data sources, or insufficient segregation of inputs and outputs, could create security vulnerabilities, confidentiality breaches, or violations of contractual obligations. We may face allegations that our AI tools or outputs infringe, misappropriate, or otherwise violate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intellectual property rights, that we lack sufficient rights in training data or model outputs, or that we cannot prevent unauthorized use or copying of content generated by or incorporated into AI systems. We may also encounter challenges in protecting proprietary content, software, and know</w:t>
      </w:r>
      <w:r>
        <w:rPr>
          <w:rFonts w:ascii="Arial" w:cs="Arial" w:eastAsia="Arial" w:hAnsi="Arial"/>
          <w:sz w:val="20"/>
          <w:szCs w:val="20"/>
          <w:color w:val="231F20"/>
        </w:rPr>
        <w:t>-</w:t>
      </w:r>
      <w:r>
        <w:rPr>
          <w:rFonts w:ascii="Times New Roman" w:cs="Times New Roman" w:eastAsia="Times New Roman" w:hAnsi="Times New Roman"/>
          <w:sz w:val="20"/>
          <w:szCs w:val="20"/>
          <w:color w:val="231F20"/>
        </w:rPr>
        <w:t>how when leveraging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AI tools or sharing data with vendors. Any of these issues could result in claims, disputes, defense costs, settlements, judgments, or operational restrictions.</w:t>
      </w:r>
    </w:p>
    <w:p>
      <w:pPr>
        <w:spacing w:after="0" w:line="88" w:lineRule="exact"/>
        <w:rPr>
          <w:sz w:val="20"/>
          <w:szCs w:val="20"/>
          <w:color w:val="auto"/>
        </w:rPr>
      </w:pPr>
    </w:p>
    <w:p>
      <w:pPr>
        <w:jc w:val="both"/>
        <w:ind w:firstLine="266"/>
        <w:spacing w:after="0" w:line="268" w:lineRule="auto"/>
        <w:rPr>
          <w:sz w:val="20"/>
          <w:szCs w:val="20"/>
          <w:color w:val="auto"/>
        </w:rPr>
      </w:pPr>
      <w:r>
        <w:rPr>
          <w:rFonts w:ascii="Times New Roman" w:cs="Times New Roman" w:eastAsia="Times New Roman" w:hAnsi="Times New Roman"/>
          <w:sz w:val="19"/>
          <w:szCs w:val="19"/>
          <w:color w:val="231F20"/>
        </w:rPr>
        <w:t>Although we maintain governance processes and internal safeguards designed to evaluate, approve, and oversee AI use cases and systems, these controls may not be designed or operate effectively in all circumstances or keep pace with rapid technological change. Gaps in policies, training, documentation, testing, validation, monitoring, or human</w:t>
      </w:r>
      <w:r>
        <w:rPr>
          <w:rFonts w:ascii="Arial" w:cs="Arial" w:eastAsia="Arial" w:hAnsi="Arial"/>
          <w:sz w:val="19"/>
          <w:szCs w:val="19"/>
          <w:color w:val="231F20"/>
        </w:rPr>
        <w:t>-</w:t>
      </w:r>
      <w:r>
        <w:rPr>
          <w:rFonts w:ascii="Times New Roman" w:cs="Times New Roman" w:eastAsia="Times New Roman" w:hAnsi="Times New Roman"/>
          <w:sz w:val="19"/>
          <w:szCs w:val="19"/>
          <w:color w:val="231F20"/>
        </w:rPr>
        <w:t>in</w:t>
      </w:r>
      <w:r>
        <w:rPr>
          <w:rFonts w:ascii="Arial" w:cs="Arial" w:eastAsia="Arial" w:hAnsi="Arial"/>
          <w:sz w:val="19"/>
          <w:szCs w:val="19"/>
          <w:color w:val="231F20"/>
        </w:rPr>
        <w:t>-</w:t>
      </w:r>
      <w:r>
        <w:rPr>
          <w:rFonts w:ascii="Times New Roman" w:cs="Times New Roman" w:eastAsia="Times New Roman" w:hAnsi="Times New Roman"/>
          <w:sz w:val="19"/>
          <w:szCs w:val="19"/>
          <w:color w:val="231F20"/>
        </w:rPr>
        <w:t>the</w:t>
      </w:r>
      <w:r>
        <w:rPr>
          <w:rFonts w:ascii="Arial" w:cs="Arial" w:eastAsia="Arial" w:hAnsi="Arial"/>
          <w:sz w:val="19"/>
          <w:szCs w:val="19"/>
          <w:color w:val="231F20"/>
        </w:rPr>
        <w:t>-</w:t>
      </w:r>
      <w:r>
        <w:rPr>
          <w:rFonts w:ascii="Times New Roman" w:cs="Times New Roman" w:eastAsia="Times New Roman" w:hAnsi="Times New Roman"/>
          <w:sz w:val="19"/>
          <w:szCs w:val="19"/>
          <w:color w:val="231F20"/>
        </w:rPr>
        <w:t>loop oversight could lead to unintended outcomes, compliance failures, biased or inaccurate outputs, privacy or security incidents, or other adverse effects. In addition, limitations in our ability to explain or audit certain AI model behaviors may hinder our ability to detect, remediate, and report issues in a timely manner, or to satisfy regulatory, contractual, or customer requirements.</w:t>
      </w:r>
    </w:p>
    <w:p>
      <w:pPr>
        <w:spacing w:after="0" w:line="7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Any of the foregoing risks, individually or in the aggregate, could result in increased costs, operational disruptions, diminished efficiency, reduced revenue, lower profitability, compliance or legal exposure, reputational harm, and other adverse impacts on our business, financial condition, and results of operations.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31F20"/>
        </w:rPr>
        <w:t>Our business depends on cloud-based services operated by various third-party service providers, and any disruption in or interference with our use of these services could have adverse effects on our business, operational results, and financial condition.</w:t>
      </w:r>
    </w:p>
    <w:p>
      <w:pPr>
        <w:spacing w:after="0" w:line="79" w:lineRule="exact"/>
        <w:rPr>
          <w:sz w:val="20"/>
          <w:szCs w:val="20"/>
          <w:color w:val="auto"/>
        </w:rPr>
      </w:pPr>
    </w:p>
    <w:p>
      <w:pPr>
        <w:jc w:val="both"/>
        <w:ind w:firstLine="266"/>
        <w:spacing w:after="0" w:line="262" w:lineRule="auto"/>
        <w:rPr>
          <w:sz w:val="20"/>
          <w:szCs w:val="20"/>
          <w:color w:val="auto"/>
        </w:rPr>
      </w:pPr>
      <w:r>
        <w:rPr>
          <w:rFonts w:ascii="Times New Roman" w:cs="Times New Roman" w:eastAsia="Times New Roman" w:hAnsi="Times New Roman"/>
          <w:sz w:val="19"/>
          <w:szCs w:val="19"/>
          <w:color w:val="231F20"/>
        </w:rPr>
        <w:t>We rely heavily on cloud-based services, systems and networks operated or supported by various third-party service providers to operate critical business systems, to process, transmit and store information, and to conduct our business activities and transactions with employees, customers, vendors and other third parties. Our utilization of these cloud-based services and systems will increase as we continue to implement our digital transformation initiatives. This reliance makes us vulnerable to service malfunctions, interruptions, or outages caused by technical failures, natural disasters, or cybersecurity and other security breaches. Such disruptions can adversely impact our operations as well as our ability to serve our customers, diminishing customer satisfaction and potentially damaging our business reputation. Moreover, we have limited control over these third-party providers and the need to manage multiple external service providers increases operational complexity. If any of our cloud service providers do not perform effectively, or if we fail to adequately monitor their performance (including their failure to comply with service-level agreements or regulatory requirements), we could incur additional expenses to remediate errors made by such providers, or could be subject to litigation, claims or regulatory investigations and actions. In addition, our third-party service providers might unilaterally discontinue or limit our access to services, increase pricing, alter service terms, or seek to terminate their contractual relationship with us, negatively affecting our operations. The failure to maintain our relationships or renew our contracts with cloud service providers on commercially favorable terms could pose serious challenges to our business. Although we could seek alternative providers, we may incur significant costs in connection with the transition or experience operational disruptions. In light of these factors, the cumulative impact of such issues, whether service disruptions, regulatory challenges, litigation or remediation costs, reputational harm, or cost escalations, could pose substantial risks to our operational efficiency and our ability to meet our strategic objectives, thereby potentially leading to material adverse effects on our overall business performance and financial results.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120"/>
          </w:cols>
          <w:pgMar w:left="880" w:top="679" w:right="880" w:bottom="0" w:gutter="0" w:footer="0" w:header="0"/>
          <w:type w:val="continuous"/>
        </w:sectPr>
      </w:pPr>
    </w:p>
    <w:bookmarkStart w:id="26" w:name="page27"/>
    <w:bookmarkEnd w:id="26"/>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We may experience a failure in or breach of our information security systems, or those of our third-party product suppliers or service providers, as a result of cyber-attacks or information security breaches.</w:t>
      </w:r>
    </w:p>
    <w:p>
      <w:pPr>
        <w:spacing w:after="0" w:line="63"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Because we rely heavily on information technology both in serving our customers and in our enterprise infrastructure in order to achieve our objectives, we may be vulnerable to damage or intrusion from a variety of cyber-attacks, including computer viruses, ransomware, worms or other malicious software programs that seek to gain access to our systems and networks, or those of our third-party service providers. Additionally, third parties may fraudulently attempt to induce employees or customers into disclosing sensitive information such as user names, passwords and other information in order to gain access to our customers’ data or our data, including our intellectual property and other confidential business information, or our information technology systems. Information technology security threats to our systems, networks and data have dramatically increased in recent years due to the proliferation of new technologies and the increased sophistication and activities of perpetrators. We have seen, and will continue to see, industry-wide vulnerabilities, which could cause widespread disruptions to our or other parties’ systems. In addition, the risk of retaliatory cyber-attacks has increased as a result of geopolitical conflicts, including the Middle East and Russia-Ukraine conflicts. These threats and vulnerabilities pose a risk to the security of our systems and networks and the confidentiality, availability and integrity of our proprietary and confidential information.</w:t>
      </w:r>
    </w:p>
    <w:p>
      <w:pPr>
        <w:spacing w:after="0" w:line="90"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Although we actively manage information technology security risks within our control and continually seek to enhance our controls and processes designed to protect our systems, computers, networks and data, there can be no assurance that such actions will be sufficient to mitigate all potential risks. As cyber threats continue to evolve, we may be required to expend additional resources to continue to enhance our information security measures and remediate any information security vulnerabilities. Despite the precautions we take to mitigate the risks of such events, an attack on our enterprise information technology system, or those of third parties with which we do business, could result in theft or unauthorized disclosure of our proprietary or confidential information or a breach of confidential customer, supplier or employee information. Such events could impair our ability to conduct our operations or cause disruptions to our supply chain, which could have an adverse impact on revenue and harm our reputation. Additionally, such an event could expose us to regulatory sanctions or penalties, lawsuits or other legal action or cause us to incur legal liabilities and costs, which could be significant, in order to address and remediate the effects of an attack and related security concerns. The insurance coverage we maintain may be inadequate to cover claims or liabilities relating to a cybersecurity attack.</w:t>
      </w:r>
    </w:p>
    <w:p>
      <w:pPr>
        <w:spacing w:after="0" w:line="9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Malicious actors increasingly leverage AI to enhance the frequency, speed, sophistication and coordination of cyber-attacks, including through highly convincing phishing, deepfake impersonations and other social engineering techniques. These techniques heighten risks of business email compromise, fraudulent payment or procurement instructions, unauthorized access to systems and data, and manipulation of customer or supplier communications. AI-enabled attacks may also evade traditional detection tools, propagate rapidly across systems and third-party environments, and complicate incident response and attribution. Even with employee training, enhanced controls and layered defenses, such threats could result in data loss or corruption, operational disruption, financial fraud, regulatory inquiries, litigation, reputational damage, and other adverse impacts.</w:t>
      </w:r>
    </w:p>
    <w:p>
      <w:pPr>
        <w:spacing w:after="0" w:line="9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In addition, the legal and regulatory environment surrounding information security and privacy in the U.S. and international jurisdictions is constantly evolving and additional laws and regulations regarding AI are being considered and implemented. Violation or non-compliance with any of these laws or regulations, contractual requirements relating to data security and privacy, or our own privacy and security policies, either intentionally or unintentionally, or through the acts of intermediaries could have a material adverse effect on our brand, reputation, business, financial condition and results of operations, as well as subject us to significant fines, litigation losses, third-party damages and other liabilities.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We could incur significant and unexpected costs in our efforts to successfully avoid, manage, defend and litigate intellectual property matters.</w:t>
      </w:r>
    </w:p>
    <w:p>
      <w:pPr>
        <w:spacing w:after="0" w:line="63"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We rely on certain trademarks, patents, trade secrets, copyrights, and other intellectual property, and are continuing to develop intellectual property in connection with the digital transformation of our business and operations. We cannot be certain that others have not or will not infringe upon our intellectual property, or that in-house or third-party solutions, including the output of large language models, will not potentially infringe upon the intellectual property rights of others. Intellectual property litigation could be costly and time consuming, and we could incur significant legal expenses pursuing these claims against others. From time to time, we may receive notices from third parties that allege intellectual property infringement. Any dispute or litigation involving intellectual property could be costly and time-consuming due to its complexity and uncertainty. Our intellectual property portfolio may not be useful in asserting a counterclaim or negotiating a license in response to a claim of infringement or misappropriation. In addition, as a result of such claims, we may lose our rights to utilize critical technology or may be required to pay substantial damages or license fees with respect to infringed rights or be required to redesign or restructure our products or services at a substantial cost, any of which could negatively impact our operating results.</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120"/>
          </w:cols>
          <w:pgMar w:left="880" w:top="672" w:right="8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Our Industry, Markets and Business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Loss of key suppliers could decrease sales, profit margins and earnings.</w:t>
      </w:r>
    </w:p>
    <w:p>
      <w:pPr>
        <w:spacing w:after="0" w:line="132"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19"/>
          <w:szCs w:val="19"/>
          <w:color w:val="231F20"/>
        </w:rPr>
        <w:t>Most of our agreements with suppliers are terminable by either party on 60 days’ notice or less for any reason. We currently source products from thousands of suppliers. However, our 10 largest suppliers in 2025 accounted for approximately 32% of our purchases by dollar volume for the period. The loss of, or a substantial decrease in the availability of, products from any of these suppliers, a supplier’s change in sales strategy to reduce its reliance on distribution channels, the loss of key preferred supplier agreements, or disruptions in a key supplier’s operations could have a material adverse effect on our business. Although we believe our relationships with our key suppliers are good, they could change their strategies as a result of a change in control, expansion of their direct sales force, changes in the marketplace or other factors beyond our control, including a key supplier becoming financially distressed or experiencing operational or business disruptions which could materially affect our supply chain, increase our costs or disrupt our ability to deliver products to our customers in a timely and cost-effective manner. We derive a meaningful portion of profitability and cash flow from supplier rebates, volume discounts, co-op/marketing funds and other incentive arrangements with suppliers. These arrangements may be renegotiated, changed or terminated (sometimes on short notice), and typically depend on sales thresholds, product mix targets and other performance conditions. If suppliers modify the terms of these programs, or if we fail to satisfy specified conditions, our margins could decline.</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We have been, and may continue to be, adversely affected by supply chain challenges, including product shortages, delays and price increases, which could decrease sales, profit margins and earnings.</w:t>
      </w:r>
    </w:p>
    <w:p>
      <w:pPr>
        <w:spacing w:after="0" w:line="63"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Supply interruptions could arise from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w:t>
      </w:r>
    </w:p>
    <w:p>
      <w:pPr>
        <w:spacing w:after="0" w:line="77"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Since the start of the COVID-19 pandemic, our industry and the broader economy experienced supply chain challenges, including shortages in raw materials and components, labor shortages and transportation constraints, leading to product delays, backlogged orders, increased transportation cost and longer lead times. In 2024 and 2025, we saw continued improvements in supply chain resilience, with manufacturers further adjusting their production footprints through diversification, reshoring, nearshoring and other strategies designed at mitigating tariff and other supply chain risks, alongside continued volatility in the availability of certain raw materials, components and products. While we continue to aggressively and proactively manage supply chain developments, we have experienced, and may continue to experience, some delays in receiving products from our suppliers. We cannot be certain that particular products will be available to us, or available in quantities sufficient to meet customer demand. Any product shortages and delays could impair our ability to make scheduled deliveries to our customers in a timely manner and cause us to be at a competitive disadvantage.</w:t>
      </w:r>
    </w:p>
    <w:p>
      <w:pPr>
        <w:spacing w:after="0" w:line="96"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19"/>
          <w:szCs w:val="19"/>
          <w:color w:val="231F20"/>
        </w:rPr>
        <w:t>Product shortages and delays in deliveries, along with other factors such as price inflation and higher transportation, import or export costs, including tariffs, could result in price increases from our suppliers. We may be unable to pass these price increases on to our customers, which could erode our profit margins. Supply chain constraints, increased product costs and inflationary pressures could continue or escalate in the future, for example if the Russia-Ukraine, Middle East or other geopolitical conflicts escalate or are further prolonged, which would have an adverse impact on our business and results of operations. Trade policy dynamics, including reciprocal tariff frameworks, shifting tariff exclusions, country-of-origin rules, retaliatory duties and export controls affecting critical inputs, may exacerbate product shortages, extend supplier lead times and increase costs. Even where we can re-source, nearshore or redesign supply routes, such actions may require time and capital and may not fully offset lost availability, increased costs or customer deferrals, which could pressure our sales and margins.</w:t>
      </w:r>
    </w:p>
    <w:p>
      <w:pPr>
        <w:spacing w:after="0" w:line="75"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Wesco conducts regular climate risk assessments to determine the materiality of climate-related risks to our business, with the most recent assessment in December 2024. Wesco’s climate-related risk assessments include analysis of multiple temperature scenarios, and incorporate recommendations from recognized standards such as the TCFD and IFRS S2. The effects of global climate change could increase the frequency and intensity of acute physical risks (such as tropical storms, severe winter weather, drought, flooding, or wildfires), chronic physical risks (such as rising sea levels or shifting precipitation patterns) and transition risks (such as rising costs of regulatory compliance), which could cause or exacerbate supply chain interruptions. For example, some of our customers’, suppliers’ and our operations are in water-stressed regions or areas prone to flooding or wildfires, and our facilities depend on power grids that may be impacted by severe weather. With global climate change increasing the frequency and severity of such events, it is possible that we could face greater climate-related risks in the future, which could result in temporary or prolonged interruptions in operations, increase our operating costs and capital expenditures, and reduce revenue and profitability.</w:t>
      </w:r>
    </w:p>
    <w:p>
      <w:pPr>
        <w:spacing w:after="0" w:line="94"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profitability of our business is also dependent upon the efficiency of our supply chain. An inefficient or ineffective supply chain strategy or operations could increase operational costs, decrease sales, profit margins and earnings, which could adversely affect our business.</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120"/>
          </w:cols>
          <w:pgMar w:left="880" w:top="672" w:right="8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231F20"/>
        </w:rPr>
        <w:t>Product cost fluctuations could decrease sales, profit margins and earnings.</w:t>
      </w:r>
    </w:p>
    <w:p>
      <w:pPr>
        <w:spacing w:after="0" w:line="13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Some of our products, such as wire and conduit, are commodity price based products and may be subject to significant price fluctuations which are beyond our control. Recently, we have experienced fluctuations in commodity costs, as well as in the costs of raw materials and components generally, as a result of global economic conditions and other trends. Increases in these costs could erode our profit margin and negatively impact our results of operations to the extent we are unable to successfully mitigate and offset the impact of these costs. While increases in the cost of energy or products could have adverse effects, decreases in those costs, particularly if severe, could also adversely impact us by creating deflation in selling prices, which could cause our profit margin to deteriorate. Fluctuations in energy or raw materials costs can also adversely affect our customers.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31F20"/>
        </w:rPr>
        <w:t>Challenges in managing working capital and inventory in response to evolving customer demands, supply chain disruptions, and market fluctuations could significantly impact our cash flow, profit margins, and overall business performance.</w:t>
      </w:r>
    </w:p>
    <w:p>
      <w:pPr>
        <w:spacing w:after="0" w:line="79"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Our ability to manage our working capital, including our inventory position, as well as efficiently managing our receivables and payables, is important to the successful operation of our business and resulting cash flow, and if we do not manage our working capital adequately, it can affect our cash flows, results of operations, and financial performance. Evolving customer demand patterns and supply chain disruptions may require rapid adjustments in inventory management strategies. Additionally, our business may continue to adjust the proportion of direct ship sales versus stock sales. An increase in direct ship sales could negatively impact product margins and other financial metrics, while an increase in stock sales could negatively impact inventory carrying costs and free cash flow, either of which could have a negative impact on our business and financial performance. Furthermore, fluctuations in foreign exchange rates, particularly in international markets, combined with varying interest rates, can significantly affect the cost of inventory, the value of receivables, and the cost of debt, thereby impacting our working capital efficiency, ability to fund growth initiatives and overall financial stability.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 decline in project volume could adversely affect our sales and earnings.</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While much of our sales and earnings are generated by comparatively smaller and more frequent orders, the fulfillment of large orders for large capital projects generates significant sales and earnings. Accordingly, our results of operations can fluctuate depending on whether and when large project awards occur and the commencement and progress of work under large contracts already awarded.</w:t>
      </w:r>
    </w:p>
    <w:p>
      <w:pPr>
        <w:spacing w:after="0" w:line="83"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The awarding and timing of projects is unpredictable and depends on many factors outside of our control. Project awards often involve complex and lengthy negotiations and competitive bidding processes. These processes can be impacted by a wide range of factors including a customer’s decision to not proceed with a project or its inability to obtain necessary governmental approvals or financing, commodity prices, interest rates, and overall market and economic conditions. Slow macro-economic growth rates, difficult credit market conditions for our customers, weak demand for our customers’ products or other customer spending constraints can result in project delays or cancellations. In addition, some our competitors may also be more willing to take greater or unusual risks or include terms and conditions in a contract that we might not deem acceptable. Our involvement in large, complex projects and multi-site customer programs may also expose us to heightened execution, contractual, and working capital risk, as they often involve customer specific technical requirements, longer fulfillment timelines, milestone-based payment terms, tight delivery windows, liquidated damages, service level commitments, penalty provisions, or performance warranties.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have risks associated with the sale of nonconforming products and services.</w:t>
      </w:r>
    </w:p>
    <w:p>
      <w:pPr>
        <w:spacing w:after="0" w:line="13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Historically, we have experienced a small number of cases in which our vendors supplied us with products that did not conform to the agreed upon specifications. Additionally, we may inadvertently sell a product not suitable for a customer’s application. We address this risk through our quality control processes, by seeking to limit liability and our warranty in our customer contracts, and by seeking to obtain indemnification rights from vendors. However, there can be no assurance that we will be able to include protective provisions in all of our contracts or that vendors will adequately fulfill their obligations to us. In addition, we may be exposed to significant costs and reputational harm from product liability claims, recalls, or safety issues. Such events, regardless of merit, may lead to litigation, direct or third-party claims, regulatory scrutiny, and reduced customer confidence, adversely impacting our financial condition and operating results.</w:t>
      </w:r>
    </w:p>
    <w:p>
      <w:pPr>
        <w:spacing w:after="0" w:line="1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Disruptions to our logistics capability, or our failure to effectively manage supply chain logistics during periods of disruption, may have an adverse impact on our operations.</w:t>
      </w:r>
    </w:p>
    <w:p>
      <w:pPr>
        <w:spacing w:after="0" w:line="63" w:lineRule="exact"/>
        <w:rPr>
          <w:sz w:val="20"/>
          <w:szCs w:val="20"/>
          <w:color w:val="auto"/>
        </w:rPr>
      </w:pPr>
    </w:p>
    <w:p>
      <w:pPr>
        <w:jc w:val="both"/>
        <w:ind w:firstLine="266"/>
        <w:spacing w:after="0" w:line="273" w:lineRule="auto"/>
        <w:rPr>
          <w:sz w:val="20"/>
          <w:szCs w:val="20"/>
          <w:color w:val="auto"/>
        </w:rPr>
      </w:pPr>
      <w:r>
        <w:rPr>
          <w:rFonts w:ascii="Times New Roman" w:cs="Times New Roman" w:eastAsia="Times New Roman" w:hAnsi="Times New Roman"/>
          <w:sz w:val="19"/>
          <w:szCs w:val="19"/>
          <w:color w:val="231F20"/>
        </w:rPr>
        <w:t>Our global logistics services are operated through distribution centers around the world. An interruption of operations at any of our distribution centers could have a material adverse effect on the operations of sites served by the affected distribution center. Such disaster related risks and effects are not predictable with certainty and, although they typically can be mitigated, they cannot be eliminated. We seek to mitigate our exposures to disaster events in a number of ways. For example, where</w:t>
      </w:r>
    </w:p>
    <w:p>
      <w:pPr>
        <w:sectPr>
          <w:pgSz w:w="11880" w:h="15480" w:orient="portrait"/>
          <w:cols w:equalWidth="0" w:num="1">
            <w:col w:w="10120"/>
          </w:cols>
          <w:pgMar w:left="880" w:top="672" w:right="880" w:bottom="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120"/>
          </w:cols>
          <w:pgMar w:left="880" w:top="672" w:right="880" w:bottom="0" w:gutter="0" w:footer="0" w:header="0"/>
          <w:type w:val="continuous"/>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20"/>
          <w:szCs w:val="20"/>
          <w:color w:val="231F20"/>
        </w:rPr>
        <w:t>feasible, we design the configuration of our facilities to reduce the consequences of disasters. We also maintain insurance for our facilities against casualties, and we evaluate our risks and develop contingency plans for dealing with them. Disruptions to our logistics capability or supply chain may have an adverse impact on our ability to serve our customers, based on factors such as a lack of depth and breadth in the suppliers we do business with, failure to utilize and optimize warehouse space availability in key markets, failure to achieve network optimization and last mile solutions, and failure to improve our supply chain resiliency through technological improvements.</w:t>
      </w:r>
    </w:p>
    <w:p>
      <w:pPr>
        <w:spacing w:after="0" w:line="8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Although we have reviewed and analyzed a broad range of risks applicable to our business, the risks that most significantly affect us may not be those that we have concluded are most likely to occur. Furthermore, although our reviews have led to more systematic business continuity and contingency planning, our plans are in varying stages of development and execution, such that they may not be adequate at the time of occurrence for the magnitude of any particular disaster event that we may encounter.</w:t>
      </w:r>
    </w:p>
    <w:p>
      <w:pPr>
        <w:spacing w:after="0" w:line="8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 also depend on transportation service providers for the delivery of products to our customers. Any significant interruption or disruption in service at one or more of our distribution centers due to severe weather or natural disasters (including as a result of climate change), information technology upgrades, operating issues, disruptions to our transportation network, public heath crises, pandemics, or other unanticipated events, could impair our ability to obtain or deliver inventory in a timely manner, increase transportation costs, cause cancellations or delays in shipments to customers or otherwise disrupt our normal business operations.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Our reliance on third-party service providers for outsourced functions could negatively impact our reputation, operations or financial results.</w:t>
      </w:r>
    </w:p>
    <w:p>
      <w:pPr>
        <w:spacing w:after="0" w:line="63"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engage third-party suppliers for various outsourced services. This approach aims to enhance efficiency and generate cost savings. However, it also increases our operational complexity and reduces our direct control over these functions. Dependence on these providers subjects us to risks such as inadequate service levels, untimely support, non-compliance with legal requirements and industry standards, and potential disruptions if these relationships are terminated or not renewed. These factors could lead to missed deadlines, reputational harm, or challenges in adapting to regulatory or market changes. In the event of substandard performance by our service providers, or if we are unable to promptly replace them with competent alternatives, our business, reputation, and financial condition could be adversely affected. We may consider outsourcing additional functions in the future, further heightening these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 increase in competition could decrease sales, profit margins, and earnings.</w:t>
      </w:r>
    </w:p>
    <w:p>
      <w:pPr>
        <w:spacing w:after="0" w:line="13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 operate in a highly competitive industry and compete directly with global, national, regional and local providers of like products and services. Some of our existing competitors have, and new market entrants may have, greater resources than us. Competition is generally based on product line breadth, product availability, service capabilities and price. Other sources of competition are buying groups formed by smaller distributors to increase purchasing power and provide some cooperative marketing capability, as well as e-commerce companies. There may be new market entrants with non-traditional business and customer service models, resulting in increased competition and changing industry dynamics.</w:t>
      </w:r>
    </w:p>
    <w:p>
      <w:pPr>
        <w:spacing w:after="0" w:line="88"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Existing or future competitors may seek to gain or retain market share by reducing prices, and we may be required to lower our prices or may lose business, which could adversely affect our financial results. We may be subject to supplier price increases while not being able to increase prices to customers. Also, to the extent that we do not meet changing customer preferences or demands, or to the extent that one or more of our competitors becomes more successful with private label products, on-line offerings or otherwise, our ability to attract and retain customers could be materially adversely affected. Existing or future competitors also may seek to compete with us for acquisitions, which could have the effect of increasing the price and reducing the number of suitable acquisitions. These factors, in addition to competitive pressures resulting from the fragmented nature of our industry, could affect our sales, profit margins and earnings. Additionally, changes in customer procurement practices, such as increased direct sourcing, vendor consolidation, or adoption of digital procurement platforms, algorithmic or AI-enabled pricing, procurement or sales tools, could shift volume away from us, heighten price competition, and pressure margins.</w:t>
      </w:r>
    </w:p>
    <w:p>
      <w:pPr>
        <w:spacing w:after="0" w:line="14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0"/>
          <w:szCs w:val="20"/>
          <w:b w:val="1"/>
          <w:bCs w:val="1"/>
          <w:color w:val="231F20"/>
        </w:rPr>
        <w:t>Our continued success may depend on our ability to execute ESG programs as planned and may impact our reputation and operating costs.</w:t>
      </w:r>
    </w:p>
    <w:p>
      <w:pPr>
        <w:spacing w:after="0" w:line="6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Customers, suppliers, employees, community partners, shareholders and regulatory agencies in various jurisdictions globally request disclosure and action relating to ESG objectives and performance. We commit time and resources to ESG efforts, consistent with our corporate values and in ways designed to strengthen our business, including programs focused on sustainability. Our failure to execute our ESG programs and objectives as planned, or in accordance with the evolving expectations of various stakeholders or regulators in the U.S., Europe and globally, including compliance with standards and regulations such as the EU Corporate Sustainability Reporting Directive (CSRD)’s ESRS standards, ISSB standards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120"/>
          </w:cols>
          <w:pgMar w:left="880" w:top="679" w:right="880" w:bottom="0" w:gutter="0" w:footer="0" w:header="0"/>
          <w:type w:val="continuous"/>
        </w:sectPr>
      </w:pPr>
    </w:p>
    <w:bookmarkStart w:id="30" w:name="page31"/>
    <w:bookmarkEnd w:id="30"/>
    <w:p>
      <w:pPr>
        <w:jc w:val="both"/>
        <w:spacing w:after="0" w:line="263" w:lineRule="auto"/>
        <w:rPr>
          <w:sz w:val="20"/>
          <w:szCs w:val="20"/>
          <w:color w:val="auto"/>
        </w:rPr>
      </w:pPr>
      <w:r>
        <w:rPr>
          <w:rFonts w:ascii="Times New Roman" w:cs="Times New Roman" w:eastAsia="Times New Roman" w:hAnsi="Times New Roman"/>
          <w:sz w:val="19"/>
          <w:szCs w:val="19"/>
          <w:color w:val="231F20"/>
        </w:rPr>
        <w:t>incorporated into law by various countries globally, the Science Based Targets initiative, and California climate disclosure rules under Senate Bills 253 and 261, could adversely affect the Company’s reputation, business and financial performance. For example, an isolated incident of non-compliance, underperformance or inaccuracy in reporting, the aggregate effect of individually insignificant incidents or the failures of suppliers in our supply chain, can erode trust and confidence in the Company and our brand and adversely affect our business and financial performance, particularly if such events result in claims of misleading ESG-related statements or disclosures, adverse publicity, governmental investigations, enforcement actions, fines, or litigation. The continually evolving nature of ESG frameworks and climate disclosure regimes, particularly the CSRD and its ESRS standards, creates uncertainty regarding the timing, scope, applicability, and assurance requirements of disclosures, as well as the operational measures expected to support those disclosures, including climate transition plans and supply chain due diligence. These uncertainties complicate our compliance roadmap, may require systems and controls enhancements, data collection from numerous third parties, and may increase audit or assurance costs. Evolving and compartmentalized reporting requirements across jurisdictions could lead to inconsistent report interpretation, potential allegations of misstatement, and enforcement risk. To the extent we face delays or challenges in obtaining reliable data, implementing new processes, or securing necessary assurance, we may incur higher costs, experience reputational harm, or face regulatory or legal exposure.</w:t>
      </w:r>
    </w:p>
    <w:p>
      <w:pPr>
        <w:spacing w:after="0" w:line="76"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Simultaneously, increased expectations and regulations around ESG reporting and performance may result in higher operating expenses, capital expenditures and costs of goods sold (including those related to deploying low-carbon technologies, expanding our electric vehicle fleet, strengthening ESG monitoring and reporting programs, calculating and disclosing different scopes of GHG emissions in the manner and timeline expected by regulators and other stakeholders, enhancing supply chain transparency programs, securing assurance by third-party auditors over ESG data, developing and implementing climate transition plans that may be requested by customers or required by regulations, transitioning suppliers due to their ESG programs, other costs to pursue our ESG goals or supplier price increases as manufacturers and services providers accommodate their own ESG-related expenses), which could reduce our profitability and cash flow. Additionally, certain customers may set net-zero emissions targets, and we could face pressure from such customers to further reduce emissions to assist them in the achievement of such targets or risk the loss of their business, which could result in increased costs or decreased revenue and may adversely impact financial performance.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Tax Matters</w:t>
      </w:r>
    </w:p>
    <w:p>
      <w:pPr>
        <w:spacing w:after="0" w:line="1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0"/>
          <w:szCs w:val="20"/>
          <w:b w:val="1"/>
          <w:bCs w:val="1"/>
          <w:color w:val="231F20"/>
        </w:rPr>
        <w:t>Changes in tax laws or challenges to the Company’s tax positions by taxing authorities could adversely impact the Company’s results of operations and financial condition.</w:t>
      </w:r>
    </w:p>
    <w:p>
      <w:pPr>
        <w:spacing w:after="0" w:line="63" w:lineRule="exact"/>
        <w:rPr>
          <w:sz w:val="20"/>
          <w:szCs w:val="20"/>
          <w:color w:val="auto"/>
        </w:rPr>
      </w:pPr>
    </w:p>
    <w:p>
      <w:pPr>
        <w:jc w:val="both"/>
        <w:ind w:firstLine="266"/>
        <w:spacing w:after="0" w:line="270" w:lineRule="auto"/>
        <w:rPr>
          <w:sz w:val="20"/>
          <w:szCs w:val="20"/>
          <w:color w:val="auto"/>
        </w:rPr>
      </w:pPr>
      <w:r>
        <w:rPr>
          <w:rFonts w:ascii="Times New Roman" w:cs="Times New Roman" w:eastAsia="Times New Roman" w:hAnsi="Times New Roman"/>
          <w:sz w:val="19"/>
          <w:szCs w:val="19"/>
          <w:color w:val="231F20"/>
        </w:rPr>
        <w:t>We are subject to taxes in jurisdictions in which we do business, including, but not limited to, taxes imposed on our income, receipts, stockholders’ equity, property, sales, purchases and payroll. As a result, the tax expense we incur can be adversely affected by changes in tax law. We cannot always anticipate these changes in tax law, which can cause unexpected volatility in our results of operations. Changes in the tax law at the federal and state/provincial levels, in particular, in the U.S. and Canada, jurisdictions which account for most of our income before taxes, can have a material adverse effect on our results of operations.</w:t>
      </w:r>
    </w:p>
    <w:p>
      <w:pPr>
        <w:spacing w:after="0" w:line="71"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The Organization for Economic Cooperation and Development (the “OECD”) issued rules with effect from 2024, subject to phase-in and certain transitional relief, to address the tax challenges arising from the digitalization of the global economy, including a global minimum tax. Many of the OECD’s member states have enacted the required domestic legislation implementing the OECD’s global minimum tax rules. The OECD recently released additional rules, which are intended to become effective January 1, 2026, implementing a “side-by-side" system which exempts U.S.-based multinational companies from two of the three taxing mechanisms provided for in the global minimum tax rules. The side-by-side rules must still be adopted by the OECD member states through local legislation to become effective. The Company continues to evaluate the impact of developments concerning the global minimum tax rules. The Company does not expect the global minimum tax rules to have a material impact on the Company’s worldwide tax expense, but they are expected to create significant additional compliance obligations. Other provisions of the OECD rules, including standardized intercompany pricing for routine marketing and distribution activities, are still being developed by the OECD.</w:t>
      </w:r>
    </w:p>
    <w:p>
      <w:pPr>
        <w:spacing w:after="0" w:line="94"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The One Big Beautiful Bill Act (“OBBBA”), enacted on July 4, 2025, made permanent certain expiring provisions of the 2017 Tax Cuts and Jobs Act (“TCJA”) and modified other provisions of the TCJA, as well as the Inflation Reduction Act of 2022 (the “IRA”). These changes included the permanent extension of 100% “bonus” depreciation for certain property, the permanent restoration of the tax-basis EBITDA-based limitation on the deductibility of business interest expense subject to certain modifications to the computation of tax-basis EBITDA, and the immediate expensing of qualified domestic research and development expenses. The OBBBA also made permanent, with certain modifications, certain TCJA provisions concerning the current taxation of income from international operations. The OBBBA contained various effective dates with certain provisions becoming effective in 2025 and others in 2026 and beyond. The Company has reflected the estimated impact of the OBBBA on current and deferred income taxes in its Consolidated Balance Sheets. Modifications to the computation of the tax-basis EBITDA-based limitation on the deductibility of business interest expense, which become effective in 2026, could have a material adverse impact in future periods on our ability to deduct incremental interest expense on our borrowings.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120"/>
          </w:cols>
          <w:pgMar w:left="880" w:top="679" w:right="880" w:bottom="0" w:gutter="0" w:footer="0" w:header="0"/>
          <w:type w:val="continuous"/>
        </w:sectPr>
      </w:pPr>
    </w:p>
    <w:bookmarkStart w:id="31" w:name="page32"/>
    <w:bookmarkEnd w:id="31"/>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U.S. federal government provides incentives to promote investment in renewable energy and other qualifying projects in the form of tax credits and other financial incentives. The IRA significantly expanded the tax credits available for the investment in or production of renewable energy and made eligible tax credits transferable for the first time. The Company purchased transferable tax credits (“TTCs”) which we used to offset our 2024 and 2025 U.S. federal income tax liabilities. The Company may purchase additional TTCs to offset future federal income tax liabilities. The OBBBA made material modifications to the tax credit provisions in the IRA, which could impact the availability of TTC’s for purchase and increase the risk of disallowance or recapture of TTC’s purchased by the Company in future periods.</w:t>
      </w:r>
    </w:p>
    <w:p>
      <w:pPr>
        <w:spacing w:after="0" w:line="89"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purchase of TTCs involves risks and uncertainties. These include a determination by the Internal Revenue Service (“IRS”) that the underlying investment or production is not eligible for tax credits or that such tax credits are not eligible for transfer. In some cases, the IRS can also impose a penalty of 20% of the amount of ineligible tax credits disallowed. Also, certain TTCs are subject to recapture if the underlying project does not remain in service for the required period of time under the law. The disallowance by the IRS or recapture of purchased TTC’s could result in material additional tax expense in future periods. These lost TTCs may be offset, at least in part, by other income recognized for the recovery of losses from insurance coverage, or seller/sponsor indemnifications or guarantees.</w:t>
      </w:r>
    </w:p>
    <w:p>
      <w:pPr>
        <w:spacing w:after="0" w:line="89"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Finally, the tax laws to which the Company is subject are inherently complex and ambiguous. Therefore, we must interpret the applicable laws and make subjective judgments about the expected outcome upon challenge by the applicable taxing authorities. As a result, the impact on our results from operations of the application of enacted tax laws to our facts and circumstances is sometimes uncertain. If a tax authority successfully challenges our interpretation and application of the tax law to our facts and circumstances, there can be no assurance that we can accurately predict the outcome and the taxes ultimately owed upon effective settlement, which may differ from the tax expense recognized in our Consolidated Statements of Income and Comprehensive Income and accrued in our Consolidated Balance Sheets. Additionally, if we cannot meet liquidity requirements in the U.S., we may have to repatriate funds from overseas to meet these liabilities, which would result in additional income taxes being incurred on the amount repatriated.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Our Indebtedness and Capital Structure</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31F20"/>
        </w:rPr>
        <w:t>Our outstanding indebtedness requires debt service commitments that could adversely affect our ability to fulfill our obligations and could limit our growth and impose restrictions on our business, and fluctuations in interest rates could affect the cost of our indebtedness.</w:t>
      </w:r>
    </w:p>
    <w:p>
      <w:pPr>
        <w:spacing w:after="0" w:line="79"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9"/>
          <w:szCs w:val="19"/>
          <w:color w:val="231F20"/>
        </w:rPr>
        <w:t>We have incurred significant indebtedness to finance mergers and acquisitions, including the merger with Anixter in 2020, to support working capital growth, investments in our digital platform and to fund investments in our operations. Additionally, in 2025, we incurred significant additional indebtedness to finance the redemption of the Series A Preferred Stock. As a result, a substantial portion of our cash flow from operations must be dedicated to the payment of principal and interest on our indebtedness, thereby reducing the funds available to us for other purposes. As of December 31, 2025, excluding debt discount and debt issuance costs, we had $5.8 billion of consolidated indebtedness. We and our subsidiaries may also undertake additional borrowings in the future, subject to certain limitations contained in the debt instruments governing our indebtedness.</w:t>
      </w:r>
    </w:p>
    <w:p>
      <w:pPr>
        <w:spacing w:after="0" w:line="78"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Our debt service obligations impact our ability to operate and grow our business. Our payments of principal and interest on our indebtedness reduce the amount of funds available to us to invest in operations, future business opportunities, acquisitions, and other potentially beneficial activities. Our debt service obligations also reduce our flexibility to adjust to changing market conditions and may increase our vulnerability to adverse economic, political, financial market and industry conditions. A portion of our indebtedness, including amounts outstanding under our accounts receivable securitization and revolving credit facilities, bears interest at variable rates. In the future, we may also incur additional indebtedness that bears interest at variable rates. In a rising interest rate environment, or one in which interest rates may be affected by market disruptions, the interest expense on our variable rate borrowings will increase. Our ability to service and refinance our indebtedness, make scheduled payments on our operating and finance leases, fund capital expenditures, acquisitions or other business opportunities, repurchase shares, and pay dividends will depend in large part on both our future performance and the availability of additional financing in the future, as well as prevailing interest rates and other market conditions and other factors beyond our control. We cannot assure you that we will be able to obtain additional financing on terms acceptable to us or at all. Refer to Item 7A, “Quantitative and Qualitative Disclosures About Market Risks” for additional details on interest risks.</w:t>
      </w:r>
    </w:p>
    <w:p>
      <w:pPr>
        <w:spacing w:after="0" w:line="79"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There can be no assurance that our business will continue to generate sufficient cash flows from operations in the future to service our debt, make necessary capital expenditures, or meet other cash needs. If the financial performance of the Company does not meet current expectations, then our ability to service or repay our indebtedness may be adversely impacted. If unable to do so, we may be required to refinance all or a portion of our existing debt, sell assets, or obtain additional financing. If we are unable to repay indebtedness, lenders having secured obligations could proceed against the collateral securing these obligations.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120"/>
          </w:cols>
          <w:pgMar w:left="880" w:top="679" w:right="8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231F20"/>
        </w:rPr>
        <w:t>Our debt agreements contain restrictive covenants that may limit our ability to operate our business.</w:t>
      </w:r>
    </w:p>
    <w:p>
      <w:pPr>
        <w:spacing w:after="0" w:line="132"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Our credit facilities and our other debt agreements contain various covenants that restrict or limit our ability to, among other things:</w:t>
      </w:r>
    </w:p>
    <w:p>
      <w:pPr>
        <w:spacing w:after="0" w:line="81" w:lineRule="exact"/>
        <w:rPr>
          <w:sz w:val="20"/>
          <w:szCs w:val="20"/>
          <w:color w:val="auto"/>
        </w:rPr>
      </w:pPr>
    </w:p>
    <w:p>
      <w:pPr>
        <w:ind w:left="720" w:hanging="359"/>
        <w:spacing w:after="0"/>
        <w:tabs>
          <w:tab w:leader="none" w:pos="72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color w:val="231F20"/>
        </w:rPr>
        <w:t>incur additional indebtedness or create liens on assets;</w:t>
      </w:r>
    </w:p>
    <w:p>
      <w:pPr>
        <w:spacing w:after="0" w:line="15" w:lineRule="exact"/>
        <w:rPr>
          <w:rFonts w:ascii="Arial" w:cs="Arial" w:eastAsia="Arial" w:hAnsi="Arial"/>
          <w:sz w:val="24"/>
          <w:szCs w:val="24"/>
          <w:color w:val="231F20"/>
        </w:rPr>
      </w:pPr>
    </w:p>
    <w:p>
      <w:pPr>
        <w:ind w:left="720" w:hanging="359"/>
        <w:spacing w:after="0" w:line="232" w:lineRule="auto"/>
        <w:tabs>
          <w:tab w:leader="none" w:pos="72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color w:val="231F20"/>
        </w:rPr>
        <w:t>engage in mergers, acquisitions or consolidations;</w:t>
      </w:r>
    </w:p>
    <w:p>
      <w:pPr>
        <w:spacing w:after="0" w:line="16" w:lineRule="exact"/>
        <w:rPr>
          <w:rFonts w:ascii="Arial" w:cs="Arial" w:eastAsia="Arial" w:hAnsi="Arial"/>
          <w:sz w:val="24"/>
          <w:szCs w:val="24"/>
          <w:color w:val="231F20"/>
        </w:rPr>
      </w:pPr>
    </w:p>
    <w:p>
      <w:pPr>
        <w:ind w:left="720" w:hanging="359"/>
        <w:spacing w:after="0" w:line="232" w:lineRule="auto"/>
        <w:tabs>
          <w:tab w:leader="none" w:pos="72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color w:val="231F20"/>
        </w:rPr>
        <w:t>make loans or other investments;</w:t>
      </w:r>
    </w:p>
    <w:p>
      <w:pPr>
        <w:spacing w:after="0" w:line="16" w:lineRule="exact"/>
        <w:rPr>
          <w:rFonts w:ascii="Arial" w:cs="Arial" w:eastAsia="Arial" w:hAnsi="Arial"/>
          <w:sz w:val="24"/>
          <w:szCs w:val="24"/>
          <w:color w:val="231F20"/>
        </w:rPr>
      </w:pPr>
    </w:p>
    <w:p>
      <w:pPr>
        <w:ind w:left="720" w:hanging="359"/>
        <w:spacing w:after="0" w:line="232" w:lineRule="auto"/>
        <w:tabs>
          <w:tab w:leader="none" w:pos="72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color w:val="231F20"/>
        </w:rPr>
        <w:t>transfer, lease or dispose of assets outside the ordinary course of business;</w:t>
      </w:r>
    </w:p>
    <w:p>
      <w:pPr>
        <w:spacing w:after="0" w:line="27" w:lineRule="exact"/>
        <w:rPr>
          <w:rFonts w:ascii="Arial" w:cs="Arial" w:eastAsia="Arial" w:hAnsi="Arial"/>
          <w:sz w:val="24"/>
          <w:szCs w:val="24"/>
          <w:color w:val="231F20"/>
        </w:rPr>
      </w:pPr>
    </w:p>
    <w:p>
      <w:pPr>
        <w:ind w:left="720" w:hanging="359"/>
        <w:spacing w:after="0" w:line="256" w:lineRule="auto"/>
        <w:tabs>
          <w:tab w:leader="none" w:pos="72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color w:val="231F20"/>
        </w:rPr>
        <w:t>pay dividends, repurchase equity interests, make other payments with respect to equity interests, repay or repurchase subordinated debt; and</w:t>
      </w:r>
    </w:p>
    <w:p>
      <w:pPr>
        <w:spacing w:after="0" w:line="9" w:lineRule="exact"/>
        <w:rPr>
          <w:rFonts w:ascii="Arial" w:cs="Arial" w:eastAsia="Arial" w:hAnsi="Arial"/>
          <w:sz w:val="24"/>
          <w:szCs w:val="24"/>
          <w:color w:val="231F20"/>
        </w:rPr>
      </w:pPr>
    </w:p>
    <w:p>
      <w:pPr>
        <w:ind w:left="720" w:hanging="359"/>
        <w:spacing w:after="0"/>
        <w:tabs>
          <w:tab w:leader="none" w:pos="72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color w:val="231F20"/>
        </w:rPr>
        <w:t>engage in affiliate transactions.</w:t>
      </w:r>
    </w:p>
    <w:p>
      <w:pPr>
        <w:spacing w:after="0" w:line="109"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In addition, certain of these debt agreements contain financial covenants that may require us to maintain certain financial ratios and other requirements in certain circumstances. As a result of these covenants, our ability to respond to changes in business and economic conditions and to obtain additional financing, if needed, may be significantly restricted, and we may be prevented from engaging in transactions or taking advantage of new business opportunities that might otherwise be beneficial to us. Our ability to comply with these covenants and restrictions may be affected by economic, financial and industry conditions or regulatory changes beyond our control. Failure to comply with these covenants or restrictions could result in an event of default, under our revolving lines of credit or the indentures governing our outstanding notes which, if not cured or waived, could accelerate our repayment obligations. See the Liquidity and Capital Resources section in Item 7, “Management’s Discussion and Analysis” for further details.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General Risk Factors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color w:val="231F20"/>
        </w:rPr>
        <w:t>We are subject to costs and risks associated with global laws and regulations affecting our business, as well as litigation for product liability or other matters affecting our business.</w:t>
      </w:r>
    </w:p>
    <w:p>
      <w:pPr>
        <w:spacing w:after="0" w:line="64"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The global legal and regulatory environment is complex and exposes us to compliance costs and risks, as well as litigation and other legal proceedings, which could materially affect our operations and financial results. These laws and regulations may change, sometimes significantly, as a result of political or economic events, and some changes are anticipated to occur in the future. They include laws and regulations covering taxation, trade, import and export, labor and employment (including wage and hour), product safety, product labeling, occupational safety and health, data privacy, data protection, intellectual property, AI, and sustainability and environmental matters (including those relating to global climate change and its impact). We are also subject to securities and exchange laws and regulations and other laws applicable to publicly-traded companies such as the Foreign Corrupt Practices Act. Furthermore, as a government contractor selling to federal, state and local government entities, we are also subject to a wide variety of additional laws and regulations, including the Federal Acquisition Regulation (“FAR”) and Defense Federal Acquisitions Regulation Supplement (“DFARS”), and additional compliance obligations, such as Cybersecurity Maturity Model Certification (CMMC) compliance, domestic preference and Buy America/Build America requirements. Proposed laws and regulations in these and other areas could affect the cost of our business operations.</w:t>
      </w:r>
    </w:p>
    <w:p>
      <w:pPr>
        <w:spacing w:after="0" w:line="8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From time to time we are involved in legal proceedings, audits or investigations which may relate to, for example, product liability, labor and employment (including wage and hour), tax, escheat, import and export compliance, government contracts, FAR and DFARS compliance, worker health and safety, intellectual property misappropriation or infringement, antitrust and business practices, and general commercial and securities matters. While we believe the outcome of any pending matter is unlikely to have a material adverse effect on our financial condition or liquidity, additional legal proceedings may arise in the future and the outcome of these as well as other contingencies could require us to take actions, which could adversely affect our operations, could diminish our intellectual property portfolio or could require us to pay substantial amounts of money. Even if we successfully defend against claims, we may incur significant costs that could adversely affect our results of operations, financial condition and cash flow.</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120"/>
          </w:cols>
          <w:pgMar w:left="880" w:top="672" w:right="8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231F20"/>
        </w:rPr>
        <w:t>We must attract, retain and motivate our employees, and the failure to do so may adversely affect our business.</w:t>
      </w:r>
    </w:p>
    <w:p>
      <w:pPr>
        <w:spacing w:after="0" w:line="132"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Our success depends on hiring, retaining and motivating our employees, including executive, managerial, sales, technical, operations, marketing and support personnel. We may have difficulty locating and hiring qualified personnel. In addition, we may have difficulty retaining such personnel once hired, and key people may leave and compete against us. The loss of key personnel or our failure to attract and retain other qualified and experienced personnel could disrupt or adversely affect our business, its sales and operating results. In addition, our operating results could be adversely affected by increased costs due to increased competition for employees, higher employee turnover, increasing levels of retirement, the possibility of a shrinking workforce in various regions globally, which may also result in increased employee benefit or other costs or the loss of significant customer business, proprietary information, or tacit knowledge, which could negatively impact our operational efficiency, innovation capabilities, and customer relationships. Furthermore, inadequate talent management and succession planning, along with potential challenges in adapting to evolving workplace trends and expectations, could hinder our ability to respond to market changes and maintain a competitive edge, which could lead to decreased productivity, reduced market share, and ultimately, a decline in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32" w:lineRule="exact"/>
        <w:rPr>
          <w:sz w:val="20"/>
          <w:szCs w:val="20"/>
          <w:color w:val="auto"/>
        </w:rPr>
      </w:pPr>
    </w:p>
    <w:p>
      <w:pPr>
        <w:jc w:val="both"/>
        <w:ind w:firstLine="266"/>
        <w:spacing w:after="0" w:line="248" w:lineRule="auto"/>
        <w:rPr>
          <w:sz w:val="20"/>
          <w:szCs w:val="20"/>
          <w:color w:val="auto"/>
        </w:rPr>
      </w:pPr>
      <w:r>
        <w:rPr>
          <w:rFonts w:ascii="Times New Roman" w:cs="Times New Roman" w:eastAsia="Times New Roman" w:hAnsi="Times New Roman"/>
          <w:sz w:val="20"/>
          <w:szCs w:val="20"/>
          <w:color w:val="231F20"/>
        </w:rPr>
        <w:t>Information security and protection of our data is important to Wesco, our customers and suppliers. As a global company, we face various cybersecurity threats, ranging from phishing, ransomware and denial-of-service attacks to more recent and growing threats incorporating the use of AI, which are becoming more sophisticated. Our suppliers, third-party vendors, service providers, customers and other business partners are also vulnerable to similar cybersecurity risks. In response to this evolving cybersecurity threat landscape, we have implemented a cybersecurity risk management program that follows a comprehensive, multi-layered approach to securing our data and business systems from attack, compromise or loss, guided by the National Institute of Standards and Technology (“NIST”) Cybersecurity Framework. This includes the combination of leading technologies, physical and organizational safeguards, including a robust suite of security policies and procedures. We have a dedicated 24 hours per day/seven days per week Cybersecurity Operations team, with a third-party service provider, monitoring our environment for signs of attack and responding in real-time. Our implementation of a multi-layer and multi-provider portfolio of technologies is designed to deliver overlapping coverage against continually evolving cybersecurity threats with a strong defensive and response driven security posture. We evaluate risks, threats, intelligence feeds and vulnerabilities to adapt, mitigate or respond as appropriate to preserve a secure state. We recognize that even robust preventive and detective controls may not fully eliminate the possibility of a significant AI</w:t>
      </w:r>
      <w:r>
        <w:rPr>
          <w:rFonts w:ascii="Arial" w:cs="Arial" w:eastAsia="Arial" w:hAnsi="Arial"/>
          <w:sz w:val="20"/>
          <w:szCs w:val="20"/>
          <w:color w:val="231F20"/>
        </w:rPr>
        <w:t>-</w:t>
      </w:r>
      <w:r>
        <w:rPr>
          <w:rFonts w:ascii="Times New Roman" w:cs="Times New Roman" w:eastAsia="Times New Roman" w:hAnsi="Times New Roman"/>
          <w:sz w:val="20"/>
          <w:szCs w:val="20"/>
          <w:color w:val="231F20"/>
        </w:rPr>
        <w:t>driven cybersecurity incident. However, we are continually evaluating and introducing new processes and controls to mitigate risks from a constantly evolving threat landscape, including those amplified by AI.</w:t>
      </w:r>
    </w:p>
    <w:p>
      <w:pPr>
        <w:spacing w:after="0" w:line="97"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Additionally, we identify, assess and manage risks associated with our use of third-party service providers and other business partners and we maintain a comprehensive third-party risk management program to evaluate partners prior to onboarding, throughout the life of the relationship, and through the conclusion of the relationship. This program is designed to ensure our third-party partners adhere to Wesco’s security policies and expectations as the threat landscape and the relationship evolve.</w:t>
      </w:r>
    </w:p>
    <w:p>
      <w:pPr>
        <w:spacing w:after="0" w:line="88" w:lineRule="exact"/>
        <w:rPr>
          <w:sz w:val="20"/>
          <w:szCs w:val="20"/>
          <w:color w:val="auto"/>
        </w:rPr>
      </w:pPr>
    </w:p>
    <w:p>
      <w:pPr>
        <w:jc w:val="both"/>
        <w:ind w:firstLine="266"/>
        <w:spacing w:after="0" w:line="262" w:lineRule="auto"/>
        <w:rPr>
          <w:sz w:val="20"/>
          <w:szCs w:val="20"/>
          <w:color w:val="auto"/>
        </w:rPr>
      </w:pPr>
      <w:r>
        <w:rPr>
          <w:rFonts w:ascii="Times New Roman" w:cs="Times New Roman" w:eastAsia="Times New Roman" w:hAnsi="Times New Roman"/>
          <w:sz w:val="19"/>
          <w:szCs w:val="19"/>
          <w:color w:val="231F20"/>
        </w:rPr>
        <w:t>We engage third-party experts, including auditors, consultants and advisors, to evaluate and enhance our cybersecurity program through security certifications, assessments and testing. Wesco’s cybersecurity programs are reviewed as part of our information security management system (“ISMS”) by external, independent third-party auditors. We have received ISO 27001 certification for our ISMS and we undergo annual audits by an independent accreditation body to maintain this certification. We also engage third-party consultants to perform penetration and vulnerability tests at least once per quarter, as well as annual engagements that simulate cyber threats. The results of these tests and assessments are used to establish priorities, allocate resources, and improve controls. We conduct mandatory information security awareness training for all new hires and employees at least annually as well as specialized training for certain functions, such as developers, platform administrators and finance personnel. We have instituted regular phishing, social engineering and other malicious attack simulations, generally at least once per quarter, to enhance our employees’ awareness and responsiveness to such possible threats. We run several awareness campaigns each year covering a variety of topical cybersecurity subjects and we maintain an internal website that is accessible to all employees that has security policies, additional trainings, and current news events. Our security policies and trainings are regularly evaluated and updated to adapt to changing regulations and emerging cybersecurity risks. Our training program also includes expert guest speakers and additional training during cybersecurity awareness month each October.</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120"/>
          </w:cols>
          <w:pgMar w:left="880" w:top="672" w:right="880" w:bottom="0" w:gutter="0" w:footer="0" w:header="0"/>
          <w:type w:val="continuous"/>
        </w:sectPr>
      </w:pPr>
    </w:p>
    <w:bookmarkStart w:id="34" w:name="page35"/>
    <w:bookmarkEnd w:id="34"/>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While we focus on prevention and detection, we have response and recovery plans in place, as well as service agreements and partner engagements should there be a need for us to respond to an attack. We have adopted a cybersecurity incident response plan that provides direction and a defined approach for preparing for, identifying and responding to cybersecurity incidents that may pose a potential threat to our information systems, networks and data. We review the overall incident response plan at least annually or as needed to determine what updates (if any) are necessary. The plan defines the roles and responsibilities of our IT and security teams and other functional teams that comprise the cybersecurity incident response team, as well as provides controls and procedures for timely and accurate reporting of material cybersecurity incidents. Significant cybersecurity incidents are reviewed by a cross-functional team to determine whether further escalation is appropriate. Any incident that potentially is, or may become, material is reported to senior management for materiality and disclosure determinations. We also maintain cyber liability insurance coverage.</w:t>
      </w:r>
    </w:p>
    <w:p>
      <w:pPr>
        <w:spacing w:after="0" w:line="96"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Through our enterprise risk management (“ERM”) program, we identify, assess and manage a broad range of risks across the organization. Through the ERM process, cybersecurity has been identified as an important risk facing our business. Accordingly, our cybersecurity risk management program is integrated into our overall ERM program and information about cybersecurity risks and our cybersecurity risk management program is reviewed as part of our ERM program.</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As of the date of this report, no risks from cybersecurity threats, including as a result of any previous cybersecurity incidents, have materially impacted us, including our business strategy, results of operations, or financial condition. However, we cannot provide assurance that we will not experience such an event moving forward and if realized, that we, or our business strategy, results of operations, or financial condition, would not be materially affected in the future by such risks or any future material incidents. For more information on our cybersecurity related risks, see Item 1A, “Risk Factors” of this Annual Report on Form 10-K.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32"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To more effectively prevent, detect and respond to information security threats, we have a dedicated Chief Information Security Officer (“CISO”) whose team is responsible for leading enterprise-wide information security strategy, policy, standards, architecture and processes. Our CISO has over 30 years of technology experience, including over twelve years of experience dedicated to cybersecurity. He has been in this role with Wesco since 2020 and has a total of approximately ten years of experience serving in the role of Chief Information Security Officer. The CISO reports to our Executive Vice President, Chief Information and Digital Officer (“CIDO”), who reports directly to our Chief Executive Officer. The CISO and CIDO regularly review cybersecurity matters with our Chief Executive Officer and other members of our senior management, including cybersecurity risks and threats and the status of our cybersecurity incident response plan and related processes relating to the prevention, detection, mitigation and remediation of cybersecurity incidents. Recognizing the transformative potential and risks of AI, Wesco established an AI Governance Council in 2025. This executive-led, cross-functional body ensures the prioritized, ethical and secure use of AI to drive strategic business initiatives while protecting our systems and data.</w:t>
      </w:r>
    </w:p>
    <w:p>
      <w:pPr>
        <w:spacing w:after="0" w:line="85"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As part of its oversight responsibility of cybersecurity risk and the overall enterprise risk management process, the Audit Committee of our Board of Directors meets periodically with our CISO, CIDO, and other senior leaders to receive updates on cybersecurity risks and threats (and should they arise, any material incidents), the status of initiatives to strengthen our information security systems, third-party risk assessment outcomes, cybersecurity risk metrics, management’s assessments of our security program, and compliance with disclosure requirements. The Audit Committee and senior management report any findings and recommendations, as appropriate to the full Board of Directors for consideration. Wesco’s cybersecurity program is regularly evaluated by internal and external experts with the results of those reviews reported to senior leadership and the Board of Directors. We also actively engage with strategic partners, industry groups, and intelligence and law enforcement to better understand macro trends and significant risk concerns to better inform and enhance our cybersecurity policies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32"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 operate a network of approximately 600 distribution and fulfillment center locations that hold inventory, and approximately 120 sales offices, with operations in approximately 50 countries throughout the world. This includes 63 facilities with square footage between 100,000 and 500,000 that operate as large distribution centers or fulfillment centers, of which 49 are located in the U.S., eight in Canada, three in Europe, two in South America and one in Australia. Approximately 7% of our facilities are owned, and the remainder are leased.</w:t>
      </w:r>
    </w:p>
    <w:p>
      <w:pPr>
        <w:spacing w:after="0" w:line="8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 also lease our 118,000 square-foot headquarters in Pittsburgh, Pennsylvania. We do not regard the real property associated with any single facility as material to our operations. We believe our facilities are in good operating condition and are adequate for their respective uses.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120"/>
          </w:cols>
          <w:pgMar w:left="880" w:top="679" w:right="8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3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8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Information relating to legal proceedings is disclosed in Note 15, “Commitments and Contingencies” of the Notes to Consolidated Financial Statements and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120"/>
          </w:cols>
          <w:pgMar w:left="880" w:top="672" w:right="880"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3" w:lineRule="exact"/>
        <w:rPr>
          <w:sz w:val="20"/>
          <w:szCs w:val="20"/>
          <w:color w:val="auto"/>
        </w:rPr>
      </w:pPr>
    </w:p>
    <w:p>
      <w:pPr>
        <w:ind w:left="20" w:right="840"/>
        <w:spacing w:after="0" w:line="279"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59" w:lineRule="exact"/>
        <w:rPr>
          <w:sz w:val="20"/>
          <w:szCs w:val="20"/>
          <w:color w:val="auto"/>
        </w:rPr>
      </w:pPr>
    </w:p>
    <w:p>
      <w:pPr>
        <w:jc w:val="both"/>
        <w:ind w:left="20" w:right="20" w:firstLine="266"/>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Market, Stockholder, and Dividend Information</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common stock is listed on the New York Stock Exchange under the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symbol “WCC”. As of February 12, 2026, there were 48,661,915 shares of common stock outstanding held by approximately 820 holders of record.</w:t>
      </w:r>
    </w:p>
    <w:p>
      <w:pPr>
        <w:spacing w:after="0" w:line="75" w:lineRule="exact"/>
        <w:rPr>
          <w:sz w:val="20"/>
          <w:szCs w:val="20"/>
          <w:color w:val="auto"/>
        </w:rPr>
      </w:pPr>
    </w:p>
    <w:p>
      <w:pPr>
        <w:jc w:val="both"/>
        <w:ind w:left="20" w:right="20" w:firstLine="266"/>
        <w:spacing w:after="0" w:line="253" w:lineRule="auto"/>
        <w:rPr>
          <w:sz w:val="20"/>
          <w:szCs w:val="20"/>
          <w:color w:val="auto"/>
        </w:rPr>
      </w:pPr>
      <w:r>
        <w:rPr>
          <w:rFonts w:ascii="Times New Roman" w:cs="Times New Roman" w:eastAsia="Times New Roman" w:hAnsi="Times New Roman"/>
          <w:sz w:val="20"/>
          <w:szCs w:val="20"/>
          <w:color w:val="231F20"/>
        </w:rPr>
        <w:t>During each of the quarters in the fiscal year ended December 31, 2025, we paid a quarterly cash dividend of $0.454 per common share to our shareholders. The payment of dividends is within the discretion of our Board of Directors and any decision to pay dividends in the future, and the amount of any such dividend, will depend on an evaluation of a number of factors, including our financial condition, earnings, capital requirements, debt service obligations, restrictive covenants contained in our debt agreements, and other factors deemed relevant by our Board of Directors.</w:t>
      </w:r>
    </w:p>
    <w:p>
      <w:pPr>
        <w:spacing w:after="0" w:line="88" w:lineRule="exact"/>
        <w:rPr>
          <w:sz w:val="20"/>
          <w:szCs w:val="20"/>
          <w:color w:val="auto"/>
        </w:rPr>
      </w:pPr>
    </w:p>
    <w:p>
      <w:pPr>
        <w:jc w:val="both"/>
        <w:ind w:left="20" w:right="20" w:firstLine="266"/>
        <w:spacing w:after="0" w:line="273" w:lineRule="auto"/>
        <w:rPr>
          <w:sz w:val="20"/>
          <w:szCs w:val="20"/>
          <w:color w:val="auto"/>
        </w:rPr>
      </w:pPr>
      <w:r>
        <w:rPr>
          <w:rFonts w:ascii="Times New Roman" w:cs="Times New Roman" w:eastAsia="Times New Roman" w:hAnsi="Times New Roman"/>
          <w:sz w:val="19"/>
          <w:szCs w:val="19"/>
          <w:color w:val="231F20"/>
        </w:rPr>
        <w:t>As disclosed in Note 9, “Debt” of our Notes to Consolidated Financial Statements, the terms of the Revolving Credit Facility, as well as the indentures governing the 7.250% Senior Notes due 2028, 6.375% Senior Notes due 2029, 6.625% Senior Notes due 2032 and 6.375% Senior Notes due 2033 contain various restrictive covenants that limit the amount of dividends and common stock repurchases that can be made. We were in compliance with these conditions in 2025 and expect to be in 2026.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231F20"/>
        </w:rPr>
        <w:t>Issuer Purchases of Equity Securities</w:t>
      </w:r>
      <w:r>
        <w:rPr>
          <w:rFonts w:ascii="Times New Roman" w:cs="Times New Roman" w:eastAsia="Times New Roman" w:hAnsi="Times New Roman"/>
          <w:sz w:val="20"/>
          <w:szCs w:val="20"/>
          <w:b w:val="1"/>
          <w:bCs w:val="1"/>
          <w:color w:val="231F20"/>
        </w:rPr>
        <w:t>.</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The following table sets forth all issuer purchases of common stock during the three months ended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 Number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center"/>
              <w:ind w:right="66"/>
              <w:spacing w:after="0"/>
              <w:rPr>
                <w:sz w:val="20"/>
                <w:szCs w:val="20"/>
                <w:color w:val="auto"/>
              </w:rPr>
            </w:pPr>
            <w:r>
              <w:rPr>
                <w:rFonts w:ascii="Times New Roman" w:cs="Times New Roman" w:eastAsia="Times New Roman" w:hAnsi="Times New Roman"/>
                <w:sz w:val="18"/>
                <w:szCs w:val="18"/>
                <w:b w:val="1"/>
                <w:bCs w:val="1"/>
                <w:color w:val="231F20"/>
                <w:w w:val="96"/>
              </w:rPr>
              <w:t>Average</w:t>
            </w:r>
          </w:p>
        </w:tc>
        <w:tc>
          <w:tcPr>
            <w:tcW w:w="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 Number of Shares</w:t>
            </w:r>
          </w:p>
        </w:tc>
        <w:tc>
          <w:tcPr>
            <w:tcW w:w="6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Approximate Dollar Value</w:t>
            </w: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231F20"/>
                <w:w w:val="99"/>
              </w:rPr>
              <w:t>Purchased as Part of</w:t>
            </w:r>
          </w:p>
        </w:tc>
        <w:tc>
          <w:tcPr>
            <w:tcW w:w="60" w:type="dxa"/>
            <w:vAlign w:val="bottom"/>
          </w:tcPr>
          <w:p>
            <w:pPr>
              <w:spacing w:after="0"/>
              <w:rPr>
                <w:sz w:val="15"/>
                <w:szCs w:val="15"/>
                <w:color w:val="auto"/>
              </w:rPr>
            </w:pPr>
          </w:p>
        </w:tc>
        <w:tc>
          <w:tcPr>
            <w:tcW w:w="21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231F20"/>
              </w:rPr>
              <w:t>of Shares That May Yet be</w:t>
            </w: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231F20"/>
                <w:w w:val="97"/>
              </w:rPr>
              <w:t>of Shares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66"/>
              <w:spacing w:after="0" w:line="177" w:lineRule="exact"/>
              <w:rPr>
                <w:sz w:val="20"/>
                <w:szCs w:val="20"/>
                <w:color w:val="auto"/>
              </w:rPr>
            </w:pPr>
            <w:r>
              <w:rPr>
                <w:rFonts w:ascii="Times New Roman" w:cs="Times New Roman" w:eastAsia="Times New Roman" w:hAnsi="Times New Roman"/>
                <w:sz w:val="18"/>
                <w:szCs w:val="18"/>
                <w:b w:val="1"/>
                <w:bCs w:val="1"/>
                <w:color w:val="231F20"/>
                <w:w w:val="98"/>
              </w:rPr>
              <w:t>Price Paid</w:t>
            </w:r>
          </w:p>
        </w:tc>
        <w:tc>
          <w:tcPr>
            <w:tcW w:w="60" w:type="dxa"/>
            <w:vAlign w:val="bottom"/>
          </w:tcPr>
          <w:p>
            <w:pPr>
              <w:spacing w:after="0"/>
              <w:rPr>
                <w:sz w:val="15"/>
                <w:szCs w:val="15"/>
                <w:color w:val="auto"/>
              </w:rPr>
            </w:pPr>
          </w:p>
        </w:tc>
        <w:tc>
          <w:tcPr>
            <w:tcW w:w="20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231F20"/>
                <w:w w:val="98"/>
              </w:rPr>
              <w:t>Publicly Announced</w:t>
            </w:r>
          </w:p>
        </w:tc>
        <w:tc>
          <w:tcPr>
            <w:tcW w:w="60" w:type="dxa"/>
            <w:vAlign w:val="bottom"/>
          </w:tcPr>
          <w:p>
            <w:pPr>
              <w:spacing w:after="0"/>
              <w:rPr>
                <w:sz w:val="15"/>
                <w:szCs w:val="15"/>
                <w:color w:val="auto"/>
              </w:rPr>
            </w:pPr>
          </w:p>
        </w:tc>
        <w:tc>
          <w:tcPr>
            <w:tcW w:w="21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231F20"/>
                <w:w w:val="99"/>
              </w:rPr>
              <w:t>Purchased Under the Plans</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28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231F20"/>
                <w:w w:val="95"/>
              </w:rPr>
              <w:t>Purchased</w:t>
            </w:r>
            <w:r>
              <w:rPr>
                <w:rFonts w:ascii="Times New Roman" w:cs="Times New Roman" w:eastAsia="Times New Roman" w:hAnsi="Times New Roman"/>
                <w:sz w:val="23"/>
                <w:szCs w:val="23"/>
                <w:b w:val="1"/>
                <w:bCs w:val="1"/>
                <w:color w:val="231F20"/>
                <w:w w:val="95"/>
                <w:vertAlign w:val="superscript"/>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8"/>
                <w:szCs w:val="18"/>
                <w:b w:val="1"/>
                <w:bCs w:val="1"/>
                <w:color w:val="231F20"/>
                <w:w w:val="96"/>
              </w:rPr>
              <w:t>Per Share</w:t>
            </w:r>
          </w:p>
        </w:tc>
        <w:tc>
          <w:tcPr>
            <w:tcW w:w="60" w:type="dxa"/>
            <w:vAlign w:val="bottom"/>
          </w:tcPr>
          <w:p>
            <w:pPr>
              <w:spacing w:after="0"/>
              <w:rPr>
                <w:sz w:val="20"/>
                <w:szCs w:val="20"/>
                <w:color w:val="auto"/>
              </w:rPr>
            </w:pPr>
          </w:p>
        </w:tc>
        <w:tc>
          <w:tcPr>
            <w:tcW w:w="202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231F20"/>
                <w:w w:val="95"/>
              </w:rPr>
              <w:t>Plans or Programs</w:t>
            </w:r>
            <w:r>
              <w:rPr>
                <w:rFonts w:ascii="Times New Roman" w:cs="Times New Roman" w:eastAsia="Times New Roman" w:hAnsi="Times New Roman"/>
                <w:sz w:val="23"/>
                <w:szCs w:val="23"/>
                <w:b w:val="1"/>
                <w:bCs w:val="1"/>
                <w:color w:val="231F20"/>
                <w:w w:val="95"/>
                <w:vertAlign w:val="superscript"/>
              </w:rPr>
              <w:t>(2)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ind w:right="447"/>
              <w:spacing w:after="0" w:line="236" w:lineRule="exact"/>
              <w:rPr>
                <w:sz w:val="20"/>
                <w:szCs w:val="20"/>
                <w:color w:val="auto"/>
              </w:rPr>
            </w:pPr>
            <w:r>
              <w:rPr>
                <w:rFonts w:ascii="Times New Roman" w:cs="Times New Roman" w:eastAsia="Times New Roman" w:hAnsi="Times New Roman"/>
                <w:sz w:val="18"/>
                <w:szCs w:val="18"/>
                <w:b w:val="1"/>
                <w:bCs w:val="1"/>
                <w:color w:val="231F20"/>
              </w:rPr>
              <w:t>or Programs</w:t>
            </w:r>
            <w:r>
              <w:rPr>
                <w:rFonts w:ascii="Times New Roman" w:cs="Times New Roman" w:eastAsia="Times New Roman" w:hAnsi="Times New Roman"/>
                <w:sz w:val="23"/>
                <w:szCs w:val="23"/>
                <w:b w:val="1"/>
                <w:bCs w:val="1"/>
                <w:color w:val="231F20"/>
                <w:vertAlign w:val="superscript"/>
              </w:rPr>
              <w:t>(2)</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Period</w:t>
            </w:r>
          </w:p>
        </w:tc>
        <w:tc>
          <w:tcPr>
            <w:tcW w:w="1280" w:type="dxa"/>
            <w:vAlign w:val="bottom"/>
            <w:tcBorders>
              <w:bottom w:val="single" w:sz="8" w:color="231F20"/>
            </w:tcBorders>
          </w:tcPr>
          <w:p>
            <w:pPr>
              <w:spacing w:after="0"/>
              <w:rPr>
                <w:sz w:val="20"/>
                <w:szCs w:val="20"/>
                <w:color w:val="auto"/>
              </w:rPr>
            </w:pPr>
          </w:p>
        </w:tc>
        <w:tc>
          <w:tcPr>
            <w:tcW w:w="60" w:type="dxa"/>
            <w:vAlign w:val="bottom"/>
            <w:tcBorders>
              <w:bottom w:val="single" w:sz="8" w:color="CFEBF4"/>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60" w:type="dxa"/>
            <w:vAlign w:val="bottom"/>
            <w:tcBorders>
              <w:bottom w:val="single" w:sz="8" w:color="CFEBF4"/>
            </w:tcBorders>
          </w:tcPr>
          <w:p>
            <w:pPr>
              <w:spacing w:after="0"/>
              <w:rPr>
                <w:sz w:val="20"/>
                <w:szCs w:val="20"/>
                <w:color w:val="auto"/>
              </w:rPr>
            </w:pPr>
          </w:p>
        </w:tc>
        <w:tc>
          <w:tcPr>
            <w:tcW w:w="2020" w:type="dxa"/>
            <w:vAlign w:val="bottom"/>
            <w:tcBorders>
              <w:bottom w:val="single" w:sz="8" w:color="231F20"/>
            </w:tcBorders>
          </w:tcPr>
          <w:p>
            <w:pPr>
              <w:spacing w:after="0"/>
              <w:rPr>
                <w:sz w:val="20"/>
                <w:szCs w:val="20"/>
                <w:color w:val="auto"/>
              </w:rPr>
            </w:pPr>
          </w:p>
        </w:tc>
        <w:tc>
          <w:tcPr>
            <w:tcW w:w="60" w:type="dxa"/>
            <w:vAlign w:val="bottom"/>
            <w:tcBorders>
              <w:bottom w:val="single" w:sz="8" w:color="CFEBF4"/>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820" w:type="dxa"/>
            <w:vAlign w:val="bottom"/>
            <w:tcBorders>
              <w:bottom w:val="single" w:sz="8" w:color="231F20"/>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0" w:type="dxa"/>
            <w:vAlign w:val="bottom"/>
          </w:tcPr>
          <w:p>
            <w:pPr>
              <w:spacing w:after="0"/>
              <w:rPr>
                <w:sz w:val="1"/>
                <w:szCs w:val="1"/>
                <w:color w:val="auto"/>
              </w:rPr>
            </w:pPr>
          </w:p>
        </w:tc>
      </w:tr>
      <w:tr>
        <w:trPr>
          <w:trHeight w:val="300"/>
        </w:trPr>
        <w:tc>
          <w:tcPr>
            <w:tcW w:w="34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October 1, 2025 - October 31, 2025</w:t>
            </w:r>
          </w:p>
        </w:tc>
        <w:tc>
          <w:tcPr>
            <w:tcW w:w="12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572</w:t>
            </w:r>
          </w:p>
        </w:tc>
        <w:tc>
          <w:tcPr>
            <w:tcW w:w="220" w:type="dxa"/>
            <w:vAlign w:val="bottom"/>
            <w:gridSpan w:val="2"/>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229.08</w:t>
            </w:r>
          </w:p>
        </w:tc>
        <w:tc>
          <w:tcPr>
            <w:tcW w:w="60" w:type="dxa"/>
            <w:vAlign w:val="bottom"/>
            <w:shd w:val="clear" w:color="auto" w:fill="CFEBF4"/>
          </w:tcPr>
          <w:p>
            <w:pPr>
              <w:spacing w:after="0"/>
              <w:rPr>
                <w:sz w:val="24"/>
                <w:szCs w:val="24"/>
                <w:color w:val="auto"/>
              </w:rPr>
            </w:pPr>
          </w:p>
        </w:tc>
        <w:tc>
          <w:tcPr>
            <w:tcW w:w="2020" w:type="dxa"/>
            <w:vAlign w:val="bottom"/>
            <w:shd w:val="clear" w:color="auto" w:fill="CFEBF4"/>
          </w:tcPr>
          <w:p>
            <w:pPr>
              <w:ind w:left="174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shd w:val="clear" w:color="auto" w:fill="CFEBF4"/>
          </w:tcPr>
          <w:p>
            <w:pPr>
              <w:jc w:val="right"/>
              <w:ind w:right="111"/>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413.9</w:t>
            </w:r>
          </w:p>
        </w:tc>
        <w:tc>
          <w:tcPr>
            <w:tcW w:w="0" w:type="dxa"/>
            <w:vAlign w:val="bottom"/>
          </w:tcPr>
          <w:p>
            <w:pPr>
              <w:spacing w:after="0"/>
              <w:rPr>
                <w:sz w:val="1"/>
                <w:szCs w:val="1"/>
                <w:color w:val="auto"/>
              </w:rPr>
            </w:pPr>
          </w:p>
        </w:tc>
      </w:tr>
      <w:tr>
        <w:trPr>
          <w:trHeight w:val="304"/>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November 1, 2025 - November 30,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261.44</w:t>
            </w:r>
          </w:p>
        </w:tc>
        <w:tc>
          <w:tcPr>
            <w:tcW w:w="60" w:type="dxa"/>
            <w:vAlign w:val="bottom"/>
          </w:tcPr>
          <w:p>
            <w:pPr>
              <w:spacing w:after="0"/>
              <w:rPr>
                <w:sz w:val="24"/>
                <w:szCs w:val="24"/>
                <w:color w:val="auto"/>
              </w:rPr>
            </w:pPr>
          </w:p>
        </w:tc>
        <w:tc>
          <w:tcPr>
            <w:tcW w:w="2020" w:type="dxa"/>
            <w:vAlign w:val="bottom"/>
          </w:tcPr>
          <w:p>
            <w:pPr>
              <w:ind w:left="174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tcPr>
          <w:p>
            <w:pPr>
              <w:jc w:val="right"/>
              <w:ind w:right="111"/>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413.9</w:t>
            </w:r>
          </w:p>
        </w:tc>
        <w:tc>
          <w:tcPr>
            <w:tcW w:w="0" w:type="dxa"/>
            <w:vAlign w:val="bottom"/>
          </w:tcPr>
          <w:p>
            <w:pPr>
              <w:spacing w:after="0"/>
              <w:rPr>
                <w:sz w:val="1"/>
                <w:szCs w:val="1"/>
                <w:color w:val="auto"/>
              </w:rPr>
            </w:pPr>
          </w:p>
        </w:tc>
      </w:tr>
      <w:tr>
        <w:trPr>
          <w:trHeight w:val="325"/>
        </w:trPr>
        <w:tc>
          <w:tcPr>
            <w:tcW w:w="342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December 1, 2025 - December 31, 2025</w:t>
            </w:r>
          </w:p>
        </w:tc>
        <w:tc>
          <w:tcPr>
            <w:tcW w:w="12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220" w:type="dxa"/>
            <w:vAlign w:val="bottom"/>
            <w:tcBorders>
              <w:bottom w:val="single" w:sz="8" w:color="CFEBF4"/>
            </w:tcBorders>
            <w:gridSpan w:val="2"/>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258.84</w:t>
            </w:r>
          </w:p>
        </w:tc>
        <w:tc>
          <w:tcPr>
            <w:tcW w:w="60" w:type="dxa"/>
            <w:vAlign w:val="bottom"/>
            <w:tcBorders>
              <w:bottom w:val="single" w:sz="8" w:color="CFEBF4"/>
            </w:tcBorders>
            <w:shd w:val="clear" w:color="auto" w:fill="CFEBF4"/>
          </w:tcPr>
          <w:p>
            <w:pPr>
              <w:spacing w:after="0"/>
              <w:rPr>
                <w:sz w:val="24"/>
                <w:szCs w:val="24"/>
                <w:color w:val="auto"/>
              </w:rPr>
            </w:pPr>
          </w:p>
        </w:tc>
        <w:tc>
          <w:tcPr>
            <w:tcW w:w="2020" w:type="dxa"/>
            <w:vAlign w:val="bottom"/>
            <w:tcBorders>
              <w:bottom w:val="single" w:sz="8" w:color="231F20"/>
            </w:tcBorders>
            <w:shd w:val="clear" w:color="auto" w:fill="CFEBF4"/>
          </w:tcPr>
          <w:p>
            <w:pPr>
              <w:ind w:left="174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tcBorders>
              <w:bottom w:val="single" w:sz="8" w:color="CFEBF4"/>
            </w:tcBorders>
            <w:gridSpan w:val="2"/>
            <w:shd w:val="clear" w:color="auto" w:fill="CFEBF4"/>
          </w:tcPr>
          <w:p>
            <w:pPr>
              <w:jc w:val="right"/>
              <w:ind w:right="111"/>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413.9</w:t>
            </w:r>
          </w:p>
        </w:tc>
        <w:tc>
          <w:tcPr>
            <w:tcW w:w="0" w:type="dxa"/>
            <w:vAlign w:val="bottom"/>
          </w:tcPr>
          <w:p>
            <w:pPr>
              <w:spacing w:after="0"/>
              <w:rPr>
                <w:sz w:val="1"/>
                <w:szCs w:val="1"/>
                <w:color w:val="auto"/>
              </w:rPr>
            </w:pPr>
          </w:p>
        </w:tc>
      </w:tr>
      <w:tr>
        <w:trPr>
          <w:trHeight w:val="222"/>
        </w:trPr>
        <w:tc>
          <w:tcPr>
            <w:tcW w:w="3420" w:type="dxa"/>
            <w:vAlign w:val="bottom"/>
          </w:tcPr>
          <w:p>
            <w:pPr>
              <w:ind w:left="140"/>
              <w:spacing w:after="0" w:line="222" w:lineRule="exact"/>
              <w:rPr>
                <w:sz w:val="20"/>
                <w:szCs w:val="20"/>
                <w:color w:val="auto"/>
              </w:rPr>
            </w:pPr>
            <w:r>
              <w:rPr>
                <w:rFonts w:ascii="Times New Roman" w:cs="Times New Roman" w:eastAsia="Times New Roman" w:hAnsi="Times New Roman"/>
                <w:sz w:val="20"/>
                <w:szCs w:val="20"/>
                <w:color w:val="231F20"/>
              </w:rPr>
              <w:t>Total</w:t>
            </w:r>
          </w:p>
        </w:tc>
        <w:tc>
          <w:tcPr>
            <w:tcW w:w="1280" w:type="dxa"/>
            <w:vAlign w:val="bottom"/>
            <w:tcBorders>
              <w:bottom w:val="single" w:sz="8" w:color="231F20"/>
            </w:tcBorders>
          </w:tcPr>
          <w:p>
            <w:pPr>
              <w:jc w:val="right"/>
              <w:spacing w:after="0" w:line="222" w:lineRule="exact"/>
              <w:rPr>
                <w:sz w:val="20"/>
                <w:szCs w:val="20"/>
                <w:color w:val="auto"/>
              </w:rPr>
            </w:pPr>
            <w:r>
              <w:rPr>
                <w:rFonts w:ascii="Times New Roman" w:cs="Times New Roman" w:eastAsia="Times New Roman" w:hAnsi="Times New Roman"/>
                <w:sz w:val="20"/>
                <w:szCs w:val="20"/>
                <w:color w:val="231F20"/>
              </w:rPr>
              <w:t>5,210</w:t>
            </w:r>
          </w:p>
        </w:tc>
        <w:tc>
          <w:tcPr>
            <w:tcW w:w="220" w:type="dxa"/>
            <w:vAlign w:val="bottom"/>
            <w:gridSpan w:val="2"/>
          </w:tcPr>
          <w:p>
            <w:pPr>
              <w:jc w:val="right"/>
              <w:ind w:right="20"/>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257.86</w:t>
            </w:r>
          </w:p>
        </w:tc>
        <w:tc>
          <w:tcPr>
            <w:tcW w:w="60" w:type="dxa"/>
            <w:vAlign w:val="bottom"/>
          </w:tcPr>
          <w:p>
            <w:pPr>
              <w:spacing w:after="0"/>
              <w:rPr>
                <w:sz w:val="19"/>
                <w:szCs w:val="19"/>
                <w:color w:val="auto"/>
              </w:rPr>
            </w:pPr>
          </w:p>
        </w:tc>
        <w:tc>
          <w:tcPr>
            <w:tcW w:w="2020" w:type="dxa"/>
            <w:vAlign w:val="bottom"/>
            <w:tcBorders>
              <w:bottom w:val="single" w:sz="8" w:color="231F20"/>
            </w:tcBorders>
          </w:tcPr>
          <w:p>
            <w:pPr>
              <w:ind w:left="1740"/>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-812800</wp:posOffset>
            </wp:positionV>
            <wp:extent cx="432562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4325620" cy="5016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-221615</wp:posOffset>
            </wp:positionV>
            <wp:extent cx="292100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2921000" cy="50165"/>
                    </a:xfrm>
                    <a:prstGeom prst="rect">
                      <a:avLst/>
                    </a:prstGeom>
                    <a:noFill/>
                  </pic:spPr>
                </pic:pic>
              </a:graphicData>
            </a:graphic>
          </wp:anchor>
        </w:drawing>
      </w:r>
    </w:p>
    <w:p>
      <w:pPr>
        <w:spacing w:after="0" w:line="112" w:lineRule="exact"/>
        <w:rPr>
          <w:sz w:val="20"/>
          <w:szCs w:val="20"/>
          <w:color w:val="auto"/>
        </w:rPr>
      </w:pPr>
    </w:p>
    <w:p>
      <w:pPr>
        <w:jc w:val="both"/>
        <w:ind w:left="300" w:right="20" w:hanging="273"/>
        <w:spacing w:after="0" w:line="232" w:lineRule="auto"/>
        <w:tabs>
          <w:tab w:leader="none" w:pos="300" w:val="left"/>
        </w:tabs>
        <w:numPr>
          <w:ilvl w:val="0"/>
          <w:numId w:val="14"/>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There were 5,210 shares purchased during the quarterly period ended December 31, 2025 that were not part of the publicly announced share repurchase program. These shares were surrendered by stock-based compensation plan participants to satisfy tax withholding obligations arising from the exercise of stock options and stock-settled stock appreciation rights and vesting of restricted stock units.</w:t>
      </w:r>
    </w:p>
    <w:p>
      <w:pPr>
        <w:spacing w:after="0" w:line="100" w:lineRule="exact"/>
        <w:rPr>
          <w:rFonts w:ascii="Times New Roman" w:cs="Times New Roman" w:eastAsia="Times New Roman" w:hAnsi="Times New Roman"/>
          <w:sz w:val="23"/>
          <w:szCs w:val="23"/>
          <w:color w:val="231F20"/>
          <w:vertAlign w:val="superscript"/>
        </w:rPr>
      </w:pPr>
    </w:p>
    <w:p>
      <w:pPr>
        <w:jc w:val="both"/>
        <w:ind w:left="300" w:right="20" w:hanging="273"/>
        <w:spacing w:after="0" w:line="235" w:lineRule="auto"/>
        <w:tabs>
          <w:tab w:leader="none" w:pos="300" w:val="left"/>
        </w:tabs>
        <w:numPr>
          <w:ilvl w:val="0"/>
          <w:numId w:val="14"/>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On May 31, 2022, Wesco's Board of Directors authorized the repurchase of up to $1 billion of the Company’s common stock. The share repurchase authorization has no expiration date and may be modified, suspended, or terminated at any time without prior notice. During the three months ended December 31, 2025, the Company did not repurchase any shares of its common stock under this share repurchase authorization.</w:t>
      </w:r>
    </w:p>
    <w:p>
      <w:pPr>
        <w:sectPr>
          <w:pgSz w:w="11880" w:h="15480" w:orient="portrait"/>
          <w:cols w:equalWidth="0" w:num="1">
            <w:col w:w="10160"/>
          </w:cols>
          <w:pgMar w:left="860" w:top="67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160"/>
          </w:cols>
          <w:pgMar w:left="860" w:top="672" w:right="860" w:bottom="0" w:gutter="0" w:footer="0" w:header="0"/>
          <w:type w:val="continuous"/>
        </w:sectPr>
      </w:pPr>
    </w:p>
    <w:bookmarkStart w:id="37" w:name="page38"/>
    <w:bookmarkEnd w:id="37"/>
    <w:p>
      <w:pPr>
        <w:jc w:val="both"/>
        <w:ind w:left="366" w:firstLine="266"/>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Company Performance. </w:t>
      </w:r>
      <w:r>
        <w:rPr>
          <w:rFonts w:ascii="Times New Roman" w:cs="Times New Roman" w:eastAsia="Times New Roman" w:hAnsi="Times New Roman"/>
          <w:sz w:val="20"/>
          <w:szCs w:val="20"/>
          <w:color w:val="231F20"/>
        </w:rPr>
        <w:t>The following stock price performance graph illustrates the five-year cumulative total return on an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investment in Wesco International compared to the Standard &amp; Poor's (“S&amp;P”) MidCap 400 Index, the Dow Jones US Industrial Suppliers Index, the Russell 2000 Index and a self-selected performance peer group. During the current fiscal year, the Company re-evaluated and decided to discontinue future comparison of its cumulative total shareholder return to the Russell 2000 Index and self-selected performance peer group. This change reflects the Company’s view that the updated indices provide more appropriate, good-faith comparables and better align our reporting with the benchmarks commonly used by our industry peers. As a result of this change and in accordance with applicable SEC rules, the below graph compares Wesco International's cumulative total shareholder return to both the newly selected indices and the indices used in the immediately preceding fiscal year.</w:t>
      </w:r>
    </w:p>
    <w:p>
      <w:pPr>
        <w:spacing w:after="0" w:line="153" w:lineRule="exact"/>
        <w:rPr>
          <w:sz w:val="20"/>
          <w:szCs w:val="20"/>
          <w:color w:val="auto"/>
        </w:rPr>
      </w:pPr>
    </w:p>
    <w:p>
      <w:pPr>
        <w:jc w:val="both"/>
        <w:ind w:left="366" w:firstLine="266"/>
        <w:spacing w:after="0" w:line="275" w:lineRule="auto"/>
        <w:rPr>
          <w:sz w:val="20"/>
          <w:szCs w:val="20"/>
          <w:color w:val="auto"/>
        </w:rPr>
      </w:pPr>
      <w:r>
        <w:rPr>
          <w:rFonts w:ascii="Times New Roman" w:cs="Times New Roman" w:eastAsia="Times New Roman" w:hAnsi="Times New Roman"/>
          <w:sz w:val="20"/>
          <w:szCs w:val="20"/>
          <w:color w:val="231F20"/>
        </w:rPr>
        <w:t>The graph covers the period from December 31, 2020 to December 31, 2025, and assumes that the value for each investment was $100 on December 31, 2020,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116840</wp:posOffset>
            </wp:positionV>
            <wp:extent cx="7115175" cy="3294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7115175" cy="3294380"/>
                    </a:xfrm>
                    <a:prstGeom prst="rect">
                      <a:avLst/>
                    </a:prstGeom>
                    <a:noFill/>
                  </pic:spPr>
                </pic:pic>
              </a:graphicData>
            </a:graphic>
          </wp:anchor>
        </w:drawing>
      </w:r>
    </w:p>
    <w:p>
      <w:pPr>
        <w:spacing w:after="0" w:line="285" w:lineRule="exact"/>
        <w:rPr>
          <w:sz w:val="20"/>
          <w:szCs w:val="20"/>
          <w:color w:val="auto"/>
        </w:rPr>
      </w:pPr>
    </w:p>
    <w:p>
      <w:pPr>
        <w:ind w:left="3166"/>
        <w:spacing w:after="0"/>
        <w:rPr>
          <w:sz w:val="20"/>
          <w:szCs w:val="20"/>
          <w:color w:val="auto"/>
        </w:rPr>
      </w:pPr>
      <w:r>
        <w:rPr>
          <w:rFonts w:ascii="Arial" w:cs="Arial" w:eastAsia="Arial" w:hAnsi="Arial"/>
          <w:sz w:val="20"/>
          <w:szCs w:val="20"/>
          <w:b w:val="1"/>
          <w:bCs w:val="1"/>
          <w:color w:val="231F20"/>
        </w:rPr>
        <w:t>Comparison of Cumulative Total Shareholder Return</w:t>
      </w:r>
    </w:p>
    <w:p>
      <w:pPr>
        <w:sectPr>
          <w:pgSz w:w="11880" w:h="15480" w:orient="portrait"/>
          <w:cols w:equalWidth="0" w:num="1">
            <w:col w:w="10486"/>
          </w:cols>
          <w:pgMar w:left="514"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62" w:type="dxa"/>
        <w:tblCellMar>
          <w:top w:w="0" w:type="dxa"/>
          <w:left w:w="0" w:type="dxa"/>
          <w:bottom w:w="0" w:type="dxa"/>
          <w:right w:w="0" w:type="dxa"/>
        </w:tblCellMar>
      </w:tblPr>
      <w:tr>
        <w:trPr>
          <w:trHeight w:val="40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231F20"/>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0"/>
        </w:trPr>
        <w:tc>
          <w:tcPr>
            <w:tcW w:w="439" w:type="dxa"/>
            <w:vAlign w:val="bottom"/>
            <w:textDirection w:val="btLr"/>
          </w:tcPr>
          <w:p>
            <w:pPr>
              <w:ind w:firstLine="598"/>
              <w:spacing w:after="0" w:line="327" w:lineRule="auto"/>
              <w:rPr>
                <w:sz w:val="20"/>
                <w:szCs w:val="20"/>
                <w:color w:val="auto"/>
              </w:rPr>
            </w:pPr>
            <w:r>
              <w:rPr>
                <w:rFonts w:ascii="Arial" w:cs="Arial" w:eastAsia="Arial" w:hAnsi="Arial"/>
                <w:sz w:val="14"/>
                <w:szCs w:val="14"/>
                <w:b w:val="1"/>
                <w:bCs w:val="1"/>
                <w:color w:val="231F20"/>
              </w:rPr>
              <w:t>(Index $100) Cumulative Investment</w:t>
            </w: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231F20"/>
        </w:rPr>
        <w:t>$350</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231F20"/>
        </w:rPr>
        <w:t>$300</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231F20"/>
        </w:rPr>
        <w:t>$250</w:t>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231F20"/>
        </w:rPr>
        <w:t>$200</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231F20"/>
        </w:rPr>
        <w:t>$150</w:t>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231F20"/>
        </w:rPr>
        <w:t>$100</w:t>
      </w:r>
    </w:p>
    <w:p>
      <w:pPr>
        <w:spacing w:after="0" w:line="337" w:lineRule="exact"/>
        <w:rPr>
          <w:sz w:val="20"/>
          <w:szCs w:val="20"/>
          <w:color w:val="auto"/>
        </w:rPr>
      </w:pPr>
    </w:p>
    <w:p>
      <w:pPr>
        <w:jc w:val="right"/>
        <w:ind w:right="9400"/>
        <w:spacing w:after="0"/>
        <w:rPr>
          <w:sz w:val="20"/>
          <w:szCs w:val="20"/>
          <w:color w:val="auto"/>
        </w:rPr>
      </w:pPr>
      <w:r>
        <w:rPr>
          <w:rFonts w:ascii="Arial" w:cs="Arial" w:eastAsia="Arial" w:hAnsi="Arial"/>
          <w:sz w:val="15"/>
          <w:szCs w:val="15"/>
          <w:color w:val="231F20"/>
        </w:rPr>
        <w:t>$50</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5"/>
          <w:szCs w:val="15"/>
          <w:color w:val="231F20"/>
        </w:rPr>
        <w:t>$-</w:t>
      </w:r>
    </w:p>
    <w:p>
      <w:pPr>
        <w:spacing w:after="0" w:line="22"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1860" w:type="dxa"/>
            <w:vAlign w:val="bottom"/>
          </w:tcPr>
          <w:p>
            <w:pPr>
              <w:jc w:val="right"/>
              <w:ind w:right="904"/>
              <w:spacing w:after="0"/>
              <w:rPr>
                <w:sz w:val="20"/>
                <w:szCs w:val="20"/>
                <w:color w:val="auto"/>
              </w:rPr>
            </w:pPr>
            <w:r>
              <w:rPr>
                <w:rFonts w:ascii="Arial" w:cs="Arial" w:eastAsia="Arial" w:hAnsi="Arial"/>
                <w:sz w:val="15"/>
                <w:szCs w:val="15"/>
                <w:color w:val="231F20"/>
              </w:rPr>
              <w:t>2020</w:t>
            </w:r>
          </w:p>
        </w:tc>
        <w:tc>
          <w:tcPr>
            <w:tcW w:w="780" w:type="dxa"/>
            <w:vAlign w:val="bottom"/>
          </w:tcPr>
          <w:p>
            <w:pPr>
              <w:jc w:val="right"/>
              <w:ind w:right="84"/>
              <w:spacing w:after="0"/>
              <w:rPr>
                <w:sz w:val="20"/>
                <w:szCs w:val="20"/>
                <w:color w:val="auto"/>
              </w:rPr>
            </w:pPr>
            <w:r>
              <w:rPr>
                <w:rFonts w:ascii="Arial" w:cs="Arial" w:eastAsia="Arial" w:hAnsi="Arial"/>
                <w:sz w:val="15"/>
                <w:szCs w:val="15"/>
                <w:color w:val="231F20"/>
              </w:rPr>
              <w:t>2021</w:t>
            </w:r>
          </w:p>
        </w:tc>
        <w:tc>
          <w:tcPr>
            <w:tcW w:w="2360" w:type="dxa"/>
            <w:vAlign w:val="bottom"/>
            <w:gridSpan w:val="2"/>
          </w:tcPr>
          <w:p>
            <w:pPr>
              <w:jc w:val="right"/>
              <w:ind w:right="864"/>
              <w:spacing w:after="0"/>
              <w:rPr>
                <w:sz w:val="20"/>
                <w:szCs w:val="20"/>
                <w:color w:val="auto"/>
              </w:rPr>
            </w:pPr>
            <w:r>
              <w:rPr>
                <w:rFonts w:ascii="Arial" w:cs="Arial" w:eastAsia="Arial" w:hAnsi="Arial"/>
                <w:sz w:val="15"/>
                <w:szCs w:val="15"/>
                <w:color w:val="231F20"/>
              </w:rPr>
              <w:t>2022</w:t>
            </w: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231F20"/>
              </w:rPr>
              <w:t>2023</w:t>
            </w:r>
          </w:p>
        </w:tc>
        <w:tc>
          <w:tcPr>
            <w:tcW w:w="1920" w:type="dxa"/>
            <w:vAlign w:val="bottom"/>
          </w:tcPr>
          <w:p>
            <w:pPr>
              <w:jc w:val="right"/>
              <w:ind w:right="564"/>
              <w:spacing w:after="0"/>
              <w:rPr>
                <w:sz w:val="20"/>
                <w:szCs w:val="20"/>
                <w:color w:val="auto"/>
              </w:rPr>
            </w:pPr>
            <w:r>
              <w:rPr>
                <w:rFonts w:ascii="Arial" w:cs="Arial" w:eastAsia="Arial" w:hAnsi="Arial"/>
                <w:sz w:val="15"/>
                <w:szCs w:val="15"/>
                <w:color w:val="231F20"/>
              </w:rPr>
              <w:t>2024</w:t>
            </w:r>
          </w:p>
        </w:tc>
        <w:tc>
          <w:tcPr>
            <w:tcW w:w="940" w:type="dxa"/>
            <w:vAlign w:val="bottom"/>
          </w:tcPr>
          <w:p>
            <w:pPr>
              <w:jc w:val="right"/>
              <w:spacing w:after="0"/>
              <w:rPr>
                <w:sz w:val="20"/>
                <w:szCs w:val="20"/>
                <w:color w:val="auto"/>
              </w:rPr>
            </w:pPr>
            <w:r>
              <w:rPr>
                <w:rFonts w:ascii="Arial" w:cs="Arial" w:eastAsia="Arial" w:hAnsi="Arial"/>
                <w:sz w:val="15"/>
                <w:szCs w:val="15"/>
                <w:color w:val="231F20"/>
              </w:rPr>
              <w:t>2025</w:t>
            </w:r>
          </w:p>
        </w:tc>
        <w:tc>
          <w:tcPr>
            <w:tcW w:w="0" w:type="dxa"/>
            <w:vAlign w:val="bottom"/>
          </w:tcPr>
          <w:p>
            <w:pPr>
              <w:spacing w:after="0"/>
              <w:rPr>
                <w:sz w:val="1"/>
                <w:szCs w:val="1"/>
                <w:color w:val="auto"/>
              </w:rPr>
            </w:pPr>
          </w:p>
        </w:tc>
      </w:tr>
      <w:tr>
        <w:trPr>
          <w:trHeight w:val="253"/>
        </w:trPr>
        <w:tc>
          <w:tcPr>
            <w:tcW w:w="1860" w:type="dxa"/>
            <w:vAlign w:val="bottom"/>
            <w:vMerge w:val="restart"/>
          </w:tcPr>
          <w:p>
            <w:pPr>
              <w:spacing w:after="0"/>
              <w:rPr>
                <w:sz w:val="20"/>
                <w:szCs w:val="20"/>
                <w:color w:val="auto"/>
              </w:rPr>
            </w:pPr>
            <w:r>
              <w:rPr>
                <w:rFonts w:ascii="Arial" w:cs="Arial" w:eastAsia="Arial" w:hAnsi="Arial"/>
                <w:sz w:val="15"/>
                <w:szCs w:val="15"/>
                <w:color w:val="231F20"/>
              </w:rPr>
              <w:t>Wesco International, Inc.</w:t>
            </w:r>
          </w:p>
        </w:tc>
        <w:tc>
          <w:tcPr>
            <w:tcW w:w="780" w:type="dxa"/>
            <w:vAlign w:val="bottom"/>
          </w:tcPr>
          <w:p>
            <w:pPr>
              <w:spacing w:after="0"/>
              <w:rPr>
                <w:sz w:val="21"/>
                <w:szCs w:val="21"/>
                <w:color w:val="auto"/>
              </w:rPr>
            </w:pPr>
          </w:p>
        </w:tc>
        <w:tc>
          <w:tcPr>
            <w:tcW w:w="340" w:type="dxa"/>
            <w:vAlign w:val="bottom"/>
            <w:tcBorders>
              <w:bottom w:val="single" w:sz="8" w:color="00A3D7"/>
            </w:tcBorders>
          </w:tcPr>
          <w:p>
            <w:pPr>
              <w:spacing w:after="0"/>
              <w:rPr>
                <w:sz w:val="21"/>
                <w:szCs w:val="21"/>
                <w:color w:val="auto"/>
              </w:rPr>
            </w:pPr>
          </w:p>
        </w:tc>
        <w:tc>
          <w:tcPr>
            <w:tcW w:w="2020" w:type="dxa"/>
            <w:vAlign w:val="bottom"/>
            <w:vMerge w:val="restart"/>
          </w:tcPr>
          <w:p>
            <w:pPr>
              <w:ind w:left="20"/>
              <w:spacing w:after="0"/>
              <w:rPr>
                <w:sz w:val="20"/>
                <w:szCs w:val="20"/>
                <w:color w:val="auto"/>
              </w:rPr>
            </w:pPr>
            <w:r>
              <w:rPr>
                <w:rFonts w:ascii="Arial" w:cs="Arial" w:eastAsia="Arial" w:hAnsi="Arial"/>
                <w:sz w:val="15"/>
                <w:szCs w:val="15"/>
                <w:color w:val="231F20"/>
              </w:rPr>
              <w:t>S&amp;P MidCap 400</w:t>
            </w:r>
          </w:p>
        </w:tc>
        <w:tc>
          <w:tcPr>
            <w:tcW w:w="640" w:type="dxa"/>
            <w:vAlign w:val="bottom"/>
          </w:tcPr>
          <w:p>
            <w:pPr>
              <w:spacing w:after="0"/>
              <w:rPr>
                <w:sz w:val="21"/>
                <w:szCs w:val="21"/>
                <w:color w:val="auto"/>
              </w:rPr>
            </w:pPr>
          </w:p>
        </w:tc>
        <w:tc>
          <w:tcPr>
            <w:tcW w:w="340" w:type="dxa"/>
            <w:vAlign w:val="bottom"/>
            <w:tcBorders>
              <w:bottom w:val="single" w:sz="8" w:color="E97539"/>
            </w:tcBorders>
          </w:tcPr>
          <w:p>
            <w:pPr>
              <w:spacing w:after="0"/>
              <w:rPr>
                <w:sz w:val="21"/>
                <w:szCs w:val="21"/>
                <w:color w:val="auto"/>
              </w:rPr>
            </w:pPr>
          </w:p>
        </w:tc>
        <w:tc>
          <w:tcPr>
            <w:tcW w:w="2860" w:type="dxa"/>
            <w:vAlign w:val="bottom"/>
            <w:gridSpan w:val="2"/>
            <w:vMerge w:val="restart"/>
          </w:tcPr>
          <w:p>
            <w:pPr>
              <w:jc w:val="right"/>
              <w:ind w:right="184"/>
              <w:spacing w:after="0"/>
              <w:rPr>
                <w:sz w:val="20"/>
                <w:szCs w:val="20"/>
                <w:color w:val="auto"/>
              </w:rPr>
            </w:pPr>
            <w:r>
              <w:rPr>
                <w:rFonts w:ascii="Arial" w:cs="Arial" w:eastAsia="Arial" w:hAnsi="Arial"/>
                <w:sz w:val="15"/>
                <w:szCs w:val="15"/>
                <w:color w:val="231F20"/>
                <w:w w:val="92"/>
              </w:rPr>
              <w:t>Dow Jones U.S. Industrial Suppliers Index</w:t>
            </w:r>
          </w:p>
        </w:tc>
        <w:tc>
          <w:tcPr>
            <w:tcW w:w="0" w:type="dxa"/>
            <w:vAlign w:val="bottom"/>
          </w:tcPr>
          <w:p>
            <w:pPr>
              <w:spacing w:after="0"/>
              <w:rPr>
                <w:sz w:val="1"/>
                <w:szCs w:val="1"/>
                <w:color w:val="auto"/>
              </w:rPr>
            </w:pPr>
          </w:p>
        </w:tc>
      </w:tr>
      <w:tr>
        <w:trPr>
          <w:trHeight w:val="63"/>
        </w:trPr>
        <w:tc>
          <w:tcPr>
            <w:tcW w:w="1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spacing w:after="0"/>
              <w:rPr>
                <w:sz w:val="20"/>
                <w:szCs w:val="20"/>
                <w:color w:val="auto"/>
              </w:rPr>
            </w:pPr>
            <w:r>
              <w:rPr>
                <w:rFonts w:ascii="Arial" w:cs="Arial" w:eastAsia="Arial" w:hAnsi="Arial"/>
                <w:sz w:val="15"/>
                <w:szCs w:val="15"/>
                <w:color w:val="231F20"/>
              </w:rPr>
              <w:t>Russell 2000 Index ¹</w:t>
            </w:r>
          </w:p>
        </w:tc>
        <w:tc>
          <w:tcPr>
            <w:tcW w:w="780" w:type="dxa"/>
            <w:vAlign w:val="bottom"/>
          </w:tcPr>
          <w:p>
            <w:pPr>
              <w:spacing w:after="0"/>
              <w:rPr>
                <w:sz w:val="17"/>
                <w:szCs w:val="17"/>
                <w:color w:val="auto"/>
              </w:rPr>
            </w:pPr>
          </w:p>
        </w:tc>
        <w:tc>
          <w:tcPr>
            <w:tcW w:w="340" w:type="dxa"/>
            <w:vAlign w:val="bottom"/>
            <w:tcBorders>
              <w:bottom w:val="single" w:sz="8" w:color="58AD46"/>
            </w:tcBorders>
          </w:tcPr>
          <w:p>
            <w:pPr>
              <w:spacing w:after="0"/>
              <w:rPr>
                <w:sz w:val="17"/>
                <w:szCs w:val="17"/>
                <w:color w:val="auto"/>
              </w:rPr>
            </w:pPr>
          </w:p>
        </w:tc>
        <w:tc>
          <w:tcPr>
            <w:tcW w:w="2020" w:type="dxa"/>
            <w:vAlign w:val="bottom"/>
            <w:vMerge w:val="restart"/>
          </w:tcPr>
          <w:p>
            <w:pPr>
              <w:ind w:left="20"/>
              <w:spacing w:after="0"/>
              <w:rPr>
                <w:sz w:val="20"/>
                <w:szCs w:val="20"/>
                <w:color w:val="auto"/>
              </w:rPr>
            </w:pPr>
            <w:r>
              <w:rPr>
                <w:rFonts w:ascii="Arial" w:cs="Arial" w:eastAsia="Arial" w:hAnsi="Arial"/>
                <w:sz w:val="15"/>
                <w:szCs w:val="15"/>
                <w:color w:val="231F20"/>
              </w:rPr>
              <w:t>Peformance Peer Group ¹ ²</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439" w:space="327"/>
            <w:col w:w="9720"/>
          </w:cols>
          <w:pgMar w:left="514" w:top="675" w:right="880" w:bottom="0" w:gutter="0" w:footer="0" w:header="0"/>
          <w:type w:val="continuous"/>
        </w:sectPr>
      </w:pPr>
    </w:p>
    <w:p>
      <w:pPr>
        <w:spacing w:after="0" w:line="175" w:lineRule="exact"/>
        <w:rPr>
          <w:sz w:val="20"/>
          <w:szCs w:val="20"/>
          <w:color w:val="auto"/>
        </w:rPr>
      </w:pPr>
    </w:p>
    <w:p>
      <w:pPr>
        <w:ind w:left="646" w:hanging="273"/>
        <w:spacing w:after="0" w:line="231" w:lineRule="auto"/>
        <w:tabs>
          <w:tab w:leader="none" w:pos="621" w:val="left"/>
        </w:tabs>
        <w:numPr>
          <w:ilvl w:val="0"/>
          <w:numId w:val="15"/>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Russell 2000 Index and self-selected performance peer group are being presented for comparative purposes only and will be removed beginning next year.</w:t>
      </w:r>
    </w:p>
    <w:p>
      <w:pPr>
        <w:spacing w:after="0" w:line="172" w:lineRule="exact"/>
        <w:rPr>
          <w:rFonts w:ascii="Times New Roman" w:cs="Times New Roman" w:eastAsia="Times New Roman" w:hAnsi="Times New Roman"/>
          <w:sz w:val="23"/>
          <w:szCs w:val="23"/>
          <w:color w:val="231F20"/>
          <w:vertAlign w:val="superscript"/>
        </w:rPr>
      </w:pPr>
    </w:p>
    <w:p>
      <w:pPr>
        <w:jc w:val="both"/>
        <w:ind w:left="646" w:hanging="273"/>
        <w:spacing w:after="0" w:line="236" w:lineRule="auto"/>
        <w:tabs>
          <w:tab w:leader="none" w:pos="651" w:val="left"/>
        </w:tabs>
        <w:numPr>
          <w:ilvl w:val="0"/>
          <w:numId w:val="15"/>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self-selected performance peer group includes the following companies: Applied Industrial Technologies, Inc., Arrow Electronics, Inc., Avnet, Inc., Barnes Group Inc., Eaton Corporation Plc, Fastenal Company, Genuine Parts Company, Hubbell, Inc., MRC Global, Inc., MSC Industrial Direct Co., Inc., Rexel SA, Rockwell Automation, Inc., W.W. Grainger,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pacing w:after="0" w:line="132"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486"/>
          </w:cols>
          <w:pgMar w:left="514" w:top="675"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65"/>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486"/>
          </w:cols>
          <w:pgMar w:left="514" w:top="675" w:right="8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i w:val="1"/>
          <w:iCs w:val="1"/>
          <w:color w:val="231F20"/>
        </w:rPr>
        <w:t xml:space="preserve">The following discussion should be read in conjunction with the audited consolidated financial statements and notes thereto included in Item 8 of this Annual Report on Form 10-K. The matters discussed herein may contain forward-looking statements that are subject to certain risks and uncertainties that could cause actual results to differ materially from expectations. Certain of these risks are set forth in Item 1A of this Annual Report on Form 10-K. In this Item 7,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Wesco</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refers to WESCO International, Inc., and its subsidiaries and its predecessors unless the context otherwise requires. References to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we,</w:t>
      </w:r>
      <w:r>
        <w:rPr>
          <w:rFonts w:ascii="Times New Roman" w:cs="Times New Roman" w:eastAsia="Times New Roman" w:hAnsi="Times New Roman"/>
          <w:sz w:val="20"/>
          <w:szCs w:val="20"/>
          <w:color w:val="231F20"/>
        </w:rPr>
        <w:t>” “</w:t>
      </w:r>
      <w:r>
        <w:rPr>
          <w:rFonts w:ascii="Times New Roman" w:cs="Times New Roman" w:eastAsia="Times New Roman" w:hAnsi="Times New Roman"/>
          <w:sz w:val="20"/>
          <w:szCs w:val="20"/>
          <w:i w:val="1"/>
          <w:iCs w:val="1"/>
          <w:color w:val="231F20"/>
        </w:rPr>
        <w:t>us,</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our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and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Company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refer to Wesco and its subsidiaries.</w:t>
      </w:r>
    </w:p>
    <w:p>
      <w:pPr>
        <w:spacing w:after="0" w:line="86"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expense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Company Overview</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Wesco, headquartered in Pittsburgh, Pennsylvania, is a leading provider of business-to-business distribution, logistics services and supply chain solutions.</w:t>
      </w:r>
    </w:p>
    <w:p>
      <w:pPr>
        <w:spacing w:after="0" w:line="64"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spacing w:after="0" w:line="9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 have operating segments comprising three strategic business units: Electrical &amp; Electronic Solutions (“EES”), Communications &amp; Security Solutions (“CSS”) and Utility &amp; Broadband Solutions (“UBS”). These operating segments are equivalent to our reportable segments. See Item 1, “Business” in this Annual Report on Form 10-K for a description of each of our reportable segments and their business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Highlights</w:t>
      </w:r>
    </w:p>
    <w:p>
      <w:pPr>
        <w:spacing w:after="0" w:line="132" w:lineRule="exact"/>
        <w:rPr>
          <w:sz w:val="20"/>
          <w:szCs w:val="20"/>
          <w:color w:val="auto"/>
        </w:rPr>
      </w:pPr>
    </w:p>
    <w:p>
      <w:pPr>
        <w:jc w:val="both"/>
        <w:ind w:firstLine="266"/>
        <w:spacing w:after="0" w:line="234" w:lineRule="auto"/>
        <w:rPr>
          <w:sz w:val="20"/>
          <w:szCs w:val="20"/>
          <w:color w:val="auto"/>
        </w:rPr>
      </w:pPr>
      <w:r>
        <w:rPr>
          <w:rFonts w:ascii="Times New Roman" w:cs="Times New Roman" w:eastAsia="Times New Roman" w:hAnsi="Times New Roman"/>
          <w:sz w:val="20"/>
          <w:szCs w:val="20"/>
          <w:color w:val="231F20"/>
        </w:rPr>
        <w:t>Our financial results reflect strong sales in 2025, highlighted by a 7.8% year-over-year increase in reported net sales. Organic sales increased by 8.6% year over year, which adjusts for the impact of acquisitions and divestitures, fluctuations in foreign exchange rates and number of workdays. Our CSS data center business is primarily driving this growth in sales, but also contributing to lower gross margins as compared to the prior year due to several large project sales. Our EES segment experienced continued growth across its Original Equipment Manufacturer (“OEM”) and construction businesses, fueled in part by rising demand for data center projects and increased infrastructure activity. Within the UBS segment, our Utility business experienced a year-over-year sales decline driven by reduced public power activity, while our Broadband business delivered year-over-year growth supported by continued network investments. We have also seen year-over-year backlog growth driven primarily by our CSS and UBS segments, with our EES segment contributing as well.</w:t>
      </w:r>
    </w:p>
    <w:p>
      <w:pPr>
        <w:spacing w:after="0" w:line="86" w:lineRule="exact"/>
        <w:rPr>
          <w:sz w:val="20"/>
          <w:szCs w:val="20"/>
          <w:color w:val="auto"/>
        </w:rPr>
      </w:pPr>
    </w:p>
    <w:p>
      <w:pPr>
        <w:jc w:val="both"/>
        <w:ind w:firstLine="266"/>
        <w:spacing w:after="0" w:line="239" w:lineRule="auto"/>
        <w:rPr>
          <w:sz w:val="20"/>
          <w:szCs w:val="20"/>
          <w:color w:val="auto"/>
        </w:rPr>
      </w:pPr>
      <w:r>
        <w:rPr>
          <w:rFonts w:ascii="Times New Roman" w:cs="Times New Roman" w:eastAsia="Times New Roman" w:hAnsi="Times New Roman"/>
          <w:sz w:val="20"/>
          <w:szCs w:val="20"/>
          <w:color w:val="231F20"/>
        </w:rPr>
        <w:t>We continued to address supplier price increases in response, in part, to global tariffs, including but not limited to, passing through price increases, leveraging scale to provide locally sourced products, reducing imports from high tariff countries, optimizing supply chain logistics, and re-engineering our global supply chain. Although the long-term impact remains uncertain, tariffs did not have a material effect on our financial results for 2025.</w:t>
      </w:r>
    </w:p>
    <w:p>
      <w:pPr>
        <w:spacing w:after="0" w:line="85" w:lineRule="exact"/>
        <w:rPr>
          <w:sz w:val="20"/>
          <w:szCs w:val="20"/>
          <w:color w:val="auto"/>
        </w:rPr>
      </w:pPr>
    </w:p>
    <w:p>
      <w:pPr>
        <w:jc w:val="both"/>
        <w:ind w:firstLine="266"/>
        <w:spacing w:after="0" w:line="259" w:lineRule="auto"/>
        <w:rPr>
          <w:sz w:val="20"/>
          <w:szCs w:val="20"/>
          <w:color w:val="auto"/>
        </w:rPr>
      </w:pPr>
      <w:r>
        <w:rPr>
          <w:rFonts w:ascii="Times New Roman" w:cs="Times New Roman" w:eastAsia="Times New Roman" w:hAnsi="Times New Roman"/>
          <w:sz w:val="20"/>
          <w:szCs w:val="20"/>
          <w:color w:val="231F20"/>
        </w:rPr>
        <w:t>After redeeming our Series A Preferred Stock in June 2025, we have no significant debt maturities until 2028 and have strong liquidity to execute our capital allocation priorities of debt reduction, stock buybacks and acquisitions.</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120"/>
          </w:cols>
          <w:pgMar w:left="880" w:top="672" w:right="880" w:bottom="0" w:gutter="0" w:footer="0" w:header="0"/>
          <w:type w:val="continuous"/>
        </w:sectPr>
      </w:pPr>
    </w:p>
    <w:bookmarkStart w:id="39" w:name="page40"/>
    <w:bookmarkEnd w:id="39"/>
    <w:p>
      <w:pPr>
        <w:jc w:val="both"/>
        <w:ind w:firstLine="266"/>
        <w:spacing w:after="0" w:line="244" w:lineRule="auto"/>
        <w:rPr>
          <w:sz w:val="20"/>
          <w:szCs w:val="20"/>
          <w:color w:val="auto"/>
        </w:rPr>
      </w:pPr>
      <w:r>
        <w:rPr>
          <w:rFonts w:ascii="Times New Roman" w:cs="Times New Roman" w:eastAsia="Times New Roman" w:hAnsi="Times New Roman"/>
          <w:sz w:val="20"/>
          <w:szCs w:val="20"/>
          <w:color w:val="231F20"/>
        </w:rPr>
        <w:t>During 2025, 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w:t>
      </w:r>
    </w:p>
    <w:p>
      <w:pPr>
        <w:spacing w:after="0" w:line="79" w:lineRule="exact"/>
        <w:rPr>
          <w:sz w:val="20"/>
          <w:szCs w:val="20"/>
          <w:color w:val="auto"/>
        </w:rPr>
      </w:pPr>
    </w:p>
    <w:p>
      <w:pPr>
        <w:jc w:val="both"/>
        <w:ind w:firstLine="266"/>
        <w:spacing w:after="0" w:line="259" w:lineRule="auto"/>
        <w:rPr>
          <w:sz w:val="20"/>
          <w:szCs w:val="20"/>
          <w:color w:val="auto"/>
        </w:rPr>
      </w:pPr>
      <w:r>
        <w:rPr>
          <w:rFonts w:ascii="Times New Roman" w:cs="Times New Roman" w:eastAsia="Times New Roman" w:hAnsi="Times New Roman"/>
          <w:sz w:val="20"/>
          <w:szCs w:val="20"/>
          <w:color w:val="231F20"/>
        </w:rPr>
        <w:t>Taking the above highlights into consideration, we believe we are well positioned to benefit from enduring secular growth trends of AI-driven data centers, increased power generation, and supply chain re-shoring.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w:t>
      </w:r>
    </w:p>
    <w:p>
      <w:pPr>
        <w:spacing w:after="0" w:line="132"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Our discussion and analysis of our financial condition and results of operations is based upon our consolidated financial statements, which have been prepared in accordance with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that involve a significant level of estimation uncertainty and have had or are reasonably likely to have a material impact on the financial condition or results of operations, including those related to goodwill and indefinite-lived intangible assets and income taxes.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If actual market conditions are less favorable than those projected by management, additional adjustments to reserve items may be required. We believe the following accounting estimates are the most critical to the understanding of our consolidated financial statements as they require subjective or complex judgments by management.</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231F20"/>
        </w:rPr>
        <w:t>Goodwill and Indefinite-Lived Intangible Assets</w:t>
      </w:r>
    </w:p>
    <w:p>
      <w:pPr>
        <w:spacing w:after="0" w:line="12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Goodwill and indefinite-lived intangible assets are tested for impairment annually as of October 1, or more frequently if triggering events occur, indicating that their carrying values may not be recoverable. We test for goodwill impairment on a reporting unit level. We have the option to first assess qualitative factors to determine whether it is more likely than not that the fair value of a reporting unit or indefinite-lived intangible asset is less than its carrying value as a basis for determining whether it is necessary to perform quantitative impairment tests. When performing a qualitative assessment we consider several factors,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w:t>
      </w:r>
    </w:p>
    <w:p>
      <w:pPr>
        <w:spacing w:after="0" w:line="93"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We will perform a quantitative impairment test if we bypass the qualitative assessment, or if based on the qualitative assessment, it is more likely than not that the fair value of each reporting unit or indefinite-lived intangible asset is less than the carrying amount. For the year ended December 31, 2025, we performed annual impairment tests of goodwill and indefinite-lived intangible assets during the fourth quarter of 2025 by assessing the above-mentioned qualitative factors. As a result of these assessments, we determined that it was more likely than not that the fair values of our reporting units and indefinite-lived intangible assets continued to exceed their respective carrying amounts and, therefore, a quantitative impairment test was not necessary.</w:t>
      </w:r>
    </w:p>
    <w:p>
      <w:pPr>
        <w:spacing w:after="0" w:line="89"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As it pertains to a quantitative impairment test, the determination of fair value involves significant management judgment, particularly as it relates to the underlying assumptions and factors around future expected revenues, operating margins and discount rate. This involves performing sensitivity analyses around certain of these assumptions in order to assess the reasonableness of the assumptions and resulting estimated fair values. Management applies its best judgment when assessing the reasonableness of financial projections. Fair values are sensitive to changes in underlying assumptions and factors, and as a result there can be no assurance that the estimates and assumptions made for purposes of the annual goodwill and indefinite-lived intangible assets impairment tests will prove to be an accurate prediction of future results.</w:t>
      </w:r>
    </w:p>
    <w:p>
      <w:pPr>
        <w:spacing w:after="0" w:line="89"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See Note 2, “Accounting Policies” and Note 6, “Goodwill and Intangible Assets” of our Notes to Consolidated Financial Statements for additional disclosure regarding goodwill and indefinite-lived intangible assets.</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231F20"/>
        </w:rPr>
        <w:t>Income Taxes</w:t>
      </w:r>
    </w:p>
    <w:p>
      <w:pPr>
        <w:spacing w:after="0" w:line="12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 recognize deferred tax assets consistent with amounts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 regularly assess the realizability of deferred tax assets.</w:t>
      </w:r>
    </w:p>
    <w:p>
      <w:pPr>
        <w:spacing w:after="0" w:line="88"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20"/>
          <w:szCs w:val="20"/>
          <w:color w:val="231F20"/>
        </w:rPr>
        <w:t>We account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 recognize interest and penalties related to uncertain tax benefits as part of interest expense and income tax expense, respectively.</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120"/>
          </w:cols>
          <w:pgMar w:left="880" w:top="679" w:right="880" w:bottom="0" w:gutter="0" w:footer="0" w:header="0"/>
          <w:type w:val="continuous"/>
        </w:sectPr>
      </w:pPr>
    </w:p>
    <w:bookmarkStart w:id="40" w:name="page41"/>
    <w:bookmarkEnd w:id="40"/>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See Note 2, “Accounting Policies” and Note 11, “Income Taxes” of our Notes to Consolidated Financial Statements for additional disclosure regarding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Net Sales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net sales and organic sales growth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540" w:type="dxa"/>
            <w:vAlign w:val="bottom"/>
            <w:tcBorders>
              <w:bottom w:val="single" w:sz="8" w:color="231F20"/>
            </w:tcBorders>
            <w:gridSpan w:val="4"/>
          </w:tcPr>
          <w:p>
            <w:pPr>
              <w:jc w:val="center"/>
              <w:ind w:right="206"/>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60" w:type="dxa"/>
            <w:vAlign w:val="bottom"/>
          </w:tcPr>
          <w:p>
            <w:pPr>
              <w:spacing w:after="0"/>
              <w:rPr>
                <w:sz w:val="20"/>
                <w:szCs w:val="20"/>
                <w:color w:val="auto"/>
              </w:rPr>
            </w:pPr>
          </w:p>
        </w:tc>
        <w:tc>
          <w:tcPr>
            <w:tcW w:w="118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4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Growth/(Decline)</w:t>
            </w:r>
          </w:p>
        </w:tc>
        <w:tc>
          <w:tcPr>
            <w:tcW w:w="8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vMerge w:val="restart"/>
          </w:tcPr>
          <w:p>
            <w:pPr>
              <w:jc w:val="right"/>
              <w:ind w:right="41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vMerge w:val="restart"/>
          </w:tcPr>
          <w:p>
            <w:pPr>
              <w:jc w:val="right"/>
              <w:ind w:right="426"/>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Reported</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Acquisition/</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Foreign</w:t>
            </w:r>
          </w:p>
        </w:tc>
        <w:tc>
          <w:tcPr>
            <w:tcW w:w="80" w:type="dxa"/>
            <w:vAlign w:val="bottom"/>
          </w:tcPr>
          <w:p>
            <w:pPr>
              <w:spacing w:after="0"/>
              <w:rPr>
                <w:sz w:val="20"/>
                <w:szCs w:val="20"/>
                <w:color w:val="auto"/>
              </w:rPr>
            </w:pPr>
          </w:p>
        </w:tc>
        <w:tc>
          <w:tcPr>
            <w:tcW w:w="11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231F20"/>
              </w:rPr>
              <w:t>Workday</w:t>
            </w:r>
          </w:p>
        </w:tc>
        <w:tc>
          <w:tcPr>
            <w:tcW w:w="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Organic</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80" w:type="dxa"/>
            <w:vAlign w:val="bottom"/>
          </w:tcPr>
          <w:p>
            <w:pPr>
              <w:spacing w:after="0"/>
              <w:rPr>
                <w:sz w:val="20"/>
                <w:szCs w:val="20"/>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Divestiture</w:t>
            </w:r>
          </w:p>
        </w:tc>
        <w:tc>
          <w:tcPr>
            <w:tcW w:w="80" w:type="dxa"/>
            <w:vAlign w:val="bottom"/>
          </w:tcPr>
          <w:p>
            <w:pPr>
              <w:spacing w:after="0"/>
              <w:rPr>
                <w:sz w:val="20"/>
                <w:szCs w:val="20"/>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Exchange</w:t>
            </w:r>
          </w:p>
        </w:tc>
        <w:tc>
          <w:tcPr>
            <w:tcW w:w="80" w:type="dxa"/>
            <w:vAlign w:val="bottom"/>
          </w:tcPr>
          <w:p>
            <w:pPr>
              <w:spacing w:after="0"/>
              <w:rPr>
                <w:sz w:val="20"/>
                <w:szCs w:val="20"/>
                <w:color w:val="auto"/>
              </w:rPr>
            </w:pPr>
          </w:p>
        </w:tc>
        <w:tc>
          <w:tcPr>
            <w:tcW w:w="1160" w:type="dxa"/>
            <w:vAlign w:val="bottom"/>
            <w:tcBorders>
              <w:bottom w:val="single" w:sz="8" w:color="231F20"/>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center"/>
              <w:ind w:left="551"/>
              <w:spacing w:after="0"/>
              <w:rPr>
                <w:sz w:val="20"/>
                <w:szCs w:val="20"/>
                <w:color w:val="auto"/>
              </w:rPr>
            </w:pPr>
            <w:r>
              <w:rPr>
                <w:rFonts w:ascii="Times New Roman" w:cs="Times New Roman" w:eastAsia="Times New Roman" w:hAnsi="Times New Roman"/>
                <w:sz w:val="16"/>
                <w:szCs w:val="16"/>
                <w:b w:val="1"/>
                <w:bCs w:val="1"/>
                <w:color w:val="231F20"/>
                <w:w w:val="99"/>
              </w:rPr>
              <w:t>(In millions)</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2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sales</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23,510.9</w:t>
            </w:r>
          </w:p>
        </w:tc>
        <w:tc>
          <w:tcPr>
            <w:tcW w:w="520" w:type="dxa"/>
            <w:vAlign w:val="bottom"/>
            <w:gridSpan w:val="2"/>
            <w:shd w:val="clear" w:color="auto" w:fill="CFEBF4"/>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21,818.8</w:t>
            </w:r>
          </w:p>
        </w:tc>
        <w:tc>
          <w:tcPr>
            <w:tcW w:w="1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7.8 %</w:t>
            </w:r>
          </w:p>
        </w:tc>
        <w:tc>
          <w:tcPr>
            <w:tcW w:w="1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10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8.6 %</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2025 had one less workday compared to 2024.</w:t>
      </w:r>
    </w:p>
    <w:p>
      <w:pPr>
        <w:spacing w:after="0" w:line="85"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Net sales were $23.5 billion for 2025 compared to $21.8 billion for 2024, an increase of 7.8%. Organic sales for 2025 grew by 8.6%. This growth reflects an approximate 6% increase in volume driven by the CSS and EES segments, and an approximate 2% benefit from price.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 of Goods Sold</w:t>
      </w:r>
    </w:p>
    <w:p>
      <w:pPr>
        <w:spacing w:after="0" w:line="132" w:lineRule="exact"/>
        <w:rPr>
          <w:sz w:val="20"/>
          <w:szCs w:val="20"/>
          <w:color w:val="auto"/>
        </w:rPr>
      </w:pPr>
    </w:p>
    <w:p>
      <w:pPr>
        <w:jc w:val="both"/>
        <w:ind w:firstLine="266"/>
        <w:spacing w:after="0" w:line="273" w:lineRule="auto"/>
        <w:rPr>
          <w:sz w:val="20"/>
          <w:szCs w:val="20"/>
          <w:color w:val="auto"/>
        </w:rPr>
      </w:pPr>
      <w:r>
        <w:rPr>
          <w:rFonts w:ascii="Times New Roman" w:cs="Times New Roman" w:eastAsia="Times New Roman" w:hAnsi="Times New Roman"/>
          <w:sz w:val="19"/>
          <w:szCs w:val="19"/>
          <w:color w:val="231F20"/>
        </w:rPr>
        <w:t>Cost of goods sold for 2025 was $18.5 billion compared to $17.1 billion for 2024, an increase of $1.4 billion. Cost of goods sold as a percentage of net sales was 78.9% and 78.4% for 2025 and 2024, respectively. The unfavorable increase of 50 basis points primarily reflects a decrease in gross margin across all three segments, most significantly in the UBS segment primarily due to competitive pressures in the public power market, as well as in the EES and CSS segments driven by large project sales.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SG&amp;A</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Expenses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SG&amp;A expenses for 2025 totaled $3.5 billion versus $3.3 billion for 2024, an increase of 7.1%.</w:t>
      </w:r>
    </w:p>
    <w:p>
      <w:pPr>
        <w:spacing w:after="0" w:line="125"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reconciles SG&amp;A expenses to adjusted SG&amp;A expenses, which is a non-GAAP financial measure, for the periods presented:</w:t>
      </w:r>
    </w:p>
    <w:p>
      <w:pPr>
        <w:spacing w:after="0" w:line="20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0"/>
          <w:szCs w:val="20"/>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3395980</wp:posOffset>
                </wp:positionH>
                <wp:positionV relativeFrom="paragraph">
                  <wp:posOffset>27305</wp:posOffset>
                </wp:positionV>
                <wp:extent cx="251396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3965"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4pt,2.15pt" to="465.35pt,2.15pt" o:allowincell="f" strokecolor="#231F20" strokeweight="0.985pt"/>
            </w:pict>
          </mc:Fallback>
        </mc:AlternateContent>
      </w:r>
    </w:p>
    <w:p>
      <w:pPr>
        <w:spacing w:after="0" w:line="106"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 of net</w:t>
            </w:r>
          </w:p>
        </w:tc>
        <w:tc>
          <w:tcPr>
            <w:tcW w:w="320" w:type="dxa"/>
            <w:vAlign w:val="bottom"/>
          </w:tcPr>
          <w:p>
            <w:pPr>
              <w:spacing w:after="0"/>
              <w:rPr>
                <w:sz w:val="16"/>
                <w:szCs w:val="16"/>
                <w:color w:val="auto"/>
              </w:rPr>
            </w:pPr>
          </w:p>
        </w:tc>
        <w:tc>
          <w:tcPr>
            <w:tcW w:w="100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 of net</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vMerge w:val="continue"/>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6"/>
              </w:rPr>
              <w:t>sales</w:t>
            </w:r>
          </w:p>
        </w:tc>
        <w:tc>
          <w:tcPr>
            <w:tcW w:w="32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6"/>
              </w:rPr>
              <w:t>sales</w:t>
            </w:r>
          </w:p>
        </w:tc>
        <w:tc>
          <w:tcPr>
            <w:tcW w:w="0" w:type="dxa"/>
            <w:vAlign w:val="bottom"/>
          </w:tcPr>
          <w:p>
            <w:pPr>
              <w:spacing w:after="0"/>
              <w:rPr>
                <w:sz w:val="1"/>
                <w:szCs w:val="1"/>
                <w:color w:val="auto"/>
              </w:rPr>
            </w:pPr>
          </w:p>
        </w:tc>
      </w:tr>
      <w:tr>
        <w:trPr>
          <w:trHeight w:val="278"/>
        </w:trPr>
        <w:tc>
          <w:tcPr>
            <w:tcW w:w="45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Adjusted SG&amp;A Expenses: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gridSpan w:val="3"/>
          </w:tcPr>
          <w:p>
            <w:pPr>
              <w:jc w:val="center"/>
              <w:ind w:right="121"/>
              <w:spacing w:after="0"/>
              <w:rPr>
                <w:sz w:val="20"/>
                <w:szCs w:val="20"/>
                <w:color w:val="auto"/>
              </w:rPr>
            </w:pPr>
            <w:r>
              <w:rPr>
                <w:rFonts w:ascii="Times New Roman" w:cs="Times New Roman" w:eastAsia="Times New Roman" w:hAnsi="Times New Roman"/>
                <w:sz w:val="16"/>
                <w:szCs w:val="16"/>
                <w:b w:val="1"/>
                <w:bCs w:val="1"/>
                <w:color w:val="231F20"/>
                <w:w w:val="97"/>
              </w:rPr>
              <w:t>(In millions)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5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SG&amp;A expenses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3,541.4</w:t>
            </w:r>
          </w:p>
        </w:tc>
        <w:tc>
          <w:tcPr>
            <w:tcW w:w="760" w:type="dxa"/>
            <w:vAlign w:val="bottom"/>
            <w:gridSpan w:val="2"/>
            <w:shd w:val="clear" w:color="auto" w:fill="CFEBF4"/>
          </w:tcPr>
          <w:p>
            <w:pPr>
              <w:jc w:val="center"/>
              <w:ind w:left="81"/>
              <w:spacing w:after="0"/>
              <w:rPr>
                <w:sz w:val="20"/>
                <w:szCs w:val="20"/>
                <w:color w:val="auto"/>
              </w:rPr>
            </w:pPr>
            <w:r>
              <w:rPr>
                <w:rFonts w:ascii="Times New Roman" w:cs="Times New Roman" w:eastAsia="Times New Roman" w:hAnsi="Times New Roman"/>
                <w:sz w:val="16"/>
                <w:szCs w:val="16"/>
                <w:color w:val="231F20"/>
                <w:w w:val="96"/>
              </w:rPr>
              <w:t>15.1%</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3,306.2</w:t>
            </w:r>
          </w:p>
        </w:tc>
        <w:tc>
          <w:tcPr>
            <w:tcW w:w="6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16"/>
                <w:szCs w:val="16"/>
                <w:color w:val="231F20"/>
                <w:w w:val="96"/>
              </w:rPr>
              <w:t>15.2%</w:t>
            </w:r>
          </w:p>
        </w:tc>
        <w:tc>
          <w:tcPr>
            <w:tcW w:w="0" w:type="dxa"/>
            <w:vAlign w:val="bottom"/>
          </w:tcPr>
          <w:p>
            <w:pPr>
              <w:spacing w:after="0"/>
              <w:rPr>
                <w:sz w:val="1"/>
                <w:szCs w:val="1"/>
                <w:color w:val="auto"/>
              </w:rPr>
            </w:pPr>
          </w:p>
        </w:tc>
      </w:tr>
      <w:tr>
        <w:trPr>
          <w:trHeight w:val="295"/>
        </w:trPr>
        <w:tc>
          <w:tcPr>
            <w:tcW w:w="45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Digital transformation costs</w:t>
            </w:r>
            <w:r>
              <w:rPr>
                <w:rFonts w:ascii="Times New Roman" w:cs="Times New Roman" w:eastAsia="Times New Roman" w:hAnsi="Times New Roman"/>
                <w:sz w:val="25"/>
                <w:szCs w:val="25"/>
                <w:color w:val="231F20"/>
                <w:vertAlign w:val="superscript"/>
              </w:rPr>
              <w:t>(1)</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(24.9)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520" w:type="dxa"/>
            <w:vAlign w:val="bottom"/>
            <w:shd w:val="clear" w:color="auto" w:fill="CFEBF4"/>
          </w:tcPr>
          <w:p>
            <w:pPr>
              <w:ind w:left="220"/>
              <w:spacing w:after="0"/>
              <w:rPr>
                <w:sz w:val="20"/>
                <w:szCs w:val="20"/>
                <w:color w:val="auto"/>
              </w:rPr>
            </w:pPr>
            <w:r>
              <w:rPr>
                <w:rFonts w:ascii="Times New Roman" w:cs="Times New Roman" w:eastAsia="Times New Roman" w:hAnsi="Times New Roman"/>
                <w:sz w:val="20"/>
                <w:szCs w:val="20"/>
                <w:color w:val="231F20"/>
              </w:rPr>
              <w:t>Restructuring costs</w:t>
            </w:r>
            <w:r>
              <w:rPr>
                <w:rFonts w:ascii="Times New Roman" w:cs="Times New Roman" w:eastAsia="Times New Roman" w:hAnsi="Times New Roman"/>
                <w:sz w:val="25"/>
                <w:szCs w:val="25"/>
                <w:color w:val="231F20"/>
                <w:vertAlign w:val="superscript"/>
              </w:rPr>
              <w:t>(2)</w:t>
            </w:r>
          </w:p>
        </w:tc>
        <w:tc>
          <w:tcPr>
            <w:tcW w:w="32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BF4"/>
          </w:tcPr>
          <w:p>
            <w:pPr>
              <w:spacing w:after="0"/>
              <w:rPr>
                <w:sz w:val="24"/>
                <w:szCs w:val="24"/>
                <w:color w:val="auto"/>
              </w:rPr>
            </w:pPr>
          </w:p>
        </w:tc>
        <w:tc>
          <w:tcPr>
            <w:tcW w:w="66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1000" w:type="dxa"/>
            <w:vAlign w:val="bottom"/>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(12.1)</w:t>
            </w:r>
          </w:p>
        </w:tc>
        <w:tc>
          <w:tcPr>
            <w:tcW w:w="66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5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Loss on abandonment of assets</w:t>
            </w:r>
            <w:r>
              <w:rPr>
                <w:rFonts w:ascii="Times New Roman" w:cs="Times New Roman" w:eastAsia="Times New Roman" w:hAnsi="Times New Roman"/>
                <w:sz w:val="25"/>
                <w:szCs w:val="25"/>
                <w:color w:val="231F20"/>
                <w:vertAlign w:val="superscript"/>
              </w:rPr>
              <w:t>(3)</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(17.8)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Borders>
              <w:bottom w:val="single" w:sz="8" w:color="CFEBF4"/>
            </w:tcBorders>
            <w:shd w:val="clear" w:color="auto" w:fill="CFEBF4"/>
          </w:tcPr>
          <w:p>
            <w:pPr>
              <w:ind w:left="220"/>
              <w:spacing w:after="0" w:line="286" w:lineRule="exact"/>
              <w:rPr>
                <w:sz w:val="20"/>
                <w:szCs w:val="20"/>
                <w:color w:val="auto"/>
              </w:rPr>
            </w:pPr>
            <w:r>
              <w:rPr>
                <w:rFonts w:ascii="Times New Roman" w:cs="Times New Roman" w:eastAsia="Times New Roman" w:hAnsi="Times New Roman"/>
                <w:sz w:val="20"/>
                <w:szCs w:val="20"/>
                <w:color w:val="231F20"/>
              </w:rPr>
              <w:t>Excise taxes on excess pension plan assets</w:t>
            </w:r>
            <w:r>
              <w:rPr>
                <w:rFonts w:ascii="Times New Roman" w:cs="Times New Roman" w:eastAsia="Times New Roman" w:hAnsi="Times New Roman"/>
                <w:sz w:val="25"/>
                <w:szCs w:val="25"/>
                <w:color w:val="231F20"/>
                <w:vertAlign w:val="superscript"/>
              </w:rPr>
              <w:t>(4)</w:t>
            </w:r>
          </w:p>
        </w:tc>
        <w:tc>
          <w:tcPr>
            <w:tcW w:w="32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CFEBF4"/>
          </w:tcPr>
          <w:p>
            <w:pPr>
              <w:spacing w:after="0"/>
              <w:rPr>
                <w:sz w:val="24"/>
                <w:szCs w:val="24"/>
                <w:color w:val="auto"/>
              </w:rPr>
            </w:pPr>
          </w:p>
        </w:tc>
        <w:tc>
          <w:tcPr>
            <w:tcW w:w="66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(4.9)</w:t>
            </w:r>
          </w:p>
        </w:tc>
        <w:tc>
          <w:tcPr>
            <w:tcW w:w="660" w:type="dxa"/>
            <w:vAlign w:val="bottom"/>
            <w:tcBorders>
              <w:bottom w:val="single" w:sz="8" w:color="CFEBF4"/>
            </w:tcBorders>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Adjusted SG&amp;A expenses</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3,506.2</w:t>
            </w:r>
          </w:p>
        </w:tc>
        <w:tc>
          <w:tcPr>
            <w:tcW w:w="7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231F20"/>
                <w:w w:val="96"/>
              </w:rPr>
              <w:t>14.9%</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3,246.5</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6"/>
              </w:rPr>
              <w:t>14.9%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-231140</wp:posOffset>
            </wp:positionV>
            <wp:extent cx="2142490"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2142490" cy="50165"/>
                    </a:xfrm>
                    <a:prstGeom prst="rect">
                      <a:avLst/>
                    </a:prstGeom>
                    <a:noFill/>
                  </pic:spPr>
                </pic:pic>
              </a:graphicData>
            </a:graphic>
          </wp:anchor>
        </w:drawing>
      </w:r>
    </w:p>
    <w:p>
      <w:pPr>
        <w:sectPr>
          <w:pgSz w:w="11880" w:h="15480" w:orient="portrait"/>
          <w:cols w:equalWidth="0" w:num="1">
            <w:col w:w="10120"/>
          </w:cols>
          <w:pgMar w:left="880" w:top="679" w:right="880" w:bottom="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Digital transformation costs include costs associated with certain digital transformation initiatives.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Restructuring costs include severance costs incurred pursuant to an ongoing restructuring plan.</w:t>
      </w:r>
    </w:p>
    <w:p>
      <w:pPr>
        <w:spacing w:after="0" w:line="65" w:lineRule="exact"/>
        <w:rPr>
          <w:sz w:val="20"/>
          <w:szCs w:val="20"/>
          <w:color w:val="auto"/>
        </w:rPr>
      </w:pPr>
    </w:p>
    <w:p>
      <w:pPr>
        <w:sectPr>
          <w:pgSz w:w="11880" w:h="15480" w:orient="portrait"/>
          <w:cols w:equalWidth="0" w:num="2">
            <w:col w:w="140" w:space="140"/>
            <w:col w:w="9840"/>
          </w:cols>
          <w:pgMar w:left="880" w:top="679" w:right="880" w:bottom="0" w:gutter="0" w:footer="0" w:header="0"/>
          <w:type w:val="continuous"/>
        </w:sectPr>
      </w:pPr>
    </w:p>
    <w:p>
      <w:pPr>
        <w:jc w:val="both"/>
        <w:ind w:left="280" w:hanging="273"/>
        <w:spacing w:after="0" w:line="232" w:lineRule="auto"/>
        <w:tabs>
          <w:tab w:leader="none" w:pos="280" w:val="left"/>
        </w:tabs>
        <w:numPr>
          <w:ilvl w:val="0"/>
          <w:numId w:val="16"/>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41" w:lineRule="exact"/>
        <w:rPr>
          <w:rFonts w:ascii="Times New Roman" w:cs="Times New Roman" w:eastAsia="Times New Roman" w:hAnsi="Times New Roman"/>
          <w:sz w:val="23"/>
          <w:szCs w:val="23"/>
          <w:color w:val="231F20"/>
          <w:vertAlign w:val="superscript"/>
        </w:rPr>
      </w:pPr>
    </w:p>
    <w:p>
      <w:pPr>
        <w:ind w:left="280" w:hanging="273"/>
        <w:spacing w:after="0" w:line="226" w:lineRule="auto"/>
        <w:tabs>
          <w:tab w:leader="none" w:pos="280" w:val="left"/>
        </w:tabs>
        <w:numPr>
          <w:ilvl w:val="0"/>
          <w:numId w:val="16"/>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Excise taxes on excess pension plan assets represent the excise taxes applicable to the excess pension plan assets following the final settlement of the Company's U.S. pension plan.</w:t>
      </w:r>
    </w:p>
    <w:p>
      <w:pPr>
        <w:sectPr>
          <w:pgSz w:w="11880" w:h="15480" w:orient="portrait"/>
          <w:cols w:equalWidth="0" w:num="1">
            <w:col w:w="10120"/>
          </w:cols>
          <w:pgMar w:left="880" w:top="679"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120"/>
          </w:cols>
          <w:pgMar w:left="880" w:top="679" w:right="880" w:bottom="0" w:gutter="0" w:footer="0" w:header="0"/>
          <w:type w:val="continuous"/>
        </w:sectPr>
      </w:pPr>
    </w:p>
    <w:bookmarkStart w:id="41" w:name="page42"/>
    <w:bookmarkEnd w:id="41"/>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SG&amp;A payroll and payroll-related expenses for 2025 of $2,193.7 million increased by $144.2 million compared to 2024, primarily as a result of increased salaries of $69.8 million due to wage inflation and increased commissions and incentives of $42.2 million, partially offset by the impact of the divestiture of the WIS business.</w:t>
      </w:r>
    </w:p>
    <w:p>
      <w:pPr>
        <w:spacing w:after="0" w:line="77"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SG&amp;A expenses not related to payroll and payroll-related costs for 2025 were $1,347.7 million, an increase of $91.0 million compared to 2024, which primarily reflects increased costs to operate our facilities of $32.8 million, increased transportation costs of $32.1 million, and higher IT costs of $24.8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Depreciation and Amortization</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Depreciation and amortization for 2025 was $197.6 million compared to $183.2 million for 2024, an increase of $14.4 million. The increase was primarily driven by depreciation related to IT asset additions placed into service during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 net</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Net interest expense totaled $386.7 million for 2025 compared to $364.9 million for 2024. The increase of $21.8 million, or 6.0%, was primarily driven by the issuance of the 6.375% Senior Notes due 2033 (the “2033 Notes”) and an increase in expense from adjustments for uncertain tax positions, partially offset by lower borrowings and lower interest rates on the Revolving Credit Facility throughout 2025 compared to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net</w:t>
      </w:r>
    </w:p>
    <w:p>
      <w:pPr>
        <w:spacing w:after="0" w:line="13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Other non-operating income totaled $9.6 million for 2025 compared to $92.7 million for 2024. The year ended December 31, 2024 included a $122.2 million gain on the sale of our WIS business. We recognized $4.5 million of income in 2025 from adjustments to the fair value of the contingent consideration liability related to a recent acquisition. Due to fluctuations in the U.S. dollar against certain foreign currencies, we recognized a net foreign currency exchange loss of $0.3 million for 2025 compared to a net loss of $25.5 million for 2024. We recognized net benefits of $3.3 million and net costs of $1.6 million associated with the non-service cost components of net periodic pension cost (benefit) for 2025 and 2024, respectively. The year-over-year decrease in net periodic pension cost was due to the settlement of the Anixter Inc. Pension Plan in the first quarter of 2024.</w:t>
      </w:r>
    </w:p>
    <w:p>
      <w:pPr>
        <w:spacing w:after="0" w:line="93"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20"/>
          <w:szCs w:val="20"/>
          <w:color w:val="231F20"/>
        </w:rPr>
        <w:t>The following table reconciles other non-operating income to adjusted other non-operating (income) expense, which is a non-GAAP financial measure, for the periods presented:</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2440" w:type="dxa"/>
            <w:vAlign w:val="bottom"/>
            <w:tcBorders>
              <w:bottom w:val="single" w:sz="8" w:color="231F20"/>
            </w:tcBorders>
            <w:gridSpan w:val="4"/>
          </w:tcPr>
          <w:p>
            <w:pPr>
              <w:jc w:val="right"/>
              <w:ind w:right="263"/>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r>
      <w:tr>
        <w:trPr>
          <w:trHeight w:val="275"/>
        </w:trPr>
        <w:tc>
          <w:tcPr>
            <w:tcW w:w="4540" w:type="dxa"/>
            <w:vAlign w:val="bottom"/>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3"/>
                <w:szCs w:val="23"/>
                <w:color w:val="auto"/>
              </w:rPr>
            </w:pPr>
          </w:p>
        </w:tc>
        <w:tc>
          <w:tcPr>
            <w:tcW w:w="44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80"/>
        </w:trPr>
        <w:tc>
          <w:tcPr>
            <w:tcW w:w="4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Adjusted Other (Income) Expense, net:</w:t>
            </w:r>
          </w:p>
        </w:tc>
        <w:tc>
          <w:tcPr>
            <w:tcW w:w="2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880" w:type="dxa"/>
            <w:vAlign w:val="bottom"/>
          </w:tcPr>
          <w:p>
            <w:pPr>
              <w:spacing w:after="0"/>
              <w:rPr>
                <w:sz w:val="24"/>
                <w:szCs w:val="24"/>
                <w:color w:val="auto"/>
              </w:rPr>
            </w:pPr>
          </w:p>
        </w:tc>
      </w:tr>
      <w:tr>
        <w:trPr>
          <w:trHeight w:val="301"/>
        </w:trPr>
        <w:tc>
          <w:tcPr>
            <w:tcW w:w="45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Other income, net</w:t>
            </w:r>
          </w:p>
        </w:tc>
        <w:tc>
          <w:tcPr>
            <w:tcW w:w="260" w:type="dxa"/>
            <w:vAlign w:val="bottom"/>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FEBF4"/>
          </w:tcPr>
          <w:p>
            <w:pPr>
              <w:jc w:val="right"/>
              <w:ind w:right="46"/>
              <w:spacing w:after="0"/>
              <w:rPr>
                <w:sz w:val="20"/>
                <w:szCs w:val="20"/>
                <w:color w:val="auto"/>
              </w:rPr>
            </w:pPr>
            <w:r>
              <w:rPr>
                <w:rFonts w:ascii="Times New Roman" w:cs="Times New Roman" w:eastAsia="Times New Roman" w:hAnsi="Times New Roman"/>
                <w:sz w:val="20"/>
                <w:szCs w:val="20"/>
                <w:color w:val="231F20"/>
              </w:rPr>
              <w:t>(9.6)</w:t>
            </w:r>
          </w:p>
        </w:tc>
        <w:tc>
          <w:tcPr>
            <w:tcW w:w="500" w:type="dxa"/>
            <w:vAlign w:val="bottom"/>
            <w:gridSpan w:val="2"/>
            <w:shd w:val="clear" w:color="auto" w:fill="CFEBF4"/>
          </w:tcPr>
          <w:p>
            <w:pPr>
              <w:jc w:val="right"/>
              <w:ind w:right="181"/>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(92.7)</w:t>
            </w:r>
          </w:p>
        </w:tc>
      </w:tr>
      <w:tr>
        <w:trPr>
          <w:trHeight w:val="295"/>
        </w:trPr>
        <w:tc>
          <w:tcPr>
            <w:tcW w:w="45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Loss on termination of business arrangement</w:t>
            </w:r>
            <w:r>
              <w:rPr>
                <w:rFonts w:ascii="Times New Roman" w:cs="Times New Roman" w:eastAsia="Times New Roman" w:hAnsi="Times New Roman"/>
                <w:sz w:val="25"/>
                <w:szCs w:val="25"/>
                <w:color w:val="231F20"/>
                <w:vertAlign w:val="superscript"/>
              </w:rPr>
              <w:t>(1)</w:t>
            </w:r>
          </w:p>
        </w:tc>
        <w:tc>
          <w:tcPr>
            <w:tcW w:w="26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231F20"/>
              </w:rPr>
              <w:t>(0.3)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(3.6)</w:t>
            </w:r>
          </w:p>
        </w:tc>
      </w:tr>
      <w:tr>
        <w:trPr>
          <w:trHeight w:val="296"/>
        </w:trPr>
        <w:tc>
          <w:tcPr>
            <w:tcW w:w="4540" w:type="dxa"/>
            <w:vAlign w:val="bottom"/>
            <w:shd w:val="clear" w:color="auto" w:fill="CFEBF4"/>
          </w:tcPr>
          <w:p>
            <w:pPr>
              <w:ind w:left="220"/>
              <w:spacing w:after="0"/>
              <w:rPr>
                <w:sz w:val="20"/>
                <w:szCs w:val="20"/>
                <w:color w:val="auto"/>
              </w:rPr>
            </w:pPr>
            <w:r>
              <w:rPr>
                <w:rFonts w:ascii="Times New Roman" w:cs="Times New Roman" w:eastAsia="Times New Roman" w:hAnsi="Times New Roman"/>
                <w:sz w:val="20"/>
                <w:szCs w:val="20"/>
                <w:color w:val="231F20"/>
              </w:rPr>
              <w:t>Pension settlement cost</w:t>
            </w:r>
            <w:r>
              <w:rPr>
                <w:rFonts w:ascii="Times New Roman" w:cs="Times New Roman" w:eastAsia="Times New Roman" w:hAnsi="Times New Roman"/>
                <w:sz w:val="25"/>
                <w:szCs w:val="25"/>
                <w:color w:val="231F20"/>
                <w:vertAlign w:val="superscript"/>
              </w:rPr>
              <w:t>(2)</w:t>
            </w:r>
          </w:p>
        </w:tc>
        <w:tc>
          <w:tcPr>
            <w:tcW w:w="260" w:type="dxa"/>
            <w:vAlign w:val="bottom"/>
            <w:shd w:val="clear" w:color="auto" w:fill="CFEBF4"/>
          </w:tcPr>
          <w:p>
            <w:pPr>
              <w:spacing w:after="0"/>
              <w:rPr>
                <w:sz w:val="24"/>
                <w:szCs w:val="24"/>
                <w:color w:val="auto"/>
              </w:rPr>
            </w:pPr>
          </w:p>
        </w:tc>
        <w:tc>
          <w:tcPr>
            <w:tcW w:w="1060" w:type="dxa"/>
            <w:vAlign w:val="bottom"/>
            <w:shd w:val="clear" w:color="auto" w:fill="CFEBF4"/>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440" w:type="dxa"/>
            <w:vAlign w:val="bottom"/>
            <w:shd w:val="clear" w:color="auto" w:fill="CFEBF4"/>
          </w:tcPr>
          <w:p>
            <w:pPr>
              <w:spacing w:after="0"/>
              <w:rPr>
                <w:sz w:val="24"/>
                <w:szCs w:val="24"/>
                <w:color w:val="auto"/>
              </w:rPr>
            </w:pP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(2.5)</w:t>
            </w:r>
          </w:p>
        </w:tc>
      </w:tr>
      <w:tr>
        <w:trPr>
          <w:trHeight w:val="285"/>
        </w:trPr>
        <w:tc>
          <w:tcPr>
            <w:tcW w:w="4540" w:type="dxa"/>
            <w:vAlign w:val="bottom"/>
            <w:tcBorders>
              <w:bottom w:val="single" w:sz="8" w:color="CFEBF4"/>
            </w:tcBorders>
          </w:tcPr>
          <w:p>
            <w:pPr>
              <w:ind w:left="220"/>
              <w:spacing w:after="0"/>
              <w:rPr>
                <w:sz w:val="20"/>
                <w:szCs w:val="20"/>
                <w:color w:val="auto"/>
              </w:rPr>
            </w:pPr>
            <w:r>
              <w:rPr>
                <w:rFonts w:ascii="Times New Roman" w:cs="Times New Roman" w:eastAsia="Times New Roman" w:hAnsi="Times New Roman"/>
                <w:sz w:val="20"/>
                <w:szCs w:val="20"/>
                <w:color w:val="231F20"/>
              </w:rPr>
              <w:t>Gain on divestiture</w:t>
            </w:r>
          </w:p>
        </w:tc>
        <w:tc>
          <w:tcPr>
            <w:tcW w:w="26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20"/>
                <w:szCs w:val="20"/>
                <w:color w:val="231F20"/>
              </w:rPr>
              <w:t>122.2</w:t>
            </w:r>
          </w:p>
        </w:tc>
      </w:tr>
      <w:tr>
        <w:trPr>
          <w:trHeight w:val="295"/>
        </w:trPr>
        <w:tc>
          <w:tcPr>
            <w:tcW w:w="45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Adjusted other (income) expense, net</w:t>
            </w:r>
          </w:p>
        </w:tc>
        <w:tc>
          <w:tcPr>
            <w:tcW w:w="260" w:type="dxa"/>
            <w:vAlign w:val="bottom"/>
            <w:tcBorders>
              <w:bottom w:val="single" w:sz="8" w:color="231F20"/>
            </w:tcBorders>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CFEBF4"/>
          </w:tcPr>
          <w:p>
            <w:pPr>
              <w:jc w:val="right"/>
              <w:ind w:right="46"/>
              <w:spacing w:after="0"/>
              <w:rPr>
                <w:sz w:val="20"/>
                <w:szCs w:val="20"/>
                <w:color w:val="auto"/>
              </w:rPr>
            </w:pPr>
            <w:r>
              <w:rPr>
                <w:rFonts w:ascii="Times New Roman" w:cs="Times New Roman" w:eastAsia="Times New Roman" w:hAnsi="Times New Roman"/>
                <w:sz w:val="20"/>
                <w:szCs w:val="20"/>
                <w:color w:val="231F20"/>
              </w:rPr>
              <w:t>(9.9)</w:t>
            </w:r>
          </w:p>
        </w:tc>
        <w:tc>
          <w:tcPr>
            <w:tcW w:w="60" w:type="dxa"/>
            <w:vAlign w:val="bottom"/>
            <w:tcBorders>
              <w:bottom w:val="single" w:sz="8" w:color="CFEBF4"/>
            </w:tcBorders>
            <w:shd w:val="clear" w:color="auto" w:fill="CFEBF4"/>
          </w:tcPr>
          <w:p>
            <w:pPr>
              <w:spacing w:after="0"/>
              <w:rPr>
                <w:sz w:val="24"/>
                <w:szCs w:val="24"/>
                <w:color w:val="auto"/>
              </w:rPr>
            </w:pPr>
          </w:p>
        </w:tc>
        <w:tc>
          <w:tcPr>
            <w:tcW w:w="440" w:type="dxa"/>
            <w:vAlign w:val="bottom"/>
            <w:tcBorders>
              <w:bottom w:val="single" w:sz="8" w:color="231F20"/>
            </w:tcBorders>
            <w:shd w:val="clear" w:color="auto" w:fill="CFEBF4"/>
          </w:tcPr>
          <w:p>
            <w:pPr>
              <w:jc w:val="right"/>
              <w:ind w:right="181"/>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-231140</wp:posOffset>
            </wp:positionV>
            <wp:extent cx="90678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906780" cy="5016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-55880</wp:posOffset>
            </wp:positionV>
            <wp:extent cx="1767205" cy="74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1767205" cy="74930"/>
                    </a:xfrm>
                    <a:prstGeom prst="rect">
                      <a:avLst/>
                    </a:prstGeom>
                    <a:noFill/>
                  </pic:spPr>
                </pic:pic>
              </a:graphicData>
            </a:graphic>
          </wp:anchor>
        </w:drawing>
      </w:r>
    </w:p>
    <w:p>
      <w:pPr>
        <w:spacing w:after="0" w:line="112" w:lineRule="exact"/>
        <w:rPr>
          <w:sz w:val="20"/>
          <w:szCs w:val="20"/>
          <w:color w:val="auto"/>
        </w:rPr>
      </w:pPr>
    </w:p>
    <w:p>
      <w:pPr>
        <w:ind w:left="280" w:hanging="273"/>
        <w:spacing w:after="0" w:line="226" w:lineRule="auto"/>
        <w:tabs>
          <w:tab w:leader="none" w:pos="280" w:val="left"/>
        </w:tabs>
        <w:numPr>
          <w:ilvl w:val="0"/>
          <w:numId w:val="17"/>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Loss on termination of business arrangement represents the loss recognized as a result of management's decision to terminate a business arrangement with a third party.</w:t>
      </w:r>
    </w:p>
    <w:p>
      <w:pPr>
        <w:ind w:left="280" w:hanging="273"/>
        <w:spacing w:after="0" w:line="228" w:lineRule="auto"/>
        <w:tabs>
          <w:tab w:leader="none" w:pos="280" w:val="left"/>
        </w:tabs>
        <w:numPr>
          <w:ilvl w:val="0"/>
          <w:numId w:val="17"/>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Pension settlement cost represents expense related to the final settlement of the Company's U.S. pension plan.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provision for income taxes was $213.4 million for 2025 compared to $231.6 million for 2024, resulting in effective tax rates of 24.9% and 24.4%,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Net Income and Earnings per Share</w:t>
      </w:r>
    </w:p>
    <w:p>
      <w:pPr>
        <w:spacing w:after="0" w:line="12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Net income and earnings per diluted share attributable to common stockholders were $645.8 million and $13.05, respectively, for 2025 compared to $660.2 million and $13.05, respectively, for 2024. Adjusted for the non-GAAP adjustments above and the related income tax effects, and the $32.9 million gain recognized as a result of the Company's redemption of its outstanding Series A Preferred Stock, net income and earnings per diluted share attributable to common stockholders were $638.9 million and $12.91, respectively, for the year ended December 31, 2025 and $618.6 million and $12.23, respectively, for the year ended December 31, 2024.</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120"/>
          </w:cols>
          <w:pgMar w:left="880" w:top="679" w:right="880" w:bottom="0" w:gutter="0" w:footer="0" w:header="0"/>
          <w:type w:val="continuous"/>
        </w:sectPr>
      </w:pPr>
    </w:p>
    <w:bookmarkStart w:id="42" w:name="page43"/>
    <w:bookmarkEnd w:id="42"/>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increase in adjusted earnings per diluted share primarily reflects the favorable impact of the June 2025 Series A Preferred Stock redemption and the corresponding decrease in preferred dividends. Additionally, there was a positive impact from the reduction in outstanding common shares during the year ended December 31, 2025 as compared to the year ended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12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Adjusted EBITDA, a non-GAAP financial measure, was $1,536.5 million for 2025 compared to $1,509.1 million for 2024, an increase of $27.4 million, or 1.8% year-over-year. The increase primarily reflects an increase in net sales, partially offset by an increase in cost of goods sold and an increase in SG&amp;A expenses, as described above. The year ended December 31, 2024 included $17.8 million in SG&amp;A expenses from loss on abandonment of assets and $4.9 million in excise taxes on excess pension plan assets. There was also a decrease in restructuring costs of $12.1 million in 2025, partially offset by a $10.3 million increase in digital transformation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 Results</w:t>
      </w:r>
    </w:p>
    <w:p>
      <w:pPr>
        <w:spacing w:after="0" w:line="132"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9"/>
          <w:szCs w:val="19"/>
          <w:color w:val="231F20"/>
        </w:rPr>
        <w:t>The following is a discussion of the financial results of our operating segments comprising three strategic business units consisting of EES, CSS and UBS for the year ended December 31, 2025. As further described below and in Note 16, “Business Segments” of our Notes to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 As discussed in Note 2, “Accounting Policies,” the reportable segment information for the year ended December 31, 2024 for the EES and CSS reportable segments has been recast to conform to the current year presentation.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Electrical &amp; Electronic Solutions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2100" w:type="dxa"/>
            <w:vAlign w:val="bottom"/>
            <w:tcBorders>
              <w:bottom w:val="single" w:sz="8" w:color="231F20"/>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60" w:type="dxa"/>
            <w:vAlign w:val="bottom"/>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380" w:type="dxa"/>
            <w:vAlign w:val="bottom"/>
            <w:tcBorders>
              <w:bottom w:val="single" w:sz="8" w:color="231F20"/>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231F20"/>
              </w:rPr>
              <w:t>Growth/(Decline)</w:t>
            </w:r>
          </w:p>
        </w:tc>
        <w:tc>
          <w:tcPr>
            <w:tcW w:w="94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227"/>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Reported</w:t>
            </w:r>
          </w:p>
        </w:tc>
        <w:tc>
          <w:tcPr>
            <w:tcW w:w="60" w:type="dxa"/>
            <w:vAlign w:val="bottom"/>
          </w:tcPr>
          <w:p>
            <w:pPr>
              <w:spacing w:after="0"/>
              <w:rPr>
                <w:sz w:val="20"/>
                <w:szCs w:val="20"/>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231F20"/>
              </w:rPr>
              <w:t>Acquisition</w:t>
            </w:r>
          </w:p>
        </w:tc>
        <w:tc>
          <w:tcPr>
            <w:tcW w:w="6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Foreign</w:t>
            </w:r>
          </w:p>
        </w:tc>
        <w:tc>
          <w:tcPr>
            <w:tcW w:w="940" w:type="dxa"/>
            <w:vAlign w:val="bottom"/>
            <w:vMerge w:val="restart"/>
          </w:tcPr>
          <w:p>
            <w:pPr>
              <w:jc w:val="right"/>
              <w:ind w:right="46"/>
              <w:spacing w:after="0"/>
              <w:rPr>
                <w:sz w:val="20"/>
                <w:szCs w:val="20"/>
                <w:color w:val="auto"/>
              </w:rPr>
            </w:pPr>
            <w:r>
              <w:rPr>
                <w:rFonts w:ascii="Times New Roman" w:cs="Times New Roman" w:eastAsia="Times New Roman" w:hAnsi="Times New Roman"/>
                <w:sz w:val="18"/>
                <w:szCs w:val="18"/>
                <w:b w:val="1"/>
                <w:bCs w:val="1"/>
                <w:color w:val="231F20"/>
              </w:rPr>
              <w:t>Workday</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Organic</w:t>
            </w:r>
          </w:p>
        </w:tc>
        <w:tc>
          <w:tcPr>
            <w:tcW w:w="0" w:type="dxa"/>
            <w:vAlign w:val="bottom"/>
          </w:tcPr>
          <w:p>
            <w:pPr>
              <w:spacing w:after="0"/>
              <w:rPr>
                <w:sz w:val="1"/>
                <w:szCs w:val="1"/>
                <w:color w:val="auto"/>
              </w:rPr>
            </w:pPr>
          </w:p>
        </w:tc>
      </w:tr>
      <w:tr>
        <w:trPr>
          <w:trHeight w:val="235"/>
        </w:trPr>
        <w:tc>
          <w:tcPr>
            <w:tcW w:w="244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60" w:type="dxa"/>
            <w:vAlign w:val="bottom"/>
          </w:tcPr>
          <w:p>
            <w:pPr>
              <w:spacing w:after="0"/>
              <w:rPr>
                <w:sz w:val="20"/>
                <w:szCs w:val="20"/>
                <w:color w:val="auto"/>
              </w:rPr>
            </w:pPr>
          </w:p>
        </w:tc>
        <w:tc>
          <w:tcPr>
            <w:tcW w:w="116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Exchange</w:t>
            </w:r>
          </w:p>
        </w:tc>
        <w:tc>
          <w:tcPr>
            <w:tcW w:w="6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sales</w:t>
            </w:r>
          </w:p>
        </w:tc>
        <w:tc>
          <w:tcPr>
            <w:tcW w:w="2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7"/>
              <w:spacing w:after="0"/>
              <w:rPr>
                <w:sz w:val="20"/>
                <w:szCs w:val="20"/>
                <w:color w:val="auto"/>
              </w:rPr>
            </w:pPr>
            <w:r>
              <w:rPr>
                <w:rFonts w:ascii="Times New Roman" w:cs="Times New Roman" w:eastAsia="Times New Roman" w:hAnsi="Times New Roman"/>
                <w:sz w:val="20"/>
                <w:szCs w:val="20"/>
                <w:color w:val="231F20"/>
              </w:rPr>
              <w:t>8,955.5</w:t>
            </w:r>
          </w:p>
        </w:tc>
        <w:tc>
          <w:tcPr>
            <w:tcW w:w="280" w:type="dxa"/>
            <w:vAlign w:val="bottom"/>
            <w:gridSpan w:val="2"/>
            <w:shd w:val="clear" w:color="auto" w:fill="CFEBF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4"/>
              <w:spacing w:after="0"/>
              <w:rPr>
                <w:sz w:val="20"/>
                <w:szCs w:val="20"/>
                <w:color w:val="auto"/>
              </w:rPr>
            </w:pPr>
            <w:r>
              <w:rPr>
                <w:rFonts w:ascii="Times New Roman" w:cs="Times New Roman" w:eastAsia="Times New Roman" w:hAnsi="Times New Roman"/>
                <w:sz w:val="20"/>
                <w:szCs w:val="20"/>
                <w:color w:val="231F20"/>
              </w:rPr>
              <w:t>8,391.7</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6.7 %</w:t>
            </w:r>
          </w:p>
        </w:tc>
        <w:tc>
          <w:tcPr>
            <w:tcW w:w="60" w:type="dxa"/>
            <w:vAlign w:val="bottom"/>
            <w:shd w:val="clear" w:color="auto" w:fill="CFEBF4"/>
          </w:tcPr>
          <w:p>
            <w:pPr>
              <w:spacing w:after="0"/>
              <w:rPr>
                <w:sz w:val="24"/>
                <w:szCs w:val="24"/>
                <w:color w:val="auto"/>
              </w:rPr>
            </w:pPr>
          </w:p>
        </w:tc>
        <w:tc>
          <w:tcPr>
            <w:tcW w:w="1160" w:type="dxa"/>
            <w:vAlign w:val="bottom"/>
            <w:shd w:val="clear" w:color="auto" w:fill="CFEBF4"/>
          </w:tcPr>
          <w:p>
            <w:pPr>
              <w:ind w:left="720"/>
              <w:spacing w:after="0"/>
              <w:rPr>
                <w:sz w:val="20"/>
                <w:szCs w:val="20"/>
                <w:color w:val="auto"/>
              </w:rPr>
            </w:pPr>
            <w:r>
              <w:rPr>
                <w:rFonts w:ascii="Times New Roman" w:cs="Times New Roman" w:eastAsia="Times New Roman" w:hAnsi="Times New Roman"/>
                <w:sz w:val="20"/>
                <w:szCs w:val="20"/>
                <w:color w:val="231F20"/>
              </w:rPr>
              <w:t>— %</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7.5 %</w:t>
            </w:r>
          </w:p>
        </w:tc>
        <w:tc>
          <w:tcPr>
            <w:tcW w:w="0" w:type="dxa"/>
            <w:vAlign w:val="bottom"/>
          </w:tcPr>
          <w:p>
            <w:pPr>
              <w:spacing w:after="0"/>
              <w:rPr>
                <w:sz w:val="1"/>
                <w:szCs w:val="1"/>
                <w:color w:val="auto"/>
              </w:rPr>
            </w:pPr>
          </w:p>
        </w:tc>
      </w:tr>
      <w:tr>
        <w:trPr>
          <w:trHeight w:val="290"/>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Adjusted EBITDA</w:t>
            </w: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717.6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699.8</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22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8.0 %</w:t>
            </w:r>
          </w:p>
        </w:tc>
        <w:tc>
          <w:tcPr>
            <w:tcW w:w="6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8.3 %</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EES reported net sales of $9.0 billion for 2025 compared to $8.4 billion for 2024, an increase of $563.8 million, or 6.7%. EES organic sales for 2025 grew by 7.5%, driven primarily by volume growth of approximately 4%, primarily as a result of growth in the OEM and construction businesses, and by the impact of changes in price, which favorably impacted organic sales by approximately 4%.</w:t>
      </w:r>
    </w:p>
    <w:p>
      <w:pPr>
        <w:spacing w:after="0" w:line="8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EES adjusted EBITDA increased $17.8 million, or 2.5% year-over-year. The increase primarily reflects an increase in volume and price, as described above. The decrease in adjusted EBITDA margin is attributable to an unfavorable change in product mix. Additionally, SG&amp;A expenses increased $69.7 million as compared to the prior year, which was primarily attributed to increased salaries of $24.4 million, increased commissions and incentives of $15.0 million, increased transportation costs of $11.7 million, and increased operations expenses of $9.2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Communications &amp; Security Solutions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2100" w:type="dxa"/>
            <w:vAlign w:val="bottom"/>
            <w:tcBorders>
              <w:bottom w:val="single" w:sz="8" w:color="231F20"/>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60" w:type="dxa"/>
            <w:vAlign w:val="bottom"/>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380" w:type="dxa"/>
            <w:vAlign w:val="bottom"/>
            <w:tcBorders>
              <w:bottom w:val="single" w:sz="8" w:color="231F20"/>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231F20"/>
              </w:rPr>
              <w:t>Growth/(Decline)</w:t>
            </w:r>
          </w:p>
        </w:tc>
        <w:tc>
          <w:tcPr>
            <w:tcW w:w="94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227"/>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Reported</w:t>
            </w:r>
          </w:p>
        </w:tc>
        <w:tc>
          <w:tcPr>
            <w:tcW w:w="60" w:type="dxa"/>
            <w:vAlign w:val="bottom"/>
          </w:tcPr>
          <w:p>
            <w:pPr>
              <w:spacing w:after="0"/>
              <w:rPr>
                <w:sz w:val="20"/>
                <w:szCs w:val="20"/>
                <w:color w:val="auto"/>
              </w:rPr>
            </w:pPr>
          </w:p>
        </w:tc>
        <w:tc>
          <w:tcPr>
            <w:tcW w:w="11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231F20"/>
              </w:rPr>
              <w:t>Acquisition</w:t>
            </w:r>
          </w:p>
        </w:tc>
        <w:tc>
          <w:tcPr>
            <w:tcW w:w="6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Foreign</w:t>
            </w:r>
          </w:p>
        </w:tc>
        <w:tc>
          <w:tcPr>
            <w:tcW w:w="940" w:type="dxa"/>
            <w:vAlign w:val="bottom"/>
            <w:vMerge w:val="restart"/>
          </w:tcPr>
          <w:p>
            <w:pPr>
              <w:jc w:val="right"/>
              <w:ind w:right="46"/>
              <w:spacing w:after="0"/>
              <w:rPr>
                <w:sz w:val="20"/>
                <w:szCs w:val="20"/>
                <w:color w:val="auto"/>
              </w:rPr>
            </w:pPr>
            <w:r>
              <w:rPr>
                <w:rFonts w:ascii="Times New Roman" w:cs="Times New Roman" w:eastAsia="Times New Roman" w:hAnsi="Times New Roman"/>
                <w:sz w:val="18"/>
                <w:szCs w:val="18"/>
                <w:b w:val="1"/>
                <w:bCs w:val="1"/>
                <w:color w:val="231F20"/>
              </w:rPr>
              <w:t>Workday</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Organic</w:t>
            </w:r>
          </w:p>
        </w:tc>
        <w:tc>
          <w:tcPr>
            <w:tcW w:w="0" w:type="dxa"/>
            <w:vAlign w:val="bottom"/>
          </w:tcPr>
          <w:p>
            <w:pPr>
              <w:spacing w:after="0"/>
              <w:rPr>
                <w:sz w:val="1"/>
                <w:szCs w:val="1"/>
                <w:color w:val="auto"/>
              </w:rPr>
            </w:pPr>
          </w:p>
        </w:tc>
      </w:tr>
      <w:tr>
        <w:trPr>
          <w:trHeight w:val="235"/>
        </w:trPr>
        <w:tc>
          <w:tcPr>
            <w:tcW w:w="244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60" w:type="dxa"/>
            <w:vAlign w:val="bottom"/>
          </w:tcPr>
          <w:p>
            <w:pPr>
              <w:spacing w:after="0"/>
              <w:rPr>
                <w:sz w:val="20"/>
                <w:szCs w:val="20"/>
                <w:color w:val="auto"/>
              </w:rPr>
            </w:pPr>
          </w:p>
        </w:tc>
        <w:tc>
          <w:tcPr>
            <w:tcW w:w="116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Exchange</w:t>
            </w:r>
          </w:p>
        </w:tc>
        <w:tc>
          <w:tcPr>
            <w:tcW w:w="6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sales</w:t>
            </w:r>
          </w:p>
        </w:tc>
        <w:tc>
          <w:tcPr>
            <w:tcW w:w="2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7"/>
              <w:spacing w:after="0"/>
              <w:rPr>
                <w:sz w:val="20"/>
                <w:szCs w:val="20"/>
                <w:color w:val="auto"/>
              </w:rPr>
            </w:pPr>
            <w:r>
              <w:rPr>
                <w:rFonts w:ascii="Times New Roman" w:cs="Times New Roman" w:eastAsia="Times New Roman" w:hAnsi="Times New Roman"/>
                <w:sz w:val="20"/>
                <w:szCs w:val="20"/>
                <w:color w:val="231F20"/>
              </w:rPr>
              <w:t>9,101.0</w:t>
            </w:r>
          </w:p>
        </w:tc>
        <w:tc>
          <w:tcPr>
            <w:tcW w:w="280" w:type="dxa"/>
            <w:vAlign w:val="bottom"/>
            <w:gridSpan w:val="2"/>
            <w:shd w:val="clear" w:color="auto" w:fill="CFEBF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4"/>
              <w:spacing w:after="0"/>
              <w:rPr>
                <w:sz w:val="20"/>
                <w:szCs w:val="20"/>
                <w:color w:val="auto"/>
              </w:rPr>
            </w:pPr>
            <w:r>
              <w:rPr>
                <w:rFonts w:ascii="Times New Roman" w:cs="Times New Roman" w:eastAsia="Times New Roman" w:hAnsi="Times New Roman"/>
                <w:sz w:val="20"/>
                <w:szCs w:val="20"/>
                <w:color w:val="231F20"/>
              </w:rPr>
              <w:t>7,692.1</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18.3 %</w:t>
            </w:r>
          </w:p>
        </w:tc>
        <w:tc>
          <w:tcPr>
            <w:tcW w:w="1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1.9 %</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0.1 %</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16.7 %</w:t>
            </w:r>
          </w:p>
        </w:tc>
        <w:tc>
          <w:tcPr>
            <w:tcW w:w="0" w:type="dxa"/>
            <w:vAlign w:val="bottom"/>
          </w:tcPr>
          <w:p>
            <w:pPr>
              <w:spacing w:after="0"/>
              <w:rPr>
                <w:sz w:val="1"/>
                <w:szCs w:val="1"/>
                <w:color w:val="auto"/>
              </w:rPr>
            </w:pPr>
          </w:p>
        </w:tc>
      </w:tr>
      <w:tr>
        <w:trPr>
          <w:trHeight w:val="290"/>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Adjusted EBITDA</w:t>
            </w: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799.4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638.8</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22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8.8 %</w:t>
            </w:r>
          </w:p>
        </w:tc>
        <w:tc>
          <w:tcPr>
            <w:tcW w:w="6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8.3 %</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CSS reported net sales of $9.1 billion for 2025 compared to $7.7 billion for 2024, an increase of $1.4 billion, or 18.3%, which is inclusive of a favorable impact from the acquisition of Ascent of 1.9%. CSS organic sales for 2025 grew by 16.7%, driven primarily by volume growth of approximately 15% as a result of the data center solutions business, and to a lesser extent, growth in the security solutions business, and by the impact of changes in price, which favorably impacted organic sales by approximately 1%.</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120"/>
          </w:cols>
          <w:pgMar w:left="880" w:top="679" w:right="880" w:bottom="0" w:gutter="0" w:footer="0" w:header="0"/>
          <w:type w:val="continuous"/>
        </w:sectPr>
      </w:pPr>
    </w:p>
    <w:bookmarkStart w:id="43" w:name="page44"/>
    <w:bookmarkEnd w:id="43"/>
    <w:p>
      <w:pPr>
        <w:jc w:val="both"/>
        <w:ind w:firstLine="266"/>
        <w:spacing w:after="0" w:line="270" w:lineRule="auto"/>
        <w:rPr>
          <w:sz w:val="20"/>
          <w:szCs w:val="20"/>
          <w:color w:val="auto"/>
        </w:rPr>
      </w:pPr>
      <w:r>
        <w:rPr>
          <w:rFonts w:ascii="Times New Roman" w:cs="Times New Roman" w:eastAsia="Times New Roman" w:hAnsi="Times New Roman"/>
          <w:sz w:val="19"/>
          <w:szCs w:val="19"/>
          <w:color w:val="231F20"/>
        </w:rPr>
        <w:t>CSS adjusted EBITDA increased $160.6 million, or 25.1% year-over-year. The increase reflects an increase in volume, specifically within the data center solutions business and the security solutions business, as described above. Further, there was an increase in SG&amp;A expenses of $97.2 million. The increase in SG&amp;A expenses is primarily attributed to increased salaries of $28.7 million, increased transportation costs of $25.7 million consistent with higher sales, increased commissions and incentives of $17.8 million, increased operations expenses of $11.9 million, and increased benefits expense of $11.5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Utility &amp; Broadband Solutions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2100" w:type="dxa"/>
            <w:vAlign w:val="bottom"/>
            <w:tcBorders>
              <w:bottom w:val="single" w:sz="8" w:color="231F20"/>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60" w:type="dxa"/>
            <w:vAlign w:val="bottom"/>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380" w:type="dxa"/>
            <w:vAlign w:val="bottom"/>
            <w:tcBorders>
              <w:bottom w:val="single" w:sz="8" w:color="231F20"/>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231F20"/>
              </w:rPr>
              <w:t>Growth/(Decline)</w:t>
            </w:r>
          </w:p>
        </w:tc>
        <w:tc>
          <w:tcPr>
            <w:tcW w:w="94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227"/>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Reported</w:t>
            </w:r>
          </w:p>
        </w:tc>
        <w:tc>
          <w:tcPr>
            <w:tcW w:w="60" w:type="dxa"/>
            <w:vAlign w:val="bottom"/>
          </w:tcPr>
          <w:p>
            <w:pPr>
              <w:spacing w:after="0"/>
              <w:rPr>
                <w:sz w:val="20"/>
                <w:szCs w:val="20"/>
                <w:color w:val="auto"/>
              </w:rPr>
            </w:pPr>
          </w:p>
        </w:tc>
        <w:tc>
          <w:tcPr>
            <w:tcW w:w="11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231F20"/>
              </w:rPr>
              <w:t>Divestiture</w:t>
            </w:r>
          </w:p>
        </w:tc>
        <w:tc>
          <w:tcPr>
            <w:tcW w:w="6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Foreign</w:t>
            </w:r>
          </w:p>
        </w:tc>
        <w:tc>
          <w:tcPr>
            <w:tcW w:w="940" w:type="dxa"/>
            <w:vAlign w:val="bottom"/>
            <w:vMerge w:val="restart"/>
          </w:tcPr>
          <w:p>
            <w:pPr>
              <w:jc w:val="right"/>
              <w:ind w:right="46"/>
              <w:spacing w:after="0"/>
              <w:rPr>
                <w:sz w:val="20"/>
                <w:szCs w:val="20"/>
                <w:color w:val="auto"/>
              </w:rPr>
            </w:pPr>
            <w:r>
              <w:rPr>
                <w:rFonts w:ascii="Times New Roman" w:cs="Times New Roman" w:eastAsia="Times New Roman" w:hAnsi="Times New Roman"/>
                <w:sz w:val="18"/>
                <w:szCs w:val="18"/>
                <w:b w:val="1"/>
                <w:bCs w:val="1"/>
                <w:color w:val="231F20"/>
              </w:rPr>
              <w:t>Workday</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Organic</w:t>
            </w:r>
          </w:p>
        </w:tc>
        <w:tc>
          <w:tcPr>
            <w:tcW w:w="0" w:type="dxa"/>
            <w:vAlign w:val="bottom"/>
          </w:tcPr>
          <w:p>
            <w:pPr>
              <w:spacing w:after="0"/>
              <w:rPr>
                <w:sz w:val="1"/>
                <w:szCs w:val="1"/>
                <w:color w:val="auto"/>
              </w:rPr>
            </w:pPr>
          </w:p>
        </w:tc>
      </w:tr>
      <w:tr>
        <w:trPr>
          <w:trHeight w:val="235"/>
        </w:trPr>
        <w:tc>
          <w:tcPr>
            <w:tcW w:w="244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60" w:type="dxa"/>
            <w:vAlign w:val="bottom"/>
          </w:tcPr>
          <w:p>
            <w:pPr>
              <w:spacing w:after="0"/>
              <w:rPr>
                <w:sz w:val="20"/>
                <w:szCs w:val="20"/>
                <w:color w:val="auto"/>
              </w:rPr>
            </w:pPr>
          </w:p>
        </w:tc>
        <w:tc>
          <w:tcPr>
            <w:tcW w:w="116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Exchange</w:t>
            </w:r>
          </w:p>
        </w:tc>
        <w:tc>
          <w:tcPr>
            <w:tcW w:w="6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Sales</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sales</w:t>
            </w:r>
          </w:p>
        </w:tc>
        <w:tc>
          <w:tcPr>
            <w:tcW w:w="2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7"/>
              <w:spacing w:after="0"/>
              <w:rPr>
                <w:sz w:val="20"/>
                <w:szCs w:val="20"/>
                <w:color w:val="auto"/>
              </w:rPr>
            </w:pPr>
            <w:r>
              <w:rPr>
                <w:rFonts w:ascii="Times New Roman" w:cs="Times New Roman" w:eastAsia="Times New Roman" w:hAnsi="Times New Roman"/>
                <w:sz w:val="20"/>
                <w:szCs w:val="20"/>
                <w:color w:val="231F20"/>
              </w:rPr>
              <w:t>5,454.4</w:t>
            </w:r>
          </w:p>
        </w:tc>
        <w:tc>
          <w:tcPr>
            <w:tcW w:w="280" w:type="dxa"/>
            <w:vAlign w:val="bottom"/>
            <w:gridSpan w:val="2"/>
            <w:shd w:val="clear" w:color="auto" w:fill="CFEBF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4"/>
              <w:spacing w:after="0"/>
              <w:rPr>
                <w:sz w:val="20"/>
                <w:szCs w:val="20"/>
                <w:color w:val="auto"/>
              </w:rPr>
            </w:pPr>
            <w:r>
              <w:rPr>
                <w:rFonts w:ascii="Times New Roman" w:cs="Times New Roman" w:eastAsia="Times New Roman" w:hAnsi="Times New Roman"/>
                <w:sz w:val="20"/>
                <w:szCs w:val="20"/>
                <w:color w:val="231F20"/>
              </w:rPr>
              <w:t>5,735.0</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1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90"/>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Adjusted EBITDA</w:t>
            </w: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562.8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643.4</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22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10.3 %</w:t>
            </w:r>
          </w:p>
        </w:tc>
        <w:tc>
          <w:tcPr>
            <w:tcW w:w="6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11.2 %</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UBS reported net sales of $5.5 billion for 2025 compared to $5.7 billion for 2024, a decrease of $280.6 million or 4.9%, which is inclusive of an unfavorable impact from the divestiture of the WIS business of 3.3%. UBS organic sales for 2025 declined by 1.0%, reflecting volume declines in the Utility business primarily as a result of reduced public power activity. The decline was partially offset by growth in the Broadband business from continued network investments. Changes in price did not have a material impact on the year-over-year decline in UBS organic sales.</w:t>
      </w:r>
    </w:p>
    <w:p>
      <w:pPr>
        <w:spacing w:after="0" w:line="8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UBS adjusted EBITDA decreased $80.6 million, or 12.5% year-over-year. The decrease primarily reflects a decline in volume, as described above. The decrease in adjusted EBITDA was partially offset by a decrease in SG&amp;A expenses of $8.3 million as compared to the prior year, which was primarily attributed to lower commissions and incentives of $9.3 million.</w:t>
      </w:r>
    </w:p>
    <w:p>
      <w:pPr>
        <w:spacing w:after="0" w:line="200" w:lineRule="exact"/>
        <w:rPr>
          <w:sz w:val="20"/>
          <w:szCs w:val="20"/>
          <w:color w:val="auto"/>
        </w:rPr>
      </w:pPr>
    </w:p>
    <w:p>
      <w:pPr>
        <w:spacing w:after="0" w:line="20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tables reconcile net income attributable to common stockholders to adjusted EBITDA and adjusted EBITDA margin % by segment, which are non-GAAP financial measures,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3160" w:type="dxa"/>
            <w:vAlign w:val="bottom"/>
            <w:tcBorders>
              <w:bottom w:val="single" w:sz="8" w:color="231F20"/>
            </w:tcBorders>
            <w:gridSpan w:val="7"/>
          </w:tcPr>
          <w:p>
            <w:pPr>
              <w:jc w:val="right"/>
              <w:ind w:right="402"/>
              <w:spacing w:after="0"/>
              <w:rPr>
                <w:sz w:val="20"/>
                <w:szCs w:val="20"/>
                <w:color w:val="auto"/>
              </w:rPr>
            </w:pPr>
            <w:r>
              <w:rPr>
                <w:rFonts w:ascii="Times New Roman" w:cs="Times New Roman" w:eastAsia="Times New Roman" w:hAnsi="Times New Roman"/>
                <w:sz w:val="18"/>
                <w:szCs w:val="18"/>
                <w:b w:val="1"/>
                <w:bCs w:val="1"/>
                <w:color w:val="231F20"/>
              </w:rPr>
              <w:t>Year Ended December 31, 2025</w:t>
            </w:r>
          </w:p>
        </w:tc>
        <w:tc>
          <w:tcPr>
            <w:tcW w:w="6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34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231F20"/>
              </w:rPr>
              <w:t>EES</w:t>
            </w:r>
          </w:p>
        </w:tc>
        <w:tc>
          <w:tcPr>
            <w:tcW w:w="60" w:type="dxa"/>
            <w:vAlign w:val="bottom"/>
            <w:tcBorders>
              <w:bottom w:val="single" w:sz="8" w:color="CFEBF4"/>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CSS</w:t>
            </w:r>
          </w:p>
        </w:tc>
        <w:tc>
          <w:tcPr>
            <w:tcW w:w="60" w:type="dxa"/>
            <w:vAlign w:val="bottom"/>
            <w:tcBorders>
              <w:bottom w:val="single" w:sz="8" w:color="CFEBF4"/>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231F20"/>
              </w:rPr>
              <w:t>UBS</w:t>
            </w: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231F20"/>
                <w:w w:val="94"/>
              </w:rPr>
              <w:t>Corporate</w:t>
            </w:r>
          </w:p>
        </w:tc>
        <w:tc>
          <w:tcPr>
            <w:tcW w:w="60" w:type="dxa"/>
            <w:vAlign w:val="bottom"/>
            <w:tcBorders>
              <w:bottom w:val="single" w:sz="8" w:color="CFEBF4"/>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300"/>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Net income attributable to common stockholders</w:t>
            </w:r>
          </w:p>
        </w:tc>
        <w:tc>
          <w:tcPr>
            <w:tcW w:w="260" w:type="dxa"/>
            <w:vAlign w:val="bottom"/>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646.5</w:t>
            </w:r>
          </w:p>
        </w:tc>
        <w:tc>
          <w:tcPr>
            <w:tcW w:w="340" w:type="dxa"/>
            <w:vAlign w:val="bottom"/>
            <w:gridSpan w:val="2"/>
            <w:shd w:val="clear" w:color="auto" w:fill="CFEBF4"/>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649.1</w:t>
            </w:r>
          </w:p>
        </w:tc>
        <w:tc>
          <w:tcPr>
            <w:tcW w:w="320" w:type="dxa"/>
            <w:vAlign w:val="bottom"/>
            <w:gridSpan w:val="2"/>
            <w:shd w:val="clear" w:color="auto" w:fill="CFEBF4"/>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531.0</w:t>
            </w:r>
          </w:p>
        </w:tc>
        <w:tc>
          <w:tcPr>
            <w:tcW w:w="220" w:type="dxa"/>
            <w:vAlign w:val="bottom"/>
            <w:gridSpan w:val="2"/>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(1,180.8)</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645.8</w:t>
            </w:r>
          </w:p>
        </w:tc>
        <w:tc>
          <w:tcPr>
            <w:tcW w:w="0" w:type="dxa"/>
            <w:vAlign w:val="bottom"/>
          </w:tcPr>
          <w:p>
            <w:pPr>
              <w:spacing w:after="0"/>
              <w:rPr>
                <w:sz w:val="1"/>
                <w:szCs w:val="1"/>
                <w:color w:val="auto"/>
              </w:rPr>
            </w:pPr>
          </w:p>
        </w:tc>
      </w:tr>
      <w:tr>
        <w:trPr>
          <w:trHeight w:val="189"/>
        </w:trPr>
        <w:tc>
          <w:tcPr>
            <w:tcW w:w="4340" w:type="dxa"/>
            <w:vAlign w:val="bottom"/>
          </w:tcPr>
          <w:p>
            <w:pPr>
              <w:ind w:left="320"/>
              <w:spacing w:after="0" w:line="189" w:lineRule="exact"/>
              <w:rPr>
                <w:sz w:val="20"/>
                <w:szCs w:val="20"/>
                <w:color w:val="auto"/>
              </w:rPr>
            </w:pPr>
            <w:r>
              <w:rPr>
                <w:rFonts w:ascii="Times New Roman" w:cs="Times New Roman" w:eastAsia="Times New Roman" w:hAnsi="Times New Roman"/>
                <w:sz w:val="20"/>
                <w:szCs w:val="20"/>
                <w:color w:val="231F20"/>
              </w:rPr>
              <w:t>Net income (loss) income attributable to</w:t>
            </w:r>
          </w:p>
        </w:tc>
        <w:tc>
          <w:tcPr>
            <w:tcW w:w="260" w:type="dxa"/>
            <w:vAlign w:val="bottom"/>
          </w:tcPr>
          <w:p>
            <w:pPr>
              <w:spacing w:after="0"/>
              <w:rPr>
                <w:sz w:val="16"/>
                <w:szCs w:val="16"/>
                <w:color w:val="auto"/>
              </w:rPr>
            </w:pPr>
          </w:p>
        </w:tc>
        <w:tc>
          <w:tcPr>
            <w:tcW w:w="8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0.5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43"/>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63"/>
        </w:trPr>
        <w:tc>
          <w:tcPr>
            <w:tcW w:w="434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noncontrolling interests</w:t>
            </w:r>
          </w:p>
        </w:tc>
        <w:tc>
          <w:tcPr>
            <w:tcW w:w="2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Gain on redemption of Series A Preferred Stock</w:t>
            </w: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(32.9)</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(32.9)</w:t>
            </w:r>
          </w:p>
        </w:tc>
        <w:tc>
          <w:tcPr>
            <w:tcW w:w="0" w:type="dxa"/>
            <w:vAlign w:val="bottom"/>
          </w:tcPr>
          <w:p>
            <w:pPr>
              <w:spacing w:after="0"/>
              <w:rPr>
                <w:sz w:val="1"/>
                <w:szCs w:val="1"/>
                <w:color w:val="auto"/>
              </w:rPr>
            </w:pPr>
          </w:p>
        </w:tc>
      </w:tr>
      <w:tr>
        <w:trPr>
          <w:trHeight w:val="304"/>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Preferred stock dividends</w:t>
            </w:r>
          </w:p>
        </w:tc>
        <w:tc>
          <w:tcPr>
            <w:tcW w:w="26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27.3</w:t>
            </w:r>
          </w:p>
        </w:tc>
        <w:tc>
          <w:tcPr>
            <w:tcW w:w="0" w:type="dxa"/>
            <w:vAlign w:val="bottom"/>
          </w:tcPr>
          <w:p>
            <w:pPr>
              <w:spacing w:after="0"/>
              <w:rPr>
                <w:sz w:val="1"/>
                <w:szCs w:val="1"/>
                <w:color w:val="auto"/>
              </w:rPr>
            </w:pPr>
          </w:p>
        </w:tc>
      </w:tr>
      <w:tr>
        <w:trPr>
          <w:trHeight w:val="316"/>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Provision for income taxes</w:t>
            </w:r>
            <w:r>
              <w:rPr>
                <w:rFonts w:ascii="Times New Roman" w:cs="Times New Roman" w:eastAsia="Times New Roman" w:hAnsi="Times New Roman"/>
                <w:sz w:val="25"/>
                <w:szCs w:val="25"/>
                <w:color w:val="231F20"/>
                <w:vertAlign w:val="superscript"/>
              </w:rPr>
              <w:t>(1)</w:t>
            </w: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213.4</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213.4</w:t>
            </w:r>
          </w:p>
        </w:tc>
        <w:tc>
          <w:tcPr>
            <w:tcW w:w="0" w:type="dxa"/>
            <w:vAlign w:val="bottom"/>
          </w:tcPr>
          <w:p>
            <w:pPr>
              <w:spacing w:after="0"/>
              <w:rPr>
                <w:sz w:val="1"/>
                <w:szCs w:val="1"/>
                <w:color w:val="auto"/>
              </w:rPr>
            </w:pPr>
          </w:p>
        </w:tc>
      </w:tr>
      <w:tr>
        <w:trPr>
          <w:trHeight w:val="310"/>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Interest expense, net</w:t>
            </w:r>
            <w:r>
              <w:rPr>
                <w:rFonts w:ascii="Times New Roman" w:cs="Times New Roman" w:eastAsia="Times New Roman" w:hAnsi="Times New Roman"/>
                <w:sz w:val="25"/>
                <w:szCs w:val="25"/>
                <w:color w:val="231F20"/>
                <w:vertAlign w:val="superscript"/>
              </w:rPr>
              <w:t>(1)</w:t>
            </w:r>
          </w:p>
        </w:tc>
        <w:tc>
          <w:tcPr>
            <w:tcW w:w="26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386.7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386.7</w:t>
            </w:r>
          </w:p>
        </w:tc>
        <w:tc>
          <w:tcPr>
            <w:tcW w:w="0" w:type="dxa"/>
            <w:vAlign w:val="bottom"/>
          </w:tcPr>
          <w:p>
            <w:pPr>
              <w:spacing w:after="0"/>
              <w:rPr>
                <w:sz w:val="1"/>
                <w:szCs w:val="1"/>
                <w:color w:val="auto"/>
              </w:rPr>
            </w:pPr>
          </w:p>
        </w:tc>
      </w:tr>
      <w:tr>
        <w:trPr>
          <w:trHeight w:val="310"/>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50.5</w:t>
            </w:r>
          </w:p>
        </w:tc>
        <w:tc>
          <w:tcPr>
            <w:tcW w:w="6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77.7</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32.6</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36.8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197.6</w:t>
            </w:r>
          </w:p>
        </w:tc>
        <w:tc>
          <w:tcPr>
            <w:tcW w:w="0" w:type="dxa"/>
            <w:vAlign w:val="bottom"/>
          </w:tcPr>
          <w:p>
            <w:pPr>
              <w:spacing w:after="0"/>
              <w:rPr>
                <w:sz w:val="1"/>
                <w:szCs w:val="1"/>
                <w:color w:val="auto"/>
              </w:rPr>
            </w:pPr>
          </w:p>
        </w:tc>
      </w:tr>
      <w:tr>
        <w:trPr>
          <w:trHeight w:val="304"/>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Other expense (income), net</w:t>
            </w:r>
          </w:p>
        </w:tc>
        <w:tc>
          <w:tcPr>
            <w:tcW w:w="26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16.0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64.4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(87.4)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(9.6)</w:t>
            </w:r>
          </w:p>
        </w:tc>
        <w:tc>
          <w:tcPr>
            <w:tcW w:w="0" w:type="dxa"/>
            <w:vAlign w:val="bottom"/>
          </w:tcPr>
          <w:p>
            <w:pPr>
              <w:spacing w:after="0"/>
              <w:rPr>
                <w:sz w:val="1"/>
                <w:szCs w:val="1"/>
                <w:color w:val="auto"/>
              </w:rPr>
            </w:pPr>
          </w:p>
        </w:tc>
      </w:tr>
      <w:tr>
        <w:trPr>
          <w:trHeight w:val="316"/>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4.1</w:t>
            </w:r>
          </w:p>
        </w:tc>
        <w:tc>
          <w:tcPr>
            <w:tcW w:w="6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5.3</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29.3</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40.5</w:t>
            </w:r>
          </w:p>
        </w:tc>
        <w:tc>
          <w:tcPr>
            <w:tcW w:w="0" w:type="dxa"/>
            <w:vAlign w:val="bottom"/>
          </w:tcPr>
          <w:p>
            <w:pPr>
              <w:spacing w:after="0"/>
              <w:rPr>
                <w:sz w:val="1"/>
                <w:szCs w:val="1"/>
                <w:color w:val="auto"/>
              </w:rPr>
            </w:pPr>
          </w:p>
        </w:tc>
      </w:tr>
      <w:tr>
        <w:trPr>
          <w:trHeight w:val="310"/>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Digital transformation costs</w:t>
            </w:r>
            <w:r>
              <w:rPr>
                <w:rFonts w:ascii="Times New Roman" w:cs="Times New Roman" w:eastAsia="Times New Roman" w:hAnsi="Times New Roman"/>
                <w:sz w:val="25"/>
                <w:szCs w:val="25"/>
                <w:color w:val="231F20"/>
                <w:vertAlign w:val="superscript"/>
              </w:rPr>
              <w:t>(2)</w:t>
            </w:r>
          </w:p>
        </w:tc>
        <w:tc>
          <w:tcPr>
            <w:tcW w:w="26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35.2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35.2</w:t>
            </w:r>
          </w:p>
        </w:tc>
        <w:tc>
          <w:tcPr>
            <w:tcW w:w="0" w:type="dxa"/>
            <w:vAlign w:val="bottom"/>
          </w:tcPr>
          <w:p>
            <w:pPr>
              <w:spacing w:after="0"/>
              <w:rPr>
                <w:sz w:val="1"/>
                <w:szCs w:val="1"/>
                <w:color w:val="auto"/>
              </w:rPr>
            </w:pPr>
          </w:p>
        </w:tc>
      </w:tr>
      <w:tr>
        <w:trPr>
          <w:trHeight w:val="300"/>
        </w:trPr>
        <w:tc>
          <w:tcPr>
            <w:tcW w:w="4340" w:type="dxa"/>
            <w:vAlign w:val="bottom"/>
            <w:tcBorders>
              <w:bottom w:val="single" w:sz="8" w:color="CFEBF4"/>
            </w:tcBorders>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Cloud computing arrangement amortization</w:t>
            </w:r>
            <w:r>
              <w:rPr>
                <w:rFonts w:ascii="Times New Roman" w:cs="Times New Roman" w:eastAsia="Times New Roman" w:hAnsi="Times New Roman"/>
                <w:sz w:val="25"/>
                <w:szCs w:val="25"/>
                <w:color w:val="231F20"/>
                <w:vertAlign w:val="superscript"/>
              </w:rPr>
              <w:t>(3)</w:t>
            </w:r>
          </w:p>
        </w:tc>
        <w:tc>
          <w:tcPr>
            <w:tcW w:w="26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28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940" w:type="dxa"/>
            <w:vAlign w:val="bottom"/>
            <w:tcBorders>
              <w:bottom w:val="single" w:sz="8" w:color="231F20"/>
            </w:tcBorders>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30.2</w:t>
            </w:r>
          </w:p>
        </w:tc>
        <w:tc>
          <w:tcPr>
            <w:tcW w:w="6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30.2</w:t>
            </w:r>
          </w:p>
        </w:tc>
        <w:tc>
          <w:tcPr>
            <w:tcW w:w="0" w:type="dxa"/>
            <w:vAlign w:val="bottom"/>
          </w:tcPr>
          <w:p>
            <w:pPr>
              <w:spacing w:after="0"/>
              <w:rPr>
                <w:sz w:val="1"/>
                <w:szCs w:val="1"/>
                <w:color w:val="auto"/>
              </w:rPr>
            </w:pPr>
          </w:p>
        </w:tc>
      </w:tr>
      <w:tr>
        <w:trPr>
          <w:trHeight w:val="310"/>
        </w:trPr>
        <w:tc>
          <w:tcPr>
            <w:tcW w:w="43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Adjusted EBITDA</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717.6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799.4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562.8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(543.3)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1,536.5</w:t>
            </w:r>
          </w:p>
        </w:tc>
        <w:tc>
          <w:tcPr>
            <w:tcW w:w="0" w:type="dxa"/>
            <w:vAlign w:val="bottom"/>
          </w:tcPr>
          <w:p>
            <w:pPr>
              <w:spacing w:after="0"/>
              <w:rPr>
                <w:sz w:val="1"/>
                <w:szCs w:val="1"/>
                <w:color w:val="auto"/>
              </w:rPr>
            </w:pPr>
          </w:p>
        </w:tc>
      </w:tr>
      <w:tr>
        <w:trPr>
          <w:trHeight w:val="281"/>
        </w:trPr>
        <w:tc>
          <w:tcPr>
            <w:tcW w:w="4340" w:type="dxa"/>
            <w:vAlign w:val="bottom"/>
            <w:tcBorders>
              <w:top w:val="single" w:sz="8" w:color="CFEBF4"/>
            </w:tcBorders>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260" w:type="dxa"/>
            <w:vAlign w:val="bottom"/>
            <w:tcBorders>
              <w:top w:val="single" w:sz="8" w:color="231F20"/>
            </w:tcBorders>
            <w:shd w:val="clear" w:color="auto" w:fill="CFEBF4"/>
          </w:tcPr>
          <w:p>
            <w:pPr>
              <w:spacing w:after="0"/>
              <w:rPr>
                <w:sz w:val="24"/>
                <w:szCs w:val="24"/>
                <w:color w:val="auto"/>
              </w:rPr>
            </w:pPr>
          </w:p>
        </w:tc>
        <w:tc>
          <w:tcPr>
            <w:tcW w:w="8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8.0 %</w:t>
            </w:r>
          </w:p>
        </w:tc>
        <w:tc>
          <w:tcPr>
            <w:tcW w:w="60" w:type="dxa"/>
            <w:vAlign w:val="bottom"/>
            <w:tcBorders>
              <w:top w:val="single" w:sz="8" w:color="CFEBF4"/>
            </w:tcBorders>
            <w:shd w:val="clear" w:color="auto" w:fill="CFEBF4"/>
          </w:tcPr>
          <w:p>
            <w:pPr>
              <w:spacing w:after="0"/>
              <w:rPr>
                <w:sz w:val="24"/>
                <w:szCs w:val="24"/>
                <w:color w:val="auto"/>
              </w:rPr>
            </w:pPr>
          </w:p>
        </w:tc>
        <w:tc>
          <w:tcPr>
            <w:tcW w:w="280" w:type="dxa"/>
            <w:vAlign w:val="bottom"/>
            <w:tcBorders>
              <w:top w:val="single" w:sz="8" w:color="231F20"/>
            </w:tcBorders>
            <w:shd w:val="clear" w:color="auto" w:fill="CFEBF4"/>
          </w:tcPr>
          <w:p>
            <w:pPr>
              <w:spacing w:after="0"/>
              <w:rPr>
                <w:sz w:val="24"/>
                <w:szCs w:val="24"/>
                <w:color w:val="auto"/>
              </w:rPr>
            </w:pPr>
          </w:p>
        </w:tc>
        <w:tc>
          <w:tcPr>
            <w:tcW w:w="8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8.8 %</w:t>
            </w:r>
          </w:p>
        </w:tc>
        <w:tc>
          <w:tcPr>
            <w:tcW w:w="60" w:type="dxa"/>
            <w:vAlign w:val="bottom"/>
            <w:tcBorders>
              <w:top w:val="single" w:sz="8" w:color="CFEBF4"/>
            </w:tcBorders>
            <w:shd w:val="clear" w:color="auto" w:fill="CFEBF4"/>
          </w:tcPr>
          <w:p>
            <w:pPr>
              <w:spacing w:after="0"/>
              <w:rPr>
                <w:sz w:val="24"/>
                <w:szCs w:val="24"/>
                <w:color w:val="auto"/>
              </w:rPr>
            </w:pPr>
          </w:p>
        </w:tc>
        <w:tc>
          <w:tcPr>
            <w:tcW w:w="260" w:type="dxa"/>
            <w:vAlign w:val="bottom"/>
            <w:tcBorders>
              <w:top w:val="single" w:sz="8" w:color="231F20"/>
            </w:tcBorders>
            <w:shd w:val="clear" w:color="auto" w:fill="CFEBF4"/>
          </w:tcPr>
          <w:p>
            <w:pPr>
              <w:spacing w:after="0"/>
              <w:rPr>
                <w:sz w:val="24"/>
                <w:szCs w:val="24"/>
                <w:color w:val="auto"/>
              </w:rPr>
            </w:pPr>
          </w:p>
        </w:tc>
        <w:tc>
          <w:tcPr>
            <w:tcW w:w="8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10.3 %</w:t>
            </w:r>
          </w:p>
        </w:tc>
        <w:tc>
          <w:tcPr>
            <w:tcW w:w="60" w:type="dxa"/>
            <w:vAlign w:val="bottom"/>
            <w:tcBorders>
              <w:top w:val="single" w:sz="8" w:color="CFEBF4"/>
            </w:tcBorders>
            <w:shd w:val="clear" w:color="auto" w:fill="CFEBF4"/>
          </w:tcPr>
          <w:p>
            <w:pPr>
              <w:spacing w:after="0"/>
              <w:rPr>
                <w:sz w:val="24"/>
                <w:szCs w:val="24"/>
                <w:color w:val="auto"/>
              </w:rPr>
            </w:pPr>
          </w:p>
        </w:tc>
        <w:tc>
          <w:tcPr>
            <w:tcW w:w="160" w:type="dxa"/>
            <w:vAlign w:val="bottom"/>
            <w:tcBorders>
              <w:top w:val="single" w:sz="8" w:color="231F20"/>
            </w:tcBorders>
            <w:shd w:val="clear" w:color="auto" w:fill="CFEBF4"/>
          </w:tcPr>
          <w:p>
            <w:pPr>
              <w:spacing w:after="0"/>
              <w:rPr>
                <w:sz w:val="24"/>
                <w:szCs w:val="24"/>
                <w:color w:val="auto"/>
              </w:rPr>
            </w:pPr>
          </w:p>
        </w:tc>
        <w:tc>
          <w:tcPr>
            <w:tcW w:w="940" w:type="dxa"/>
            <w:vAlign w:val="bottom"/>
            <w:tcBorders>
              <w:top w:val="single" w:sz="8" w:color="231F20"/>
            </w:tcBorders>
            <w:shd w:val="clear" w:color="auto" w:fill="CFEBF4"/>
          </w:tcPr>
          <w:p>
            <w:pPr>
              <w:spacing w:after="0"/>
              <w:rPr>
                <w:sz w:val="24"/>
                <w:szCs w:val="24"/>
                <w:color w:val="auto"/>
              </w:rPr>
            </w:pPr>
          </w:p>
        </w:tc>
        <w:tc>
          <w:tcPr>
            <w:tcW w:w="60" w:type="dxa"/>
            <w:vAlign w:val="bottom"/>
            <w:tcBorders>
              <w:top w:val="single" w:sz="8" w:color="CFEBF4"/>
            </w:tcBorders>
            <w:shd w:val="clear" w:color="auto" w:fill="CFEBF4"/>
          </w:tcPr>
          <w:p>
            <w:pPr>
              <w:spacing w:after="0"/>
              <w:rPr>
                <w:sz w:val="24"/>
                <w:szCs w:val="24"/>
                <w:color w:val="auto"/>
              </w:rPr>
            </w:pPr>
          </w:p>
        </w:tc>
        <w:tc>
          <w:tcPr>
            <w:tcW w:w="260" w:type="dxa"/>
            <w:vAlign w:val="bottom"/>
            <w:tcBorders>
              <w:top w:val="single" w:sz="8" w:color="231F20"/>
            </w:tcBorders>
            <w:shd w:val="clear" w:color="auto" w:fill="CFEBF4"/>
          </w:tcPr>
          <w:p>
            <w:pPr>
              <w:spacing w:after="0"/>
              <w:rPr>
                <w:sz w:val="24"/>
                <w:szCs w:val="24"/>
                <w:color w:val="auto"/>
              </w:rPr>
            </w:pPr>
          </w:p>
        </w:tc>
        <w:tc>
          <w:tcPr>
            <w:tcW w:w="860" w:type="dxa"/>
            <w:vAlign w:val="bottom"/>
            <w:tcBorders>
              <w:top w:val="single" w:sz="8" w:color="231F20"/>
            </w:tcBorders>
            <w:shd w:val="clear" w:color="auto" w:fill="CFEBF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-2679700</wp:posOffset>
            </wp:positionV>
            <wp:extent cx="3718560"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3718560" cy="5016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-418465</wp:posOffset>
            </wp:positionV>
            <wp:extent cx="2990215"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2990215" cy="5016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-233680</wp:posOffset>
            </wp:positionV>
            <wp:extent cx="3718560" cy="74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3718560" cy="74930"/>
                    </a:xfrm>
                    <a:prstGeom prst="rect">
                      <a:avLst/>
                    </a:prstGeom>
                    <a:noFill/>
                  </pic:spPr>
                </pic:pic>
              </a:graphicData>
            </a:graphic>
          </wp:anchor>
        </w:drawing>
      </w:r>
    </w:p>
    <w:p>
      <w:pPr>
        <w:ind w:left="360" w:right="60" w:hanging="272"/>
        <w:spacing w:after="0" w:line="208" w:lineRule="auto"/>
        <w:tabs>
          <w:tab w:leader="none" w:pos="297" w:val="left"/>
        </w:tabs>
        <w:numPr>
          <w:ilvl w:val="0"/>
          <w:numId w:val="18"/>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reportable segments do not incur income taxes and interest expense as these costs are centrally controlled through the Corporate tax and treasury functions.</w:t>
      </w:r>
    </w:p>
    <w:p>
      <w:pPr>
        <w:ind w:left="300" w:hanging="212"/>
        <w:spacing w:after="0" w:line="227" w:lineRule="auto"/>
        <w:tabs>
          <w:tab w:leader="none" w:pos="300" w:val="left"/>
        </w:tabs>
        <w:numPr>
          <w:ilvl w:val="0"/>
          <w:numId w:val="18"/>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Digital transformation costs include costs associated with certain digital transformation initiatives.</w:t>
      </w:r>
    </w:p>
    <w:p>
      <w:pPr>
        <w:spacing w:after="0" w:line="40" w:lineRule="exact"/>
        <w:rPr>
          <w:rFonts w:ascii="Times New Roman" w:cs="Times New Roman" w:eastAsia="Times New Roman" w:hAnsi="Times New Roman"/>
          <w:sz w:val="23"/>
          <w:szCs w:val="23"/>
          <w:color w:val="231F20"/>
          <w:vertAlign w:val="superscript"/>
        </w:rPr>
      </w:pPr>
    </w:p>
    <w:p>
      <w:pPr>
        <w:ind w:left="360" w:right="60" w:hanging="272"/>
        <w:spacing w:after="0" w:line="198" w:lineRule="auto"/>
        <w:tabs>
          <w:tab w:leader="none" w:pos="302" w:val="left"/>
        </w:tabs>
        <w:numPr>
          <w:ilvl w:val="0"/>
          <w:numId w:val="18"/>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Cloud computing arrangement amortization consists of expense recognized in selling, general and administrative expenses for capitalized implementation costs for cloud computing arrangements to support our digital transformation initiatives.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120"/>
          </w:cols>
          <w:pgMar w:left="880" w:top="679" w:right="880"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3200" w:type="dxa"/>
            <w:vAlign w:val="bottom"/>
            <w:tcBorders>
              <w:bottom w:val="single" w:sz="8" w:color="231F20"/>
            </w:tcBorders>
            <w:gridSpan w:val="7"/>
          </w:tcPr>
          <w:p>
            <w:pPr>
              <w:jc w:val="right"/>
              <w:ind w:right="402"/>
              <w:spacing w:after="0"/>
              <w:rPr>
                <w:sz w:val="20"/>
                <w:szCs w:val="20"/>
                <w:color w:val="auto"/>
              </w:rPr>
            </w:pPr>
            <w:r>
              <w:rPr>
                <w:rFonts w:ascii="Times New Roman" w:cs="Times New Roman" w:eastAsia="Times New Roman" w:hAnsi="Times New Roman"/>
                <w:sz w:val="18"/>
                <w:szCs w:val="18"/>
                <w:b w:val="1"/>
                <w:bCs w:val="1"/>
                <w:color w:val="231F20"/>
              </w:rPr>
              <w:t>Year Ended December 31, 2024</w:t>
            </w:r>
          </w:p>
        </w:tc>
        <w:tc>
          <w:tcPr>
            <w:tcW w:w="6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34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231F20"/>
              </w:rPr>
              <w:t>EES</w:t>
            </w:r>
            <w:r>
              <w:rPr>
                <w:rFonts w:ascii="Times New Roman" w:cs="Times New Roman" w:eastAsia="Times New Roman" w:hAnsi="Times New Roman"/>
                <w:sz w:val="23"/>
                <w:szCs w:val="23"/>
                <w:b w:val="1"/>
                <w:bCs w:val="1"/>
                <w:color w:val="231F20"/>
                <w:vertAlign w:val="superscript"/>
              </w:rPr>
              <w:t>(1)</w:t>
            </w:r>
          </w:p>
        </w:tc>
        <w:tc>
          <w:tcPr>
            <w:tcW w:w="60" w:type="dxa"/>
            <w:vAlign w:val="bottom"/>
            <w:tcBorders>
              <w:bottom w:val="single" w:sz="8" w:color="CFEBF4"/>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231F20"/>
              </w:rPr>
              <w:t>CSS</w:t>
            </w:r>
            <w:r>
              <w:rPr>
                <w:rFonts w:ascii="Times New Roman" w:cs="Times New Roman" w:eastAsia="Times New Roman" w:hAnsi="Times New Roman"/>
                <w:sz w:val="23"/>
                <w:szCs w:val="23"/>
                <w:b w:val="1"/>
                <w:bCs w:val="1"/>
                <w:color w:val="231F20"/>
                <w:vertAlign w:val="superscript"/>
              </w:rPr>
              <w:t>(1)</w:t>
            </w:r>
          </w:p>
        </w:tc>
        <w:tc>
          <w:tcPr>
            <w:tcW w:w="60" w:type="dxa"/>
            <w:vAlign w:val="bottom"/>
            <w:tcBorders>
              <w:bottom w:val="single" w:sz="8" w:color="CFEBF4"/>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231F20"/>
              </w:rPr>
              <w:t>UBS</w:t>
            </w: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231F20"/>
                <w:w w:val="94"/>
              </w:rPr>
              <w:t>Corporate</w:t>
            </w:r>
          </w:p>
        </w:tc>
        <w:tc>
          <w:tcPr>
            <w:tcW w:w="60" w:type="dxa"/>
            <w:vAlign w:val="bottom"/>
            <w:tcBorders>
              <w:bottom w:val="single" w:sz="8" w:color="CFEBF4"/>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300"/>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Net income attributable to common stockholders</w:t>
            </w:r>
          </w:p>
        </w:tc>
        <w:tc>
          <w:tcPr>
            <w:tcW w:w="24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641.0</w:t>
            </w:r>
          </w:p>
        </w:tc>
        <w:tc>
          <w:tcPr>
            <w:tcW w:w="300" w:type="dxa"/>
            <w:vAlign w:val="bottom"/>
            <w:gridSpan w:val="2"/>
            <w:shd w:val="clear" w:color="auto" w:fill="CFEBF4"/>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496.8</w:t>
            </w:r>
          </w:p>
        </w:tc>
        <w:tc>
          <w:tcPr>
            <w:tcW w:w="320" w:type="dxa"/>
            <w:vAlign w:val="bottom"/>
            <w:gridSpan w:val="2"/>
            <w:shd w:val="clear" w:color="auto" w:fill="CFEBF4"/>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733.0</w:t>
            </w:r>
          </w:p>
        </w:tc>
        <w:tc>
          <w:tcPr>
            <w:tcW w:w="220" w:type="dxa"/>
            <w:vAlign w:val="bottom"/>
            <w:gridSpan w:val="2"/>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(1,210.6)</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660.2</w:t>
            </w:r>
          </w:p>
        </w:tc>
        <w:tc>
          <w:tcPr>
            <w:tcW w:w="0" w:type="dxa"/>
            <w:vAlign w:val="bottom"/>
          </w:tcPr>
          <w:p>
            <w:pPr>
              <w:spacing w:after="0"/>
              <w:rPr>
                <w:sz w:val="1"/>
                <w:szCs w:val="1"/>
                <w:color w:val="auto"/>
              </w:rPr>
            </w:pPr>
          </w:p>
        </w:tc>
      </w:tr>
      <w:tr>
        <w:trPr>
          <w:trHeight w:val="189"/>
        </w:trPr>
        <w:tc>
          <w:tcPr>
            <w:tcW w:w="4340" w:type="dxa"/>
            <w:vAlign w:val="bottom"/>
          </w:tcPr>
          <w:p>
            <w:pPr>
              <w:ind w:left="320"/>
              <w:spacing w:after="0" w:line="189" w:lineRule="exact"/>
              <w:rPr>
                <w:sz w:val="20"/>
                <w:szCs w:val="20"/>
                <w:color w:val="auto"/>
              </w:rPr>
            </w:pPr>
            <w:r>
              <w:rPr>
                <w:rFonts w:ascii="Times New Roman" w:cs="Times New Roman" w:eastAsia="Times New Roman" w:hAnsi="Times New Roman"/>
                <w:sz w:val="20"/>
                <w:szCs w:val="20"/>
                <w:color w:val="231F20"/>
              </w:rPr>
              <w:t>Net (loss) income attributable to noncontrolling</w:t>
            </w:r>
          </w:p>
        </w:tc>
        <w:tc>
          <w:tcPr>
            <w:tcW w:w="240" w:type="dxa"/>
            <w:vAlign w:val="bottom"/>
          </w:tcPr>
          <w:p>
            <w:pPr>
              <w:spacing w:after="0"/>
              <w:rPr>
                <w:sz w:val="16"/>
                <w:szCs w:val="16"/>
                <w:color w:val="auto"/>
              </w:rPr>
            </w:pPr>
          </w:p>
        </w:tc>
        <w:tc>
          <w:tcPr>
            <w:tcW w:w="86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43"/>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0.6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63"/>
        </w:trPr>
        <w:tc>
          <w:tcPr>
            <w:tcW w:w="434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interests</w:t>
            </w:r>
          </w:p>
        </w:tc>
        <w:tc>
          <w:tcPr>
            <w:tcW w:w="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Preferred stock dividends</w:t>
            </w:r>
          </w:p>
        </w:tc>
        <w:tc>
          <w:tcPr>
            <w:tcW w:w="24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57.4</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57.4</w:t>
            </w:r>
          </w:p>
        </w:tc>
        <w:tc>
          <w:tcPr>
            <w:tcW w:w="0" w:type="dxa"/>
            <w:vAlign w:val="bottom"/>
          </w:tcPr>
          <w:p>
            <w:pPr>
              <w:spacing w:after="0"/>
              <w:rPr>
                <w:sz w:val="1"/>
                <w:szCs w:val="1"/>
                <w:color w:val="auto"/>
              </w:rPr>
            </w:pPr>
          </w:p>
        </w:tc>
      </w:tr>
      <w:tr>
        <w:trPr>
          <w:trHeight w:val="310"/>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Provision for income taxes</w:t>
            </w:r>
            <w:r>
              <w:rPr>
                <w:rFonts w:ascii="Times New Roman" w:cs="Times New Roman" w:eastAsia="Times New Roman" w:hAnsi="Times New Roman"/>
                <w:sz w:val="25"/>
                <w:szCs w:val="25"/>
                <w:color w:val="231F20"/>
                <w:vertAlign w:val="superscript"/>
              </w:rPr>
              <w:t>(2)</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231.6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231.6</w:t>
            </w:r>
          </w:p>
        </w:tc>
        <w:tc>
          <w:tcPr>
            <w:tcW w:w="0" w:type="dxa"/>
            <w:vAlign w:val="bottom"/>
          </w:tcPr>
          <w:p>
            <w:pPr>
              <w:spacing w:after="0"/>
              <w:rPr>
                <w:sz w:val="1"/>
                <w:szCs w:val="1"/>
                <w:color w:val="auto"/>
              </w:rPr>
            </w:pPr>
          </w:p>
        </w:tc>
      </w:tr>
      <w:tr>
        <w:trPr>
          <w:trHeight w:val="310"/>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Interest expense, net</w:t>
            </w:r>
            <w:r>
              <w:rPr>
                <w:rFonts w:ascii="Times New Roman" w:cs="Times New Roman" w:eastAsia="Times New Roman" w:hAnsi="Times New Roman"/>
                <w:sz w:val="25"/>
                <w:szCs w:val="25"/>
                <w:color w:val="231F20"/>
                <w:vertAlign w:val="superscript"/>
              </w:rPr>
              <w:t>(2)</w:t>
            </w:r>
          </w:p>
        </w:tc>
        <w:tc>
          <w:tcPr>
            <w:tcW w:w="24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364.9</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364.9</w:t>
            </w:r>
          </w:p>
        </w:tc>
        <w:tc>
          <w:tcPr>
            <w:tcW w:w="0" w:type="dxa"/>
            <w:vAlign w:val="bottom"/>
          </w:tcPr>
          <w:p>
            <w:pPr>
              <w:spacing w:after="0"/>
              <w:rPr>
                <w:sz w:val="1"/>
                <w:szCs w:val="1"/>
                <w:color w:val="auto"/>
              </w:rPr>
            </w:pPr>
          </w:p>
        </w:tc>
      </w:tr>
      <w:tr>
        <w:trPr>
          <w:trHeight w:val="304"/>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46.4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71.9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36.4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183.2</w:t>
            </w:r>
          </w:p>
        </w:tc>
        <w:tc>
          <w:tcPr>
            <w:tcW w:w="0" w:type="dxa"/>
            <w:vAlign w:val="bottom"/>
          </w:tcPr>
          <w:p>
            <w:pPr>
              <w:spacing w:after="0"/>
              <w:rPr>
                <w:sz w:val="1"/>
                <w:szCs w:val="1"/>
                <w:color w:val="auto"/>
              </w:rPr>
            </w:pPr>
          </w:p>
        </w:tc>
      </w:tr>
      <w:tr>
        <w:trPr>
          <w:trHeight w:val="316"/>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Other expense (income), net</w:t>
            </w:r>
            <w:r>
              <w:rPr>
                <w:rFonts w:ascii="Times New Roman" w:cs="Times New Roman" w:eastAsia="Times New Roman" w:hAnsi="Times New Roman"/>
                <w:sz w:val="25"/>
                <w:szCs w:val="25"/>
                <w:color w:val="231F20"/>
                <w:vertAlign w:val="superscript"/>
              </w:rPr>
              <w:t>(3)</w:t>
            </w:r>
          </w:p>
        </w:tc>
        <w:tc>
          <w:tcPr>
            <w:tcW w:w="24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9.1</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61.2</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(121.2)</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(41.8)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(92.7)</w:t>
            </w:r>
          </w:p>
        </w:tc>
        <w:tc>
          <w:tcPr>
            <w:tcW w:w="0" w:type="dxa"/>
            <w:vAlign w:val="bottom"/>
          </w:tcPr>
          <w:p>
            <w:pPr>
              <w:spacing w:after="0"/>
              <w:rPr>
                <w:sz w:val="1"/>
                <w:szCs w:val="1"/>
                <w:color w:val="auto"/>
              </w:rPr>
            </w:pPr>
          </w:p>
        </w:tc>
      </w:tr>
      <w:tr>
        <w:trPr>
          <w:trHeight w:val="304"/>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14.8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28.9</w:t>
            </w:r>
          </w:p>
        </w:tc>
        <w:tc>
          <w:tcPr>
            <w:tcW w:w="0" w:type="dxa"/>
            <w:vAlign w:val="bottom"/>
          </w:tcPr>
          <w:p>
            <w:pPr>
              <w:spacing w:after="0"/>
              <w:rPr>
                <w:sz w:val="1"/>
                <w:szCs w:val="1"/>
                <w:color w:val="auto"/>
              </w:rPr>
            </w:pPr>
          </w:p>
        </w:tc>
      </w:tr>
      <w:tr>
        <w:trPr>
          <w:trHeight w:val="316"/>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Digital transformation costs</w:t>
            </w:r>
            <w:r>
              <w:rPr>
                <w:rFonts w:ascii="Times New Roman" w:cs="Times New Roman" w:eastAsia="Times New Roman" w:hAnsi="Times New Roman"/>
                <w:sz w:val="25"/>
                <w:szCs w:val="25"/>
                <w:color w:val="231F20"/>
                <w:vertAlign w:val="superscript"/>
              </w:rPr>
              <w:t>(4)</w:t>
            </w:r>
          </w:p>
        </w:tc>
        <w:tc>
          <w:tcPr>
            <w:tcW w:w="24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24.9</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24.9</w:t>
            </w:r>
          </w:p>
        </w:tc>
        <w:tc>
          <w:tcPr>
            <w:tcW w:w="0" w:type="dxa"/>
            <w:vAlign w:val="bottom"/>
          </w:tcPr>
          <w:p>
            <w:pPr>
              <w:spacing w:after="0"/>
              <w:rPr>
                <w:sz w:val="1"/>
                <w:szCs w:val="1"/>
                <w:color w:val="auto"/>
              </w:rPr>
            </w:pPr>
          </w:p>
        </w:tc>
      </w:tr>
      <w:tr>
        <w:trPr>
          <w:trHeight w:val="310"/>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Loss on abandonment of assets</w:t>
            </w:r>
            <w:r>
              <w:rPr>
                <w:rFonts w:ascii="Times New Roman" w:cs="Times New Roman" w:eastAsia="Times New Roman" w:hAnsi="Times New Roman"/>
                <w:sz w:val="25"/>
                <w:szCs w:val="25"/>
                <w:color w:val="231F20"/>
                <w:vertAlign w:val="superscript"/>
              </w:rPr>
              <w:t>(5)</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17.8</w:t>
            </w:r>
          </w:p>
        </w:tc>
        <w:tc>
          <w:tcPr>
            <w:tcW w:w="0" w:type="dxa"/>
            <w:vAlign w:val="bottom"/>
          </w:tcPr>
          <w:p>
            <w:pPr>
              <w:spacing w:after="0"/>
              <w:rPr>
                <w:sz w:val="1"/>
                <w:szCs w:val="1"/>
                <w:color w:val="auto"/>
              </w:rPr>
            </w:pPr>
          </w:p>
        </w:tc>
      </w:tr>
      <w:tr>
        <w:trPr>
          <w:trHeight w:val="310"/>
        </w:trPr>
        <w:tc>
          <w:tcPr>
            <w:tcW w:w="434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Cloud computing arrangement amortization</w:t>
            </w:r>
            <w:r>
              <w:rPr>
                <w:rFonts w:ascii="Times New Roman" w:cs="Times New Roman" w:eastAsia="Times New Roman" w:hAnsi="Times New Roman"/>
                <w:sz w:val="25"/>
                <w:szCs w:val="25"/>
                <w:color w:val="231F20"/>
                <w:vertAlign w:val="superscript"/>
              </w:rPr>
              <w:t>(6)</w:t>
            </w:r>
          </w:p>
        </w:tc>
        <w:tc>
          <w:tcPr>
            <w:tcW w:w="24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4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14.1</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6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14.1</w:t>
            </w:r>
          </w:p>
        </w:tc>
        <w:tc>
          <w:tcPr>
            <w:tcW w:w="0" w:type="dxa"/>
            <w:vAlign w:val="bottom"/>
          </w:tcPr>
          <w:p>
            <w:pPr>
              <w:spacing w:after="0"/>
              <w:rPr>
                <w:sz w:val="1"/>
                <w:szCs w:val="1"/>
                <w:color w:val="auto"/>
              </w:rPr>
            </w:pPr>
          </w:p>
        </w:tc>
      </w:tr>
      <w:tr>
        <w:trPr>
          <w:trHeight w:val="310"/>
        </w:trPr>
        <w:tc>
          <w:tcPr>
            <w:tcW w:w="43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Restructuring costs</w:t>
            </w:r>
            <w:r>
              <w:rPr>
                <w:rFonts w:ascii="Times New Roman" w:cs="Times New Roman" w:eastAsia="Times New Roman" w:hAnsi="Times New Roman"/>
                <w:sz w:val="25"/>
                <w:szCs w:val="25"/>
                <w:color w:val="231F20"/>
                <w:vertAlign w:val="superscript"/>
              </w:rPr>
              <w:t>(7)</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12.1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300"/>
        </w:trPr>
        <w:tc>
          <w:tcPr>
            <w:tcW w:w="4340" w:type="dxa"/>
            <w:vAlign w:val="bottom"/>
            <w:tcBorders>
              <w:bottom w:val="single" w:sz="8" w:color="CFEBF4"/>
            </w:tcBorders>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Excise taxes on excess pension plan assets</w:t>
            </w:r>
            <w:r>
              <w:rPr>
                <w:rFonts w:ascii="Times New Roman" w:cs="Times New Roman" w:eastAsia="Times New Roman" w:hAnsi="Times New Roman"/>
                <w:sz w:val="25"/>
                <w:szCs w:val="25"/>
                <w:color w:val="231F20"/>
                <w:vertAlign w:val="superscript"/>
              </w:rPr>
              <w:t>(8)</w:t>
            </w:r>
          </w:p>
        </w:tc>
        <w:tc>
          <w:tcPr>
            <w:tcW w:w="24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spacing w:after="0"/>
              <w:rPr>
                <w:sz w:val="24"/>
                <w:szCs w:val="24"/>
                <w:color w:val="auto"/>
              </w:rPr>
            </w:pPr>
          </w:p>
        </w:tc>
        <w:tc>
          <w:tcPr>
            <w:tcW w:w="8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940" w:type="dxa"/>
            <w:vAlign w:val="bottom"/>
            <w:tcBorders>
              <w:bottom w:val="single" w:sz="8" w:color="231F20"/>
            </w:tcBorders>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4.9</w:t>
            </w:r>
          </w:p>
        </w:tc>
        <w:tc>
          <w:tcPr>
            <w:tcW w:w="6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310"/>
        </w:trPr>
        <w:tc>
          <w:tcPr>
            <w:tcW w:w="43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Adjusted EBITDA</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699.8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638.8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643.4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(472.9)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1,509.1</w:t>
            </w:r>
          </w:p>
        </w:tc>
        <w:tc>
          <w:tcPr>
            <w:tcW w:w="0" w:type="dxa"/>
            <w:vAlign w:val="bottom"/>
          </w:tcPr>
          <w:p>
            <w:pPr>
              <w:spacing w:after="0"/>
              <w:rPr>
                <w:sz w:val="1"/>
                <w:szCs w:val="1"/>
                <w:color w:val="auto"/>
              </w:rPr>
            </w:pPr>
          </w:p>
        </w:tc>
      </w:tr>
      <w:tr>
        <w:trPr>
          <w:trHeight w:val="281"/>
        </w:trPr>
        <w:tc>
          <w:tcPr>
            <w:tcW w:w="4340" w:type="dxa"/>
            <w:vAlign w:val="bottom"/>
            <w:tcBorders>
              <w:top w:val="single" w:sz="8" w:color="CFEBF4"/>
            </w:tcBorders>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240" w:type="dxa"/>
            <w:vAlign w:val="bottom"/>
            <w:tcBorders>
              <w:top w:val="single" w:sz="8" w:color="231F20"/>
            </w:tcBorders>
            <w:shd w:val="clear" w:color="auto" w:fill="CFEBF4"/>
          </w:tcPr>
          <w:p>
            <w:pPr>
              <w:spacing w:after="0"/>
              <w:rPr>
                <w:sz w:val="24"/>
                <w:szCs w:val="24"/>
                <w:color w:val="auto"/>
              </w:rPr>
            </w:pPr>
          </w:p>
        </w:tc>
        <w:tc>
          <w:tcPr>
            <w:tcW w:w="8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8.3 %</w:t>
            </w:r>
          </w:p>
        </w:tc>
        <w:tc>
          <w:tcPr>
            <w:tcW w:w="60" w:type="dxa"/>
            <w:vAlign w:val="bottom"/>
            <w:tcBorders>
              <w:top w:val="single" w:sz="8" w:color="CFEBF4"/>
            </w:tcBorders>
            <w:shd w:val="clear" w:color="auto" w:fill="CFEBF4"/>
          </w:tcPr>
          <w:p>
            <w:pPr>
              <w:spacing w:after="0"/>
              <w:rPr>
                <w:sz w:val="24"/>
                <w:szCs w:val="24"/>
                <w:color w:val="auto"/>
              </w:rPr>
            </w:pPr>
          </w:p>
        </w:tc>
        <w:tc>
          <w:tcPr>
            <w:tcW w:w="240" w:type="dxa"/>
            <w:vAlign w:val="bottom"/>
            <w:tcBorders>
              <w:top w:val="single" w:sz="8" w:color="231F20"/>
            </w:tcBorders>
            <w:shd w:val="clear" w:color="auto" w:fill="CFEBF4"/>
          </w:tcPr>
          <w:p>
            <w:pPr>
              <w:spacing w:after="0"/>
              <w:rPr>
                <w:sz w:val="24"/>
                <w:szCs w:val="24"/>
                <w:color w:val="auto"/>
              </w:rPr>
            </w:pPr>
          </w:p>
        </w:tc>
        <w:tc>
          <w:tcPr>
            <w:tcW w:w="88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8.3 %</w:t>
            </w:r>
          </w:p>
        </w:tc>
        <w:tc>
          <w:tcPr>
            <w:tcW w:w="60" w:type="dxa"/>
            <w:vAlign w:val="bottom"/>
            <w:tcBorders>
              <w:top w:val="single" w:sz="8" w:color="CFEBF4"/>
            </w:tcBorders>
            <w:shd w:val="clear" w:color="auto" w:fill="CFEBF4"/>
          </w:tcPr>
          <w:p>
            <w:pPr>
              <w:spacing w:after="0"/>
              <w:rPr>
                <w:sz w:val="24"/>
                <w:szCs w:val="24"/>
                <w:color w:val="auto"/>
              </w:rPr>
            </w:pPr>
          </w:p>
        </w:tc>
        <w:tc>
          <w:tcPr>
            <w:tcW w:w="260" w:type="dxa"/>
            <w:vAlign w:val="bottom"/>
            <w:tcBorders>
              <w:top w:val="single" w:sz="8" w:color="231F20"/>
            </w:tcBorders>
            <w:shd w:val="clear" w:color="auto" w:fill="CFEBF4"/>
          </w:tcPr>
          <w:p>
            <w:pPr>
              <w:spacing w:after="0"/>
              <w:rPr>
                <w:sz w:val="24"/>
                <w:szCs w:val="24"/>
                <w:color w:val="auto"/>
              </w:rPr>
            </w:pPr>
          </w:p>
        </w:tc>
        <w:tc>
          <w:tcPr>
            <w:tcW w:w="8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11.2 %</w:t>
            </w:r>
          </w:p>
        </w:tc>
        <w:tc>
          <w:tcPr>
            <w:tcW w:w="60" w:type="dxa"/>
            <w:vAlign w:val="bottom"/>
            <w:tcBorders>
              <w:top w:val="single" w:sz="8" w:color="CFEBF4"/>
            </w:tcBorders>
            <w:shd w:val="clear" w:color="auto" w:fill="CFEBF4"/>
          </w:tcPr>
          <w:p>
            <w:pPr>
              <w:spacing w:after="0"/>
              <w:rPr>
                <w:sz w:val="24"/>
                <w:szCs w:val="24"/>
                <w:color w:val="auto"/>
              </w:rPr>
            </w:pPr>
          </w:p>
        </w:tc>
        <w:tc>
          <w:tcPr>
            <w:tcW w:w="160" w:type="dxa"/>
            <w:vAlign w:val="bottom"/>
            <w:tcBorders>
              <w:top w:val="single" w:sz="8" w:color="231F20"/>
            </w:tcBorders>
            <w:shd w:val="clear" w:color="auto" w:fill="CFEBF4"/>
          </w:tcPr>
          <w:p>
            <w:pPr>
              <w:spacing w:after="0"/>
              <w:rPr>
                <w:sz w:val="24"/>
                <w:szCs w:val="24"/>
                <w:color w:val="auto"/>
              </w:rPr>
            </w:pPr>
          </w:p>
        </w:tc>
        <w:tc>
          <w:tcPr>
            <w:tcW w:w="940" w:type="dxa"/>
            <w:vAlign w:val="bottom"/>
            <w:tcBorders>
              <w:top w:val="single" w:sz="8" w:color="231F20"/>
            </w:tcBorders>
            <w:shd w:val="clear" w:color="auto" w:fill="CFEBF4"/>
          </w:tcPr>
          <w:p>
            <w:pPr>
              <w:spacing w:after="0"/>
              <w:rPr>
                <w:sz w:val="24"/>
                <w:szCs w:val="24"/>
                <w:color w:val="auto"/>
              </w:rPr>
            </w:pPr>
          </w:p>
        </w:tc>
        <w:tc>
          <w:tcPr>
            <w:tcW w:w="60" w:type="dxa"/>
            <w:vAlign w:val="bottom"/>
            <w:tcBorders>
              <w:top w:val="single" w:sz="8" w:color="CFEBF4"/>
            </w:tcBorders>
            <w:shd w:val="clear" w:color="auto" w:fill="CFEBF4"/>
          </w:tcPr>
          <w:p>
            <w:pPr>
              <w:spacing w:after="0"/>
              <w:rPr>
                <w:sz w:val="24"/>
                <w:szCs w:val="24"/>
                <w:color w:val="auto"/>
              </w:rPr>
            </w:pPr>
          </w:p>
        </w:tc>
        <w:tc>
          <w:tcPr>
            <w:tcW w:w="260" w:type="dxa"/>
            <w:vAlign w:val="bottom"/>
            <w:tcBorders>
              <w:top w:val="single" w:sz="8" w:color="231F20"/>
            </w:tcBorders>
            <w:shd w:val="clear" w:color="auto" w:fill="CFEBF4"/>
          </w:tcPr>
          <w:p>
            <w:pPr>
              <w:spacing w:after="0"/>
              <w:rPr>
                <w:sz w:val="24"/>
                <w:szCs w:val="24"/>
                <w:color w:val="auto"/>
              </w:rPr>
            </w:pPr>
          </w:p>
        </w:tc>
        <w:tc>
          <w:tcPr>
            <w:tcW w:w="860" w:type="dxa"/>
            <w:vAlign w:val="bottom"/>
            <w:tcBorders>
              <w:top w:val="single" w:sz="8" w:color="231F20"/>
            </w:tcBorders>
            <w:shd w:val="clear" w:color="auto" w:fill="CFEBF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-3074035</wp:posOffset>
            </wp:positionV>
            <wp:extent cx="371856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3718560" cy="5016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-418465</wp:posOffset>
            </wp:positionV>
            <wp:extent cx="2990215" cy="5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2990215" cy="5016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-233680</wp:posOffset>
            </wp:positionV>
            <wp:extent cx="3718560" cy="74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3718560" cy="74930"/>
                    </a:xfrm>
                    <a:prstGeom prst="rect">
                      <a:avLst/>
                    </a:prstGeom>
                    <a:noFill/>
                  </pic:spPr>
                </pic:pic>
              </a:graphicData>
            </a:graphic>
          </wp:anchor>
        </w:drawing>
      </w:r>
    </w:p>
    <w:p>
      <w:pPr>
        <w:ind w:left="360" w:right="60" w:hanging="272"/>
        <w:spacing w:after="0" w:line="208" w:lineRule="auto"/>
        <w:tabs>
          <w:tab w:leader="none" w:pos="309"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As described in Note 2, “Accounting Policies,” the reportable segment information for the year ended December 31, 2024 for the EES and CSS reportable segments has been recast to conform to the current year presentation.</w:t>
      </w:r>
    </w:p>
    <w:p>
      <w:pPr>
        <w:spacing w:after="0" w:line="19" w:lineRule="exact"/>
        <w:rPr>
          <w:rFonts w:ascii="Times New Roman" w:cs="Times New Roman" w:eastAsia="Times New Roman" w:hAnsi="Times New Roman"/>
          <w:sz w:val="23"/>
          <w:szCs w:val="23"/>
          <w:color w:val="231F20"/>
          <w:vertAlign w:val="superscript"/>
        </w:rPr>
      </w:pPr>
    </w:p>
    <w:p>
      <w:pPr>
        <w:ind w:left="360" w:right="60" w:hanging="272"/>
        <w:spacing w:after="0" w:line="208" w:lineRule="auto"/>
        <w:tabs>
          <w:tab w:leader="none" w:pos="297"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reportable segments do not incur income taxes and interest expense as these costs are centrally controlled through the Corporate tax and treasury functions.</w:t>
      </w:r>
    </w:p>
    <w:p>
      <w:pPr>
        <w:spacing w:after="0" w:line="19" w:lineRule="exact"/>
        <w:rPr>
          <w:rFonts w:ascii="Times New Roman" w:cs="Times New Roman" w:eastAsia="Times New Roman" w:hAnsi="Times New Roman"/>
          <w:sz w:val="23"/>
          <w:szCs w:val="23"/>
          <w:color w:val="231F20"/>
          <w:vertAlign w:val="superscript"/>
        </w:rPr>
      </w:pPr>
    </w:p>
    <w:p>
      <w:pPr>
        <w:ind w:left="360" w:right="60" w:hanging="272"/>
        <w:spacing w:after="0" w:line="208" w:lineRule="auto"/>
        <w:tabs>
          <w:tab w:leader="none" w:pos="313"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Other income for the UBS segment includes the gain on the divestiture of the WIS business as disclosed in Note 5, “Acquisitions and Divestitures”.</w:t>
      </w:r>
    </w:p>
    <w:p>
      <w:pPr>
        <w:ind w:left="320" w:hanging="232"/>
        <w:spacing w:after="0" w:line="227" w:lineRule="auto"/>
        <w:tabs>
          <w:tab w:leader="none" w:pos="320"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Digital transformation costs include costs associated with certain digital transformation initiatives.</w:t>
      </w:r>
    </w:p>
    <w:p>
      <w:pPr>
        <w:spacing w:after="0" w:line="31" w:lineRule="exact"/>
        <w:rPr>
          <w:rFonts w:ascii="Times New Roman" w:cs="Times New Roman" w:eastAsia="Times New Roman" w:hAnsi="Times New Roman"/>
          <w:sz w:val="23"/>
          <w:szCs w:val="23"/>
          <w:color w:val="231F20"/>
          <w:vertAlign w:val="superscript"/>
        </w:rPr>
      </w:pPr>
    </w:p>
    <w:p>
      <w:pPr>
        <w:jc w:val="both"/>
        <w:ind w:left="360" w:right="60" w:hanging="272"/>
        <w:spacing w:after="0" w:line="200" w:lineRule="auto"/>
        <w:tabs>
          <w:tab w:leader="none" w:pos="317"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1" w:lineRule="exact"/>
        <w:rPr>
          <w:rFonts w:ascii="Times New Roman" w:cs="Times New Roman" w:eastAsia="Times New Roman" w:hAnsi="Times New Roman"/>
          <w:sz w:val="23"/>
          <w:szCs w:val="23"/>
          <w:color w:val="231F20"/>
          <w:vertAlign w:val="superscript"/>
        </w:rPr>
      </w:pPr>
    </w:p>
    <w:p>
      <w:pPr>
        <w:ind w:left="360" w:right="60" w:hanging="272"/>
        <w:spacing w:after="0" w:line="207" w:lineRule="auto"/>
        <w:tabs>
          <w:tab w:leader="none" w:pos="302"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Cloud computing arrangement amortization consists of expense recognized in selling, general and administrative expenses for capitalized implementation costs for cloud computing arrangements to support our digital transformation initiatives.</w:t>
      </w:r>
    </w:p>
    <w:p>
      <w:pPr>
        <w:ind w:left="320" w:hanging="232"/>
        <w:spacing w:after="0" w:line="227" w:lineRule="auto"/>
        <w:tabs>
          <w:tab w:leader="none" w:pos="320"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Restructuring costs include severance costs incurred pursuant to an ongoing restructuring plan.</w:t>
      </w:r>
    </w:p>
    <w:p>
      <w:pPr>
        <w:spacing w:after="0" w:line="40" w:lineRule="exact"/>
        <w:rPr>
          <w:rFonts w:ascii="Times New Roman" w:cs="Times New Roman" w:eastAsia="Times New Roman" w:hAnsi="Times New Roman"/>
          <w:sz w:val="23"/>
          <w:szCs w:val="23"/>
          <w:color w:val="231F20"/>
          <w:vertAlign w:val="superscript"/>
        </w:rPr>
      </w:pPr>
    </w:p>
    <w:p>
      <w:pPr>
        <w:ind w:left="360" w:right="60" w:hanging="272"/>
        <w:spacing w:after="0" w:line="198" w:lineRule="auto"/>
        <w:tabs>
          <w:tab w:leader="none" w:pos="353" w:val="left"/>
        </w:tabs>
        <w:numPr>
          <w:ilvl w:val="0"/>
          <w:numId w:val="1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Excise taxes on excess pension plan assets represent the excise taxes applicable to the excess pension plan assets following the final settlement of the Company's U.S. pension plan.</w:t>
      </w:r>
    </w:p>
    <w:p>
      <w:pPr>
        <w:spacing w:after="0" w:line="2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31F20"/>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sectPr>
          <w:pgSz w:w="11880" w:h="15480" w:orient="portrait"/>
          <w:cols w:equalWidth="0" w:num="1">
            <w:col w:w="10120"/>
          </w:cols>
          <w:pgMar w:left="880" w:top="80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120"/>
          </w:cols>
          <w:pgMar w:left="880" w:top="803" w:right="880" w:bottom="0" w:gutter="0" w:footer="0" w:header="0"/>
          <w:type w:val="continuous"/>
        </w:sectPr>
      </w:pPr>
    </w:p>
    <w:bookmarkStart w:id="45" w:name="page46"/>
    <w:bookmarkEnd w:id="45"/>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following tables reconcile SG&amp;A expenses, income from operations, other non-operating (income) expense, provision for income taxes, net income attributable to common stockholders, and earnings per diluted share to adjusted SG&amp;A expenses, adjusted income from operations, adjusted other non-operating (income) expense, adjusted provision for income taxes, adjusted net income attributable to common stockholders, and adjusted earnings per diluted share, which are non-GAAP financial measures, for the periods presented: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380" w:type="dxa"/>
            <w:vAlign w:val="bottom"/>
            <w:tcBorders>
              <w:bottom w:val="single" w:sz="8" w:color="231F20"/>
            </w:tcBorders>
            <w:gridSpan w:val="4"/>
          </w:tcPr>
          <w:p>
            <w:pPr>
              <w:jc w:val="right"/>
              <w:ind w:right="36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16"/>
        </w:trPr>
        <w:tc>
          <w:tcPr>
            <w:tcW w:w="742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10"/>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Adjusted SG&amp;A Expenses:</w:t>
            </w:r>
          </w:p>
        </w:tc>
        <w:tc>
          <w:tcPr>
            <w:tcW w:w="280" w:type="dxa"/>
            <w:vAlign w:val="bottom"/>
          </w:tcPr>
          <w:p>
            <w:pPr>
              <w:spacing w:after="0"/>
              <w:rPr>
                <w:sz w:val="18"/>
                <w:szCs w:val="18"/>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231F20"/>
              </w:rPr>
              <w:t>(In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w w:val="70"/>
              </w:rPr>
              <w:t>millions)</w:t>
            </w:r>
          </w:p>
        </w:tc>
        <w:tc>
          <w:tcPr>
            <w:tcW w:w="860" w:type="dxa"/>
            <w:vAlign w:val="bottom"/>
          </w:tcPr>
          <w:p>
            <w:pPr>
              <w:spacing w:after="0"/>
              <w:rPr>
                <w:sz w:val="18"/>
                <w:szCs w:val="18"/>
                <w:color w:val="auto"/>
              </w:rPr>
            </w:pPr>
          </w:p>
        </w:tc>
      </w:tr>
      <w:tr>
        <w:trPr>
          <w:trHeight w:val="223"/>
        </w:trPr>
        <w:tc>
          <w:tcPr>
            <w:tcW w:w="74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6"/>
                <w:szCs w:val="16"/>
                <w:color w:val="231F20"/>
              </w:rPr>
              <w:t>SG&amp;A expenses</w:t>
            </w:r>
          </w:p>
        </w:tc>
        <w:tc>
          <w:tcPr>
            <w:tcW w:w="280" w:type="dxa"/>
            <w:vAlign w:val="bottom"/>
            <w:shd w:val="clear" w:color="auto" w:fill="CFEBF4"/>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3,541.4</w:t>
            </w:r>
          </w:p>
        </w:tc>
        <w:tc>
          <w:tcPr>
            <w:tcW w:w="500" w:type="dxa"/>
            <w:vAlign w:val="bottom"/>
            <w:gridSpan w:val="2"/>
            <w:shd w:val="clear" w:color="auto" w:fill="CFEBF4"/>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3,306.2</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Digital transformation costs</w:t>
            </w:r>
            <w:r>
              <w:rPr>
                <w:rFonts w:ascii="Times New Roman" w:cs="Times New Roman" w:eastAsia="Times New Roman" w:hAnsi="Times New Roman"/>
                <w:sz w:val="20"/>
                <w:szCs w:val="20"/>
                <w:color w:val="231F20"/>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(24.9)</w:t>
            </w:r>
          </w:p>
        </w:tc>
      </w:tr>
      <w:tr>
        <w:trPr>
          <w:trHeight w:val="222"/>
        </w:trPr>
        <w:tc>
          <w:tcPr>
            <w:tcW w:w="7420" w:type="dxa"/>
            <w:vAlign w:val="bottom"/>
            <w:shd w:val="clear" w:color="auto" w:fill="CFEBF4"/>
          </w:tcPr>
          <w:p>
            <w:pPr>
              <w:ind w:left="220"/>
              <w:spacing w:after="0" w:line="222" w:lineRule="exact"/>
              <w:rPr>
                <w:sz w:val="20"/>
                <w:szCs w:val="20"/>
                <w:color w:val="auto"/>
              </w:rPr>
            </w:pPr>
            <w:r>
              <w:rPr>
                <w:rFonts w:ascii="Times New Roman" w:cs="Times New Roman" w:eastAsia="Times New Roman" w:hAnsi="Times New Roman"/>
                <w:sz w:val="16"/>
                <w:szCs w:val="16"/>
                <w:color w:val="231F20"/>
              </w:rPr>
              <w:t>Restructuring costs</w:t>
            </w:r>
            <w:r>
              <w:rPr>
                <w:rFonts w:ascii="Times New Roman" w:cs="Times New Roman" w:eastAsia="Times New Roman" w:hAnsi="Times New Roman"/>
                <w:sz w:val="20"/>
                <w:szCs w:val="20"/>
                <w:color w:val="231F20"/>
                <w:vertAlign w:val="superscript"/>
              </w:rPr>
              <w:t>(2)</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(12.1)</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Loss on abandonment of assets</w:t>
            </w:r>
            <w:r>
              <w:rPr>
                <w:rFonts w:ascii="Times New Roman" w:cs="Times New Roman" w:eastAsia="Times New Roman" w:hAnsi="Times New Roman"/>
                <w:sz w:val="20"/>
                <w:szCs w:val="20"/>
                <w:color w:val="231F20"/>
                <w:vertAlign w:val="superscript"/>
              </w:rPr>
              <w:t>(3)</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(17.8)</w:t>
            </w:r>
          </w:p>
        </w:tc>
      </w:tr>
      <w:tr>
        <w:trPr>
          <w:trHeight w:val="232"/>
        </w:trPr>
        <w:tc>
          <w:tcPr>
            <w:tcW w:w="7420" w:type="dxa"/>
            <w:vAlign w:val="bottom"/>
            <w:tcBorders>
              <w:bottom w:val="single" w:sz="8" w:color="CFEBF4"/>
            </w:tcBorders>
            <w:shd w:val="clear" w:color="auto" w:fill="CFEBF4"/>
          </w:tcPr>
          <w:p>
            <w:pPr>
              <w:ind w:left="220"/>
              <w:spacing w:after="0" w:line="212" w:lineRule="exact"/>
              <w:rPr>
                <w:sz w:val="20"/>
                <w:szCs w:val="20"/>
                <w:color w:val="auto"/>
              </w:rPr>
            </w:pPr>
            <w:r>
              <w:rPr>
                <w:rFonts w:ascii="Times New Roman" w:cs="Times New Roman" w:eastAsia="Times New Roman" w:hAnsi="Times New Roman"/>
                <w:sz w:val="16"/>
                <w:szCs w:val="16"/>
                <w:color w:val="231F20"/>
              </w:rPr>
              <w:t>Excise taxes on excess pension plan assets</w:t>
            </w:r>
            <w:r>
              <w:rPr>
                <w:rFonts w:ascii="Times New Roman" w:cs="Times New Roman" w:eastAsia="Times New Roman" w:hAnsi="Times New Roman"/>
                <w:sz w:val="20"/>
                <w:szCs w:val="20"/>
                <w:color w:val="231F20"/>
                <w:vertAlign w:val="superscript"/>
              </w:rPr>
              <w:t>(4)</w:t>
            </w:r>
          </w:p>
        </w:tc>
        <w:tc>
          <w:tcPr>
            <w:tcW w:w="280" w:type="dxa"/>
            <w:vAlign w:val="bottom"/>
            <w:tcBorders>
              <w:bottom w:val="single" w:sz="8" w:color="231F20"/>
            </w:tcBorders>
            <w:shd w:val="clear" w:color="auto" w:fill="CFEBF4"/>
          </w:tcPr>
          <w:p>
            <w:pPr>
              <w:spacing w:after="0"/>
              <w:rPr>
                <w:sz w:val="20"/>
                <w:szCs w:val="20"/>
                <w:color w:val="auto"/>
              </w:rPr>
            </w:pPr>
          </w:p>
        </w:tc>
        <w:tc>
          <w:tcPr>
            <w:tcW w:w="1020" w:type="dxa"/>
            <w:vAlign w:val="bottom"/>
            <w:tcBorders>
              <w:bottom w:val="single" w:sz="8" w:color="231F20"/>
            </w:tcBorders>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Borders>
              <w:bottom w:val="single" w:sz="8" w:color="CFEBF4"/>
            </w:tcBorders>
            <w:shd w:val="clear" w:color="auto" w:fill="CFEBF4"/>
          </w:tcPr>
          <w:p>
            <w:pPr>
              <w:spacing w:after="0"/>
              <w:rPr>
                <w:sz w:val="20"/>
                <w:szCs w:val="20"/>
                <w:color w:val="auto"/>
              </w:rPr>
            </w:pPr>
          </w:p>
        </w:tc>
        <w:tc>
          <w:tcPr>
            <w:tcW w:w="440" w:type="dxa"/>
            <w:vAlign w:val="bottom"/>
            <w:tcBorders>
              <w:bottom w:val="single" w:sz="8" w:color="231F20"/>
            </w:tcBorders>
            <w:shd w:val="clear" w:color="auto" w:fill="CFEBF4"/>
          </w:tcPr>
          <w:p>
            <w:pPr>
              <w:spacing w:after="0"/>
              <w:rPr>
                <w:sz w:val="20"/>
                <w:szCs w:val="20"/>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(4.9)</w:t>
            </w:r>
          </w:p>
        </w:tc>
      </w:tr>
      <w:tr>
        <w:trPr>
          <w:trHeight w:val="182"/>
        </w:trPr>
        <w:tc>
          <w:tcPr>
            <w:tcW w:w="7420" w:type="dxa"/>
            <w:vAlign w:val="bottom"/>
            <w:tcBorders>
              <w:bottom w:val="single" w:sz="8" w:color="CFEBF4"/>
            </w:tcBorders>
          </w:tcPr>
          <w:p>
            <w:pPr>
              <w:ind w:left="40"/>
              <w:spacing w:after="0" w:line="181" w:lineRule="exact"/>
              <w:rPr>
                <w:sz w:val="20"/>
                <w:szCs w:val="20"/>
                <w:color w:val="auto"/>
              </w:rPr>
            </w:pPr>
            <w:r>
              <w:rPr>
                <w:rFonts w:ascii="Times New Roman" w:cs="Times New Roman" w:eastAsia="Times New Roman" w:hAnsi="Times New Roman"/>
                <w:sz w:val="16"/>
                <w:szCs w:val="16"/>
                <w:color w:val="231F20"/>
              </w:rPr>
              <w:t>Adjusted SG&amp;A expenses</w:t>
            </w:r>
          </w:p>
        </w:tc>
        <w:tc>
          <w:tcPr>
            <w:tcW w:w="280" w:type="dxa"/>
            <w:vAlign w:val="bottom"/>
            <w:tcBorders>
              <w:bottom w:val="single" w:sz="8" w:color="231F20"/>
            </w:tcBorders>
          </w:tcPr>
          <w:p>
            <w:pPr>
              <w:jc w:val="right"/>
              <w:ind w:right="81"/>
              <w:spacing w:after="0" w:line="181" w:lineRule="exact"/>
              <w:rPr>
                <w:sz w:val="20"/>
                <w:szCs w:val="20"/>
                <w:color w:val="auto"/>
              </w:rPr>
            </w:pPr>
            <w:r>
              <w:rPr>
                <w:rFonts w:ascii="Times New Roman" w:cs="Times New Roman" w:eastAsia="Times New Roman" w:hAnsi="Times New Roman"/>
                <w:sz w:val="16"/>
                <w:szCs w:val="16"/>
                <w:color w:val="231F20"/>
              </w:rPr>
              <w:t>$</w:t>
            </w:r>
          </w:p>
        </w:tc>
        <w:tc>
          <w:tcPr>
            <w:tcW w:w="1020" w:type="dxa"/>
            <w:vAlign w:val="bottom"/>
            <w:tcBorders>
              <w:bottom w:val="single" w:sz="8" w:color="231F20"/>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231F20"/>
              </w:rPr>
              <w:t>3,506.2</w:t>
            </w:r>
          </w:p>
        </w:tc>
        <w:tc>
          <w:tcPr>
            <w:tcW w:w="60" w:type="dxa"/>
            <w:vAlign w:val="bottom"/>
            <w:tcBorders>
              <w:bottom w:val="single" w:sz="8" w:color="CFEBF4"/>
            </w:tcBorders>
          </w:tcPr>
          <w:p>
            <w:pPr>
              <w:spacing w:after="0"/>
              <w:rPr>
                <w:sz w:val="15"/>
                <w:szCs w:val="15"/>
                <w:color w:val="auto"/>
              </w:rPr>
            </w:pPr>
          </w:p>
        </w:tc>
        <w:tc>
          <w:tcPr>
            <w:tcW w:w="440" w:type="dxa"/>
            <w:vAlign w:val="bottom"/>
            <w:tcBorders>
              <w:bottom w:val="single" w:sz="8" w:color="231F20"/>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bottom w:val="single" w:sz="8" w:color="231F20"/>
            </w:tcBorders>
          </w:tcPr>
          <w:p>
            <w:pPr>
              <w:jc w:val="right"/>
              <w:spacing w:after="0" w:line="181" w:lineRule="exact"/>
              <w:rPr>
                <w:sz w:val="20"/>
                <w:szCs w:val="20"/>
                <w:color w:val="auto"/>
              </w:rPr>
            </w:pPr>
            <w:r>
              <w:rPr>
                <w:rFonts w:ascii="Times New Roman" w:cs="Times New Roman" w:eastAsia="Times New Roman" w:hAnsi="Times New Roman"/>
                <w:sz w:val="16"/>
                <w:szCs w:val="16"/>
                <w:color w:val="231F20"/>
              </w:rPr>
              <w:t>3,246.5</w:t>
            </w:r>
          </w:p>
        </w:tc>
      </w:tr>
      <w:tr>
        <w:trPr>
          <w:trHeight w:val="123"/>
        </w:trPr>
        <w:tc>
          <w:tcPr>
            <w:tcW w:w="7420" w:type="dxa"/>
            <w:vAlign w:val="bottom"/>
            <w:shd w:val="clear" w:color="auto" w:fill="CFEBF4"/>
          </w:tcPr>
          <w:p>
            <w:pPr>
              <w:spacing w:after="0"/>
              <w:rPr>
                <w:sz w:val="10"/>
                <w:szCs w:val="10"/>
                <w:color w:val="auto"/>
              </w:rPr>
            </w:pPr>
          </w:p>
        </w:tc>
        <w:tc>
          <w:tcPr>
            <w:tcW w:w="280" w:type="dxa"/>
            <w:vAlign w:val="bottom"/>
            <w:shd w:val="clear" w:color="auto" w:fill="CFEBF4"/>
          </w:tcPr>
          <w:p>
            <w:pPr>
              <w:spacing w:after="0"/>
              <w:rPr>
                <w:sz w:val="10"/>
                <w:szCs w:val="10"/>
                <w:color w:val="auto"/>
              </w:rPr>
            </w:pPr>
          </w:p>
        </w:tc>
        <w:tc>
          <w:tcPr>
            <w:tcW w:w="1020" w:type="dxa"/>
            <w:vAlign w:val="bottom"/>
            <w:shd w:val="clear" w:color="auto" w:fill="CFEBF4"/>
          </w:tcPr>
          <w:p>
            <w:pPr>
              <w:spacing w:after="0"/>
              <w:rPr>
                <w:sz w:val="10"/>
                <w:szCs w:val="10"/>
                <w:color w:val="auto"/>
              </w:rPr>
            </w:pPr>
          </w:p>
        </w:tc>
        <w:tc>
          <w:tcPr>
            <w:tcW w:w="60" w:type="dxa"/>
            <w:vAlign w:val="bottom"/>
            <w:shd w:val="clear" w:color="auto" w:fill="CFEBF4"/>
          </w:tcPr>
          <w:p>
            <w:pPr>
              <w:spacing w:after="0"/>
              <w:rPr>
                <w:sz w:val="10"/>
                <w:szCs w:val="10"/>
                <w:color w:val="auto"/>
              </w:rPr>
            </w:pPr>
          </w:p>
        </w:tc>
        <w:tc>
          <w:tcPr>
            <w:tcW w:w="440" w:type="dxa"/>
            <w:vAlign w:val="bottom"/>
            <w:shd w:val="clear" w:color="auto" w:fill="CFEBF4"/>
          </w:tcPr>
          <w:p>
            <w:pPr>
              <w:spacing w:after="0"/>
              <w:rPr>
                <w:sz w:val="10"/>
                <w:szCs w:val="10"/>
                <w:color w:val="auto"/>
              </w:rPr>
            </w:pPr>
          </w:p>
        </w:tc>
        <w:tc>
          <w:tcPr>
            <w:tcW w:w="860" w:type="dxa"/>
            <w:vAlign w:val="bottom"/>
            <w:shd w:val="clear" w:color="auto" w:fill="CFEBF4"/>
          </w:tcPr>
          <w:p>
            <w:pPr>
              <w:spacing w:after="0"/>
              <w:rPr>
                <w:sz w:val="10"/>
                <w:szCs w:val="10"/>
                <w:color w:val="auto"/>
              </w:rPr>
            </w:pPr>
          </w:p>
        </w:tc>
      </w:tr>
      <w:tr>
        <w:trPr>
          <w:trHeight w:val="215"/>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Adjusted Income from Operations: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74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6"/>
                <w:szCs w:val="16"/>
                <w:color w:val="231F20"/>
              </w:rPr>
              <w:t>Income from operations</w:t>
            </w:r>
          </w:p>
        </w:tc>
        <w:tc>
          <w:tcPr>
            <w:tcW w:w="280" w:type="dxa"/>
            <w:vAlign w:val="bottom"/>
            <w:shd w:val="clear" w:color="auto" w:fill="CFEBF4"/>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1,233.0</w:t>
            </w:r>
          </w:p>
        </w:tc>
        <w:tc>
          <w:tcPr>
            <w:tcW w:w="500" w:type="dxa"/>
            <w:vAlign w:val="bottom"/>
            <w:gridSpan w:val="2"/>
            <w:shd w:val="clear" w:color="auto" w:fill="CFEBF4"/>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1,223.2</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Digital transformation costs</w:t>
            </w:r>
            <w:r>
              <w:rPr>
                <w:rFonts w:ascii="Times New Roman" w:cs="Times New Roman" w:eastAsia="Times New Roman" w:hAnsi="Times New Roman"/>
                <w:sz w:val="20"/>
                <w:szCs w:val="20"/>
                <w:color w:val="231F20"/>
                <w:vertAlign w:val="superscript"/>
              </w:rPr>
              <w:t>(1)</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35.2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24.9</w:t>
            </w:r>
          </w:p>
        </w:tc>
      </w:tr>
      <w:tr>
        <w:trPr>
          <w:trHeight w:val="222"/>
        </w:trPr>
        <w:tc>
          <w:tcPr>
            <w:tcW w:w="7420" w:type="dxa"/>
            <w:vAlign w:val="bottom"/>
            <w:shd w:val="clear" w:color="auto" w:fill="CFEBF4"/>
          </w:tcPr>
          <w:p>
            <w:pPr>
              <w:ind w:left="220"/>
              <w:spacing w:after="0" w:line="222" w:lineRule="exact"/>
              <w:rPr>
                <w:sz w:val="20"/>
                <w:szCs w:val="20"/>
                <w:color w:val="auto"/>
              </w:rPr>
            </w:pPr>
            <w:r>
              <w:rPr>
                <w:rFonts w:ascii="Times New Roman" w:cs="Times New Roman" w:eastAsia="Times New Roman" w:hAnsi="Times New Roman"/>
                <w:sz w:val="16"/>
                <w:szCs w:val="16"/>
                <w:color w:val="231F20"/>
              </w:rPr>
              <w:t>Restructuring costs</w:t>
            </w:r>
            <w:r>
              <w:rPr>
                <w:rFonts w:ascii="Times New Roman" w:cs="Times New Roman" w:eastAsia="Times New Roman" w:hAnsi="Times New Roman"/>
                <w:sz w:val="20"/>
                <w:szCs w:val="20"/>
                <w:color w:val="231F20"/>
                <w:vertAlign w:val="superscript"/>
              </w:rPr>
              <w:t>(2)</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12.1</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Loss on abandonment of assets</w:t>
            </w:r>
            <w:r>
              <w:rPr>
                <w:rFonts w:ascii="Times New Roman" w:cs="Times New Roman" w:eastAsia="Times New Roman" w:hAnsi="Times New Roman"/>
                <w:sz w:val="20"/>
                <w:szCs w:val="20"/>
                <w:color w:val="231F20"/>
                <w:vertAlign w:val="superscript"/>
              </w:rPr>
              <w:t>(3)</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17.8</w:t>
            </w:r>
          </w:p>
        </w:tc>
      </w:tr>
      <w:tr>
        <w:trPr>
          <w:trHeight w:val="232"/>
        </w:trPr>
        <w:tc>
          <w:tcPr>
            <w:tcW w:w="7420" w:type="dxa"/>
            <w:vAlign w:val="bottom"/>
            <w:tcBorders>
              <w:bottom w:val="single" w:sz="8" w:color="CFEBF4"/>
            </w:tcBorders>
            <w:shd w:val="clear" w:color="auto" w:fill="CFEBF4"/>
          </w:tcPr>
          <w:p>
            <w:pPr>
              <w:ind w:left="220"/>
              <w:spacing w:after="0" w:line="211" w:lineRule="exact"/>
              <w:rPr>
                <w:sz w:val="20"/>
                <w:szCs w:val="20"/>
                <w:color w:val="auto"/>
              </w:rPr>
            </w:pPr>
            <w:r>
              <w:rPr>
                <w:rFonts w:ascii="Times New Roman" w:cs="Times New Roman" w:eastAsia="Times New Roman" w:hAnsi="Times New Roman"/>
                <w:sz w:val="16"/>
                <w:szCs w:val="16"/>
                <w:color w:val="231F20"/>
              </w:rPr>
              <w:t>Excise taxes on excess pension plan assets</w:t>
            </w:r>
            <w:r>
              <w:rPr>
                <w:rFonts w:ascii="Times New Roman" w:cs="Times New Roman" w:eastAsia="Times New Roman" w:hAnsi="Times New Roman"/>
                <w:sz w:val="20"/>
                <w:szCs w:val="20"/>
                <w:color w:val="231F20"/>
                <w:vertAlign w:val="superscript"/>
              </w:rPr>
              <w:t>(4)</w:t>
            </w:r>
          </w:p>
        </w:tc>
        <w:tc>
          <w:tcPr>
            <w:tcW w:w="280" w:type="dxa"/>
            <w:vAlign w:val="bottom"/>
            <w:tcBorders>
              <w:bottom w:val="single" w:sz="8" w:color="231F20"/>
            </w:tcBorders>
            <w:shd w:val="clear" w:color="auto" w:fill="CFEBF4"/>
          </w:tcPr>
          <w:p>
            <w:pPr>
              <w:spacing w:after="0"/>
              <w:rPr>
                <w:sz w:val="20"/>
                <w:szCs w:val="20"/>
                <w:color w:val="auto"/>
              </w:rPr>
            </w:pPr>
          </w:p>
        </w:tc>
        <w:tc>
          <w:tcPr>
            <w:tcW w:w="1020" w:type="dxa"/>
            <w:vAlign w:val="bottom"/>
            <w:tcBorders>
              <w:bottom w:val="single" w:sz="8" w:color="231F20"/>
            </w:tcBorders>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Borders>
              <w:bottom w:val="single" w:sz="8" w:color="CFEBF4"/>
            </w:tcBorders>
            <w:shd w:val="clear" w:color="auto" w:fill="CFEBF4"/>
          </w:tcPr>
          <w:p>
            <w:pPr>
              <w:spacing w:after="0"/>
              <w:rPr>
                <w:sz w:val="20"/>
                <w:szCs w:val="20"/>
                <w:color w:val="auto"/>
              </w:rPr>
            </w:pPr>
          </w:p>
        </w:tc>
        <w:tc>
          <w:tcPr>
            <w:tcW w:w="440" w:type="dxa"/>
            <w:vAlign w:val="bottom"/>
            <w:tcBorders>
              <w:bottom w:val="single" w:sz="8" w:color="231F20"/>
            </w:tcBorders>
            <w:shd w:val="clear" w:color="auto" w:fill="CFEBF4"/>
          </w:tcPr>
          <w:p>
            <w:pPr>
              <w:spacing w:after="0"/>
              <w:rPr>
                <w:sz w:val="20"/>
                <w:szCs w:val="20"/>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4.9</w:t>
            </w:r>
          </w:p>
        </w:tc>
      </w:tr>
      <w:tr>
        <w:trPr>
          <w:trHeight w:val="182"/>
        </w:trPr>
        <w:tc>
          <w:tcPr>
            <w:tcW w:w="7420" w:type="dxa"/>
            <w:vAlign w:val="bottom"/>
            <w:tcBorders>
              <w:bottom w:val="single" w:sz="8" w:color="CFEBF4"/>
            </w:tcBorders>
          </w:tcPr>
          <w:p>
            <w:pPr>
              <w:ind w:left="40"/>
              <w:spacing w:after="0" w:line="181" w:lineRule="exact"/>
              <w:rPr>
                <w:sz w:val="20"/>
                <w:szCs w:val="20"/>
                <w:color w:val="auto"/>
              </w:rPr>
            </w:pPr>
            <w:r>
              <w:rPr>
                <w:rFonts w:ascii="Times New Roman" w:cs="Times New Roman" w:eastAsia="Times New Roman" w:hAnsi="Times New Roman"/>
                <w:sz w:val="16"/>
                <w:szCs w:val="16"/>
                <w:color w:val="231F20"/>
              </w:rPr>
              <w:t>Adjusted income from operations</w:t>
            </w:r>
          </w:p>
        </w:tc>
        <w:tc>
          <w:tcPr>
            <w:tcW w:w="280" w:type="dxa"/>
            <w:vAlign w:val="bottom"/>
            <w:tcBorders>
              <w:bottom w:val="single" w:sz="8" w:color="231F20"/>
            </w:tcBorders>
          </w:tcPr>
          <w:p>
            <w:pPr>
              <w:jc w:val="right"/>
              <w:ind w:right="81"/>
              <w:spacing w:after="0" w:line="181" w:lineRule="exact"/>
              <w:rPr>
                <w:sz w:val="20"/>
                <w:szCs w:val="20"/>
                <w:color w:val="auto"/>
              </w:rPr>
            </w:pPr>
            <w:r>
              <w:rPr>
                <w:rFonts w:ascii="Times New Roman" w:cs="Times New Roman" w:eastAsia="Times New Roman" w:hAnsi="Times New Roman"/>
                <w:sz w:val="16"/>
                <w:szCs w:val="16"/>
                <w:color w:val="231F20"/>
              </w:rPr>
              <w:t>$</w:t>
            </w:r>
          </w:p>
        </w:tc>
        <w:tc>
          <w:tcPr>
            <w:tcW w:w="1020" w:type="dxa"/>
            <w:vAlign w:val="bottom"/>
            <w:tcBorders>
              <w:bottom w:val="single" w:sz="8" w:color="231F20"/>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231F20"/>
              </w:rPr>
              <w:t>1,268.2</w:t>
            </w:r>
          </w:p>
        </w:tc>
        <w:tc>
          <w:tcPr>
            <w:tcW w:w="60" w:type="dxa"/>
            <w:vAlign w:val="bottom"/>
            <w:tcBorders>
              <w:bottom w:val="single" w:sz="8" w:color="CFEBF4"/>
            </w:tcBorders>
          </w:tcPr>
          <w:p>
            <w:pPr>
              <w:spacing w:after="0"/>
              <w:rPr>
                <w:sz w:val="15"/>
                <w:szCs w:val="15"/>
                <w:color w:val="auto"/>
              </w:rPr>
            </w:pPr>
          </w:p>
        </w:tc>
        <w:tc>
          <w:tcPr>
            <w:tcW w:w="440" w:type="dxa"/>
            <w:vAlign w:val="bottom"/>
            <w:tcBorders>
              <w:bottom w:val="single" w:sz="8" w:color="231F20"/>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bottom w:val="single" w:sz="8" w:color="231F20"/>
            </w:tcBorders>
          </w:tcPr>
          <w:p>
            <w:pPr>
              <w:jc w:val="right"/>
              <w:spacing w:after="0" w:line="181" w:lineRule="exact"/>
              <w:rPr>
                <w:sz w:val="20"/>
                <w:szCs w:val="20"/>
                <w:color w:val="auto"/>
              </w:rPr>
            </w:pPr>
            <w:r>
              <w:rPr>
                <w:rFonts w:ascii="Times New Roman" w:cs="Times New Roman" w:eastAsia="Times New Roman" w:hAnsi="Times New Roman"/>
                <w:sz w:val="16"/>
                <w:szCs w:val="16"/>
                <w:color w:val="231F20"/>
              </w:rPr>
              <w:t>1,282.9</w:t>
            </w:r>
          </w:p>
        </w:tc>
      </w:tr>
      <w:tr>
        <w:trPr>
          <w:trHeight w:val="123"/>
        </w:trPr>
        <w:tc>
          <w:tcPr>
            <w:tcW w:w="7420" w:type="dxa"/>
            <w:vAlign w:val="bottom"/>
            <w:shd w:val="clear" w:color="auto" w:fill="CFEBF4"/>
          </w:tcPr>
          <w:p>
            <w:pPr>
              <w:spacing w:after="0"/>
              <w:rPr>
                <w:sz w:val="10"/>
                <w:szCs w:val="10"/>
                <w:color w:val="auto"/>
              </w:rPr>
            </w:pPr>
          </w:p>
        </w:tc>
        <w:tc>
          <w:tcPr>
            <w:tcW w:w="280" w:type="dxa"/>
            <w:vAlign w:val="bottom"/>
            <w:shd w:val="clear" w:color="auto" w:fill="CFEBF4"/>
          </w:tcPr>
          <w:p>
            <w:pPr>
              <w:spacing w:after="0"/>
              <w:rPr>
                <w:sz w:val="10"/>
                <w:szCs w:val="10"/>
                <w:color w:val="auto"/>
              </w:rPr>
            </w:pPr>
          </w:p>
        </w:tc>
        <w:tc>
          <w:tcPr>
            <w:tcW w:w="1020" w:type="dxa"/>
            <w:vAlign w:val="bottom"/>
            <w:shd w:val="clear" w:color="auto" w:fill="CFEBF4"/>
          </w:tcPr>
          <w:p>
            <w:pPr>
              <w:spacing w:after="0"/>
              <w:rPr>
                <w:sz w:val="10"/>
                <w:szCs w:val="10"/>
                <w:color w:val="auto"/>
              </w:rPr>
            </w:pPr>
          </w:p>
        </w:tc>
        <w:tc>
          <w:tcPr>
            <w:tcW w:w="60" w:type="dxa"/>
            <w:vAlign w:val="bottom"/>
            <w:shd w:val="clear" w:color="auto" w:fill="CFEBF4"/>
          </w:tcPr>
          <w:p>
            <w:pPr>
              <w:spacing w:after="0"/>
              <w:rPr>
                <w:sz w:val="10"/>
                <w:szCs w:val="10"/>
                <w:color w:val="auto"/>
              </w:rPr>
            </w:pPr>
          </w:p>
        </w:tc>
        <w:tc>
          <w:tcPr>
            <w:tcW w:w="440" w:type="dxa"/>
            <w:vAlign w:val="bottom"/>
            <w:shd w:val="clear" w:color="auto" w:fill="CFEBF4"/>
          </w:tcPr>
          <w:p>
            <w:pPr>
              <w:spacing w:after="0"/>
              <w:rPr>
                <w:sz w:val="10"/>
                <w:szCs w:val="10"/>
                <w:color w:val="auto"/>
              </w:rPr>
            </w:pPr>
          </w:p>
        </w:tc>
        <w:tc>
          <w:tcPr>
            <w:tcW w:w="860" w:type="dxa"/>
            <w:vAlign w:val="bottom"/>
            <w:shd w:val="clear" w:color="auto" w:fill="CFEBF4"/>
          </w:tcPr>
          <w:p>
            <w:pPr>
              <w:spacing w:after="0"/>
              <w:rPr>
                <w:sz w:val="10"/>
                <w:szCs w:val="10"/>
                <w:color w:val="auto"/>
              </w:rPr>
            </w:pPr>
          </w:p>
        </w:tc>
      </w:tr>
      <w:tr>
        <w:trPr>
          <w:trHeight w:val="215"/>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Adjusted Other (Income) Expense, net: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74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6"/>
                <w:szCs w:val="16"/>
                <w:color w:val="231F20"/>
              </w:rPr>
              <w:t>Other (income) expense, net</w:t>
            </w:r>
          </w:p>
        </w:tc>
        <w:tc>
          <w:tcPr>
            <w:tcW w:w="280" w:type="dxa"/>
            <w:vAlign w:val="bottom"/>
            <w:shd w:val="clear" w:color="auto" w:fill="CFEBF4"/>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(9.6)</w:t>
            </w:r>
          </w:p>
        </w:tc>
        <w:tc>
          <w:tcPr>
            <w:tcW w:w="500" w:type="dxa"/>
            <w:vAlign w:val="bottom"/>
            <w:gridSpan w:val="2"/>
            <w:shd w:val="clear" w:color="auto" w:fill="CFEBF4"/>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(92.7)</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Loss on termination of business arrangement</w:t>
            </w:r>
            <w:r>
              <w:rPr>
                <w:rFonts w:ascii="Times New Roman" w:cs="Times New Roman" w:eastAsia="Times New Roman" w:hAnsi="Times New Roman"/>
                <w:sz w:val="20"/>
                <w:szCs w:val="20"/>
                <w:color w:val="231F20"/>
                <w:vertAlign w:val="superscript"/>
              </w:rPr>
              <w:t>(5)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w:t>
            </w:r>
          </w:p>
        </w:tc>
      </w:tr>
      <w:tr>
        <w:trPr>
          <w:trHeight w:val="222"/>
        </w:trPr>
        <w:tc>
          <w:tcPr>
            <w:tcW w:w="7420" w:type="dxa"/>
            <w:vAlign w:val="bottom"/>
            <w:shd w:val="clear" w:color="auto" w:fill="CFEBF4"/>
          </w:tcPr>
          <w:p>
            <w:pPr>
              <w:ind w:left="220"/>
              <w:spacing w:after="0" w:line="222" w:lineRule="exact"/>
              <w:rPr>
                <w:sz w:val="20"/>
                <w:szCs w:val="20"/>
                <w:color w:val="auto"/>
              </w:rPr>
            </w:pPr>
            <w:r>
              <w:rPr>
                <w:rFonts w:ascii="Times New Roman" w:cs="Times New Roman" w:eastAsia="Times New Roman" w:hAnsi="Times New Roman"/>
                <w:sz w:val="16"/>
                <w:szCs w:val="16"/>
                <w:color w:val="231F20"/>
              </w:rPr>
              <w:t>Pension settlement cost</w:t>
            </w:r>
            <w:r>
              <w:rPr>
                <w:rFonts w:ascii="Times New Roman" w:cs="Times New Roman" w:eastAsia="Times New Roman" w:hAnsi="Times New Roman"/>
                <w:sz w:val="20"/>
                <w:szCs w:val="20"/>
                <w:color w:val="231F20"/>
                <w:vertAlign w:val="superscript"/>
              </w:rPr>
              <w:t>(6)</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(2.5)</w:t>
            </w:r>
          </w:p>
        </w:tc>
      </w:tr>
      <w:tr>
        <w:trPr>
          <w:trHeight w:val="212"/>
        </w:trPr>
        <w:tc>
          <w:tcPr>
            <w:tcW w:w="7420" w:type="dxa"/>
            <w:vAlign w:val="bottom"/>
            <w:tcBorders>
              <w:bottom w:val="single" w:sz="8" w:color="CFEBF4"/>
            </w:tcBorders>
          </w:tcPr>
          <w:p>
            <w:pPr>
              <w:ind w:left="220"/>
              <w:spacing w:after="0"/>
              <w:rPr>
                <w:sz w:val="20"/>
                <w:szCs w:val="20"/>
                <w:color w:val="auto"/>
              </w:rPr>
            </w:pPr>
            <w:r>
              <w:rPr>
                <w:rFonts w:ascii="Times New Roman" w:cs="Times New Roman" w:eastAsia="Times New Roman" w:hAnsi="Times New Roman"/>
                <w:sz w:val="16"/>
                <w:szCs w:val="16"/>
                <w:color w:val="231F20"/>
              </w:rPr>
              <w:t>Gain on divestiture</w:t>
            </w: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Borders>
              <w:bottom w:val="single" w:sz="8" w:color="CFEBF4"/>
            </w:tcBorders>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122.2</w:t>
            </w:r>
          </w:p>
        </w:tc>
      </w:tr>
      <w:tr>
        <w:trPr>
          <w:trHeight w:val="202"/>
        </w:trPr>
        <w:tc>
          <w:tcPr>
            <w:tcW w:w="742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16"/>
                <w:szCs w:val="16"/>
                <w:color w:val="231F20"/>
              </w:rPr>
              <w:t>Adjusted other (income) expense, net</w:t>
            </w:r>
          </w:p>
        </w:tc>
        <w:tc>
          <w:tcPr>
            <w:tcW w:w="280" w:type="dxa"/>
            <w:vAlign w:val="bottom"/>
            <w:tcBorders>
              <w:bottom w:val="single" w:sz="8" w:color="231F20"/>
            </w:tcBorders>
            <w:shd w:val="clear" w:color="auto" w:fill="CFEBF4"/>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(9.9)</w:t>
            </w:r>
          </w:p>
        </w:tc>
        <w:tc>
          <w:tcPr>
            <w:tcW w:w="60" w:type="dxa"/>
            <w:vAlign w:val="bottom"/>
            <w:tcBorders>
              <w:bottom w:val="single" w:sz="8" w:color="CFEBF4"/>
            </w:tcBorders>
            <w:shd w:val="clear" w:color="auto" w:fill="CFEBF4"/>
          </w:tcPr>
          <w:p>
            <w:pPr>
              <w:spacing w:after="0"/>
              <w:rPr>
                <w:sz w:val="17"/>
                <w:szCs w:val="17"/>
                <w:color w:val="auto"/>
              </w:rPr>
            </w:pPr>
          </w:p>
        </w:tc>
        <w:tc>
          <w:tcPr>
            <w:tcW w:w="440" w:type="dxa"/>
            <w:vAlign w:val="bottom"/>
            <w:tcBorders>
              <w:bottom w:val="single" w:sz="8" w:color="231F20"/>
            </w:tcBorders>
            <w:shd w:val="clear" w:color="auto" w:fill="CFEBF4"/>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23.4</w:t>
            </w:r>
          </w:p>
        </w:tc>
      </w:tr>
      <w:tr>
        <w:trPr>
          <w:trHeight w:val="123"/>
        </w:trPr>
        <w:tc>
          <w:tcPr>
            <w:tcW w:w="7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22"/>
        </w:trPr>
        <w:tc>
          <w:tcPr>
            <w:tcW w:w="74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6"/>
                <w:szCs w:val="16"/>
                <w:b w:val="1"/>
                <w:bCs w:val="1"/>
                <w:color w:val="231F20"/>
              </w:rPr>
              <w:t>Adjusted Provision for Income Taxes:</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spacing w:after="0"/>
              <w:rPr>
                <w:sz w:val="19"/>
                <w:szCs w:val="19"/>
                <w:color w:val="auto"/>
              </w:rPr>
            </w:pP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spacing w:after="0"/>
              <w:rPr>
                <w:sz w:val="19"/>
                <w:szCs w:val="19"/>
                <w:color w:val="auto"/>
              </w:rPr>
            </w:pPr>
          </w:p>
        </w:tc>
      </w:tr>
      <w:tr>
        <w:trPr>
          <w:trHeight w:val="214"/>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Provision for income taxes</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213.4</w:t>
            </w:r>
          </w:p>
        </w:tc>
        <w:tc>
          <w:tcPr>
            <w:tcW w:w="50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231.6</w:t>
            </w:r>
          </w:p>
        </w:tc>
      </w:tr>
      <w:tr>
        <w:trPr>
          <w:trHeight w:val="239"/>
        </w:trPr>
        <w:tc>
          <w:tcPr>
            <w:tcW w:w="7420" w:type="dxa"/>
            <w:vAlign w:val="bottom"/>
            <w:tcBorders>
              <w:bottom w:val="single" w:sz="8" w:color="CFEBF4"/>
            </w:tcBorders>
            <w:shd w:val="clear" w:color="auto" w:fill="CFEBF4"/>
          </w:tcPr>
          <w:p>
            <w:pPr>
              <w:ind w:left="220"/>
              <w:spacing w:after="0" w:line="219" w:lineRule="exact"/>
              <w:rPr>
                <w:sz w:val="20"/>
                <w:szCs w:val="20"/>
                <w:color w:val="auto"/>
              </w:rPr>
            </w:pPr>
            <w:r>
              <w:rPr>
                <w:rFonts w:ascii="Times New Roman" w:cs="Times New Roman" w:eastAsia="Times New Roman" w:hAnsi="Times New Roman"/>
                <w:sz w:val="16"/>
                <w:szCs w:val="16"/>
                <w:color w:val="231F20"/>
              </w:rPr>
              <w:t>Income tax effect of adjustments to income from operations and other (income) expense, net</w:t>
            </w:r>
            <w:r>
              <w:rPr>
                <w:rFonts w:ascii="Times New Roman" w:cs="Times New Roman" w:eastAsia="Times New Roman" w:hAnsi="Times New Roman"/>
                <w:sz w:val="20"/>
                <w:szCs w:val="20"/>
                <w:color w:val="231F20"/>
                <w:vertAlign w:val="superscript"/>
              </w:rPr>
              <w:t>(7)</w:t>
            </w:r>
          </w:p>
        </w:tc>
        <w:tc>
          <w:tcPr>
            <w:tcW w:w="280" w:type="dxa"/>
            <w:vAlign w:val="bottom"/>
            <w:tcBorders>
              <w:bottom w:val="single" w:sz="8" w:color="231F20"/>
            </w:tcBorders>
            <w:shd w:val="clear" w:color="auto" w:fill="CFEBF4"/>
          </w:tcPr>
          <w:p>
            <w:pPr>
              <w:spacing w:after="0"/>
              <w:rPr>
                <w:sz w:val="20"/>
                <w:szCs w:val="20"/>
                <w:color w:val="auto"/>
              </w:rPr>
            </w:pPr>
          </w:p>
        </w:tc>
        <w:tc>
          <w:tcPr>
            <w:tcW w:w="1020" w:type="dxa"/>
            <w:vAlign w:val="bottom"/>
            <w:tcBorders>
              <w:bottom w:val="single" w:sz="8" w:color="231F20"/>
            </w:tcBorders>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9.5</w:t>
            </w:r>
          </w:p>
        </w:tc>
        <w:tc>
          <w:tcPr>
            <w:tcW w:w="60" w:type="dxa"/>
            <w:vAlign w:val="bottom"/>
            <w:tcBorders>
              <w:bottom w:val="single" w:sz="8" w:color="CFEBF4"/>
            </w:tcBorders>
            <w:shd w:val="clear" w:color="auto" w:fill="CFEBF4"/>
          </w:tcPr>
          <w:p>
            <w:pPr>
              <w:spacing w:after="0"/>
              <w:rPr>
                <w:sz w:val="20"/>
                <w:szCs w:val="20"/>
                <w:color w:val="auto"/>
              </w:rPr>
            </w:pPr>
          </w:p>
        </w:tc>
        <w:tc>
          <w:tcPr>
            <w:tcW w:w="440" w:type="dxa"/>
            <w:vAlign w:val="bottom"/>
            <w:tcBorders>
              <w:bottom w:val="single" w:sz="8" w:color="231F20"/>
            </w:tcBorders>
            <w:shd w:val="clear" w:color="auto" w:fill="CFEBF4"/>
          </w:tcPr>
          <w:p>
            <w:pPr>
              <w:spacing w:after="0"/>
              <w:rPr>
                <w:sz w:val="20"/>
                <w:szCs w:val="20"/>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(14.8)</w:t>
            </w:r>
          </w:p>
        </w:tc>
      </w:tr>
      <w:tr>
        <w:trPr>
          <w:trHeight w:val="182"/>
        </w:trPr>
        <w:tc>
          <w:tcPr>
            <w:tcW w:w="7420" w:type="dxa"/>
            <w:vAlign w:val="bottom"/>
            <w:tcBorders>
              <w:bottom w:val="single" w:sz="8" w:color="CFEBF4"/>
            </w:tcBorders>
          </w:tcPr>
          <w:p>
            <w:pPr>
              <w:ind w:left="40"/>
              <w:spacing w:after="0" w:line="181" w:lineRule="exact"/>
              <w:rPr>
                <w:sz w:val="20"/>
                <w:szCs w:val="20"/>
                <w:color w:val="auto"/>
              </w:rPr>
            </w:pPr>
            <w:r>
              <w:rPr>
                <w:rFonts w:ascii="Times New Roman" w:cs="Times New Roman" w:eastAsia="Times New Roman" w:hAnsi="Times New Roman"/>
                <w:sz w:val="16"/>
                <w:szCs w:val="16"/>
                <w:color w:val="231F20"/>
              </w:rPr>
              <w:t>Adjusted provision for income taxes</w:t>
            </w:r>
          </w:p>
        </w:tc>
        <w:tc>
          <w:tcPr>
            <w:tcW w:w="280" w:type="dxa"/>
            <w:vAlign w:val="bottom"/>
            <w:tcBorders>
              <w:bottom w:val="single" w:sz="8" w:color="231F20"/>
            </w:tcBorders>
          </w:tcPr>
          <w:p>
            <w:pPr>
              <w:jc w:val="right"/>
              <w:ind w:right="81"/>
              <w:spacing w:after="0" w:line="181" w:lineRule="exact"/>
              <w:rPr>
                <w:sz w:val="20"/>
                <w:szCs w:val="20"/>
                <w:color w:val="auto"/>
              </w:rPr>
            </w:pPr>
            <w:r>
              <w:rPr>
                <w:rFonts w:ascii="Times New Roman" w:cs="Times New Roman" w:eastAsia="Times New Roman" w:hAnsi="Times New Roman"/>
                <w:sz w:val="16"/>
                <w:szCs w:val="16"/>
                <w:color w:val="231F20"/>
              </w:rPr>
              <w:t>$</w:t>
            </w:r>
          </w:p>
        </w:tc>
        <w:tc>
          <w:tcPr>
            <w:tcW w:w="1020" w:type="dxa"/>
            <w:vAlign w:val="bottom"/>
            <w:tcBorders>
              <w:bottom w:val="single" w:sz="8" w:color="231F20"/>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231F20"/>
              </w:rPr>
              <w:t>222.9</w:t>
            </w:r>
          </w:p>
        </w:tc>
        <w:tc>
          <w:tcPr>
            <w:tcW w:w="60" w:type="dxa"/>
            <w:vAlign w:val="bottom"/>
            <w:tcBorders>
              <w:bottom w:val="single" w:sz="8" w:color="CFEBF4"/>
            </w:tcBorders>
          </w:tcPr>
          <w:p>
            <w:pPr>
              <w:spacing w:after="0"/>
              <w:rPr>
                <w:sz w:val="15"/>
                <w:szCs w:val="15"/>
                <w:color w:val="auto"/>
              </w:rPr>
            </w:pPr>
          </w:p>
        </w:tc>
        <w:tc>
          <w:tcPr>
            <w:tcW w:w="440" w:type="dxa"/>
            <w:vAlign w:val="bottom"/>
            <w:tcBorders>
              <w:bottom w:val="single" w:sz="8" w:color="231F20"/>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bottom w:val="single" w:sz="8" w:color="231F20"/>
            </w:tcBorders>
          </w:tcPr>
          <w:p>
            <w:pPr>
              <w:jc w:val="right"/>
              <w:spacing w:after="0" w:line="181" w:lineRule="exact"/>
              <w:rPr>
                <w:sz w:val="20"/>
                <w:szCs w:val="20"/>
                <w:color w:val="auto"/>
              </w:rPr>
            </w:pPr>
            <w:r>
              <w:rPr>
                <w:rFonts w:ascii="Times New Roman" w:cs="Times New Roman" w:eastAsia="Times New Roman" w:hAnsi="Times New Roman"/>
                <w:sz w:val="16"/>
                <w:szCs w:val="16"/>
                <w:color w:val="231F20"/>
              </w:rPr>
              <w:t>216.8</w:t>
            </w:r>
          </w:p>
        </w:tc>
      </w:tr>
      <w:tr>
        <w:trPr>
          <w:trHeight w:val="123"/>
        </w:trPr>
        <w:tc>
          <w:tcPr>
            <w:tcW w:w="7420" w:type="dxa"/>
            <w:vAlign w:val="bottom"/>
            <w:shd w:val="clear" w:color="auto" w:fill="CFEBF4"/>
          </w:tcPr>
          <w:p>
            <w:pPr>
              <w:spacing w:after="0"/>
              <w:rPr>
                <w:sz w:val="10"/>
                <w:szCs w:val="10"/>
                <w:color w:val="auto"/>
              </w:rPr>
            </w:pPr>
          </w:p>
        </w:tc>
        <w:tc>
          <w:tcPr>
            <w:tcW w:w="280" w:type="dxa"/>
            <w:vAlign w:val="bottom"/>
            <w:shd w:val="clear" w:color="auto" w:fill="CFEBF4"/>
          </w:tcPr>
          <w:p>
            <w:pPr>
              <w:spacing w:after="0"/>
              <w:rPr>
                <w:sz w:val="10"/>
                <w:szCs w:val="10"/>
                <w:color w:val="auto"/>
              </w:rPr>
            </w:pPr>
          </w:p>
        </w:tc>
        <w:tc>
          <w:tcPr>
            <w:tcW w:w="1020" w:type="dxa"/>
            <w:vAlign w:val="bottom"/>
            <w:shd w:val="clear" w:color="auto" w:fill="CFEBF4"/>
          </w:tcPr>
          <w:p>
            <w:pPr>
              <w:spacing w:after="0"/>
              <w:rPr>
                <w:sz w:val="10"/>
                <w:szCs w:val="10"/>
                <w:color w:val="auto"/>
              </w:rPr>
            </w:pPr>
          </w:p>
        </w:tc>
        <w:tc>
          <w:tcPr>
            <w:tcW w:w="60" w:type="dxa"/>
            <w:vAlign w:val="bottom"/>
            <w:shd w:val="clear" w:color="auto" w:fill="CFEBF4"/>
          </w:tcPr>
          <w:p>
            <w:pPr>
              <w:spacing w:after="0"/>
              <w:rPr>
                <w:sz w:val="10"/>
                <w:szCs w:val="10"/>
                <w:color w:val="auto"/>
              </w:rPr>
            </w:pPr>
          </w:p>
        </w:tc>
        <w:tc>
          <w:tcPr>
            <w:tcW w:w="440" w:type="dxa"/>
            <w:vAlign w:val="bottom"/>
            <w:shd w:val="clear" w:color="auto" w:fill="CFEBF4"/>
          </w:tcPr>
          <w:p>
            <w:pPr>
              <w:spacing w:after="0"/>
              <w:rPr>
                <w:sz w:val="10"/>
                <w:szCs w:val="10"/>
                <w:color w:val="auto"/>
              </w:rPr>
            </w:pPr>
          </w:p>
        </w:tc>
        <w:tc>
          <w:tcPr>
            <w:tcW w:w="860" w:type="dxa"/>
            <w:vAlign w:val="bottom"/>
            <w:shd w:val="clear" w:color="auto" w:fill="CFEBF4"/>
          </w:tcPr>
          <w:p>
            <w:pPr>
              <w:spacing w:after="0"/>
              <w:rPr>
                <w:sz w:val="10"/>
                <w:szCs w:val="10"/>
                <w:color w:val="auto"/>
              </w:rPr>
            </w:pPr>
          </w:p>
        </w:tc>
      </w:tr>
      <w:tr>
        <w:trPr>
          <w:trHeight w:val="215"/>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Adjusted Net Income Attributable to Common Stockholders: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74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6"/>
                <w:szCs w:val="16"/>
                <w:color w:val="231F20"/>
              </w:rPr>
              <w:t>Net income attributable to common stockholders</w:t>
            </w:r>
          </w:p>
        </w:tc>
        <w:tc>
          <w:tcPr>
            <w:tcW w:w="280" w:type="dxa"/>
            <w:vAlign w:val="bottom"/>
            <w:shd w:val="clear" w:color="auto" w:fill="CFEBF4"/>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645.8</w:t>
            </w:r>
          </w:p>
        </w:tc>
        <w:tc>
          <w:tcPr>
            <w:tcW w:w="500" w:type="dxa"/>
            <w:vAlign w:val="bottom"/>
            <w:gridSpan w:val="2"/>
            <w:shd w:val="clear" w:color="auto" w:fill="CFEBF4"/>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660.2</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Digital transformation costs</w:t>
            </w:r>
            <w:r>
              <w:rPr>
                <w:rFonts w:ascii="Times New Roman" w:cs="Times New Roman" w:eastAsia="Times New Roman" w:hAnsi="Times New Roman"/>
                <w:sz w:val="20"/>
                <w:szCs w:val="20"/>
                <w:color w:val="231F20"/>
                <w:vertAlign w:val="superscript"/>
              </w:rPr>
              <w:t>(1)</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35.2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24.9</w:t>
            </w:r>
          </w:p>
        </w:tc>
      </w:tr>
      <w:tr>
        <w:trPr>
          <w:trHeight w:val="222"/>
        </w:trPr>
        <w:tc>
          <w:tcPr>
            <w:tcW w:w="7420" w:type="dxa"/>
            <w:vAlign w:val="bottom"/>
            <w:shd w:val="clear" w:color="auto" w:fill="CFEBF4"/>
          </w:tcPr>
          <w:p>
            <w:pPr>
              <w:ind w:left="220"/>
              <w:spacing w:after="0" w:line="222" w:lineRule="exact"/>
              <w:rPr>
                <w:sz w:val="20"/>
                <w:szCs w:val="20"/>
                <w:color w:val="auto"/>
              </w:rPr>
            </w:pPr>
            <w:r>
              <w:rPr>
                <w:rFonts w:ascii="Times New Roman" w:cs="Times New Roman" w:eastAsia="Times New Roman" w:hAnsi="Times New Roman"/>
                <w:sz w:val="16"/>
                <w:szCs w:val="16"/>
                <w:color w:val="231F20"/>
              </w:rPr>
              <w:t>Restructuring costs</w:t>
            </w:r>
            <w:r>
              <w:rPr>
                <w:rFonts w:ascii="Times New Roman" w:cs="Times New Roman" w:eastAsia="Times New Roman" w:hAnsi="Times New Roman"/>
                <w:sz w:val="20"/>
                <w:szCs w:val="20"/>
                <w:color w:val="231F20"/>
                <w:vertAlign w:val="superscript"/>
              </w:rPr>
              <w:t>(2)</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12.1</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Loss on abandonment of assets</w:t>
            </w:r>
            <w:r>
              <w:rPr>
                <w:rFonts w:ascii="Times New Roman" w:cs="Times New Roman" w:eastAsia="Times New Roman" w:hAnsi="Times New Roman"/>
                <w:sz w:val="20"/>
                <w:szCs w:val="20"/>
                <w:color w:val="231F20"/>
                <w:vertAlign w:val="superscript"/>
              </w:rPr>
              <w:t>(3)</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17.8</w:t>
            </w:r>
          </w:p>
        </w:tc>
      </w:tr>
      <w:tr>
        <w:trPr>
          <w:trHeight w:val="222"/>
        </w:trPr>
        <w:tc>
          <w:tcPr>
            <w:tcW w:w="7420" w:type="dxa"/>
            <w:vAlign w:val="bottom"/>
            <w:shd w:val="clear" w:color="auto" w:fill="CFEBF4"/>
          </w:tcPr>
          <w:p>
            <w:pPr>
              <w:ind w:left="220"/>
              <w:spacing w:after="0" w:line="222" w:lineRule="exact"/>
              <w:rPr>
                <w:sz w:val="20"/>
                <w:szCs w:val="20"/>
                <w:color w:val="auto"/>
              </w:rPr>
            </w:pPr>
            <w:r>
              <w:rPr>
                <w:rFonts w:ascii="Times New Roman" w:cs="Times New Roman" w:eastAsia="Times New Roman" w:hAnsi="Times New Roman"/>
                <w:sz w:val="16"/>
                <w:szCs w:val="16"/>
                <w:color w:val="231F20"/>
              </w:rPr>
              <w:t>Excise taxes on excess pension plan assets</w:t>
            </w:r>
            <w:r>
              <w:rPr>
                <w:rFonts w:ascii="Times New Roman" w:cs="Times New Roman" w:eastAsia="Times New Roman" w:hAnsi="Times New Roman"/>
                <w:sz w:val="20"/>
                <w:szCs w:val="20"/>
                <w:color w:val="231F20"/>
                <w:vertAlign w:val="superscript"/>
              </w:rPr>
              <w:t>(4)</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4.9</w:t>
            </w:r>
          </w:p>
        </w:tc>
      </w:tr>
      <w:tr>
        <w:trPr>
          <w:trHeight w:val="215"/>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231F20"/>
              </w:rPr>
              <w:t>Gain on divestiture</w:t>
            </w: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(122.2)</w:t>
            </w:r>
          </w:p>
        </w:tc>
      </w:tr>
      <w:tr>
        <w:trPr>
          <w:trHeight w:val="228"/>
        </w:trPr>
        <w:tc>
          <w:tcPr>
            <w:tcW w:w="7420" w:type="dxa"/>
            <w:vAlign w:val="bottom"/>
            <w:shd w:val="clear" w:color="auto" w:fill="CFEBF4"/>
          </w:tcPr>
          <w:p>
            <w:pPr>
              <w:ind w:left="220"/>
              <w:spacing w:after="0" w:line="228" w:lineRule="exact"/>
              <w:rPr>
                <w:sz w:val="20"/>
                <w:szCs w:val="20"/>
                <w:color w:val="auto"/>
              </w:rPr>
            </w:pPr>
            <w:r>
              <w:rPr>
                <w:rFonts w:ascii="Times New Roman" w:cs="Times New Roman" w:eastAsia="Times New Roman" w:hAnsi="Times New Roman"/>
                <w:sz w:val="16"/>
                <w:szCs w:val="16"/>
                <w:color w:val="231F20"/>
              </w:rPr>
              <w:t>Loss on termination of business arrangement</w:t>
            </w:r>
            <w:r>
              <w:rPr>
                <w:rFonts w:ascii="Times New Roman" w:cs="Times New Roman" w:eastAsia="Times New Roman" w:hAnsi="Times New Roman"/>
                <w:sz w:val="20"/>
                <w:szCs w:val="20"/>
                <w:color w:val="231F20"/>
                <w:vertAlign w:val="superscript"/>
              </w:rPr>
              <w:t>(5)</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0.3</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3.6</w:t>
            </w:r>
          </w:p>
        </w:tc>
      </w:tr>
      <w:tr>
        <w:trPr>
          <w:trHeight w:val="222"/>
        </w:trPr>
        <w:tc>
          <w:tcPr>
            <w:tcW w:w="7420" w:type="dxa"/>
            <w:vAlign w:val="bottom"/>
          </w:tcPr>
          <w:p>
            <w:pPr>
              <w:ind w:left="220"/>
              <w:spacing w:after="0" w:line="222" w:lineRule="exact"/>
              <w:rPr>
                <w:sz w:val="20"/>
                <w:szCs w:val="20"/>
                <w:color w:val="auto"/>
              </w:rPr>
            </w:pPr>
            <w:r>
              <w:rPr>
                <w:rFonts w:ascii="Times New Roman" w:cs="Times New Roman" w:eastAsia="Times New Roman" w:hAnsi="Times New Roman"/>
                <w:sz w:val="16"/>
                <w:szCs w:val="16"/>
                <w:color w:val="231F20"/>
              </w:rPr>
              <w:t>Pension settlement cost</w:t>
            </w:r>
            <w:r>
              <w:rPr>
                <w:rFonts w:ascii="Times New Roman" w:cs="Times New Roman" w:eastAsia="Times New Roman" w:hAnsi="Times New Roman"/>
                <w:sz w:val="20"/>
                <w:szCs w:val="20"/>
                <w:color w:val="231F20"/>
                <w:vertAlign w:val="superscript"/>
              </w:rPr>
              <w:t>(6)</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r>
      <w:tr>
        <w:trPr>
          <w:trHeight w:val="222"/>
        </w:trPr>
        <w:tc>
          <w:tcPr>
            <w:tcW w:w="7420" w:type="dxa"/>
            <w:vAlign w:val="bottom"/>
            <w:shd w:val="clear" w:color="auto" w:fill="CFEBF4"/>
          </w:tcPr>
          <w:p>
            <w:pPr>
              <w:ind w:left="220"/>
              <w:spacing w:after="0" w:line="222" w:lineRule="exact"/>
              <w:rPr>
                <w:sz w:val="20"/>
                <w:szCs w:val="20"/>
                <w:color w:val="auto"/>
              </w:rPr>
            </w:pPr>
            <w:r>
              <w:rPr>
                <w:rFonts w:ascii="Times New Roman" w:cs="Times New Roman" w:eastAsia="Times New Roman" w:hAnsi="Times New Roman"/>
                <w:sz w:val="16"/>
                <w:szCs w:val="16"/>
                <w:color w:val="231F20"/>
              </w:rPr>
              <w:t>Income tax effect of adjustments to income from operations and other (income) expense, net</w:t>
            </w:r>
            <w:r>
              <w:rPr>
                <w:rFonts w:ascii="Times New Roman" w:cs="Times New Roman" w:eastAsia="Times New Roman" w:hAnsi="Times New Roman"/>
                <w:sz w:val="20"/>
                <w:szCs w:val="20"/>
                <w:color w:val="231F20"/>
                <w:vertAlign w:val="superscript"/>
              </w:rPr>
              <w:t>(7)</w:t>
            </w:r>
          </w:p>
        </w:tc>
        <w:tc>
          <w:tcPr>
            <w:tcW w:w="280" w:type="dxa"/>
            <w:vAlign w:val="bottom"/>
            <w:shd w:val="clear" w:color="auto" w:fill="CFEBF4"/>
          </w:tcPr>
          <w:p>
            <w:pPr>
              <w:spacing w:after="0"/>
              <w:rPr>
                <w:sz w:val="19"/>
                <w:szCs w:val="19"/>
                <w:color w:val="auto"/>
              </w:rPr>
            </w:pPr>
          </w:p>
        </w:tc>
        <w:tc>
          <w:tcPr>
            <w:tcW w:w="10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(9.5)</w:t>
            </w:r>
          </w:p>
        </w:tc>
        <w:tc>
          <w:tcPr>
            <w:tcW w:w="60" w:type="dxa"/>
            <w:vAlign w:val="bottom"/>
            <w:shd w:val="clear" w:color="auto" w:fill="CFEBF4"/>
          </w:tcPr>
          <w:p>
            <w:pPr>
              <w:spacing w:after="0"/>
              <w:rPr>
                <w:sz w:val="19"/>
                <w:szCs w:val="19"/>
                <w:color w:val="auto"/>
              </w:rPr>
            </w:pPr>
          </w:p>
        </w:tc>
        <w:tc>
          <w:tcPr>
            <w:tcW w:w="440" w:type="dxa"/>
            <w:vAlign w:val="bottom"/>
            <w:shd w:val="clear" w:color="auto" w:fill="CFEBF4"/>
          </w:tcPr>
          <w:p>
            <w:pPr>
              <w:spacing w:after="0"/>
              <w:rPr>
                <w:sz w:val="19"/>
                <w:szCs w:val="19"/>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14.8</w:t>
            </w:r>
          </w:p>
        </w:tc>
      </w:tr>
      <w:tr>
        <w:trPr>
          <w:trHeight w:val="211"/>
        </w:trPr>
        <w:tc>
          <w:tcPr>
            <w:tcW w:w="7420" w:type="dxa"/>
            <w:vAlign w:val="bottom"/>
            <w:tcBorders>
              <w:bottom w:val="single" w:sz="8" w:color="CFEBF4"/>
            </w:tcBorders>
          </w:tcPr>
          <w:p>
            <w:pPr>
              <w:ind w:left="220"/>
              <w:spacing w:after="0"/>
              <w:rPr>
                <w:sz w:val="20"/>
                <w:szCs w:val="20"/>
                <w:color w:val="auto"/>
              </w:rPr>
            </w:pPr>
            <w:r>
              <w:rPr>
                <w:rFonts w:ascii="Times New Roman" w:cs="Times New Roman" w:eastAsia="Times New Roman" w:hAnsi="Times New Roman"/>
                <w:sz w:val="16"/>
                <w:szCs w:val="16"/>
                <w:color w:val="231F20"/>
              </w:rPr>
              <w:t>Gain on redemption of Series A Preferred Stock</w:t>
            </w:r>
          </w:p>
        </w:tc>
        <w:tc>
          <w:tcPr>
            <w:tcW w:w="2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(32.9)</w:t>
            </w:r>
          </w:p>
        </w:tc>
        <w:tc>
          <w:tcPr>
            <w:tcW w:w="60" w:type="dxa"/>
            <w:vAlign w:val="bottom"/>
            <w:tcBorders>
              <w:bottom w:val="single" w:sz="8" w:color="CFEBF4"/>
            </w:tcBorders>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02"/>
        </w:trPr>
        <w:tc>
          <w:tcPr>
            <w:tcW w:w="742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16"/>
                <w:szCs w:val="16"/>
                <w:color w:val="231F20"/>
              </w:rPr>
              <w:t>Adjusted net income attributable to common stockholders</w:t>
            </w:r>
          </w:p>
        </w:tc>
        <w:tc>
          <w:tcPr>
            <w:tcW w:w="280" w:type="dxa"/>
            <w:vAlign w:val="bottom"/>
            <w:tcBorders>
              <w:bottom w:val="single" w:sz="8" w:color="231F20"/>
            </w:tcBorders>
            <w:shd w:val="clear" w:color="auto" w:fill="CFEBF4"/>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020" w:type="dxa"/>
            <w:vAlign w:val="bottom"/>
            <w:tcBorders>
              <w:bottom w:val="single" w:sz="8" w:color="231F20"/>
            </w:tcBorders>
            <w:shd w:val="clear" w:color="auto" w:fill="CFEBF4"/>
          </w:tcPr>
          <w:p>
            <w:pPr>
              <w:jc w:val="right"/>
              <w:ind w:right="1"/>
              <w:spacing w:after="0"/>
              <w:rPr>
                <w:sz w:val="20"/>
                <w:szCs w:val="20"/>
                <w:color w:val="auto"/>
              </w:rPr>
            </w:pPr>
            <w:r>
              <w:rPr>
                <w:rFonts w:ascii="Times New Roman" w:cs="Times New Roman" w:eastAsia="Times New Roman" w:hAnsi="Times New Roman"/>
                <w:sz w:val="16"/>
                <w:szCs w:val="16"/>
                <w:color w:val="231F20"/>
              </w:rPr>
              <w:t>638.9</w:t>
            </w:r>
          </w:p>
        </w:tc>
        <w:tc>
          <w:tcPr>
            <w:tcW w:w="60" w:type="dxa"/>
            <w:vAlign w:val="bottom"/>
            <w:tcBorders>
              <w:bottom w:val="single" w:sz="8" w:color="CFEBF4"/>
            </w:tcBorders>
            <w:shd w:val="clear" w:color="auto" w:fill="CFEBF4"/>
          </w:tcPr>
          <w:p>
            <w:pPr>
              <w:spacing w:after="0"/>
              <w:rPr>
                <w:sz w:val="17"/>
                <w:szCs w:val="17"/>
                <w:color w:val="auto"/>
              </w:rPr>
            </w:pPr>
          </w:p>
        </w:tc>
        <w:tc>
          <w:tcPr>
            <w:tcW w:w="440" w:type="dxa"/>
            <w:vAlign w:val="bottom"/>
            <w:tcBorders>
              <w:bottom w:val="single" w:sz="8" w:color="231F20"/>
            </w:tcBorders>
            <w:shd w:val="clear" w:color="auto" w:fill="CFEBF4"/>
          </w:tcPr>
          <w:p>
            <w:pPr>
              <w:jc w:val="right"/>
              <w:ind w:right="221"/>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6"/>
                <w:szCs w:val="16"/>
                <w:color w:val="231F20"/>
              </w:rPr>
              <w:t>618.6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-4590415</wp:posOffset>
            </wp:positionV>
            <wp:extent cx="897890"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-4450080</wp:posOffset>
            </wp:positionV>
            <wp:extent cx="897890"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-3521075</wp:posOffset>
            </wp:positionV>
            <wp:extent cx="897890"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-3380105</wp:posOffset>
            </wp:positionV>
            <wp:extent cx="897890"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-2592070</wp:posOffset>
            </wp:positionV>
            <wp:extent cx="897890" cy="5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-2451100</wp:posOffset>
            </wp:positionV>
            <wp:extent cx="897890"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-1945005</wp:posOffset>
            </wp:positionV>
            <wp:extent cx="897890"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-1804035</wp:posOffset>
            </wp:positionV>
            <wp:extent cx="897890"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-171450</wp:posOffset>
            </wp:positionV>
            <wp:extent cx="897890"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-30480</wp:posOffset>
            </wp:positionV>
            <wp:extent cx="1748155"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1748155" cy="50165"/>
                    </a:xfrm>
                    <a:prstGeom prst="rect">
                      <a:avLst/>
                    </a:prstGeom>
                    <a:noFill/>
                  </pic:spPr>
                </pic:pic>
              </a:graphicData>
            </a:graphic>
          </wp:anchor>
        </w:drawing>
      </w:r>
    </w:p>
    <w:p>
      <w:pPr>
        <w:sectPr>
          <w:pgSz w:w="11880" w:h="15480" w:orient="portrait"/>
          <w:cols w:equalWidth="0" w:num="1">
            <w:col w:w="10120"/>
          </w:cols>
          <w:pgMar w:left="880" w:top="679" w:right="880" w:bottom="0" w:gutter="0" w:footer="0" w:header="0"/>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(2)</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Digital transformation costs include costs associated with certain digital transformation initiatives.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Restructuring costs include severance costs incurred pursuant to an ongoing restructuring plan.</w:t>
      </w:r>
    </w:p>
    <w:p>
      <w:pPr>
        <w:spacing w:after="0" w:line="65" w:lineRule="exact"/>
        <w:rPr>
          <w:sz w:val="20"/>
          <w:szCs w:val="20"/>
          <w:color w:val="auto"/>
        </w:rPr>
      </w:pPr>
    </w:p>
    <w:p>
      <w:pPr>
        <w:sectPr>
          <w:pgSz w:w="11880" w:h="15480" w:orient="portrait"/>
          <w:cols w:equalWidth="0" w:num="2">
            <w:col w:w="140" w:space="140"/>
            <w:col w:w="9840"/>
          </w:cols>
          <w:pgMar w:left="880" w:top="679" w:right="880" w:bottom="0" w:gutter="0" w:footer="0" w:header="0"/>
          <w:type w:val="continuous"/>
        </w:sectPr>
      </w:pPr>
    </w:p>
    <w:p>
      <w:pPr>
        <w:jc w:val="both"/>
        <w:ind w:left="280" w:hanging="273"/>
        <w:spacing w:after="0" w:line="232" w:lineRule="auto"/>
        <w:tabs>
          <w:tab w:leader="none" w:pos="280" w:val="left"/>
        </w:tabs>
        <w:numPr>
          <w:ilvl w:val="0"/>
          <w:numId w:val="2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41" w:lineRule="exact"/>
        <w:rPr>
          <w:rFonts w:ascii="Times New Roman" w:cs="Times New Roman" w:eastAsia="Times New Roman" w:hAnsi="Times New Roman"/>
          <w:sz w:val="23"/>
          <w:szCs w:val="23"/>
          <w:color w:val="231F20"/>
          <w:vertAlign w:val="superscript"/>
        </w:rPr>
      </w:pPr>
    </w:p>
    <w:p>
      <w:pPr>
        <w:ind w:left="280" w:hanging="273"/>
        <w:spacing w:after="0" w:line="226" w:lineRule="auto"/>
        <w:tabs>
          <w:tab w:leader="none" w:pos="280" w:val="left"/>
        </w:tabs>
        <w:numPr>
          <w:ilvl w:val="0"/>
          <w:numId w:val="2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Excise taxes on excess pension plan assets represent the excise taxes applicable to the excess pension plan assets following the final settlement of the Company’s U.S. pension plan.</w:t>
      </w:r>
    </w:p>
    <w:p>
      <w:pPr>
        <w:spacing w:after="0" w:line="40" w:lineRule="exact"/>
        <w:rPr>
          <w:rFonts w:ascii="Times New Roman" w:cs="Times New Roman" w:eastAsia="Times New Roman" w:hAnsi="Times New Roman"/>
          <w:sz w:val="23"/>
          <w:szCs w:val="23"/>
          <w:color w:val="231F20"/>
          <w:vertAlign w:val="superscript"/>
        </w:rPr>
      </w:pPr>
    </w:p>
    <w:p>
      <w:pPr>
        <w:ind w:left="280" w:hanging="273"/>
        <w:spacing w:after="0" w:line="226" w:lineRule="auto"/>
        <w:tabs>
          <w:tab w:leader="none" w:pos="280" w:val="left"/>
        </w:tabs>
        <w:numPr>
          <w:ilvl w:val="0"/>
          <w:numId w:val="2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Loss on termination of business arrangement represents the loss recognized as a result of management’s decision to terminate a business arrangement with a third party.</w:t>
      </w:r>
    </w:p>
    <w:p>
      <w:pPr>
        <w:spacing w:after="0" w:line="8" w:lineRule="exact"/>
        <w:rPr>
          <w:rFonts w:ascii="Times New Roman" w:cs="Times New Roman" w:eastAsia="Times New Roman" w:hAnsi="Times New Roman"/>
          <w:sz w:val="23"/>
          <w:szCs w:val="23"/>
          <w:color w:val="231F20"/>
          <w:vertAlign w:val="superscript"/>
        </w:rPr>
      </w:pPr>
    </w:p>
    <w:p>
      <w:pPr>
        <w:ind w:left="280" w:hanging="273"/>
        <w:spacing w:after="0"/>
        <w:tabs>
          <w:tab w:leader="none" w:pos="280" w:val="left"/>
        </w:tabs>
        <w:numPr>
          <w:ilvl w:val="0"/>
          <w:numId w:val="2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Pension settlement cost represents expense related to the settlement of the Company’s U.S. pension plan.</w:t>
      </w:r>
    </w:p>
    <w:p>
      <w:pPr>
        <w:spacing w:after="0" w:line="59" w:lineRule="exact"/>
        <w:rPr>
          <w:rFonts w:ascii="Times New Roman" w:cs="Times New Roman" w:eastAsia="Times New Roman" w:hAnsi="Times New Roman"/>
          <w:sz w:val="23"/>
          <w:szCs w:val="23"/>
          <w:color w:val="231F20"/>
          <w:vertAlign w:val="superscript"/>
        </w:rPr>
      </w:pPr>
    </w:p>
    <w:p>
      <w:pPr>
        <w:ind w:left="280" w:hanging="273"/>
        <w:spacing w:after="0" w:line="216" w:lineRule="auto"/>
        <w:tabs>
          <w:tab w:leader="none" w:pos="280" w:val="left"/>
        </w:tabs>
        <w:numPr>
          <w:ilvl w:val="0"/>
          <w:numId w:val="2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adjustments to income from operations and other (income) expense, net for the years ended December 31, 2025 and 2024 have been tax effected at rates of 26.6% and 26.2%, respectively.</w:t>
      </w:r>
    </w:p>
    <w:p>
      <w:pPr>
        <w:sectPr>
          <w:pgSz w:w="11880" w:h="15480" w:orient="portrait"/>
          <w:cols w:equalWidth="0" w:num="1">
            <w:col w:w="10120"/>
          </w:cols>
          <w:pgMar w:left="880" w:top="679"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120"/>
          </w:cols>
          <w:pgMar w:left="880" w:top="679" w:right="880"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2440" w:type="dxa"/>
            <w:vAlign w:val="bottom"/>
            <w:tcBorders>
              <w:bottom w:val="single" w:sz="8" w:color="231F20"/>
            </w:tcBorders>
            <w:gridSpan w:val="4"/>
          </w:tcPr>
          <w:p>
            <w:pPr>
              <w:jc w:val="right"/>
              <w:ind w:right="242"/>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r>
      <w:tr>
        <w:trPr>
          <w:trHeight w:val="261"/>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Adjusted Earnings Per Diluted Share:</w:t>
            </w:r>
          </w:p>
        </w:tc>
        <w:tc>
          <w:tcPr>
            <w:tcW w:w="2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78"/>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 except per share data)</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3"/>
        </w:trPr>
        <w:tc>
          <w:tcPr>
            <w:tcW w:w="7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Adjusted income from operations</w:t>
            </w:r>
          </w:p>
        </w:tc>
        <w:tc>
          <w:tcPr>
            <w:tcW w:w="24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1,268.2</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1,282.9</w:t>
            </w:r>
          </w:p>
        </w:tc>
      </w:tr>
      <w:tr>
        <w:trPr>
          <w:trHeight w:val="290"/>
        </w:trPr>
        <w:tc>
          <w:tcPr>
            <w:tcW w:w="74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364.9</w:t>
            </w:r>
          </w:p>
        </w:tc>
      </w:tr>
      <w:tr>
        <w:trPr>
          <w:trHeight w:val="291"/>
        </w:trPr>
        <w:tc>
          <w:tcPr>
            <w:tcW w:w="744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Adjusted other (income) expense, net</w:t>
            </w:r>
          </w:p>
        </w:tc>
        <w:tc>
          <w:tcPr>
            <w:tcW w:w="240" w:type="dxa"/>
            <w:vAlign w:val="bottom"/>
            <w:tcBorders>
              <w:bottom w:val="single" w:sz="8" w:color="231F20"/>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23.4</w:t>
            </w:r>
          </w:p>
        </w:tc>
      </w:tr>
      <w:tr>
        <w:trPr>
          <w:trHeight w:val="280"/>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Adjusted income before income taxes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891.4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894.6</w:t>
            </w:r>
          </w:p>
        </w:tc>
      </w:tr>
      <w:tr>
        <w:trPr>
          <w:trHeight w:val="291"/>
        </w:trPr>
        <w:tc>
          <w:tcPr>
            <w:tcW w:w="744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Adjusted provision for income taxes</w:t>
            </w:r>
          </w:p>
        </w:tc>
        <w:tc>
          <w:tcPr>
            <w:tcW w:w="240" w:type="dxa"/>
            <w:vAlign w:val="bottom"/>
            <w:tcBorders>
              <w:bottom w:val="single" w:sz="8" w:color="231F20"/>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222.9</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216.8</w:t>
            </w:r>
          </w:p>
        </w:tc>
      </w:tr>
      <w:tr>
        <w:trPr>
          <w:trHeight w:val="280"/>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Adjusted net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668.5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677.8</w:t>
            </w:r>
          </w:p>
        </w:tc>
      </w:tr>
      <w:tr>
        <w:trPr>
          <w:trHeight w:val="311"/>
        </w:trPr>
        <w:tc>
          <w:tcPr>
            <w:tcW w:w="744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Net income attributable to noncontrolling interests</w:t>
            </w:r>
          </w:p>
        </w:tc>
        <w:tc>
          <w:tcPr>
            <w:tcW w:w="240" w:type="dxa"/>
            <w:vAlign w:val="bottom"/>
            <w:tcBorders>
              <w:bottom w:val="single" w:sz="8" w:color="231F20"/>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46"/>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Adjusted net income attributable to WESCO International, Inc.</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676.0</w:t>
            </w:r>
          </w:p>
        </w:tc>
      </w:tr>
      <w:tr>
        <w:trPr>
          <w:trHeight w:val="296"/>
        </w:trPr>
        <w:tc>
          <w:tcPr>
            <w:tcW w:w="744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Preferred stock dividends</w:t>
            </w:r>
          </w:p>
        </w:tc>
        <w:tc>
          <w:tcPr>
            <w:tcW w:w="240" w:type="dxa"/>
            <w:vAlign w:val="bottom"/>
            <w:tcBorders>
              <w:bottom w:val="single" w:sz="8" w:color="231F20"/>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57.4</w:t>
            </w:r>
          </w:p>
        </w:tc>
      </w:tr>
      <w:tr>
        <w:trPr>
          <w:trHeight w:val="261"/>
        </w:trPr>
        <w:tc>
          <w:tcPr>
            <w:tcW w:w="744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231F20"/>
              </w:rPr>
              <w:t>Adjusted net income attributable to common stockholders</w:t>
            </w:r>
          </w:p>
        </w:tc>
        <w:tc>
          <w:tcPr>
            <w:tcW w:w="2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638.9</w:t>
            </w:r>
          </w:p>
        </w:tc>
        <w:tc>
          <w:tcPr>
            <w:tcW w:w="380" w:type="dxa"/>
            <w:vAlign w:val="bottom"/>
            <w:gridSpan w:val="2"/>
          </w:tcPr>
          <w:p>
            <w:pPr>
              <w:jc w:val="right"/>
              <w:ind w:right="160"/>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618.6</w:t>
            </w:r>
          </w:p>
        </w:tc>
      </w:tr>
      <w:tr>
        <w:trPr>
          <w:trHeight w:val="266"/>
        </w:trPr>
        <w:tc>
          <w:tcPr>
            <w:tcW w:w="7440" w:type="dxa"/>
            <w:vAlign w:val="bottom"/>
            <w:tcBorders>
              <w:top w:val="single" w:sz="8" w:color="CFEBF4"/>
            </w:tcBorders>
            <w:shd w:val="clear" w:color="auto" w:fill="CFEBF4"/>
          </w:tcPr>
          <w:p>
            <w:pPr>
              <w:spacing w:after="0"/>
              <w:rPr>
                <w:sz w:val="23"/>
                <w:szCs w:val="23"/>
                <w:color w:val="auto"/>
              </w:rPr>
            </w:pPr>
          </w:p>
        </w:tc>
        <w:tc>
          <w:tcPr>
            <w:tcW w:w="240" w:type="dxa"/>
            <w:vAlign w:val="bottom"/>
            <w:tcBorders>
              <w:top w:val="single" w:sz="8" w:color="231F20"/>
            </w:tcBorders>
            <w:shd w:val="clear" w:color="auto" w:fill="CFEBF4"/>
          </w:tcPr>
          <w:p>
            <w:pPr>
              <w:spacing w:after="0"/>
              <w:rPr>
                <w:sz w:val="23"/>
                <w:szCs w:val="23"/>
                <w:color w:val="auto"/>
              </w:rPr>
            </w:pPr>
          </w:p>
        </w:tc>
        <w:tc>
          <w:tcPr>
            <w:tcW w:w="1060" w:type="dxa"/>
            <w:vAlign w:val="bottom"/>
            <w:tcBorders>
              <w:top w:val="single" w:sz="8" w:color="231F20"/>
            </w:tcBorders>
            <w:shd w:val="clear" w:color="auto" w:fill="CFEBF4"/>
          </w:tcPr>
          <w:p>
            <w:pPr>
              <w:spacing w:after="0"/>
              <w:rPr>
                <w:sz w:val="23"/>
                <w:szCs w:val="23"/>
                <w:color w:val="auto"/>
              </w:rPr>
            </w:pPr>
          </w:p>
        </w:tc>
        <w:tc>
          <w:tcPr>
            <w:tcW w:w="80" w:type="dxa"/>
            <w:vAlign w:val="bottom"/>
            <w:tcBorders>
              <w:top w:val="single" w:sz="8" w:color="CFEBF4"/>
            </w:tcBorders>
            <w:shd w:val="clear" w:color="auto" w:fill="CFEBF4"/>
          </w:tcPr>
          <w:p>
            <w:pPr>
              <w:spacing w:after="0"/>
              <w:rPr>
                <w:sz w:val="23"/>
                <w:szCs w:val="23"/>
                <w:color w:val="auto"/>
              </w:rPr>
            </w:pPr>
          </w:p>
        </w:tc>
        <w:tc>
          <w:tcPr>
            <w:tcW w:w="300" w:type="dxa"/>
            <w:vAlign w:val="bottom"/>
            <w:tcBorders>
              <w:top w:val="single" w:sz="8" w:color="231F20"/>
            </w:tcBorders>
            <w:shd w:val="clear" w:color="auto" w:fill="CFEBF4"/>
          </w:tcPr>
          <w:p>
            <w:pPr>
              <w:spacing w:after="0"/>
              <w:rPr>
                <w:sz w:val="23"/>
                <w:szCs w:val="23"/>
                <w:color w:val="auto"/>
              </w:rPr>
            </w:pPr>
          </w:p>
        </w:tc>
        <w:tc>
          <w:tcPr>
            <w:tcW w:w="1000" w:type="dxa"/>
            <w:vAlign w:val="bottom"/>
            <w:tcBorders>
              <w:top w:val="single" w:sz="8" w:color="231F20"/>
            </w:tcBorders>
            <w:shd w:val="clear" w:color="auto" w:fill="CFEBF4"/>
          </w:tcPr>
          <w:p>
            <w:pPr>
              <w:spacing w:after="0"/>
              <w:rPr>
                <w:sz w:val="23"/>
                <w:szCs w:val="23"/>
                <w:color w:val="auto"/>
              </w:rPr>
            </w:pPr>
          </w:p>
        </w:tc>
      </w:tr>
      <w:tr>
        <w:trPr>
          <w:trHeight w:val="290"/>
        </w:trPr>
        <w:tc>
          <w:tcPr>
            <w:tcW w:w="74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Diluted shares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50.6</w:t>
            </w:r>
          </w:p>
        </w:tc>
      </w:tr>
      <w:tr>
        <w:trPr>
          <w:trHeight w:val="301"/>
        </w:trPr>
        <w:tc>
          <w:tcPr>
            <w:tcW w:w="74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Adjusted earnings per diluted share</w:t>
            </w:r>
          </w:p>
        </w:tc>
        <w:tc>
          <w:tcPr>
            <w:tcW w:w="2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12.91</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-1872615</wp:posOffset>
            </wp:positionV>
            <wp:extent cx="897890"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-1497330</wp:posOffset>
            </wp:positionV>
            <wp:extent cx="897890"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-1122045</wp:posOffset>
            </wp:positionV>
            <wp:extent cx="897890"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-765810</wp:posOffset>
            </wp:positionV>
            <wp:extent cx="897890"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897890" cy="5016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-600075</wp:posOffset>
            </wp:positionV>
            <wp:extent cx="1748155" cy="74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1748155" cy="74930"/>
                    </a:xfrm>
                    <a:prstGeom prst="rect">
                      <a:avLst/>
                    </a:prstGeom>
                    <a:noFill/>
                  </pic:spPr>
                </pic:pic>
              </a:graphicData>
            </a:graphic>
          </wp:anchor>
        </w:drawing>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31F20"/>
        </w:rPr>
        <w:t>Note: For the year ended December 31, 2025, SG&amp;A expenses, income from operations, other non-operating (income) expense, the provision for income taxes, net income attributable to common stockholders, and earnings per diluted share have been adjusted to exclude digital transformation costs, restructuring costs, the loss on termination of business arrangement, and the related income tax effects, and the gain on redemption of the Company's Series A Preferred Stock. For the year ended December 31, 2024, SG&amp;A expenses, income from operations, other non-operating (income) expense, the provision for income taxes, net income attributable to common stockholders, and earnings per diluted share have been adjusted to exclude digital transformation costs, the loss on abandonment of assets, restructuring costs, excise taxes on excess pension plan assets, the gain recognized on the divestiture of the WIS business, the loss on termination of business arrangement, pension settlement cost, and the related income tax effects. These non-GAAP financial measures provide a better understanding of our financial results on a comparable basis.</w:t>
      </w:r>
    </w:p>
    <w:p>
      <w:pPr>
        <w:sectPr>
          <w:pgSz w:w="11880" w:h="15480" w:orient="portrait"/>
          <w:cols w:equalWidth="0" w:num="1">
            <w:col w:w="10120"/>
          </w:cols>
          <w:pgMar w:left="880" w:top="78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120"/>
          </w:cols>
          <w:pgMar w:left="880" w:top="788" w:right="8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32"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Our liquidity needs generally arise from fluctuations in our working capital requirements, information technology investments, capital expenditures, acquisitions, the payment of dividends, and debt service obligations. 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The maximum borrowing limits of our international lines of credit vary by facility and range between $1.0 million and $12.0 million. As of December 31, 2025, we had $5.6 million outstanding under our international lines of credit.</w:t>
      </w:r>
    </w:p>
    <w:p>
      <w:pPr>
        <w:spacing w:after="0" w:line="96"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As of December 31, 2025, we had $581.5 million outstanding and $1,107.9 million in available borrowing capacity on the Revolving Credit Facility after giving effect to outstanding letters of credit and certain borrowings under our international lines of credit. Additionally, as of December 31, 2025, we had $1,300.0 million outstanding and $250.0 million of available borrowing capacity under our Receivables Facility, which combined with available cash of $282.1 million, provided liquidity of approximately $1.6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spacing w:after="0" w:line="93"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For information regarding amendments to the Receivables Facility and Revolving Credit Facility as well as disclosure of our debt instruments, including our outstanding indebtedness as of December 31, 2025, see Note 9, “Debt” of our Notes to Consolidated Financial Statements.</w:t>
      </w:r>
    </w:p>
    <w:p>
      <w:pPr>
        <w:spacing w:after="0" w:line="77"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As described in Note 9, “Debt” of our Notes to Consolidated Financial Statements, on March 6, 2025, Wesco Distribution issued $800 million aggregate principal amount of 2033 Notes. We used the net proceeds from the issuance of the 2033 Notes to redeem all of the Company’s outstanding Series A Preferred Stock and all of the related depositary shares representing fractional interests in the Series A Preferred Stock in June 2025, and to repay a portion of the amounts outstanding under the Revolving Credit Facility.</w:t>
      </w:r>
    </w:p>
    <w:p>
      <w:pPr>
        <w:spacing w:after="0" w:line="8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in the first half of 2025 before the Federal Reserve reacted to economic conditions and reduced its benchmark interest rate at the end of the third quarter and twice more in the fourth quarter by 25 basis points, respectively, for a total reduction of 75 basis points in the second half of 2025. Future interest rate changes would raise or lower the rates we pay on our variable rate debt and would contribute to fluctuations in interest expense versus prior periods.</w:t>
      </w:r>
    </w:p>
    <w:p>
      <w:pPr>
        <w:spacing w:after="0" w:line="89"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At December 31, 2025, approximately 66% of our debt portfolio consisted of fixed rate debt. We believe our capital structure has an appropriate mix of fixed versus variable rate debt and secured versus unsecured instruments.</w:t>
      </w:r>
    </w:p>
    <w:p>
      <w:pPr>
        <w:spacing w:after="0" w:line="64"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Over the next several quarters, we expect that our excess liquidity will be directed primarily at debt reduction, the payment of dividends, share repurchases,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2025, future market disruptions could occur which could potentially affect our liquidity. We believe cash provided by operations and financing activities will be adequate to cover our operational and business needs for at least the next twelve months.</w:t>
      </w:r>
    </w:p>
    <w:p>
      <w:pPr>
        <w:spacing w:after="0" w:line="89"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 communicate on a regular basis with our lenders regarding our financial and working capital performance, and liquidity position. We were in compliance with all financial covenants and restrictions contained in our debt agreements as of December 31, 2025.</w:t>
      </w:r>
    </w:p>
    <w:p>
      <w:pPr>
        <w:spacing w:after="0" w:line="77"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 also measure our ability to meet our debt obligations based on our financial leverage ratio, which was 3.4x as of December 31, 2025 and 2.9x as of December 31, 2024.</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120"/>
          </w:cols>
          <w:pgMar w:left="880" w:top="672" w:right="880" w:bottom="0" w:gutter="0" w:footer="0" w:header="0"/>
          <w:type w:val="continuous"/>
        </w:sectPr>
      </w:pPr>
    </w:p>
    <w:bookmarkStart w:id="48" w:name="page49"/>
    <w:bookmarkEnd w:id="48"/>
    <w:p>
      <w:pPr>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our financial leverage ratio, which is a non-GAAP financial measure, for the periods presented:</w:t>
      </w:r>
    </w:p>
    <w:p>
      <w:pPr>
        <w:spacing w:after="0" w:line="40"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3440" w:type="dxa"/>
            <w:vAlign w:val="bottom"/>
            <w:tcBorders>
              <w:bottom w:val="single" w:sz="8" w:color="231F20"/>
            </w:tcBorders>
            <w:gridSpan w:val="4"/>
          </w:tcPr>
          <w:p>
            <w:pPr>
              <w:jc w:val="right"/>
              <w:ind w:right="862"/>
              <w:spacing w:after="0"/>
              <w:rPr>
                <w:sz w:val="20"/>
                <w:szCs w:val="20"/>
                <w:color w:val="auto"/>
              </w:rPr>
            </w:pPr>
            <w:r>
              <w:rPr>
                <w:rFonts w:ascii="Times New Roman" w:cs="Times New Roman" w:eastAsia="Times New Roman" w:hAnsi="Times New Roman"/>
                <w:sz w:val="18"/>
                <w:szCs w:val="18"/>
                <w:b w:val="1"/>
                <w:bCs w:val="1"/>
                <w:color w:val="231F20"/>
              </w:rPr>
              <w:t>Twelve months ended</w:t>
            </w:r>
          </w:p>
        </w:tc>
      </w:tr>
      <w:tr>
        <w:trPr>
          <w:trHeight w:val="232"/>
        </w:trPr>
        <w:tc>
          <w:tcPr>
            <w:tcW w:w="59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8"/>
                <w:szCs w:val="18"/>
                <w:b w:val="1"/>
                <w:bCs w:val="1"/>
                <w:color w:val="231F20"/>
                <w:w w:val="97"/>
              </w:rPr>
              <w:t>December 31, 2025</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231F20"/>
                <w:w w:val="97"/>
              </w:rPr>
              <w:t>December 31, 2024</w:t>
            </w:r>
          </w:p>
        </w:tc>
      </w:tr>
      <w:tr>
        <w:trPr>
          <w:trHeight w:val="219"/>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 of dollars, except ratios)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03"/>
        </w:trPr>
        <w:tc>
          <w:tcPr>
            <w:tcW w:w="596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Net income attributable to common stockholders</w:t>
            </w:r>
          </w:p>
        </w:tc>
        <w:tc>
          <w:tcPr>
            <w:tcW w:w="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645.8</w:t>
            </w:r>
          </w:p>
        </w:tc>
        <w:tc>
          <w:tcPr>
            <w:tcW w:w="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660.2</w:t>
            </w:r>
          </w:p>
        </w:tc>
      </w:tr>
      <w:tr>
        <w:trPr>
          <w:trHeight w:val="290"/>
        </w:trPr>
        <w:tc>
          <w:tcPr>
            <w:tcW w:w="59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Net income attributable to noncontrolling interests</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301"/>
        </w:trPr>
        <w:tc>
          <w:tcPr>
            <w:tcW w:w="596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Gain on redemption of Series A Preferred Stock</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(32.9)</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59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Preferred stock dividends</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57.4</w:t>
            </w:r>
          </w:p>
        </w:tc>
      </w:tr>
      <w:tr>
        <w:trPr>
          <w:trHeight w:val="301"/>
        </w:trPr>
        <w:tc>
          <w:tcPr>
            <w:tcW w:w="596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213.4</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231.6</w:t>
            </w:r>
          </w:p>
        </w:tc>
      </w:tr>
      <w:tr>
        <w:trPr>
          <w:trHeight w:val="290"/>
        </w:trPr>
        <w:tc>
          <w:tcPr>
            <w:tcW w:w="59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Interest expense, net</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364.9</w:t>
            </w:r>
          </w:p>
        </w:tc>
      </w:tr>
      <w:tr>
        <w:trPr>
          <w:trHeight w:val="311"/>
        </w:trPr>
        <w:tc>
          <w:tcPr>
            <w:tcW w:w="5960" w:type="dxa"/>
            <w:vAlign w:val="bottom"/>
            <w:tcBorders>
              <w:bottom w:val="single" w:sz="8" w:color="CFEBF4"/>
            </w:tcBorders>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40" w:type="dxa"/>
            <w:vAlign w:val="bottom"/>
            <w:tcBorders>
              <w:bottom w:val="single" w:sz="8" w:color="231F20"/>
            </w:tcBorders>
            <w:shd w:val="clear" w:color="auto" w:fill="CFEBF4"/>
          </w:tcPr>
          <w:p>
            <w:pPr>
              <w:spacing w:after="0"/>
              <w:rPr>
                <w:sz w:val="24"/>
                <w:szCs w:val="24"/>
                <w:color w:val="auto"/>
              </w:rPr>
            </w:pPr>
          </w:p>
        </w:tc>
        <w:tc>
          <w:tcPr>
            <w:tcW w:w="16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197.6</w:t>
            </w:r>
          </w:p>
        </w:tc>
        <w:tc>
          <w:tcPr>
            <w:tcW w:w="8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16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183.2</w:t>
            </w:r>
          </w:p>
        </w:tc>
      </w:tr>
      <w:tr>
        <w:trPr>
          <w:trHeight w:val="246"/>
        </w:trPr>
        <w:tc>
          <w:tcPr>
            <w:tcW w:w="5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1,499.1</w:t>
            </w:r>
          </w:p>
        </w:tc>
      </w:tr>
      <w:tr>
        <w:trPr>
          <w:trHeight w:val="301"/>
        </w:trPr>
        <w:tc>
          <w:tcPr>
            <w:tcW w:w="596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Other income, net</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(92.7)</w:t>
            </w:r>
          </w:p>
        </w:tc>
      </w:tr>
      <w:tr>
        <w:trPr>
          <w:trHeight w:val="290"/>
        </w:trPr>
        <w:tc>
          <w:tcPr>
            <w:tcW w:w="59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28.9</w:t>
            </w:r>
          </w:p>
        </w:tc>
      </w:tr>
      <w:tr>
        <w:trPr>
          <w:trHeight w:val="302"/>
        </w:trPr>
        <w:tc>
          <w:tcPr>
            <w:tcW w:w="596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Digital transformation costs</w:t>
            </w:r>
            <w:r>
              <w:rPr>
                <w:rFonts w:ascii="Times New Roman" w:cs="Times New Roman" w:eastAsia="Times New Roman" w:hAnsi="Times New Roman"/>
                <w:sz w:val="25"/>
                <w:szCs w:val="25"/>
                <w:color w:val="231F20"/>
                <w:vertAlign w:val="superscript"/>
              </w:rPr>
              <w:t>(1)</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35.2</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24.9</w:t>
            </w:r>
          </w:p>
        </w:tc>
      </w:tr>
      <w:tr>
        <w:trPr>
          <w:trHeight w:val="295"/>
        </w:trPr>
        <w:tc>
          <w:tcPr>
            <w:tcW w:w="59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Cloud computing arrangement amortization</w:t>
            </w:r>
            <w:r>
              <w:rPr>
                <w:rFonts w:ascii="Times New Roman" w:cs="Times New Roman" w:eastAsia="Times New Roman" w:hAnsi="Times New Roman"/>
                <w:sz w:val="25"/>
                <w:szCs w:val="25"/>
                <w:color w:val="231F20"/>
                <w:vertAlign w:val="superscript"/>
              </w:rPr>
              <w:t>(2)</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w:t>
            </w:r>
          </w:p>
        </w:tc>
      </w:tr>
      <w:tr>
        <w:trPr>
          <w:trHeight w:val="296"/>
        </w:trPr>
        <w:tc>
          <w:tcPr>
            <w:tcW w:w="5960" w:type="dxa"/>
            <w:vAlign w:val="bottom"/>
            <w:shd w:val="clear" w:color="auto" w:fill="CFEBF4"/>
          </w:tcPr>
          <w:p>
            <w:pPr>
              <w:ind w:left="320"/>
              <w:spacing w:after="0"/>
              <w:rPr>
                <w:sz w:val="20"/>
                <w:szCs w:val="20"/>
                <w:color w:val="auto"/>
              </w:rPr>
            </w:pPr>
            <w:r>
              <w:rPr>
                <w:rFonts w:ascii="Times New Roman" w:cs="Times New Roman" w:eastAsia="Times New Roman" w:hAnsi="Times New Roman"/>
                <w:sz w:val="20"/>
                <w:szCs w:val="20"/>
                <w:color w:val="231F20"/>
              </w:rPr>
              <w:t>Restructuring costs</w:t>
            </w:r>
            <w:r>
              <w:rPr>
                <w:rFonts w:ascii="Times New Roman" w:cs="Times New Roman" w:eastAsia="Times New Roman" w:hAnsi="Times New Roman"/>
                <w:sz w:val="25"/>
                <w:szCs w:val="25"/>
                <w:color w:val="231F20"/>
                <w:vertAlign w:val="superscript"/>
              </w:rPr>
              <w:t>(3)</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12.1</w:t>
            </w:r>
          </w:p>
        </w:tc>
      </w:tr>
      <w:tr>
        <w:trPr>
          <w:trHeight w:val="281"/>
        </w:trPr>
        <w:tc>
          <w:tcPr>
            <w:tcW w:w="5960" w:type="dxa"/>
            <w:vAlign w:val="bottom"/>
          </w:tcPr>
          <w:p>
            <w:pPr>
              <w:ind w:left="320"/>
              <w:spacing w:after="0" w:line="281" w:lineRule="exact"/>
              <w:rPr>
                <w:sz w:val="20"/>
                <w:szCs w:val="20"/>
                <w:color w:val="auto"/>
              </w:rPr>
            </w:pPr>
            <w:r>
              <w:rPr>
                <w:rFonts w:ascii="Times New Roman" w:cs="Times New Roman" w:eastAsia="Times New Roman" w:hAnsi="Times New Roman"/>
                <w:sz w:val="20"/>
                <w:szCs w:val="20"/>
                <w:color w:val="231F20"/>
              </w:rPr>
              <w:t>Loss on abandonment of assets</w:t>
            </w:r>
            <w:r>
              <w:rPr>
                <w:rFonts w:ascii="Times New Roman" w:cs="Times New Roman" w:eastAsia="Times New Roman" w:hAnsi="Times New Roman"/>
                <w:sz w:val="25"/>
                <w:szCs w:val="25"/>
                <w:color w:val="231F20"/>
                <w:vertAlign w:val="superscript"/>
              </w:rPr>
              <w:t>(4)</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w:t>
            </w:r>
          </w:p>
        </w:tc>
      </w:tr>
      <w:tr>
        <w:trPr>
          <w:trHeight w:val="286"/>
        </w:trPr>
        <w:tc>
          <w:tcPr>
            <w:tcW w:w="5960" w:type="dxa"/>
            <w:vAlign w:val="bottom"/>
            <w:tcBorders>
              <w:bottom w:val="single" w:sz="8" w:color="CFEBF4"/>
            </w:tcBorders>
            <w:shd w:val="clear" w:color="auto" w:fill="CFEBF4"/>
          </w:tcPr>
          <w:p>
            <w:pPr>
              <w:ind w:left="320"/>
              <w:spacing w:after="0" w:line="286" w:lineRule="exact"/>
              <w:rPr>
                <w:sz w:val="20"/>
                <w:szCs w:val="20"/>
                <w:color w:val="auto"/>
              </w:rPr>
            </w:pPr>
            <w:r>
              <w:rPr>
                <w:rFonts w:ascii="Times New Roman" w:cs="Times New Roman" w:eastAsia="Times New Roman" w:hAnsi="Times New Roman"/>
                <w:sz w:val="20"/>
                <w:szCs w:val="20"/>
                <w:color w:val="231F20"/>
              </w:rPr>
              <w:t>Excise taxes on excess pension plan assets</w:t>
            </w:r>
            <w:r>
              <w:rPr>
                <w:rFonts w:ascii="Times New Roman" w:cs="Times New Roman" w:eastAsia="Times New Roman" w:hAnsi="Times New Roman"/>
                <w:sz w:val="25"/>
                <w:szCs w:val="25"/>
                <w:color w:val="231F20"/>
                <w:vertAlign w:val="superscript"/>
              </w:rPr>
              <w:t>(5)</w:t>
            </w:r>
          </w:p>
        </w:tc>
        <w:tc>
          <w:tcPr>
            <w:tcW w:w="140" w:type="dxa"/>
            <w:vAlign w:val="bottom"/>
            <w:tcBorders>
              <w:bottom w:val="single" w:sz="8" w:color="231F20"/>
            </w:tcBorders>
            <w:shd w:val="clear" w:color="auto" w:fill="CFEBF4"/>
          </w:tcPr>
          <w:p>
            <w:pPr>
              <w:spacing w:after="0"/>
              <w:rPr>
                <w:sz w:val="24"/>
                <w:szCs w:val="24"/>
                <w:color w:val="auto"/>
              </w:rPr>
            </w:pPr>
          </w:p>
        </w:tc>
        <w:tc>
          <w:tcPr>
            <w:tcW w:w="16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16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4.9</w:t>
            </w:r>
          </w:p>
        </w:tc>
      </w:tr>
      <w:tr>
        <w:trPr>
          <w:trHeight w:val="256"/>
        </w:trPr>
        <w:tc>
          <w:tcPr>
            <w:tcW w:w="59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1,536.5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1,509.1</w:t>
            </w: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6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600" w:type="dxa"/>
            <w:vAlign w:val="bottom"/>
            <w:tcBorders>
              <w:top w:val="single" w:sz="8" w:color="231F20"/>
              <w:bottom w:val="single" w:sz="8" w:color="231F20"/>
            </w:tcBorders>
          </w:tcPr>
          <w:p>
            <w:pPr>
              <w:spacing w:after="0" w:line="20" w:lineRule="exact"/>
              <w:rPr>
                <w:sz w:val="1"/>
                <w:szCs w:val="1"/>
                <w:color w:val="auto"/>
              </w:rPr>
            </w:pPr>
          </w:p>
        </w:tc>
      </w:tr>
      <w:tr>
        <w:trPr>
          <w:trHeight w:val="506"/>
        </w:trPr>
        <w:tc>
          <w:tcPr>
            <w:tcW w:w="59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84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As of</w:t>
            </w:r>
          </w:p>
        </w:tc>
        <w:tc>
          <w:tcPr>
            <w:tcW w:w="1600" w:type="dxa"/>
            <w:vAlign w:val="bottom"/>
            <w:tcBorders>
              <w:bottom w:val="single" w:sz="8" w:color="231F20"/>
            </w:tcBorders>
          </w:tcPr>
          <w:p>
            <w:pPr>
              <w:spacing w:after="0"/>
              <w:rPr>
                <w:sz w:val="24"/>
                <w:szCs w:val="24"/>
                <w:color w:val="auto"/>
              </w:rPr>
            </w:pPr>
          </w:p>
        </w:tc>
      </w:tr>
      <w:tr>
        <w:trPr>
          <w:trHeight w:val="231"/>
        </w:trPr>
        <w:tc>
          <w:tcPr>
            <w:tcW w:w="5960" w:type="dxa"/>
            <w:vAlign w:val="bottom"/>
            <w:tcBorders>
              <w:bottom w:val="single" w:sz="8" w:color="CFEBF4"/>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8"/>
                <w:szCs w:val="18"/>
                <w:b w:val="1"/>
                <w:bCs w:val="1"/>
                <w:color w:val="231F20"/>
                <w:w w:val="97"/>
              </w:rPr>
              <w:t>December 31, 2025</w:t>
            </w:r>
          </w:p>
        </w:tc>
        <w:tc>
          <w:tcPr>
            <w:tcW w:w="80" w:type="dxa"/>
            <w:vAlign w:val="bottom"/>
            <w:tcBorders>
              <w:bottom w:val="single" w:sz="8" w:color="CFEBF4"/>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231F20"/>
                <w:w w:val="97"/>
              </w:rPr>
              <w:t>December 31, 2024</w:t>
            </w:r>
          </w:p>
        </w:tc>
      </w:tr>
      <w:tr>
        <w:trPr>
          <w:trHeight w:val="285"/>
        </w:trPr>
        <w:tc>
          <w:tcPr>
            <w:tcW w:w="5960" w:type="dxa"/>
            <w:vAlign w:val="bottom"/>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Short-term debt and current portion of long-term debt, net</w:t>
            </w:r>
          </w:p>
        </w:tc>
        <w:tc>
          <w:tcPr>
            <w:tcW w:w="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19.5</w:t>
            </w:r>
          </w:p>
        </w:tc>
      </w:tr>
      <w:tr>
        <w:trPr>
          <w:trHeight w:val="290"/>
        </w:trPr>
        <w:tc>
          <w:tcPr>
            <w:tcW w:w="59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Long-term debt, net</w:t>
            </w: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5,045.5</w:t>
            </w:r>
          </w:p>
        </w:tc>
      </w:tr>
      <w:tr>
        <w:trPr>
          <w:trHeight w:val="301"/>
        </w:trPr>
        <w:tc>
          <w:tcPr>
            <w:tcW w:w="5960" w:type="dxa"/>
            <w:vAlign w:val="bottom"/>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Debt discount and debt issuance costs</w:t>
            </w:r>
            <w:r>
              <w:rPr>
                <w:rFonts w:ascii="Times New Roman" w:cs="Times New Roman" w:eastAsia="Times New Roman" w:hAnsi="Times New Roman"/>
                <w:sz w:val="25"/>
                <w:szCs w:val="25"/>
                <w:color w:val="231F20"/>
                <w:vertAlign w:val="superscript"/>
              </w:rPr>
              <w:t>(6)</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48.0</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47.2</w:t>
            </w:r>
          </w:p>
        </w:tc>
      </w:tr>
      <w:tr>
        <w:trPr>
          <w:trHeight w:val="286"/>
        </w:trPr>
        <w:tc>
          <w:tcPr>
            <w:tcW w:w="5960" w:type="dxa"/>
            <w:vAlign w:val="bottom"/>
            <w:tcBorders>
              <w:bottom w:val="single" w:sz="8" w:color="CFEBF4"/>
            </w:tcBorders>
          </w:tcPr>
          <w:p>
            <w:pPr>
              <w:ind w:left="280"/>
              <w:spacing w:after="0" w:line="286" w:lineRule="exact"/>
              <w:rPr>
                <w:sz w:val="20"/>
                <w:szCs w:val="20"/>
                <w:color w:val="auto"/>
              </w:rPr>
            </w:pPr>
            <w:r>
              <w:rPr>
                <w:rFonts w:ascii="Times New Roman" w:cs="Times New Roman" w:eastAsia="Times New Roman" w:hAnsi="Times New Roman"/>
                <w:sz w:val="20"/>
                <w:szCs w:val="20"/>
                <w:color w:val="231F20"/>
              </w:rPr>
              <w:t>Fair value adjustments to the Anixter Senior Notes</w:t>
            </w:r>
            <w:r>
              <w:rPr>
                <w:rFonts w:ascii="Times New Roman" w:cs="Times New Roman" w:eastAsia="Times New Roman" w:hAnsi="Times New Roman"/>
                <w:sz w:val="25"/>
                <w:szCs w:val="25"/>
                <w:color w:val="231F20"/>
                <w:vertAlign w:val="superscript"/>
              </w:rPr>
              <w:t>(6)</w:t>
            </w:r>
          </w:p>
        </w:tc>
        <w:tc>
          <w:tcPr>
            <w:tcW w:w="1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(0.1)</w:t>
            </w:r>
          </w:p>
        </w:tc>
      </w:tr>
      <w:tr>
        <w:trPr>
          <w:trHeight w:val="285"/>
        </w:trPr>
        <w:tc>
          <w:tcPr>
            <w:tcW w:w="5960" w:type="dxa"/>
            <w:vAlign w:val="bottom"/>
            <w:shd w:val="clear" w:color="auto" w:fill="CFEBF4"/>
          </w:tcPr>
          <w:p>
            <w:pPr>
              <w:ind w:left="420"/>
              <w:spacing w:after="0"/>
              <w:rPr>
                <w:sz w:val="20"/>
                <w:szCs w:val="20"/>
                <w:color w:val="auto"/>
              </w:rPr>
            </w:pPr>
            <w:r>
              <w:rPr>
                <w:rFonts w:ascii="Times New Roman" w:cs="Times New Roman" w:eastAsia="Times New Roman" w:hAnsi="Times New Roman"/>
                <w:sz w:val="20"/>
                <w:szCs w:val="20"/>
                <w:color w:val="231F20"/>
              </w:rPr>
              <w:t>Total debt</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5,829.4</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5,112.1</w:t>
            </w:r>
          </w:p>
        </w:tc>
      </w:tr>
      <w:tr>
        <w:trPr>
          <w:trHeight w:val="310"/>
        </w:trPr>
        <w:tc>
          <w:tcPr>
            <w:tcW w:w="5960" w:type="dxa"/>
            <w:vAlign w:val="bottom"/>
            <w:tcBorders>
              <w:bottom w:val="single" w:sz="8" w:color="CFEBF4"/>
            </w:tcBorders>
          </w:tcPr>
          <w:p>
            <w:pPr>
              <w:ind w:left="620"/>
              <w:spacing w:after="0"/>
              <w:rPr>
                <w:sz w:val="20"/>
                <w:szCs w:val="20"/>
                <w:color w:val="auto"/>
              </w:rPr>
            </w:pPr>
            <w:r>
              <w:rPr>
                <w:rFonts w:ascii="Times New Roman" w:cs="Times New Roman" w:eastAsia="Times New Roman" w:hAnsi="Times New Roman"/>
                <w:sz w:val="20"/>
                <w:szCs w:val="20"/>
                <w:color w:val="231F20"/>
              </w:rPr>
              <w:t>Less: Cash and cash equivalents</w:t>
            </w:r>
          </w:p>
        </w:tc>
        <w:tc>
          <w:tcPr>
            <w:tcW w:w="1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604.8</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702.6</w:t>
            </w:r>
          </w:p>
        </w:tc>
      </w:tr>
      <w:tr>
        <w:trPr>
          <w:trHeight w:val="260"/>
        </w:trPr>
        <w:tc>
          <w:tcPr>
            <w:tcW w:w="5960" w:type="dxa"/>
            <w:vAlign w:val="bottom"/>
            <w:tcBorders>
              <w:top w:val="single" w:sz="8" w:color="CFEBF4"/>
            </w:tcBorders>
            <w:shd w:val="clear" w:color="auto" w:fill="CFEBF4"/>
          </w:tcPr>
          <w:p>
            <w:pPr>
              <w:ind w:left="420"/>
              <w:spacing w:after="0" w:line="221" w:lineRule="exact"/>
              <w:rPr>
                <w:sz w:val="20"/>
                <w:szCs w:val="20"/>
                <w:color w:val="auto"/>
              </w:rPr>
            </w:pPr>
            <w:r>
              <w:rPr>
                <w:rFonts w:ascii="Times New Roman" w:cs="Times New Roman" w:eastAsia="Times New Roman" w:hAnsi="Times New Roman"/>
                <w:sz w:val="20"/>
                <w:szCs w:val="20"/>
                <w:color w:val="231F20"/>
              </w:rPr>
              <w:t>Total debt, net of cash</w:t>
            </w:r>
          </w:p>
        </w:tc>
        <w:tc>
          <w:tcPr>
            <w:tcW w:w="140" w:type="dxa"/>
            <w:vAlign w:val="bottom"/>
            <w:tcBorders>
              <w:top w:val="single" w:sz="8" w:color="231F20"/>
            </w:tcBorders>
            <w:shd w:val="clear" w:color="auto" w:fill="CFEBF4"/>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600" w:type="dxa"/>
            <w:vAlign w:val="bottom"/>
            <w:tcBorders>
              <w:top w:val="single" w:sz="8" w:color="231F20"/>
            </w:tcBorders>
            <w:shd w:val="clear" w:color="auto" w:fill="CFEBF4"/>
          </w:tcPr>
          <w:p>
            <w:pPr>
              <w:jc w:val="right"/>
              <w:spacing w:after="0" w:line="221" w:lineRule="exact"/>
              <w:rPr>
                <w:sz w:val="20"/>
                <w:szCs w:val="20"/>
                <w:color w:val="auto"/>
              </w:rPr>
            </w:pPr>
            <w:r>
              <w:rPr>
                <w:rFonts w:ascii="Times New Roman" w:cs="Times New Roman" w:eastAsia="Times New Roman" w:hAnsi="Times New Roman"/>
                <w:sz w:val="20"/>
                <w:szCs w:val="20"/>
                <w:color w:val="231F20"/>
              </w:rPr>
              <w:t>5,224.6</w:t>
            </w:r>
          </w:p>
        </w:tc>
        <w:tc>
          <w:tcPr>
            <w:tcW w:w="240" w:type="dxa"/>
            <w:vAlign w:val="bottom"/>
            <w:tcBorders>
              <w:top w:val="single" w:sz="8" w:color="CFEBF4"/>
            </w:tcBorders>
            <w:gridSpan w:val="2"/>
            <w:shd w:val="clear" w:color="auto" w:fill="CFEBF4"/>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600" w:type="dxa"/>
            <w:vAlign w:val="bottom"/>
            <w:tcBorders>
              <w:top w:val="single" w:sz="8" w:color="CFEBF4"/>
            </w:tcBorders>
            <w:shd w:val="clear" w:color="auto" w:fill="CFEBF4"/>
          </w:tcPr>
          <w:p>
            <w:pPr>
              <w:jc w:val="right"/>
              <w:spacing w:after="0" w:line="221" w:lineRule="exact"/>
              <w:rPr>
                <w:sz w:val="20"/>
                <w:szCs w:val="20"/>
                <w:color w:val="auto"/>
              </w:rPr>
            </w:pPr>
            <w:r>
              <w:rPr>
                <w:rFonts w:ascii="Times New Roman" w:cs="Times New Roman" w:eastAsia="Times New Roman" w:hAnsi="Times New Roman"/>
                <w:sz w:val="20"/>
                <w:szCs w:val="20"/>
                <w:color w:val="231F20"/>
              </w:rPr>
              <w:t>4,409.5</w:t>
            </w:r>
          </w:p>
        </w:tc>
      </w:tr>
      <w:tr>
        <w:trPr>
          <w:trHeight w:val="266"/>
        </w:trPr>
        <w:tc>
          <w:tcPr>
            <w:tcW w:w="5960" w:type="dxa"/>
            <w:vAlign w:val="bottom"/>
            <w:tcBorders>
              <w:top w:val="single" w:sz="8" w:color="CFEBF4"/>
            </w:tcBorders>
          </w:tcPr>
          <w:p>
            <w:pPr>
              <w:spacing w:after="0"/>
              <w:rPr>
                <w:sz w:val="23"/>
                <w:szCs w:val="23"/>
                <w:color w:val="auto"/>
              </w:rPr>
            </w:pPr>
          </w:p>
        </w:tc>
        <w:tc>
          <w:tcPr>
            <w:tcW w:w="140" w:type="dxa"/>
            <w:vAlign w:val="bottom"/>
            <w:tcBorders>
              <w:top w:val="single" w:sz="8" w:color="231F20"/>
            </w:tcBorders>
          </w:tcPr>
          <w:p>
            <w:pPr>
              <w:spacing w:after="0"/>
              <w:rPr>
                <w:sz w:val="23"/>
                <w:szCs w:val="23"/>
                <w:color w:val="auto"/>
              </w:rPr>
            </w:pPr>
          </w:p>
        </w:tc>
        <w:tc>
          <w:tcPr>
            <w:tcW w:w="1600" w:type="dxa"/>
            <w:vAlign w:val="bottom"/>
            <w:tcBorders>
              <w:top w:val="single" w:sz="8" w:color="231F20"/>
            </w:tcBorders>
          </w:tcPr>
          <w:p>
            <w:pPr>
              <w:spacing w:after="0"/>
              <w:rPr>
                <w:sz w:val="23"/>
                <w:szCs w:val="23"/>
                <w:color w:val="auto"/>
              </w:rPr>
            </w:pPr>
          </w:p>
        </w:tc>
        <w:tc>
          <w:tcPr>
            <w:tcW w:w="80" w:type="dxa"/>
            <w:vAlign w:val="bottom"/>
            <w:tcBorders>
              <w:top w:val="single" w:sz="8" w:color="CFEBF4"/>
            </w:tcBorders>
          </w:tcPr>
          <w:p>
            <w:pPr>
              <w:spacing w:after="0"/>
              <w:rPr>
                <w:sz w:val="23"/>
                <w:szCs w:val="23"/>
                <w:color w:val="auto"/>
              </w:rPr>
            </w:pPr>
          </w:p>
        </w:tc>
        <w:tc>
          <w:tcPr>
            <w:tcW w:w="160" w:type="dxa"/>
            <w:vAlign w:val="bottom"/>
            <w:tcBorders>
              <w:top w:val="single" w:sz="8" w:color="231F20"/>
            </w:tcBorders>
          </w:tcPr>
          <w:p>
            <w:pPr>
              <w:spacing w:after="0"/>
              <w:rPr>
                <w:sz w:val="23"/>
                <w:szCs w:val="23"/>
                <w:color w:val="auto"/>
              </w:rPr>
            </w:pPr>
          </w:p>
        </w:tc>
        <w:tc>
          <w:tcPr>
            <w:tcW w:w="1600" w:type="dxa"/>
            <w:vAlign w:val="bottom"/>
            <w:tcBorders>
              <w:top w:val="single" w:sz="8" w:color="231F20"/>
            </w:tcBorders>
          </w:tcPr>
          <w:p>
            <w:pPr>
              <w:spacing w:after="0"/>
              <w:rPr>
                <w:sz w:val="23"/>
                <w:szCs w:val="23"/>
                <w:color w:val="auto"/>
              </w:rPr>
            </w:pPr>
          </w:p>
        </w:tc>
      </w:tr>
      <w:tr>
        <w:trPr>
          <w:trHeight w:val="296"/>
        </w:trPr>
        <w:tc>
          <w:tcPr>
            <w:tcW w:w="596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Financial leverage ratio</w:t>
            </w:r>
          </w:p>
        </w:tc>
        <w:tc>
          <w:tcPr>
            <w:tcW w:w="14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16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-3880485</wp:posOffset>
            </wp:positionV>
            <wp:extent cx="1188720"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1188720" cy="5016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-2398395</wp:posOffset>
            </wp:positionV>
            <wp:extent cx="1188720"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1188720" cy="5016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-1703705</wp:posOffset>
            </wp:positionV>
            <wp:extent cx="2329815"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2329815" cy="5016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-953135</wp:posOffset>
            </wp:positionV>
            <wp:extent cx="1188720"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1188720" cy="5016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-577850</wp:posOffset>
            </wp:positionV>
            <wp:extent cx="1188720"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1188720" cy="5016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-412115</wp:posOffset>
            </wp:positionV>
            <wp:extent cx="2329815" cy="74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2329815" cy="74930"/>
                    </a:xfrm>
                    <a:prstGeom prst="rect">
                      <a:avLst/>
                    </a:prstGeom>
                    <a:noFill/>
                  </pic:spPr>
                </pic:pic>
              </a:graphicData>
            </a:graphic>
          </wp:anchor>
        </w:drawing>
      </w:r>
    </w:p>
    <w:p>
      <w:pPr>
        <w:spacing w:after="0" w:line="168" w:lineRule="exact"/>
        <w:rPr>
          <w:sz w:val="20"/>
          <w:szCs w:val="20"/>
          <w:color w:val="auto"/>
        </w:rPr>
      </w:pPr>
    </w:p>
    <w:p>
      <w:pPr>
        <w:ind w:left="540" w:hanging="267"/>
        <w:spacing w:after="0"/>
        <w:tabs>
          <w:tab w:leader="none" w:pos="540" w:val="left"/>
        </w:tabs>
        <w:numPr>
          <w:ilvl w:val="0"/>
          <w:numId w:val="21"/>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Digital transformation costs include costs associated with certain digital transformation initiatives.</w:t>
      </w:r>
    </w:p>
    <w:p>
      <w:pPr>
        <w:spacing w:after="0" w:line="59" w:lineRule="exact"/>
        <w:rPr>
          <w:rFonts w:ascii="Times New Roman" w:cs="Times New Roman" w:eastAsia="Times New Roman" w:hAnsi="Times New Roman"/>
          <w:sz w:val="23"/>
          <w:szCs w:val="23"/>
          <w:color w:val="231F20"/>
          <w:vertAlign w:val="superscript"/>
        </w:rPr>
      </w:pPr>
    </w:p>
    <w:p>
      <w:pPr>
        <w:ind w:left="540" w:hanging="267"/>
        <w:spacing w:after="0" w:line="216" w:lineRule="auto"/>
        <w:tabs>
          <w:tab w:leader="none" w:pos="540" w:val="left"/>
        </w:tabs>
        <w:numPr>
          <w:ilvl w:val="0"/>
          <w:numId w:val="21"/>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7" w:lineRule="exact"/>
        <w:rPr>
          <w:rFonts w:ascii="Times New Roman" w:cs="Times New Roman" w:eastAsia="Times New Roman" w:hAnsi="Times New Roman"/>
          <w:sz w:val="23"/>
          <w:szCs w:val="23"/>
          <w:color w:val="231F20"/>
          <w:vertAlign w:val="superscript"/>
        </w:rPr>
      </w:pPr>
    </w:p>
    <w:p>
      <w:pPr>
        <w:ind w:left="540" w:hanging="267"/>
        <w:spacing w:after="0"/>
        <w:tabs>
          <w:tab w:leader="none" w:pos="540" w:val="left"/>
        </w:tabs>
        <w:numPr>
          <w:ilvl w:val="0"/>
          <w:numId w:val="21"/>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Restructuring costs include severance costs incurred pursuant to an ongoing restructuring plan.</w:t>
      </w:r>
    </w:p>
    <w:p>
      <w:pPr>
        <w:spacing w:after="0" w:line="59" w:lineRule="exact"/>
        <w:rPr>
          <w:rFonts w:ascii="Times New Roman" w:cs="Times New Roman" w:eastAsia="Times New Roman" w:hAnsi="Times New Roman"/>
          <w:sz w:val="23"/>
          <w:szCs w:val="23"/>
          <w:color w:val="231F20"/>
          <w:vertAlign w:val="superscript"/>
        </w:rPr>
      </w:pPr>
    </w:p>
    <w:p>
      <w:pPr>
        <w:jc w:val="both"/>
        <w:ind w:left="540" w:hanging="267"/>
        <w:spacing w:after="0" w:line="225" w:lineRule="auto"/>
        <w:tabs>
          <w:tab w:leader="none" w:pos="540" w:val="left"/>
        </w:tabs>
        <w:numPr>
          <w:ilvl w:val="0"/>
          <w:numId w:val="21"/>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41" w:lineRule="exact"/>
        <w:rPr>
          <w:rFonts w:ascii="Times New Roman" w:cs="Times New Roman" w:eastAsia="Times New Roman" w:hAnsi="Times New Roman"/>
          <w:sz w:val="23"/>
          <w:szCs w:val="23"/>
          <w:color w:val="231F20"/>
          <w:vertAlign w:val="superscript"/>
        </w:rPr>
      </w:pPr>
    </w:p>
    <w:p>
      <w:pPr>
        <w:ind w:left="540" w:hanging="267"/>
        <w:spacing w:after="0" w:line="226" w:lineRule="auto"/>
        <w:tabs>
          <w:tab w:leader="none" w:pos="540" w:val="left"/>
        </w:tabs>
        <w:numPr>
          <w:ilvl w:val="0"/>
          <w:numId w:val="21"/>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Excise taxes on excess pension plan assets represent the excise taxes applicable to the excess pension plan assets following the final settlement of the Company’s U.S. pension plan.</w:t>
      </w:r>
    </w:p>
    <w:p>
      <w:pPr>
        <w:spacing w:after="0" w:line="40" w:lineRule="exact"/>
        <w:rPr>
          <w:rFonts w:ascii="Times New Roman" w:cs="Times New Roman" w:eastAsia="Times New Roman" w:hAnsi="Times New Roman"/>
          <w:sz w:val="23"/>
          <w:szCs w:val="23"/>
          <w:color w:val="231F20"/>
          <w:vertAlign w:val="superscript"/>
        </w:rPr>
      </w:pPr>
    </w:p>
    <w:p>
      <w:pPr>
        <w:ind w:left="540" w:hanging="267"/>
        <w:spacing w:after="0" w:line="226" w:lineRule="auto"/>
        <w:tabs>
          <w:tab w:leader="none" w:pos="540" w:val="left"/>
        </w:tabs>
        <w:numPr>
          <w:ilvl w:val="0"/>
          <w:numId w:val="21"/>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Debt is presented in the Consolidated Balance Sheets net of debt issuance costs and debt discount, and includes adjustments to record the long-term debt assumed in the merger with Anixter at its acquisition date fair value.</w:t>
      </w:r>
    </w:p>
    <w:p>
      <w:pPr>
        <w:spacing w:after="0" w:line="100"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8"/>
          <w:szCs w:val="18"/>
          <w:color w:val="231F20"/>
        </w:rPr>
        <w:t>Note: Financial leverage ratio is a non-GAAP measure of the use of debt. Financial leverage ratio is calculated by dividing total debt, excluding debt issuance costs, debt discount and fair value adjustments, net of cash, by adjusted EBITDA. EBITDA is defined as the trailing twelve months earnings before interest, taxes, depreciation and amortization.</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120"/>
          </w:cols>
          <w:pgMar w:left="880" w:top="679" w:right="880" w:bottom="0" w:gutter="0" w:footer="0" w:header="0"/>
          <w:type w:val="continuous"/>
        </w:sectPr>
      </w:pPr>
    </w:p>
    <w:bookmarkStart w:id="49" w:name="page50"/>
    <w:bookmarkEnd w:id="49"/>
    <w:p>
      <w:pPr>
        <w:ind w:left="280"/>
        <w:spacing w:after="0"/>
        <w:rPr>
          <w:sz w:val="20"/>
          <w:szCs w:val="20"/>
          <w:color w:val="auto"/>
        </w:rPr>
      </w:pPr>
      <w:r>
        <w:rPr>
          <w:rFonts w:ascii="Times New Roman" w:cs="Times New Roman" w:eastAsia="Times New Roman" w:hAnsi="Times New Roman"/>
          <w:sz w:val="20"/>
          <w:szCs w:val="20"/>
          <w:color w:val="231F20"/>
        </w:rPr>
        <w:t>An analysis of cash flows for 2025 and 2024 follows: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Operating Activities</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Net cash provided by operating activities for 2025 totaled $125.0 million, compared to $1,101.2 million in 2024. The $976.2 million decrease is primarily driven by a $507.3 million impact from changes in trade accounts receivable and a $428.1 million impact from changes in inventories. The impact from trade accounts receivable was primarily due to sales growth in the CSS and EES segments, as well as the timing of receipts from customers as compared to the prior year. The impact from inventories was primarily due to an increase in volume related to growth in large projects as compared to the prior year. These decreases were partially offset by an increase in net income as adjusted for certain non-cash items.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128" w:lineRule="exact"/>
        <w:rPr>
          <w:sz w:val="20"/>
          <w:szCs w:val="20"/>
          <w:color w:val="auto"/>
        </w:rPr>
      </w:pPr>
    </w:p>
    <w:p>
      <w:pPr>
        <w:jc w:val="both"/>
        <w:ind w:firstLine="266"/>
        <w:spacing w:after="0" w:line="273" w:lineRule="auto"/>
        <w:rPr>
          <w:sz w:val="20"/>
          <w:szCs w:val="20"/>
          <w:color w:val="auto"/>
        </w:rPr>
      </w:pPr>
      <w:r>
        <w:rPr>
          <w:rFonts w:ascii="Times New Roman" w:cs="Times New Roman" w:eastAsia="Times New Roman" w:hAnsi="Times New Roman"/>
          <w:sz w:val="19"/>
          <w:szCs w:val="19"/>
          <w:color w:val="231F20"/>
        </w:rPr>
        <w:t>Net cash used in investing activities in 2025 was $140.7 million compared to $40.4 million provided by investing activities in 2024. Included in 2025 were capital expenditures of $99.8 million compared to $94.7 million in 2024. Capital expenditures in 2025 and 2024 primarily comprised equipment and leasehold improvements to support our global network of locations, and internal-use computer software and information technology hardware to support our digital transformation initiatives.</w:t>
      </w:r>
    </w:p>
    <w:p>
      <w:pPr>
        <w:spacing w:after="0" w:line="70"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Net cash used in investing activities in 2025 also included $36.3 million paid to acquire Industrial Software Solutions, net of cash acquired. Included in net cash provided by investing activities in 2024 were $354.9 million in proceeds from the divestiture of the WIS business, net of cash transferred, partially offset by $221.3 million paid to acquire Ascent, entroCIM and Independent Electric Supply, net of cash acquired.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12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Net cash used in financing activities in 2025 was $92.7 million, compared to $928.3 million in 2024. During 2025, financing activities primarily comprised proceeds of $800 million related to the issuance of the 2033 Notes, net borrowings of $54.8 million related to our Revolving Credit Facility, net repayments of $150.0 million related to our Receivables Facility, and payment of total debt issuance costs of $14.0 million related to the issuance of the 2033 Notes and amendments to the Revolving Credit Facility and Receivables Facility. Financing activities for 2025 also included $540.3 million paid to redeem our Series A Preferred Stock, $75.0 million of common stock repurchases, $88.4 million and $27.3 million of dividends paid to holders of our common stock and Series A Preferred Stock, respectively, and $37.2 million of payments for taxes related to the exercise and vesting of stock-based awards.</w:t>
      </w:r>
    </w:p>
    <w:p>
      <w:pPr>
        <w:spacing w:after="0" w:line="93"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19"/>
          <w:szCs w:val="19"/>
          <w:color w:val="231F20"/>
        </w:rPr>
        <w:t>During 2024, financing activities primarily comprised proceeds of $900.0 million and $850.0 million related to the issuance of the 6.375% senior notes due 2029 and 6.625% senior notes due 2032 (the “2029 and 2032 Notes”), respectively, the redemption of our $1,500.0 million aggregate principal amount of 7.125% Senior Notes due 2025, net repayments of $428.0 million related to our Revolving Credit Facility, net repayments of $100.0 million related to our Receivables Facility, and payment of total debt issuance costs of $26.6 million related to the issuance of the 2029 and 2032 Notes and amendments to the Revolving Credit Facility and Receivables Facility. Financing activities for 2024 also included $425.0 million of common stock repurchases, $81.5 million and $57.4 million of dividends paid to holders of our common stock and Series A Preferred Stock, respectively, and $30.9 million of payments for taxes related to the exercise and vesting of stock-based awards.</w:t>
      </w:r>
    </w:p>
    <w:p>
      <w:pPr>
        <w:spacing w:after="0" w:line="80"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summarizes our material cash requirements from known contractual and other obligations at December 31, 2025, including interest, and the expected effect on our liquidity and cash flow in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4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60" w:type="dxa"/>
            <w:vAlign w:val="bottom"/>
          </w:tcPr>
          <w:p>
            <w:pPr>
              <w:spacing w:after="0"/>
              <w:rPr>
                <w:sz w:val="18"/>
                <w:szCs w:val="18"/>
                <w:color w:val="auto"/>
              </w:rPr>
            </w:pPr>
          </w:p>
        </w:tc>
        <w:tc>
          <w:tcPr>
            <w:tcW w:w="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2027 to 2028</w:t>
            </w:r>
          </w:p>
        </w:tc>
        <w:tc>
          <w:tcPr>
            <w:tcW w:w="60" w:type="dxa"/>
            <w:vAlign w:val="bottom"/>
          </w:tcPr>
          <w:p>
            <w:pPr>
              <w:spacing w:after="0"/>
              <w:rPr>
                <w:sz w:val="18"/>
                <w:szCs w:val="18"/>
                <w:color w:val="auto"/>
              </w:rPr>
            </w:pPr>
          </w:p>
        </w:tc>
        <w:tc>
          <w:tcPr>
            <w:tcW w:w="94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2029 to 2030</w:t>
            </w:r>
          </w:p>
        </w:tc>
        <w:tc>
          <w:tcPr>
            <w:tcW w:w="60" w:type="dxa"/>
            <w:vAlign w:val="bottom"/>
          </w:tcPr>
          <w:p>
            <w:pPr>
              <w:spacing w:after="0"/>
              <w:rPr>
                <w:sz w:val="18"/>
                <w:szCs w:val="18"/>
                <w:color w:val="auto"/>
              </w:rPr>
            </w:pPr>
          </w:p>
        </w:tc>
        <w:tc>
          <w:tcPr>
            <w:tcW w:w="94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2031 - After</w:t>
            </w: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63"/>
        </w:trPr>
        <w:tc>
          <w:tcPr>
            <w:tcW w:w="5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8"/>
        </w:trPr>
        <w:tc>
          <w:tcPr>
            <w:tcW w:w="5140" w:type="dxa"/>
            <w:vAlign w:val="bottom"/>
            <w:shd w:val="clear" w:color="auto" w:fill="CFEBF4"/>
          </w:tcPr>
          <w:p>
            <w:pPr>
              <w:ind w:left="140"/>
              <w:spacing w:after="0"/>
              <w:rPr>
                <w:sz w:val="20"/>
                <w:szCs w:val="20"/>
                <w:color w:val="auto"/>
              </w:rPr>
            </w:pPr>
            <w:r>
              <w:rPr>
                <w:rFonts w:ascii="Times New Roman" w:cs="Times New Roman" w:eastAsia="Times New Roman" w:hAnsi="Times New Roman"/>
                <w:sz w:val="18"/>
                <w:szCs w:val="18"/>
                <w:color w:val="231F20"/>
              </w:rPr>
              <w:t>Debt, excluding debt discount and debt issuance costs</w:t>
            </w:r>
            <w:r>
              <w:rPr>
                <w:rFonts w:ascii="Times New Roman" w:cs="Times New Roman" w:eastAsia="Times New Roman" w:hAnsi="Times New Roman"/>
                <w:sz w:val="23"/>
                <w:szCs w:val="23"/>
                <w:color w:val="231F20"/>
                <w:vertAlign w:val="superscript"/>
              </w:rPr>
              <w:t>(1)</w:t>
            </w:r>
          </w:p>
        </w:tc>
        <w:tc>
          <w:tcPr>
            <w:tcW w:w="240" w:type="dxa"/>
            <w:vAlign w:val="bottom"/>
            <w:shd w:val="clear" w:color="auto" w:fill="CFEBF4"/>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25.0</w:t>
            </w:r>
          </w:p>
        </w:tc>
        <w:tc>
          <w:tcPr>
            <w:tcW w:w="300" w:type="dxa"/>
            <w:vAlign w:val="bottom"/>
            <w:gridSpan w:val="2"/>
            <w:shd w:val="clear" w:color="auto" w:fill="CFEBF4"/>
          </w:tcPr>
          <w:p>
            <w:pPr>
              <w:ind w:left="10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2,655.1</w:t>
            </w:r>
          </w:p>
        </w:tc>
        <w:tc>
          <w:tcPr>
            <w:tcW w:w="300" w:type="dxa"/>
            <w:vAlign w:val="bottom"/>
            <w:gridSpan w:val="2"/>
            <w:shd w:val="clear" w:color="auto" w:fill="CFEBF4"/>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1,497.2</w:t>
            </w:r>
          </w:p>
        </w:tc>
        <w:tc>
          <w:tcPr>
            <w:tcW w:w="300" w:type="dxa"/>
            <w:vAlign w:val="bottom"/>
            <w:gridSpan w:val="2"/>
            <w:shd w:val="clear" w:color="auto" w:fill="CFEBF4"/>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1,652.1</w:t>
            </w:r>
          </w:p>
        </w:tc>
        <w:tc>
          <w:tcPr>
            <w:tcW w:w="2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5,829.4</w:t>
            </w:r>
          </w:p>
        </w:tc>
      </w:tr>
      <w:tr>
        <w:trPr>
          <w:trHeight w:val="281"/>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Interest on indebtedness</w:t>
            </w:r>
            <w:r>
              <w:rPr>
                <w:rFonts w:ascii="Times New Roman" w:cs="Times New Roman" w:eastAsia="Times New Roman" w:hAnsi="Times New Roman"/>
                <w:sz w:val="23"/>
                <w:szCs w:val="23"/>
                <w:color w:val="231F20"/>
                <w:vertAlign w:val="superscript"/>
              </w:rPr>
              <w:t>(1)(2)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1,461.8</w:t>
            </w:r>
          </w:p>
        </w:tc>
      </w:tr>
      <w:tr>
        <w:trPr>
          <w:trHeight w:val="281"/>
        </w:trPr>
        <w:tc>
          <w:tcPr>
            <w:tcW w:w="5140" w:type="dxa"/>
            <w:vAlign w:val="bottom"/>
            <w:shd w:val="clear" w:color="auto" w:fill="CFEBF4"/>
          </w:tcPr>
          <w:p>
            <w:pPr>
              <w:ind w:left="140"/>
              <w:spacing w:after="0"/>
              <w:rPr>
                <w:sz w:val="20"/>
                <w:szCs w:val="20"/>
                <w:color w:val="auto"/>
              </w:rPr>
            </w:pPr>
            <w:r>
              <w:rPr>
                <w:rFonts w:ascii="Times New Roman" w:cs="Times New Roman" w:eastAsia="Times New Roman" w:hAnsi="Times New Roman"/>
                <w:sz w:val="18"/>
                <w:szCs w:val="18"/>
                <w:color w:val="231F20"/>
              </w:rPr>
              <w:t>Non-cancelable operating leases</w:t>
            </w:r>
          </w:p>
        </w:tc>
        <w:tc>
          <w:tcPr>
            <w:tcW w:w="240" w:type="dxa"/>
            <w:vAlign w:val="bottom"/>
            <w:shd w:val="clear" w:color="auto" w:fill="CFEBF4"/>
          </w:tcPr>
          <w:p>
            <w:pPr>
              <w:spacing w:after="0"/>
              <w:rPr>
                <w:sz w:val="24"/>
                <w:szCs w:val="24"/>
                <w:color w:val="auto"/>
              </w:rPr>
            </w:pPr>
          </w:p>
        </w:tc>
        <w:tc>
          <w:tcPr>
            <w:tcW w:w="7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243.4</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393.9</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248.2</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215.6</w:t>
            </w:r>
          </w:p>
        </w:tc>
        <w:tc>
          <w:tcPr>
            <w:tcW w:w="6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7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1,101.1</w:t>
            </w:r>
          </w:p>
        </w:tc>
      </w:tr>
      <w:tr>
        <w:trPr>
          <w:trHeight w:val="271"/>
        </w:trPr>
        <w:tc>
          <w:tcPr>
            <w:tcW w:w="5140" w:type="dxa"/>
            <w:vAlign w:val="bottom"/>
            <w:tcBorders>
              <w:bottom w:val="single" w:sz="8" w:color="CFEBF4"/>
            </w:tcBorders>
          </w:tcPr>
          <w:p>
            <w:pPr>
              <w:ind w:left="140"/>
              <w:spacing w:after="0"/>
              <w:rPr>
                <w:sz w:val="20"/>
                <w:szCs w:val="20"/>
                <w:color w:val="auto"/>
              </w:rPr>
            </w:pPr>
            <w:r>
              <w:rPr>
                <w:rFonts w:ascii="Times New Roman" w:cs="Times New Roman" w:eastAsia="Times New Roman" w:hAnsi="Times New Roman"/>
                <w:sz w:val="18"/>
                <w:szCs w:val="18"/>
                <w:color w:val="231F20"/>
              </w:rPr>
              <w:t>Transition tax installments</w:t>
            </w:r>
          </w:p>
        </w:tc>
        <w:tc>
          <w:tcPr>
            <w:tcW w:w="240" w:type="dxa"/>
            <w:vAlign w:val="bottom"/>
            <w:tcBorders>
              <w:bottom w:val="single" w:sz="8" w:color="231F20"/>
            </w:tcBorders>
          </w:tcPr>
          <w:p>
            <w:pPr>
              <w:spacing w:after="0"/>
              <w:rPr>
                <w:sz w:val="23"/>
                <w:szCs w:val="23"/>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13.7</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CFEBF4"/>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13.7</w:t>
            </w:r>
          </w:p>
        </w:tc>
      </w:tr>
      <w:tr>
        <w:trPr>
          <w:trHeight w:val="280"/>
        </w:trPr>
        <w:tc>
          <w:tcPr>
            <w:tcW w:w="5140" w:type="dxa"/>
            <w:vAlign w:val="bottom"/>
            <w:tcBorders>
              <w:bottom w:val="single" w:sz="8" w:color="CFEBF4"/>
            </w:tcBorders>
            <w:shd w:val="clear" w:color="auto" w:fill="CFEBF4"/>
          </w:tcPr>
          <w:p>
            <w:pPr>
              <w:ind w:left="300"/>
              <w:spacing w:after="0"/>
              <w:rPr>
                <w:sz w:val="20"/>
                <w:szCs w:val="20"/>
                <w:color w:val="auto"/>
              </w:rPr>
            </w:pPr>
            <w:r>
              <w:rPr>
                <w:rFonts w:ascii="Times New Roman" w:cs="Times New Roman" w:eastAsia="Times New Roman" w:hAnsi="Times New Roman"/>
                <w:sz w:val="18"/>
                <w:szCs w:val="18"/>
                <w:color w:val="231F20"/>
              </w:rPr>
              <w:t>Total</w:t>
            </w:r>
          </w:p>
        </w:tc>
        <w:tc>
          <w:tcPr>
            <w:tcW w:w="240" w:type="dxa"/>
            <w:vAlign w:val="bottom"/>
            <w:tcBorders>
              <w:bottom w:val="single" w:sz="8" w:color="231F20"/>
            </w:tcBorders>
            <w:shd w:val="clear" w:color="auto" w:fill="CFEBF4"/>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638.5</w:t>
            </w:r>
          </w:p>
        </w:tc>
        <w:tc>
          <w:tcPr>
            <w:tcW w:w="6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3,657.7</w:t>
            </w:r>
          </w:p>
        </w:tc>
        <w:tc>
          <w:tcPr>
            <w:tcW w:w="6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2,023.7</w:t>
            </w:r>
          </w:p>
        </w:tc>
        <w:tc>
          <w:tcPr>
            <w:tcW w:w="6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2,086.1</w:t>
            </w:r>
          </w:p>
        </w:tc>
        <w:tc>
          <w:tcPr>
            <w:tcW w:w="60" w:type="dxa"/>
            <w:vAlign w:val="bottom"/>
            <w:tcBorders>
              <w:bottom w:val="single" w:sz="8" w:color="CFEBF4"/>
            </w:tcBorders>
            <w:shd w:val="clear" w:color="auto" w:fill="CFEBF4"/>
          </w:tcPr>
          <w:p>
            <w:pPr>
              <w:spacing w:after="0"/>
              <w:rPr>
                <w:sz w:val="24"/>
                <w:szCs w:val="24"/>
                <w:color w:val="auto"/>
              </w:rPr>
            </w:pPr>
          </w:p>
        </w:tc>
        <w:tc>
          <w:tcPr>
            <w:tcW w:w="2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8,406.0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-221615</wp:posOffset>
            </wp:positionV>
            <wp:extent cx="2576830"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2576830" cy="5016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-55880</wp:posOffset>
            </wp:positionV>
            <wp:extent cx="3202940" cy="74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extLst>
                    </a:blip>
                    <a:srcRect/>
                    <a:stretch>
                      <a:fillRect/>
                    </a:stretch>
                  </pic:blipFill>
                  <pic:spPr bwMode="auto">
                    <a:xfrm>
                      <a:off x="0" y="0"/>
                      <a:ext cx="3202940" cy="74930"/>
                    </a:xfrm>
                    <a:prstGeom prst="rect">
                      <a:avLst/>
                    </a:prstGeom>
                    <a:noFill/>
                  </pic:spPr>
                </pic:pic>
              </a:graphicData>
            </a:graphic>
          </wp:anchor>
        </w:drawing>
      </w:r>
    </w:p>
    <w:p>
      <w:pPr>
        <w:spacing w:after="0" w:line="80" w:lineRule="exact"/>
        <w:rPr>
          <w:sz w:val="20"/>
          <w:szCs w:val="20"/>
          <w:color w:val="auto"/>
        </w:rPr>
      </w:pPr>
    </w:p>
    <w:p>
      <w:pPr>
        <w:ind w:left="280" w:hanging="273"/>
        <w:spacing w:after="0"/>
        <w:tabs>
          <w:tab w:leader="none" w:pos="280" w:val="left"/>
        </w:tabs>
        <w:numPr>
          <w:ilvl w:val="0"/>
          <w:numId w:val="22"/>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Debt payments include both principal and interest payments on debt and finance lease obligations.</w:t>
      </w:r>
    </w:p>
    <w:p>
      <w:pPr>
        <w:spacing w:after="0" w:line="78" w:lineRule="exact"/>
        <w:rPr>
          <w:rFonts w:ascii="Times New Roman" w:cs="Times New Roman" w:eastAsia="Times New Roman" w:hAnsi="Times New Roman"/>
          <w:sz w:val="23"/>
          <w:szCs w:val="23"/>
          <w:color w:val="231F20"/>
          <w:vertAlign w:val="superscript"/>
        </w:rPr>
      </w:pPr>
    </w:p>
    <w:p>
      <w:pPr>
        <w:ind w:left="280" w:hanging="273"/>
        <w:spacing w:after="0" w:line="228" w:lineRule="auto"/>
        <w:tabs>
          <w:tab w:leader="none" w:pos="280" w:val="left"/>
        </w:tabs>
        <w:numPr>
          <w:ilvl w:val="0"/>
          <w:numId w:val="22"/>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Interest on variable rate debt was calculated using the rates and balances outstanding at December 31, 2025.</w:t>
      </w:r>
    </w:p>
    <w:p>
      <w:pPr>
        <w:spacing w:after="0" w:line="94"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In addition to the cash requirements disclosed in the table above, we expect future uses of cash to include working capital requirements, capital expenditures, investments in our digital capabilities, dividend payments to holders of our common stock, and other organic opportunities. Future uses of cash could also include acquisitions of businesses and the repurchase of common stock. We expect to spend approximately $100 million in 2026 on capital expenditures for information technology investments and to support our global network of distribution centers, fulfillment centers and sales offices.</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120"/>
          </w:cols>
          <w:pgMar w:left="880" w:top="679" w:right="880" w:bottom="0" w:gutter="0" w:footer="0" w:header="0"/>
          <w:type w:val="continuous"/>
        </w:sectPr>
      </w:pPr>
    </w:p>
    <w:bookmarkStart w:id="50" w:name="page51"/>
    <w:bookmarkEnd w:id="50"/>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 expect to fund future uses of cash with a combination of existing cash balances, cash generated from operating activities, borrowings under our revolving credit and accounts receivable securitization facilities, or new issuances of debt.</w:t>
      </w:r>
    </w:p>
    <w:p>
      <w:pPr>
        <w:spacing w:after="0" w:line="64"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Purchase orders for inventory requirements and service contracts are not included in the table above. Generally, our purchase orders and contracts contain clauses allowing for cancellation. We do not have agreements to purchase material or goods that would specify significant minimum order quantities.</w:t>
      </w:r>
    </w:p>
    <w:p>
      <w:pPr>
        <w:spacing w:after="0" w:line="77" w:lineRule="exact"/>
        <w:rPr>
          <w:sz w:val="20"/>
          <w:szCs w:val="20"/>
          <w:color w:val="auto"/>
        </w:rPr>
      </w:pPr>
    </w:p>
    <w:p>
      <w:pPr>
        <w:jc w:val="both"/>
        <w:ind w:firstLine="266"/>
        <w:spacing w:after="0" w:line="281" w:lineRule="auto"/>
        <w:rPr>
          <w:sz w:val="20"/>
          <w:szCs w:val="20"/>
          <w:color w:val="auto"/>
        </w:rPr>
      </w:pPr>
      <w:r>
        <w:rPr>
          <w:rFonts w:ascii="Times New Roman" w:cs="Times New Roman" w:eastAsia="Times New Roman" w:hAnsi="Times New Roman"/>
          <w:sz w:val="19"/>
          <w:szCs w:val="19"/>
          <w:color w:val="231F20"/>
        </w:rPr>
        <w:t>Liabilities related to unrecognized tax benefits, including interest and penalties, of $164.7 million were excluded from the table above as we cannot reasonably estimate the timing of these potential cash settlements with taxing authorities. See Note 11, “Income Taxes” of our Notes to Consolidated Financial Statements for further information related to unrecognized tax benefits.</w:t>
      </w:r>
    </w:p>
    <w:p>
      <w:pPr>
        <w:spacing w:after="0" w:line="60"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The undistributed earnings of our foreign subsidiaries amounted to approximately $2,109.2 million at December 31, 2025. Most of these earnings have been taxed in the U.S. under either the one-time tax on the deemed repatriation of undistributed foreign earnings (the “transition tax”), or the global intangible low-taxed income (“GILTI”) tax regime imposed by the Tax Cuts and Jobs Act of 2017 (the “TCJA”). We have elected to pay the transition tax in installments over an eight year period ending in 2026. As of December 31, 2025, our remaining liability for the transition tax was $13.7 million. We continue to assert that the remaining undistributed earnings of our foreign subsidiaries are indefinitely reinvested. The distribution of earnings by our foreign subsidiaries in the form of dividends, or otherwise, may be subject to additional taxation. We estimate that additional taxes of approximately $116.6 million would be payable upon the remittance of all previously undistributed foreign earnings as of December 31, 2025, based upon the laws in effect on that date. We believe that we are able to maintain sufficient liquidity for our domestic operations and commitments without repatriating cash from our foreign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Seasonality</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Our operating results are not significantly affected by seasonal factors. Sales during the first and fourth quarters have historically been affected by a reduced level of activity primarily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Standards</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See Note 2, “Accounting Policies” of our Notes to Consolidated Financial Statements for a description of recently adopted and recently issued accounting standards.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Foreign Currency Risks</w:t>
      </w:r>
    </w:p>
    <w:p>
      <w:pPr>
        <w:spacing w:after="0" w:line="132"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In 2025, approximately 26% of our sales were from our foreign subsidiaries and are denominated in foreign currencies. Our exposure to currency rate fluctuations primarily relate to Canada (Canadian dollar), certain countries in the European Union (euro), the United Kingdom (British pound), Mexico (Mexican peso), and Australia (Australian dollar). We also have exposure to currency rate fluctuations related to more volatile markets including Argentina (Argentine peso), Brazil (Brazilian real), Chile (Chilean peso), Colombia (Colombian peso), Japan (Japanese yen), and New Zealand (New Zealand dollar). We may establish additional foreign subsidiaries in the future. Accordingly, we may derive a larger portion of our sales from international operations, and a portion of these sales may be denominated in foreign currencies. As a result, our future operating results could be subject to further fluctuations in foreign exchange rates relative to the U.S. dollar. Furthermore, to the extent that we engage in international sales denominated in U.S. dollars, an increase in the value of the U.S. dollar relative to foreign currencies could make our products less competitive in international markets.</w:t>
      </w:r>
    </w:p>
    <w:p>
      <w:pPr>
        <w:spacing w:after="0" w:line="96"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 purchase foreign currency forward contracts to reduce the effect of fluctuating foreign currency-denominated accounts on our reported earnings. The foreign currency forward contracts are not designated as hedges for accounting purposes. At December 31, 2025 and 2024, the gross and net notional amounts of foreign currency forward contracts outstanding were approximately $286.3 million and $345.7 million, respectively. We prepared a sensitivity analysis of our foreign currency forward contracts assuming a 10% adverse change in the value of foreign currency contracts outstanding. The hypothetical adverse changes would have resulted in recording a $28.6 million and $33.0 million loss in 2025 and 2024, respectively. However, since these forward contracts are intended to be effective economic hedges, we would record offsetting gains as a result of the remeasurement of the underlying foreign currency denominated monetary amounts being hedged.</w:t>
      </w:r>
    </w:p>
    <w:p>
      <w:pPr>
        <w:sectPr>
          <w:pgSz w:w="11880" w:h="15480" w:orient="portrait"/>
          <w:cols w:equalWidth="0" w:num="1">
            <w:col w:w="10120"/>
          </w:cols>
          <w:pgMar w:left="880" w:top="67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120"/>
          </w:cols>
          <w:pgMar w:left="880" w:top="679" w:right="8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231F20"/>
        </w:rPr>
        <w:t>Interest Rate Risk</w:t>
      </w:r>
    </w:p>
    <w:p>
      <w:pPr>
        <w:spacing w:after="0" w:line="12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i w:val="1"/>
          <w:iCs w:val="1"/>
          <w:color w:val="231F20"/>
        </w:rPr>
        <w:t>Fixed Rate Borrowings</w:t>
      </w:r>
      <w:r>
        <w:rPr>
          <w:rFonts w:ascii="Times New Roman" w:cs="Times New Roman" w:eastAsia="Times New Roman" w:hAnsi="Times New Roman"/>
          <w:sz w:val="20"/>
          <w:szCs w:val="20"/>
          <w:color w:val="231F20"/>
        </w:rPr>
        <w:t>: As of December 31, 2025, approximately 66% of our debt portfolio comprises fixed rate debt. 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7.250% Senior Notes due 2028, 6.375% Senior Notes due 2029, 6.625% Senior Notes due 2032, and 6.375% Senior Notes due 2033 were issued at fixed rates, interest expense would not be impacted by interest rate fluctuations. However, the fair value of our fixed rate debt will generally fluctuate with movements of interest rates, increasing in periods of declining rates of interest and declining in periods of increasing rates of interest. The fair value of our debt instruments with fixed interest rates is disclosed in Note 4, “Fair Value of Financial Instruments” of our Notes to Consolidated Financial Statements.</w:t>
      </w:r>
    </w:p>
    <w:p>
      <w:pPr>
        <w:spacing w:after="0" w:line="82"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i w:val="1"/>
          <w:iCs w:val="1"/>
          <w:color w:val="231F20"/>
        </w:rPr>
        <w:t>Floating Rate Borrowings</w:t>
      </w:r>
      <w:r>
        <w:rPr>
          <w:rFonts w:ascii="Times New Roman" w:cs="Times New Roman" w:eastAsia="Times New Roman" w:hAnsi="Times New Roman"/>
          <w:sz w:val="20"/>
          <w:szCs w:val="20"/>
          <w:color w:val="231F20"/>
        </w:rPr>
        <w:t>: Our variable rate borrowings comprise the Revolving Credit Facility, the Receivables Facility,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international lines of credit. The fair value of these debt instruments at December 31, 2025 approximated carrying value. We borrow under our Revolving Credit Facility and Receivables Facility for general corporate purposes, including working capital requirements and capital expenditures. Borrowings under the Receivables Facility funded by certain lenders through such lenders’ issuance of commercial paper bear interest at the applicable commercial paper rate. Otherwise, at the option of the borrower, borrowings under these facilities bear interest at either the 30-day Secured Overnight Financing Rate-based (“SOFR”) rate or the daily resetting SOFR rate. A 100 basis point rise or decline in interest rates would result in an increase or decrease to interest expense of $19.5 million under our current capital structure.</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120"/>
          </w:cols>
          <w:pgMar w:left="880" w:top="672" w:right="8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32" w:lineRule="exact"/>
        <w:rPr>
          <w:sz w:val="20"/>
          <w:szCs w:val="20"/>
          <w:color w:val="auto"/>
        </w:rPr>
      </w:pPr>
    </w:p>
    <w:p>
      <w:pPr>
        <w:ind w:firstLine="310"/>
        <w:spacing w:after="0" w:line="275" w:lineRule="auto"/>
        <w:rPr>
          <w:sz w:val="20"/>
          <w:szCs w:val="20"/>
          <w:color w:val="auto"/>
        </w:rPr>
      </w:pPr>
      <w:r>
        <w:rPr>
          <w:rFonts w:ascii="Times New Roman" w:cs="Times New Roman" w:eastAsia="Times New Roman" w:hAnsi="Times New Roman"/>
          <w:sz w:val="20"/>
          <w:szCs w:val="20"/>
          <w:color w:val="231F20"/>
        </w:rPr>
        <w:t>The information required by this item is set forth in our Consolidated Financial Statements contained in this Annual Report on Form 10-K. Specific financial statements can be found at the pages listed below:</w:t>
      </w: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Page</w:t>
            </w:r>
          </w:p>
        </w:tc>
      </w:tr>
      <w:tr>
        <w:trPr>
          <w:trHeight w:val="274"/>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238)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44</w:t>
            </w:r>
          </w:p>
        </w:tc>
      </w:tr>
      <w:tr>
        <w:trPr>
          <w:trHeight w:val="295"/>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46</w:t>
            </w:r>
          </w:p>
        </w:tc>
      </w:tr>
      <w:tr>
        <w:trPr>
          <w:trHeight w:val="296"/>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Income and Comprehensive Income for the years ended</w:t>
            </w:r>
          </w:p>
        </w:tc>
        <w:tc>
          <w:tcPr>
            <w:tcW w:w="700" w:type="dxa"/>
            <w:vAlign w:val="bottom"/>
          </w:tcPr>
          <w:p>
            <w:pPr>
              <w:spacing w:after="0"/>
              <w:rPr>
                <w:sz w:val="24"/>
                <w:szCs w:val="24"/>
                <w:color w:val="auto"/>
              </w:rPr>
            </w:pPr>
          </w:p>
        </w:tc>
      </w:tr>
      <w:tr>
        <w:trPr>
          <w:trHeight w:val="296"/>
        </w:trPr>
        <w:tc>
          <w:tcPr>
            <w:tcW w:w="93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December 31, 2025, 2024 and 2023</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89"/>
              </w:rPr>
              <w:t>47</w:t>
            </w:r>
          </w:p>
        </w:tc>
      </w:tr>
      <w:tr>
        <w:trPr>
          <w:trHeight w:val="281"/>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Stockholders’ Equity for the years ended December 31, 2025, 2024 and 2023</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48</w:t>
            </w:r>
          </w:p>
        </w:tc>
      </w:tr>
      <w:tr>
        <w:trPr>
          <w:trHeight w:val="296"/>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2024 and 2023</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50</w:t>
            </w:r>
          </w:p>
        </w:tc>
      </w:tr>
      <w:tr>
        <w:trPr>
          <w:trHeight w:val="295"/>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89"/>
              </w:rPr>
              <w:t>51</w:t>
            </w:r>
          </w:p>
        </w:tc>
      </w:tr>
    </w:tbl>
    <w:p>
      <w:pPr>
        <w:spacing w:after="0" w:line="200" w:lineRule="exact"/>
        <w:rPr>
          <w:sz w:val="20"/>
          <w:szCs w:val="20"/>
          <w:color w:val="auto"/>
        </w:rPr>
      </w:pP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120"/>
          </w:cols>
          <w:pgMar w:left="880" w:top="672" w:right="880" w:bottom="0" w:gutter="0" w:footer="0" w:header="0"/>
          <w:type w:val="continuous"/>
        </w:sectPr>
      </w:pPr>
    </w:p>
    <w:bookmarkStart w:id="53" w:name="page54"/>
    <w:bookmarkEnd w:id="53"/>
    <w:p>
      <w:pPr>
        <w:ind w:left="260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Board of Directors and Stockholders of WESCO International,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Opinions on the Financial Statements and Internal Control over Financial Reporting</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231F20"/>
        </w:rPr>
        <w:t xml:space="preserve">We have audited the accompanying consolidated balance sheets of WESCO International, Inc. and its subsidiaries (the “Company”) as of December 31, 2025 and 2024, and the related consolidated statements of income and comprehensive income, of stockholders’ equity and of cash flows for each of the three years in the period ended December 31, 2025, including the related notes and schedule of valuation and qualifying accounts for each of the three years in the period ended December 31, 2025 appearing under Item 15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9"/>
          <w:szCs w:val="19"/>
          <w:i w:val="1"/>
          <w:iCs w:val="1"/>
          <w:color w:val="231F20"/>
        </w:rPr>
        <w:t>Internal Control -</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Integrated Framework </w:t>
      </w:r>
      <w:r>
        <w:rPr>
          <w:rFonts w:ascii="Times New Roman" w:cs="Times New Roman" w:eastAsia="Times New Roman" w:hAnsi="Times New Roman"/>
          <w:sz w:val="19"/>
          <w:szCs w:val="19"/>
          <w:color w:val="231F20"/>
        </w:rPr>
        <w:t>(2013) issued by the Committee of Sponsoring Organizations of the Treadway Commission (COSO).</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231F20"/>
        </w:rPr>
        <w:t>Internal Control - Integrated Framework</w:t>
      </w:r>
      <w:r>
        <w:rPr>
          <w:rFonts w:ascii="Times New Roman" w:cs="Times New Roman" w:eastAsia="Times New Roman" w:hAnsi="Times New Roman"/>
          <w:sz w:val="20"/>
          <w:szCs w:val="20"/>
          <w:color w:val="231F20"/>
        </w:rPr>
        <w:t xml:space="preserve"> (2013) issued by the COSO.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for Opinions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Definition and Limitations of Internal Control over Financial Reporting</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120"/>
          </w:cols>
          <w:pgMar w:left="880" w:top="90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120"/>
          </w:cols>
          <w:pgMar w:left="880" w:top="908" w:right="8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231F20"/>
        </w:rPr>
        <w:t>Critical Audit Matters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Revenue Recognition - Product Revenue</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As described in Notes 2 and 3 to the consolidated financial statements, the Company’s net sales were $23,510.9 million for the year ended December 31, 2025, of which the majority relates to product revenue. The Company’s revenue arrangements generally consist of single performance obligations to transfer a promised good or service, or a combination of goods and services. Revenue is measured as the amount of consideration the Company expects to receive in exchange for transferring goods or providing services. Revenue is recognized when control has transferred to the customer, which is generally when the product has shipped from a Company facility or directly from a supplier.</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231F20"/>
        </w:rPr>
        <w:t>The principal consideration for our determination that performing procedures relating to revenue recognition for product revenue is a critical audit matter is a high degree of auditor effort in performing procedures related to the Company’s revenue recognition for product revenue.</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product revenue. These procedures also included, among others (i) evaluating certain product revenue transactions by testing the issuance and settlement of invoices and credit memos, tracing transactions not settled to a detailed listing of accounts receivable, and testing the completeness and accuracy of data provided by management; (ii) evaluating certain product revenue transactions, on a sample basis, by obtaining and inspecting source documents, such as purchase orders, invoices, proof of shipment, and cash receipts or detailed listing of accounts receivable; and (iii) confirming, on a sample basis, outstanding customer invoice balances and, for confirmations not returned, obtaining and inspecting source documents, such as purchase orders, invoices, proof of shipment, and subsequent cash receipts.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PricewaterhouseCoopers LLP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Pittsburgh,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13,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1994.</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120"/>
          </w:cols>
          <w:pgMar w:left="880" w:top="672" w:right="880"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2500" w:type="dxa"/>
            <w:vAlign w:val="bottom"/>
            <w:tcBorders>
              <w:bottom w:val="single" w:sz="8" w:color="231F20"/>
            </w:tcBorders>
            <w:gridSpan w:val="4"/>
          </w:tcPr>
          <w:p>
            <w:pPr>
              <w:jc w:val="right"/>
              <w:ind w:right="502"/>
              <w:spacing w:after="0"/>
              <w:rPr>
                <w:sz w:val="20"/>
                <w:szCs w:val="20"/>
                <w:color w:val="auto"/>
              </w:rPr>
            </w:pPr>
            <w:r>
              <w:rPr>
                <w:rFonts w:ascii="Times New Roman" w:cs="Times New Roman" w:eastAsia="Times New Roman" w:hAnsi="Times New Roman"/>
                <w:sz w:val="18"/>
                <w:szCs w:val="18"/>
                <w:b w:val="1"/>
                <w:bCs w:val="1"/>
                <w:color w:val="231F20"/>
              </w:rPr>
              <w:t>As of December 31,</w:t>
            </w:r>
          </w:p>
        </w:tc>
        <w:tc>
          <w:tcPr>
            <w:tcW w:w="0" w:type="dxa"/>
            <w:vAlign w:val="bottom"/>
          </w:tcPr>
          <w:p>
            <w:pPr>
              <w:spacing w:after="0"/>
              <w:rPr>
                <w:sz w:val="1"/>
                <w:szCs w:val="1"/>
                <w:color w:val="auto"/>
              </w:rPr>
            </w:pPr>
          </w:p>
        </w:tc>
      </w:tr>
      <w:tr>
        <w:trPr>
          <w:trHeight w:val="231"/>
        </w:trPr>
        <w:tc>
          <w:tcPr>
            <w:tcW w:w="74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0" w:type="dxa"/>
            <w:vAlign w:val="bottom"/>
          </w:tcPr>
          <w:p>
            <w:pPr>
              <w:spacing w:after="0"/>
              <w:rPr>
                <w:sz w:val="1"/>
                <w:szCs w:val="1"/>
                <w:color w:val="auto"/>
              </w:rPr>
            </w:pPr>
          </w:p>
        </w:tc>
      </w:tr>
      <w:tr>
        <w:trPr>
          <w:trHeight w:val="219"/>
        </w:trPr>
        <w:tc>
          <w:tcPr>
            <w:tcW w:w="7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w w:val="97"/>
              </w:rPr>
              <w:t>(In millions, except per share data)</w:t>
            </w:r>
          </w:p>
        </w:tc>
        <w:tc>
          <w:tcPr>
            <w:tcW w:w="0" w:type="dxa"/>
            <w:vAlign w:val="bottom"/>
          </w:tcPr>
          <w:p>
            <w:pPr>
              <w:spacing w:after="0"/>
              <w:rPr>
                <w:sz w:val="1"/>
                <w:szCs w:val="1"/>
                <w:color w:val="auto"/>
              </w:rPr>
            </w:pPr>
          </w:p>
        </w:tc>
      </w:tr>
      <w:tr>
        <w:trPr>
          <w:trHeight w:val="229"/>
        </w:trPr>
        <w:tc>
          <w:tcPr>
            <w:tcW w:w="7460" w:type="dxa"/>
            <w:vAlign w:val="bottom"/>
            <w:shd w:val="clear" w:color="auto" w:fill="CFEBF4"/>
          </w:tcPr>
          <w:p>
            <w:pPr>
              <w:ind w:left="348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60" w:type="dxa"/>
            <w:vAlign w:val="bottom"/>
            <w:shd w:val="clear" w:color="auto" w:fill="CFEBF4"/>
          </w:tcPr>
          <w:p>
            <w:pPr>
              <w:spacing w:after="0"/>
              <w:rPr>
                <w:sz w:val="19"/>
                <w:szCs w:val="19"/>
                <w:color w:val="auto"/>
              </w:rPr>
            </w:pPr>
          </w:p>
        </w:tc>
        <w:tc>
          <w:tcPr>
            <w:tcW w:w="1140" w:type="dxa"/>
            <w:vAlign w:val="bottom"/>
            <w:shd w:val="clear" w:color="auto" w:fill="CFEBF4"/>
          </w:tcPr>
          <w:p>
            <w:pPr>
              <w:spacing w:after="0"/>
              <w:rPr>
                <w:sz w:val="19"/>
                <w:szCs w:val="19"/>
                <w:color w:val="auto"/>
              </w:rPr>
            </w:pPr>
          </w:p>
        </w:tc>
        <w:tc>
          <w:tcPr>
            <w:tcW w:w="60" w:type="dxa"/>
            <w:vAlign w:val="bottom"/>
            <w:shd w:val="clear" w:color="auto" w:fill="CFEBF4"/>
          </w:tcPr>
          <w:p>
            <w:pPr>
              <w:spacing w:after="0"/>
              <w:rPr>
                <w:sz w:val="19"/>
                <w:szCs w:val="19"/>
                <w:color w:val="auto"/>
              </w:rPr>
            </w:pPr>
          </w:p>
        </w:tc>
        <w:tc>
          <w:tcPr>
            <w:tcW w:w="320" w:type="dxa"/>
            <w:vAlign w:val="bottom"/>
            <w:shd w:val="clear" w:color="auto" w:fill="CFEBF4"/>
          </w:tcPr>
          <w:p>
            <w:pPr>
              <w:spacing w:after="0"/>
              <w:rPr>
                <w:sz w:val="19"/>
                <w:szCs w:val="19"/>
                <w:color w:val="auto"/>
              </w:rPr>
            </w:pPr>
          </w:p>
        </w:tc>
        <w:tc>
          <w:tcPr>
            <w:tcW w:w="980" w:type="dxa"/>
            <w:vAlign w:val="bottom"/>
            <w:shd w:val="clear" w:color="auto" w:fill="CFEBF4"/>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Current assets: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604.8</w:t>
            </w:r>
          </w:p>
        </w:tc>
        <w:tc>
          <w:tcPr>
            <w:tcW w:w="380" w:type="dxa"/>
            <w:vAlign w:val="bottom"/>
            <w:gridSpan w:val="2"/>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702.6</w:t>
            </w:r>
          </w:p>
        </w:tc>
        <w:tc>
          <w:tcPr>
            <w:tcW w:w="0" w:type="dxa"/>
            <w:vAlign w:val="bottom"/>
          </w:tcPr>
          <w:p>
            <w:pPr>
              <w:spacing w:after="0"/>
              <w:rPr>
                <w:sz w:val="1"/>
                <w:szCs w:val="1"/>
                <w:color w:val="auto"/>
              </w:rPr>
            </w:pPr>
          </w:p>
        </w:tc>
      </w:tr>
      <w:tr>
        <w:trPr>
          <w:trHeight w:val="189"/>
        </w:trPr>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20"/>
                <w:szCs w:val="20"/>
                <w:color w:val="231F20"/>
              </w:rPr>
              <w:t>Trade accounts receivable, net of allowance for expected credit losses of $63.6 and $55.0</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4,069.6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3,454.4</w:t>
            </w:r>
          </w:p>
        </w:tc>
        <w:tc>
          <w:tcPr>
            <w:tcW w:w="0" w:type="dxa"/>
            <w:vAlign w:val="bottom"/>
          </w:tcPr>
          <w:p>
            <w:pPr>
              <w:spacing w:after="0"/>
              <w:rPr>
                <w:sz w:val="1"/>
                <w:szCs w:val="1"/>
                <w:color w:val="auto"/>
              </w:rPr>
            </w:pPr>
          </w:p>
        </w:tc>
      </w:tr>
      <w:tr>
        <w:trPr>
          <w:trHeight w:val="263"/>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 2025 and 2024, respectively</w:t>
            </w: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6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Other accounts receivable</w:t>
            </w:r>
          </w:p>
        </w:tc>
        <w:tc>
          <w:tcPr>
            <w:tcW w:w="160" w:type="dxa"/>
            <w:vAlign w:val="bottom"/>
            <w:shd w:val="clear" w:color="auto" w:fill="CFEBF4"/>
          </w:tcPr>
          <w:p>
            <w:pPr>
              <w:spacing w:after="0"/>
              <w:rPr>
                <w:sz w:val="22"/>
                <w:szCs w:val="22"/>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522.4</w:t>
            </w:r>
          </w:p>
        </w:tc>
        <w:tc>
          <w:tcPr>
            <w:tcW w:w="60" w:type="dxa"/>
            <w:vAlign w:val="bottom"/>
            <w:shd w:val="clear" w:color="auto" w:fill="CFEBF4"/>
          </w:tcPr>
          <w:p>
            <w:pPr>
              <w:spacing w:after="0"/>
              <w:rPr>
                <w:sz w:val="22"/>
                <w:szCs w:val="22"/>
                <w:color w:val="auto"/>
              </w:rPr>
            </w:pPr>
          </w:p>
        </w:tc>
        <w:tc>
          <w:tcPr>
            <w:tcW w:w="32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416.3</w:t>
            </w:r>
          </w:p>
        </w:tc>
        <w:tc>
          <w:tcPr>
            <w:tcW w:w="0" w:type="dxa"/>
            <w:vAlign w:val="bottom"/>
          </w:tcPr>
          <w:p>
            <w:pPr>
              <w:spacing w:after="0"/>
              <w:rPr>
                <w:sz w:val="1"/>
                <w:szCs w:val="1"/>
                <w:color w:val="auto"/>
              </w:rPr>
            </w:pPr>
          </w:p>
        </w:tc>
      </w:tr>
      <w:tr>
        <w:trPr>
          <w:trHeight w:val="251"/>
        </w:trPr>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Inventories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4,008.8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3,501.7</w:t>
            </w:r>
          </w:p>
        </w:tc>
        <w:tc>
          <w:tcPr>
            <w:tcW w:w="0" w:type="dxa"/>
            <w:vAlign w:val="bottom"/>
          </w:tcPr>
          <w:p>
            <w:pPr>
              <w:spacing w:after="0"/>
              <w:rPr>
                <w:sz w:val="1"/>
                <w:szCs w:val="1"/>
                <w:color w:val="auto"/>
              </w:rPr>
            </w:pPr>
          </w:p>
        </w:tc>
      </w:tr>
      <w:tr>
        <w:trPr>
          <w:trHeight w:val="261"/>
        </w:trPr>
        <w:tc>
          <w:tcPr>
            <w:tcW w:w="746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160" w:type="dxa"/>
            <w:vAlign w:val="bottom"/>
            <w:tcBorders>
              <w:bottom w:val="single" w:sz="8" w:color="231F20"/>
            </w:tcBorders>
            <w:shd w:val="clear" w:color="auto" w:fill="CFEBF4"/>
          </w:tcPr>
          <w:p>
            <w:pPr>
              <w:spacing w:after="0"/>
              <w:rPr>
                <w:sz w:val="22"/>
                <w:szCs w:val="22"/>
                <w:color w:val="auto"/>
              </w:rPr>
            </w:pPr>
          </w:p>
        </w:tc>
        <w:tc>
          <w:tcPr>
            <w:tcW w:w="1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250.6</w:t>
            </w:r>
          </w:p>
        </w:tc>
        <w:tc>
          <w:tcPr>
            <w:tcW w:w="60" w:type="dxa"/>
            <w:vAlign w:val="bottom"/>
            <w:tcBorders>
              <w:bottom w:val="single" w:sz="8" w:color="CFEBF4"/>
            </w:tcBorders>
            <w:shd w:val="clear" w:color="auto" w:fill="CFEBF4"/>
          </w:tcPr>
          <w:p>
            <w:pPr>
              <w:spacing w:after="0"/>
              <w:rPr>
                <w:sz w:val="22"/>
                <w:szCs w:val="22"/>
                <w:color w:val="auto"/>
              </w:rPr>
            </w:pPr>
          </w:p>
        </w:tc>
        <w:tc>
          <w:tcPr>
            <w:tcW w:w="320" w:type="dxa"/>
            <w:vAlign w:val="bottom"/>
            <w:tcBorders>
              <w:bottom w:val="single" w:sz="8" w:color="231F20"/>
            </w:tcBorders>
            <w:shd w:val="clear" w:color="auto" w:fill="CFEBF4"/>
          </w:tcPr>
          <w:p>
            <w:pPr>
              <w:spacing w:after="0"/>
              <w:rPr>
                <w:sz w:val="22"/>
                <w:szCs w:val="22"/>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276.4</w:t>
            </w:r>
          </w:p>
        </w:tc>
        <w:tc>
          <w:tcPr>
            <w:tcW w:w="0" w:type="dxa"/>
            <w:vAlign w:val="bottom"/>
          </w:tcPr>
          <w:p>
            <w:pPr>
              <w:spacing w:after="0"/>
              <w:rPr>
                <w:sz w:val="1"/>
                <w:szCs w:val="1"/>
                <w:color w:val="auto"/>
              </w:rPr>
            </w:pPr>
          </w:p>
        </w:tc>
      </w:tr>
      <w:tr>
        <w:trPr>
          <w:trHeight w:val="221"/>
        </w:trPr>
        <w:tc>
          <w:tcPr>
            <w:tcW w:w="7460" w:type="dxa"/>
            <w:vAlign w:val="bottom"/>
          </w:tcPr>
          <w:p>
            <w:pPr>
              <w:ind w:left="420"/>
              <w:spacing w:after="0" w:line="221" w:lineRule="exact"/>
              <w:rPr>
                <w:sz w:val="20"/>
                <w:szCs w:val="20"/>
                <w:color w:val="auto"/>
              </w:rPr>
            </w:pPr>
            <w:r>
              <w:rPr>
                <w:rFonts w:ascii="Times New Roman" w:cs="Times New Roman" w:eastAsia="Times New Roman" w:hAnsi="Times New Roman"/>
                <w:sz w:val="20"/>
                <w:szCs w:val="20"/>
                <w:color w:val="231F20"/>
              </w:rPr>
              <w:t>Total current assets</w:t>
            </w:r>
          </w:p>
        </w:tc>
        <w:tc>
          <w:tcPr>
            <w:tcW w:w="160" w:type="dxa"/>
            <w:vAlign w:val="bottom"/>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9,456.2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8,351.4</w:t>
            </w: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Property, buildings and equipment, net</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466.8</w:t>
            </w: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442.9</w:t>
            </w:r>
          </w:p>
        </w:tc>
        <w:tc>
          <w:tcPr>
            <w:tcW w:w="0" w:type="dxa"/>
            <w:vAlign w:val="bottom"/>
          </w:tcPr>
          <w:p>
            <w:pPr>
              <w:spacing w:after="0"/>
              <w:rPr>
                <w:sz w:val="1"/>
                <w:szCs w:val="1"/>
                <w:color w:val="auto"/>
              </w:rPr>
            </w:pPr>
          </w:p>
        </w:tc>
      </w:tr>
      <w:tr>
        <w:trPr>
          <w:trHeight w:val="25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Operating lease assets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888.3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735.1</w:t>
            </w: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Intangible assets, net</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1,769.2</w:t>
            </w: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1,835.9</w:t>
            </w:r>
          </w:p>
        </w:tc>
        <w:tc>
          <w:tcPr>
            <w:tcW w:w="0" w:type="dxa"/>
            <w:vAlign w:val="bottom"/>
          </w:tcPr>
          <w:p>
            <w:pPr>
              <w:spacing w:after="0"/>
              <w:rPr>
                <w:sz w:val="1"/>
                <w:szCs w:val="1"/>
                <w:color w:val="auto"/>
              </w:rPr>
            </w:pPr>
          </w:p>
        </w:tc>
      </w:tr>
      <w:tr>
        <w:trPr>
          <w:trHeight w:val="25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Goodwill</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3,343.4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3,280.1</w:t>
            </w: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Deferred income taxes</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41.9</w:t>
            </w:r>
          </w:p>
        </w:tc>
        <w:tc>
          <w:tcPr>
            <w:tcW w:w="0" w:type="dxa"/>
            <w:vAlign w:val="bottom"/>
          </w:tcPr>
          <w:p>
            <w:pPr>
              <w:spacing w:after="0"/>
              <w:rPr>
                <w:sz w:val="1"/>
                <w:szCs w:val="1"/>
                <w:color w:val="auto"/>
              </w:rPr>
            </w:pPr>
          </w:p>
        </w:tc>
      </w:tr>
      <w:tr>
        <w:trPr>
          <w:trHeight w:val="241"/>
        </w:trPr>
        <w:tc>
          <w:tcPr>
            <w:tcW w:w="74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Other assets</w:t>
            </w:r>
          </w:p>
        </w:tc>
        <w:tc>
          <w:tcPr>
            <w:tcW w:w="1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525.3</w:t>
            </w:r>
          </w:p>
        </w:tc>
        <w:tc>
          <w:tcPr>
            <w:tcW w:w="6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374.1</w:t>
            </w:r>
          </w:p>
        </w:tc>
        <w:tc>
          <w:tcPr>
            <w:tcW w:w="0" w:type="dxa"/>
            <w:vAlign w:val="bottom"/>
          </w:tcPr>
          <w:p>
            <w:pPr>
              <w:spacing w:after="0"/>
              <w:rPr>
                <w:sz w:val="1"/>
                <w:szCs w:val="1"/>
                <w:color w:val="auto"/>
              </w:rPr>
            </w:pPr>
          </w:p>
        </w:tc>
      </w:tr>
      <w:tr>
        <w:trPr>
          <w:trHeight w:val="251"/>
        </w:trPr>
        <w:tc>
          <w:tcPr>
            <w:tcW w:w="7460" w:type="dxa"/>
            <w:vAlign w:val="bottom"/>
            <w:tcBorders>
              <w:bottom w:val="single" w:sz="8" w:color="CFEBF4"/>
            </w:tcBorders>
            <w:shd w:val="clear" w:color="auto" w:fill="CFEBF4"/>
          </w:tcPr>
          <w:p>
            <w:pPr>
              <w:ind w:left="620"/>
              <w:spacing w:after="0" w:line="211" w:lineRule="exact"/>
              <w:rPr>
                <w:sz w:val="20"/>
                <w:szCs w:val="20"/>
                <w:color w:val="auto"/>
              </w:rPr>
            </w:pPr>
            <w:r>
              <w:rPr>
                <w:rFonts w:ascii="Times New Roman" w:cs="Times New Roman" w:eastAsia="Times New Roman" w:hAnsi="Times New Roman"/>
                <w:sz w:val="20"/>
                <w:szCs w:val="20"/>
                <w:color w:val="231F20"/>
              </w:rPr>
              <w:t>Total assets</w:t>
            </w:r>
          </w:p>
        </w:tc>
        <w:tc>
          <w:tcPr>
            <w:tcW w:w="160" w:type="dxa"/>
            <w:vAlign w:val="bottom"/>
            <w:tcBorders>
              <w:bottom w:val="single" w:sz="8" w:color="231F20"/>
            </w:tcBorders>
            <w:shd w:val="clear" w:color="auto" w:fill="CFEBF4"/>
          </w:tcPr>
          <w:p>
            <w:pPr>
              <w:jc w:val="right"/>
              <w:spacing w:after="0" w:line="211" w:lineRule="exact"/>
              <w:rPr>
                <w:sz w:val="20"/>
                <w:szCs w:val="20"/>
                <w:color w:val="auto"/>
              </w:rPr>
            </w:pPr>
            <w:r>
              <w:rPr>
                <w:rFonts w:ascii="Times New Roman" w:cs="Times New Roman" w:eastAsia="Times New Roman" w:hAnsi="Times New Roman"/>
                <w:sz w:val="20"/>
                <w:szCs w:val="20"/>
                <w:color w:val="231F20"/>
              </w:rPr>
              <w:t>$</w:t>
            </w:r>
          </w:p>
        </w:tc>
        <w:tc>
          <w:tcPr>
            <w:tcW w:w="1140" w:type="dxa"/>
            <w:vAlign w:val="bottom"/>
            <w:tcBorders>
              <w:bottom w:val="single" w:sz="8" w:color="231F20"/>
            </w:tcBorders>
            <w:shd w:val="clear" w:color="auto" w:fill="CFEBF4"/>
          </w:tcPr>
          <w:p>
            <w:pPr>
              <w:jc w:val="right"/>
              <w:spacing w:after="0" w:line="211" w:lineRule="exact"/>
              <w:rPr>
                <w:sz w:val="20"/>
                <w:szCs w:val="20"/>
                <w:color w:val="auto"/>
              </w:rPr>
            </w:pPr>
            <w:r>
              <w:rPr>
                <w:rFonts w:ascii="Times New Roman" w:cs="Times New Roman" w:eastAsia="Times New Roman" w:hAnsi="Times New Roman"/>
                <w:sz w:val="20"/>
                <w:szCs w:val="20"/>
                <w:color w:val="231F20"/>
              </w:rPr>
              <w:t>16,494.9</w:t>
            </w:r>
          </w:p>
        </w:tc>
        <w:tc>
          <w:tcPr>
            <w:tcW w:w="60" w:type="dxa"/>
            <w:vAlign w:val="bottom"/>
            <w:tcBorders>
              <w:bottom w:val="single" w:sz="8" w:color="CFEBF4"/>
            </w:tcBorders>
            <w:shd w:val="clear" w:color="auto" w:fill="CFEBF4"/>
          </w:tcPr>
          <w:p>
            <w:pPr>
              <w:spacing w:after="0"/>
              <w:rPr>
                <w:sz w:val="21"/>
                <w:szCs w:val="21"/>
                <w:color w:val="auto"/>
              </w:rPr>
            </w:pPr>
          </w:p>
        </w:tc>
        <w:tc>
          <w:tcPr>
            <w:tcW w:w="320" w:type="dxa"/>
            <w:vAlign w:val="bottom"/>
            <w:tcBorders>
              <w:bottom w:val="single" w:sz="8" w:color="231F20"/>
            </w:tcBorders>
            <w:shd w:val="clear" w:color="auto" w:fill="CFEBF4"/>
          </w:tcPr>
          <w:p>
            <w:pPr>
              <w:jc w:val="right"/>
              <w:ind w:right="61"/>
              <w:spacing w:after="0" w:line="211"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line="211" w:lineRule="exact"/>
              <w:rPr>
                <w:sz w:val="20"/>
                <w:szCs w:val="20"/>
                <w:color w:val="auto"/>
              </w:rPr>
            </w:pPr>
            <w:r>
              <w:rPr>
                <w:rFonts w:ascii="Times New Roman" w:cs="Times New Roman" w:eastAsia="Times New Roman" w:hAnsi="Times New Roman"/>
                <w:sz w:val="20"/>
                <w:szCs w:val="20"/>
                <w:color w:val="231F20"/>
              </w:rPr>
              <w:t>15,061.4</w:t>
            </w:r>
          </w:p>
        </w:tc>
        <w:tc>
          <w:tcPr>
            <w:tcW w:w="0" w:type="dxa"/>
            <w:vAlign w:val="bottom"/>
          </w:tcPr>
          <w:p>
            <w:pPr>
              <w:spacing w:after="0"/>
              <w:rPr>
                <w:sz w:val="1"/>
                <w:szCs w:val="1"/>
                <w:color w:val="auto"/>
              </w:rPr>
            </w:pPr>
          </w:p>
        </w:tc>
      </w:tr>
      <w:tr>
        <w:trPr>
          <w:trHeight w:val="222"/>
        </w:trPr>
        <w:tc>
          <w:tcPr>
            <w:tcW w:w="7460" w:type="dxa"/>
            <w:vAlign w:val="bottom"/>
          </w:tcPr>
          <w:p>
            <w:pPr>
              <w:ind w:left="2220"/>
              <w:spacing w:after="0" w:line="222" w:lineRule="exact"/>
              <w:rPr>
                <w:sz w:val="20"/>
                <w:szCs w:val="20"/>
                <w:color w:val="auto"/>
              </w:rPr>
            </w:pPr>
            <w:r>
              <w:rPr>
                <w:rFonts w:ascii="Times New Roman" w:cs="Times New Roman" w:eastAsia="Times New Roman" w:hAnsi="Times New Roman"/>
                <w:sz w:val="20"/>
                <w:szCs w:val="20"/>
                <w:b w:val="1"/>
                <w:bCs w:val="1"/>
                <w:color w:val="231F20"/>
              </w:rPr>
              <w:t>Liabilities and Stockholders’ Equity</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b w:val="1"/>
                <w:bCs w:val="1"/>
                <w:color w:val="231F20"/>
              </w:rPr>
              <w:t>Current liabilities:</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spacing w:after="0"/>
              <w:rPr>
                <w:sz w:val="21"/>
                <w:szCs w:val="21"/>
                <w:color w:val="auto"/>
              </w:rPr>
            </w:pP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3,030.5</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2,670.6</w:t>
            </w: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Accrued payroll and benefit costs</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283.0</w:t>
            </w: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242.3</w:t>
            </w:r>
          </w:p>
        </w:tc>
        <w:tc>
          <w:tcPr>
            <w:tcW w:w="0" w:type="dxa"/>
            <w:vAlign w:val="bottom"/>
          </w:tcPr>
          <w:p>
            <w:pPr>
              <w:spacing w:after="0"/>
              <w:rPr>
                <w:sz w:val="1"/>
                <w:szCs w:val="1"/>
                <w:color w:val="auto"/>
              </w:rPr>
            </w:pPr>
          </w:p>
        </w:tc>
      </w:tr>
      <w:tr>
        <w:trPr>
          <w:trHeight w:val="278"/>
        </w:trPr>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Short-term debt and current portion of long-term debt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w:t>
            </w:r>
          </w:p>
        </w:tc>
        <w:tc>
          <w:tcPr>
            <w:tcW w:w="0" w:type="dxa"/>
            <w:vAlign w:val="bottom"/>
          </w:tcPr>
          <w:p>
            <w:pPr>
              <w:spacing w:after="0"/>
              <w:rPr>
                <w:sz w:val="1"/>
                <w:szCs w:val="1"/>
                <w:color w:val="auto"/>
              </w:rPr>
            </w:pPr>
          </w:p>
        </w:tc>
      </w:tr>
      <w:tr>
        <w:trPr>
          <w:trHeight w:val="264"/>
        </w:trPr>
        <w:tc>
          <w:tcPr>
            <w:tcW w:w="746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160" w:type="dxa"/>
            <w:vAlign w:val="bottom"/>
            <w:tcBorders>
              <w:bottom w:val="single" w:sz="8" w:color="231F20"/>
            </w:tcBorders>
            <w:shd w:val="clear" w:color="auto" w:fill="CFEBF4"/>
          </w:tcPr>
          <w:p>
            <w:pPr>
              <w:spacing w:after="0"/>
              <w:rPr>
                <w:sz w:val="22"/>
                <w:szCs w:val="22"/>
                <w:color w:val="auto"/>
              </w:rPr>
            </w:pPr>
          </w:p>
        </w:tc>
        <w:tc>
          <w:tcPr>
            <w:tcW w:w="1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958.3</w:t>
            </w:r>
          </w:p>
        </w:tc>
        <w:tc>
          <w:tcPr>
            <w:tcW w:w="60" w:type="dxa"/>
            <w:vAlign w:val="bottom"/>
            <w:tcBorders>
              <w:bottom w:val="single" w:sz="8" w:color="CFEBF4"/>
            </w:tcBorders>
            <w:shd w:val="clear" w:color="auto" w:fill="CFEBF4"/>
          </w:tcPr>
          <w:p>
            <w:pPr>
              <w:spacing w:after="0"/>
              <w:rPr>
                <w:sz w:val="22"/>
                <w:szCs w:val="22"/>
                <w:color w:val="auto"/>
              </w:rPr>
            </w:pPr>
          </w:p>
        </w:tc>
        <w:tc>
          <w:tcPr>
            <w:tcW w:w="320" w:type="dxa"/>
            <w:vAlign w:val="bottom"/>
            <w:tcBorders>
              <w:bottom w:val="single" w:sz="8" w:color="231F20"/>
            </w:tcBorders>
            <w:shd w:val="clear" w:color="auto" w:fill="CFEBF4"/>
          </w:tcPr>
          <w:p>
            <w:pPr>
              <w:spacing w:after="0"/>
              <w:rPr>
                <w:sz w:val="22"/>
                <w:szCs w:val="22"/>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871.6</w:t>
            </w:r>
          </w:p>
        </w:tc>
        <w:tc>
          <w:tcPr>
            <w:tcW w:w="0" w:type="dxa"/>
            <w:vAlign w:val="bottom"/>
          </w:tcPr>
          <w:p>
            <w:pPr>
              <w:spacing w:after="0"/>
              <w:rPr>
                <w:sz w:val="1"/>
                <w:szCs w:val="1"/>
                <w:color w:val="auto"/>
              </w:rPr>
            </w:pPr>
          </w:p>
        </w:tc>
      </w:tr>
      <w:tr>
        <w:trPr>
          <w:trHeight w:val="221"/>
        </w:trPr>
        <w:tc>
          <w:tcPr>
            <w:tcW w:w="7460" w:type="dxa"/>
            <w:vAlign w:val="bottom"/>
          </w:tcPr>
          <w:p>
            <w:pPr>
              <w:ind w:left="420"/>
              <w:spacing w:after="0" w:line="221" w:lineRule="exact"/>
              <w:rPr>
                <w:sz w:val="20"/>
                <w:szCs w:val="20"/>
                <w:color w:val="auto"/>
              </w:rPr>
            </w:pPr>
            <w:r>
              <w:rPr>
                <w:rFonts w:ascii="Times New Roman" w:cs="Times New Roman" w:eastAsia="Times New Roman" w:hAnsi="Times New Roman"/>
                <w:sz w:val="20"/>
                <w:szCs w:val="20"/>
                <w:color w:val="231F20"/>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4,296.8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3,804.0</w:t>
            </w:r>
          </w:p>
        </w:tc>
        <w:tc>
          <w:tcPr>
            <w:tcW w:w="0" w:type="dxa"/>
            <w:vAlign w:val="bottom"/>
          </w:tcPr>
          <w:p>
            <w:pPr>
              <w:spacing w:after="0"/>
              <w:rPr>
                <w:sz w:val="1"/>
                <w:szCs w:val="1"/>
                <w:color w:val="auto"/>
              </w:rPr>
            </w:pPr>
          </w:p>
        </w:tc>
      </w:tr>
      <w:tr>
        <w:trPr>
          <w:trHeight w:val="189"/>
        </w:trPr>
        <w:tc>
          <w:tcPr>
            <w:tcW w:w="7460" w:type="dxa"/>
            <w:vAlign w:val="bottom"/>
            <w:shd w:val="clear" w:color="auto" w:fill="CFEBF4"/>
          </w:tcPr>
          <w:p>
            <w:pPr>
              <w:ind w:left="60"/>
              <w:spacing w:after="0" w:line="189" w:lineRule="exact"/>
              <w:rPr>
                <w:sz w:val="20"/>
                <w:szCs w:val="20"/>
                <w:color w:val="auto"/>
              </w:rPr>
            </w:pPr>
            <w:r>
              <w:rPr>
                <w:rFonts w:ascii="Times New Roman" w:cs="Times New Roman" w:eastAsia="Times New Roman" w:hAnsi="Times New Roman"/>
                <w:sz w:val="20"/>
                <w:szCs w:val="20"/>
                <w:color w:val="231F20"/>
                <w:w w:val="99"/>
              </w:rPr>
              <w:t>Long-term debt, net of debt discount and debt issuance costs of $48.0 and $47.2 in 2025 and</w:t>
            </w:r>
          </w:p>
        </w:tc>
        <w:tc>
          <w:tcPr>
            <w:tcW w:w="160" w:type="dxa"/>
            <w:vAlign w:val="bottom"/>
            <w:shd w:val="clear" w:color="auto" w:fill="CFEBF4"/>
          </w:tcPr>
          <w:p>
            <w:pPr>
              <w:spacing w:after="0"/>
              <w:rPr>
                <w:sz w:val="16"/>
                <w:szCs w:val="16"/>
                <w:color w:val="auto"/>
              </w:rPr>
            </w:pPr>
          </w:p>
        </w:tc>
        <w:tc>
          <w:tcPr>
            <w:tcW w:w="11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5,756.4</w:t>
            </w:r>
          </w:p>
        </w:tc>
        <w:tc>
          <w:tcPr>
            <w:tcW w:w="6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5,045.5</w:t>
            </w:r>
          </w:p>
        </w:tc>
        <w:tc>
          <w:tcPr>
            <w:tcW w:w="0" w:type="dxa"/>
            <w:vAlign w:val="bottom"/>
          </w:tcPr>
          <w:p>
            <w:pPr>
              <w:spacing w:after="0"/>
              <w:rPr>
                <w:sz w:val="1"/>
                <w:szCs w:val="1"/>
                <w:color w:val="auto"/>
              </w:rPr>
            </w:pPr>
          </w:p>
        </w:tc>
      </w:tr>
      <w:tr>
        <w:trPr>
          <w:trHeight w:val="269"/>
        </w:trPr>
        <w:tc>
          <w:tcPr>
            <w:tcW w:w="746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2024, respectively</w:t>
            </w:r>
          </w:p>
        </w:tc>
        <w:tc>
          <w:tcPr>
            <w:tcW w:w="160" w:type="dxa"/>
            <w:vAlign w:val="bottom"/>
            <w:shd w:val="clear" w:color="auto" w:fill="CFEBF4"/>
          </w:tcPr>
          <w:p>
            <w:pPr>
              <w:spacing w:after="0"/>
              <w:rPr>
                <w:sz w:val="23"/>
                <w:szCs w:val="23"/>
                <w:color w:val="auto"/>
              </w:rPr>
            </w:pPr>
          </w:p>
        </w:tc>
        <w:tc>
          <w:tcPr>
            <w:tcW w:w="114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8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752.2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614.8</w:t>
            </w: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Deferred income taxes</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427.2</w:t>
            </w: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415.6</w:t>
            </w:r>
          </w:p>
        </w:tc>
        <w:tc>
          <w:tcPr>
            <w:tcW w:w="0" w:type="dxa"/>
            <w:vAlign w:val="bottom"/>
          </w:tcPr>
          <w:p>
            <w:pPr>
              <w:spacing w:after="0"/>
              <w:rPr>
                <w:sz w:val="1"/>
                <w:szCs w:val="1"/>
                <w:color w:val="auto"/>
              </w:rPr>
            </w:pPr>
          </w:p>
        </w:tc>
      </w:tr>
      <w:tr>
        <w:trPr>
          <w:trHeight w:val="241"/>
        </w:trPr>
        <w:tc>
          <w:tcPr>
            <w:tcW w:w="74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Other noncurrent liabilities</w:t>
            </w:r>
          </w:p>
        </w:tc>
        <w:tc>
          <w:tcPr>
            <w:tcW w:w="1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235.9</w:t>
            </w:r>
          </w:p>
        </w:tc>
        <w:tc>
          <w:tcPr>
            <w:tcW w:w="6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216.0</w:t>
            </w:r>
          </w:p>
        </w:tc>
        <w:tc>
          <w:tcPr>
            <w:tcW w:w="0" w:type="dxa"/>
            <w:vAlign w:val="bottom"/>
          </w:tcPr>
          <w:p>
            <w:pPr>
              <w:spacing w:after="0"/>
              <w:rPr>
                <w:sz w:val="1"/>
                <w:szCs w:val="1"/>
                <w:color w:val="auto"/>
              </w:rPr>
            </w:pPr>
          </w:p>
        </w:tc>
      </w:tr>
      <w:tr>
        <w:trPr>
          <w:trHeight w:val="241"/>
        </w:trPr>
        <w:tc>
          <w:tcPr>
            <w:tcW w:w="7460" w:type="dxa"/>
            <w:vAlign w:val="bottom"/>
            <w:shd w:val="clear" w:color="auto" w:fill="CFEBF4"/>
          </w:tcPr>
          <w:p>
            <w:pPr>
              <w:ind w:left="620"/>
              <w:spacing w:after="0"/>
              <w:rPr>
                <w:sz w:val="20"/>
                <w:szCs w:val="20"/>
                <w:color w:val="auto"/>
              </w:rPr>
            </w:pPr>
            <w:r>
              <w:rPr>
                <w:rFonts w:ascii="Times New Roman" w:cs="Times New Roman" w:eastAsia="Times New Roman" w:hAnsi="Times New Roman"/>
                <w:sz w:val="20"/>
                <w:szCs w:val="20"/>
                <w:color w:val="231F20"/>
              </w:rPr>
              <w:t>Total liabilities</w:t>
            </w:r>
          </w:p>
        </w:tc>
        <w:tc>
          <w:tcPr>
            <w:tcW w:w="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11,468.5</w:t>
            </w:r>
          </w:p>
        </w:tc>
        <w:tc>
          <w:tcPr>
            <w:tcW w:w="60" w:type="dxa"/>
            <w:vAlign w:val="bottom"/>
            <w:shd w:val="clear" w:color="auto" w:fill="CFEBF4"/>
          </w:tcPr>
          <w:p>
            <w:pPr>
              <w:spacing w:after="0"/>
              <w:rPr>
                <w:sz w:val="20"/>
                <w:szCs w:val="20"/>
                <w:color w:val="auto"/>
              </w:rPr>
            </w:pP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10,095.9</w:t>
            </w:r>
          </w:p>
        </w:tc>
        <w:tc>
          <w:tcPr>
            <w:tcW w:w="0" w:type="dxa"/>
            <w:vAlign w:val="bottom"/>
          </w:tcPr>
          <w:p>
            <w:pPr>
              <w:spacing w:after="0"/>
              <w:rPr>
                <w:sz w:val="1"/>
                <w:szCs w:val="1"/>
                <w:color w:val="auto"/>
              </w:rPr>
            </w:pPr>
          </w:p>
        </w:tc>
      </w:tr>
      <w:tr>
        <w:trPr>
          <w:trHeight w:val="25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Commitments and contingencies (Note 15)</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b w:val="1"/>
                <w:bCs w:val="1"/>
                <w:color w:val="231F20"/>
              </w:rPr>
              <w:t>Stockholders’ equity:</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spacing w:after="0"/>
              <w:rPr>
                <w:sz w:val="21"/>
                <w:szCs w:val="21"/>
                <w:color w:val="auto"/>
              </w:rPr>
            </w:pP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20"/>
                <w:szCs w:val="20"/>
                <w:color w:val="231F20"/>
              </w:rPr>
              <w:t>Preferred stock, $.01 par value; 20,000,000 shares authorized, no shares issued or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3"/>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outstanding</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460" w:type="dxa"/>
            <w:vAlign w:val="bottom"/>
            <w:shd w:val="clear" w:color="auto" w:fill="CFEBF4"/>
          </w:tcPr>
          <w:p>
            <w:pPr>
              <w:ind w:left="200"/>
              <w:spacing w:after="0" w:line="195" w:lineRule="exact"/>
              <w:rPr>
                <w:sz w:val="20"/>
                <w:szCs w:val="20"/>
                <w:color w:val="auto"/>
              </w:rPr>
            </w:pPr>
            <w:r>
              <w:rPr>
                <w:rFonts w:ascii="Times New Roman" w:cs="Times New Roman" w:eastAsia="Times New Roman" w:hAnsi="Times New Roman"/>
                <w:sz w:val="20"/>
                <w:szCs w:val="20"/>
                <w:color w:val="231F20"/>
              </w:rPr>
              <w:t>Preferred stock, Series A, $.01 par value; 25,000 shares authorized, no shares issued or</w:t>
            </w:r>
          </w:p>
        </w:tc>
        <w:tc>
          <w:tcPr>
            <w:tcW w:w="160" w:type="dxa"/>
            <w:vAlign w:val="bottom"/>
            <w:shd w:val="clear" w:color="auto" w:fill="CFEBF4"/>
          </w:tcPr>
          <w:p>
            <w:pPr>
              <w:spacing w:after="0"/>
              <w:rPr>
                <w:sz w:val="16"/>
                <w:szCs w:val="16"/>
                <w:color w:val="auto"/>
              </w:rPr>
            </w:pPr>
          </w:p>
        </w:tc>
        <w:tc>
          <w:tcPr>
            <w:tcW w:w="11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9"/>
        </w:trPr>
        <w:tc>
          <w:tcPr>
            <w:tcW w:w="7460" w:type="dxa"/>
            <w:vAlign w:val="bottom"/>
            <w:shd w:val="clear" w:color="auto" w:fill="CFEBF4"/>
          </w:tcPr>
          <w:p>
            <w:pPr>
              <w:ind w:left="360"/>
              <w:spacing w:after="0"/>
              <w:rPr>
                <w:sz w:val="20"/>
                <w:szCs w:val="20"/>
                <w:color w:val="auto"/>
              </w:rPr>
            </w:pPr>
            <w:r>
              <w:rPr>
                <w:rFonts w:ascii="Times New Roman" w:cs="Times New Roman" w:eastAsia="Times New Roman" w:hAnsi="Times New Roman"/>
                <w:sz w:val="20"/>
                <w:szCs w:val="20"/>
                <w:color w:val="231F20"/>
              </w:rPr>
              <w:t>outstanding in 2025, 21,612 shares issued and outstanding in 2024</w:t>
            </w:r>
          </w:p>
        </w:tc>
        <w:tc>
          <w:tcPr>
            <w:tcW w:w="160" w:type="dxa"/>
            <w:vAlign w:val="bottom"/>
            <w:shd w:val="clear" w:color="auto" w:fill="CFEBF4"/>
          </w:tcPr>
          <w:p>
            <w:pPr>
              <w:spacing w:after="0"/>
              <w:rPr>
                <w:sz w:val="23"/>
                <w:szCs w:val="23"/>
                <w:color w:val="auto"/>
              </w:rPr>
            </w:pPr>
          </w:p>
        </w:tc>
        <w:tc>
          <w:tcPr>
            <w:tcW w:w="114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8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7460" w:type="dxa"/>
            <w:vAlign w:val="bottom"/>
          </w:tcPr>
          <w:p>
            <w:pPr>
              <w:ind w:left="200"/>
              <w:spacing w:after="0" w:line="170" w:lineRule="exact"/>
              <w:rPr>
                <w:sz w:val="20"/>
                <w:szCs w:val="20"/>
                <w:color w:val="auto"/>
              </w:rPr>
            </w:pPr>
            <w:r>
              <w:rPr>
                <w:rFonts w:ascii="Times New Roman" w:cs="Times New Roman" w:eastAsia="Times New Roman" w:hAnsi="Times New Roman"/>
                <w:sz w:val="19"/>
                <w:szCs w:val="19"/>
                <w:color w:val="231F20"/>
              </w:rPr>
              <w:t>Common stock, $.01 par value; 210,000,000 shares authorized, 70,004,866 and 69,627,398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460" w:type="dxa"/>
            <w:vAlign w:val="bottom"/>
          </w:tcPr>
          <w:p>
            <w:pPr>
              <w:ind w:left="360"/>
              <w:spacing w:after="0" w:line="197" w:lineRule="exact"/>
              <w:rPr>
                <w:sz w:val="20"/>
                <w:szCs w:val="20"/>
                <w:color w:val="auto"/>
              </w:rPr>
            </w:pPr>
            <w:r>
              <w:rPr>
                <w:rFonts w:ascii="Times New Roman" w:cs="Times New Roman" w:eastAsia="Times New Roman" w:hAnsi="Times New Roman"/>
                <w:sz w:val="20"/>
                <w:szCs w:val="20"/>
                <w:color w:val="231F20"/>
              </w:rPr>
              <w:t>shares issued and 48,658,333 and 48,790,595 shares outstanding in 2025 and 2024,</w:t>
            </w: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63"/>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respectively</w:t>
            </w: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460" w:type="dxa"/>
            <w:vAlign w:val="bottom"/>
            <w:shd w:val="clear" w:color="auto" w:fill="CFEBF4"/>
          </w:tcPr>
          <w:p>
            <w:pPr>
              <w:ind w:left="200"/>
              <w:spacing w:after="0" w:line="195" w:lineRule="exact"/>
              <w:rPr>
                <w:sz w:val="20"/>
                <w:szCs w:val="20"/>
                <w:color w:val="auto"/>
              </w:rPr>
            </w:pPr>
            <w:r>
              <w:rPr>
                <w:rFonts w:ascii="Times New Roman" w:cs="Times New Roman" w:eastAsia="Times New Roman" w:hAnsi="Times New Roman"/>
                <w:sz w:val="20"/>
                <w:szCs w:val="20"/>
                <w:color w:val="231F20"/>
              </w:rPr>
              <w:t>Class B nonvoting convertible common stock, $.01 par value; 20,000,000 shares</w:t>
            </w:r>
          </w:p>
        </w:tc>
        <w:tc>
          <w:tcPr>
            <w:tcW w:w="160" w:type="dxa"/>
            <w:vAlign w:val="bottom"/>
            <w:shd w:val="clear" w:color="auto" w:fill="CFEBF4"/>
          </w:tcPr>
          <w:p>
            <w:pPr>
              <w:spacing w:after="0"/>
              <w:rPr>
                <w:sz w:val="16"/>
                <w:szCs w:val="16"/>
                <w:color w:val="auto"/>
              </w:rPr>
            </w:pPr>
          </w:p>
        </w:tc>
        <w:tc>
          <w:tcPr>
            <w:tcW w:w="11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9"/>
        </w:trPr>
        <w:tc>
          <w:tcPr>
            <w:tcW w:w="7460" w:type="dxa"/>
            <w:vAlign w:val="bottom"/>
            <w:shd w:val="clear" w:color="auto" w:fill="CFEBF4"/>
          </w:tcPr>
          <w:p>
            <w:pPr>
              <w:ind w:left="360"/>
              <w:spacing w:after="0"/>
              <w:rPr>
                <w:sz w:val="20"/>
                <w:szCs w:val="20"/>
                <w:color w:val="auto"/>
              </w:rPr>
            </w:pPr>
            <w:r>
              <w:rPr>
                <w:rFonts w:ascii="Times New Roman" w:cs="Times New Roman" w:eastAsia="Times New Roman" w:hAnsi="Times New Roman"/>
                <w:sz w:val="20"/>
                <w:szCs w:val="20"/>
                <w:color w:val="231F20"/>
              </w:rPr>
              <w:t>authorized, 4,339,431 issued and no shares outstanding in 2025 and 2024, respectively</w:t>
            </w:r>
          </w:p>
        </w:tc>
        <w:tc>
          <w:tcPr>
            <w:tcW w:w="160" w:type="dxa"/>
            <w:vAlign w:val="bottom"/>
            <w:shd w:val="clear" w:color="auto" w:fill="CFEBF4"/>
          </w:tcPr>
          <w:p>
            <w:pPr>
              <w:spacing w:after="0"/>
              <w:rPr>
                <w:sz w:val="23"/>
                <w:szCs w:val="23"/>
                <w:color w:val="auto"/>
              </w:rPr>
            </w:pPr>
          </w:p>
        </w:tc>
        <w:tc>
          <w:tcPr>
            <w:tcW w:w="114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8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Additional capital</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1,507.3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2,051.6</w:t>
            </w:r>
          </w:p>
        </w:tc>
        <w:tc>
          <w:tcPr>
            <w:tcW w:w="0" w:type="dxa"/>
            <w:vAlign w:val="bottom"/>
          </w:tcPr>
          <w:p>
            <w:pPr>
              <w:spacing w:after="0"/>
              <w:rPr>
                <w:sz w:val="1"/>
                <w:szCs w:val="1"/>
                <w:color w:val="auto"/>
              </w:rPr>
            </w:pPr>
          </w:p>
        </w:tc>
      </w:tr>
      <w:tr>
        <w:trPr>
          <w:trHeight w:val="251"/>
        </w:trPr>
        <w:tc>
          <w:tcPr>
            <w:tcW w:w="746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Retained earnings</w:t>
            </w:r>
          </w:p>
        </w:tc>
        <w:tc>
          <w:tcPr>
            <w:tcW w:w="160" w:type="dxa"/>
            <w:vAlign w:val="bottom"/>
            <w:shd w:val="clear" w:color="auto" w:fill="CFEBF4"/>
          </w:tcPr>
          <w:p>
            <w:pPr>
              <w:spacing w:after="0"/>
              <w:rPr>
                <w:sz w:val="21"/>
                <w:szCs w:val="21"/>
                <w:color w:val="auto"/>
              </w:rPr>
            </w:pPr>
          </w:p>
        </w:tc>
        <w:tc>
          <w:tcPr>
            <w:tcW w:w="1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5,513.4</w:t>
            </w:r>
          </w:p>
        </w:tc>
        <w:tc>
          <w:tcPr>
            <w:tcW w:w="60" w:type="dxa"/>
            <w:vAlign w:val="bottom"/>
            <w:shd w:val="clear" w:color="auto" w:fill="CFEBF4"/>
          </w:tcPr>
          <w:p>
            <w:pPr>
              <w:spacing w:after="0"/>
              <w:rPr>
                <w:sz w:val="21"/>
                <w:szCs w:val="21"/>
                <w:color w:val="auto"/>
              </w:rPr>
            </w:pPr>
          </w:p>
        </w:tc>
        <w:tc>
          <w:tcPr>
            <w:tcW w:w="320" w:type="dxa"/>
            <w:vAlign w:val="bottom"/>
            <w:shd w:val="clear" w:color="auto" w:fill="CFEBF4"/>
          </w:tcPr>
          <w:p>
            <w:pPr>
              <w:spacing w:after="0"/>
              <w:rPr>
                <w:sz w:val="21"/>
                <w:szCs w:val="21"/>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4,960.7</w:t>
            </w:r>
          </w:p>
        </w:tc>
        <w:tc>
          <w:tcPr>
            <w:tcW w:w="0" w:type="dxa"/>
            <w:vAlign w:val="bottom"/>
          </w:tcPr>
          <w:p>
            <w:pPr>
              <w:spacing w:after="0"/>
              <w:rPr>
                <w:sz w:val="1"/>
                <w:szCs w:val="1"/>
                <w:color w:val="auto"/>
              </w:rPr>
            </w:pPr>
          </w:p>
        </w:tc>
      </w:tr>
      <w:tr>
        <w:trPr>
          <w:trHeight w:val="251"/>
        </w:trPr>
        <w:tc>
          <w:tcPr>
            <w:tcW w:w="7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Treasury stock, at cost; 25,685,964 and 25,176,234 shares in 2025 and 2024, respectively</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(1,590.3)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(1,495.1)</w:t>
            </w:r>
          </w:p>
        </w:tc>
        <w:tc>
          <w:tcPr>
            <w:tcW w:w="0" w:type="dxa"/>
            <w:vAlign w:val="bottom"/>
          </w:tcPr>
          <w:p>
            <w:pPr>
              <w:spacing w:after="0"/>
              <w:rPr>
                <w:sz w:val="1"/>
                <w:szCs w:val="1"/>
                <w:color w:val="auto"/>
              </w:rPr>
            </w:pPr>
          </w:p>
        </w:tc>
      </w:tr>
      <w:tr>
        <w:trPr>
          <w:trHeight w:val="261"/>
        </w:trPr>
        <w:tc>
          <w:tcPr>
            <w:tcW w:w="746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Accumulated other comprehensive loss</w:t>
            </w:r>
          </w:p>
        </w:tc>
        <w:tc>
          <w:tcPr>
            <w:tcW w:w="160" w:type="dxa"/>
            <w:vAlign w:val="bottom"/>
            <w:tcBorders>
              <w:bottom w:val="single" w:sz="8" w:color="231F20"/>
            </w:tcBorders>
            <w:shd w:val="clear" w:color="auto" w:fill="CFEBF4"/>
          </w:tcPr>
          <w:p>
            <w:pPr>
              <w:spacing w:after="0"/>
              <w:rPr>
                <w:sz w:val="22"/>
                <w:szCs w:val="22"/>
                <w:color w:val="auto"/>
              </w:rPr>
            </w:pPr>
          </w:p>
        </w:tc>
        <w:tc>
          <w:tcPr>
            <w:tcW w:w="1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(399.5)</w:t>
            </w:r>
          </w:p>
        </w:tc>
        <w:tc>
          <w:tcPr>
            <w:tcW w:w="60" w:type="dxa"/>
            <w:vAlign w:val="bottom"/>
            <w:tcBorders>
              <w:bottom w:val="single" w:sz="8" w:color="CFEBF4"/>
            </w:tcBorders>
            <w:shd w:val="clear" w:color="auto" w:fill="CFEBF4"/>
          </w:tcPr>
          <w:p>
            <w:pPr>
              <w:spacing w:after="0"/>
              <w:rPr>
                <w:sz w:val="22"/>
                <w:szCs w:val="22"/>
                <w:color w:val="auto"/>
              </w:rPr>
            </w:pPr>
          </w:p>
        </w:tc>
        <w:tc>
          <w:tcPr>
            <w:tcW w:w="320" w:type="dxa"/>
            <w:vAlign w:val="bottom"/>
            <w:tcBorders>
              <w:bottom w:val="single" w:sz="8" w:color="231F20"/>
            </w:tcBorders>
            <w:shd w:val="clear" w:color="auto" w:fill="CFEBF4"/>
          </w:tcPr>
          <w:p>
            <w:pPr>
              <w:spacing w:after="0"/>
              <w:rPr>
                <w:sz w:val="22"/>
                <w:szCs w:val="22"/>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(547.2)</w:t>
            </w:r>
          </w:p>
        </w:tc>
        <w:tc>
          <w:tcPr>
            <w:tcW w:w="0" w:type="dxa"/>
            <w:vAlign w:val="bottom"/>
          </w:tcPr>
          <w:p>
            <w:pPr>
              <w:spacing w:after="0"/>
              <w:rPr>
                <w:sz w:val="1"/>
                <w:szCs w:val="1"/>
                <w:color w:val="auto"/>
              </w:rPr>
            </w:pPr>
          </w:p>
        </w:tc>
      </w:tr>
      <w:tr>
        <w:trPr>
          <w:trHeight w:val="221"/>
        </w:trPr>
        <w:tc>
          <w:tcPr>
            <w:tcW w:w="7460" w:type="dxa"/>
            <w:vAlign w:val="bottom"/>
          </w:tcPr>
          <w:p>
            <w:pPr>
              <w:ind w:left="420"/>
              <w:spacing w:after="0" w:line="221" w:lineRule="exact"/>
              <w:rPr>
                <w:sz w:val="20"/>
                <w:szCs w:val="20"/>
                <w:color w:val="auto"/>
              </w:rPr>
            </w:pPr>
            <w:r>
              <w:rPr>
                <w:rFonts w:ascii="Times New Roman" w:cs="Times New Roman" w:eastAsia="Times New Roman" w:hAnsi="Times New Roman"/>
                <w:sz w:val="20"/>
                <w:szCs w:val="20"/>
                <w:color w:val="231F20"/>
              </w:rPr>
              <w:t>Total WESCO International, Inc. stockholders’ equity</w:t>
            </w:r>
          </w:p>
        </w:tc>
        <w:tc>
          <w:tcPr>
            <w:tcW w:w="160" w:type="dxa"/>
            <w:vAlign w:val="bottom"/>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5,031.6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4,970.7</w:t>
            </w:r>
          </w:p>
        </w:tc>
        <w:tc>
          <w:tcPr>
            <w:tcW w:w="0" w:type="dxa"/>
            <w:vAlign w:val="bottom"/>
          </w:tcPr>
          <w:p>
            <w:pPr>
              <w:spacing w:after="0"/>
              <w:rPr>
                <w:sz w:val="1"/>
                <w:szCs w:val="1"/>
                <w:color w:val="auto"/>
              </w:rPr>
            </w:pPr>
          </w:p>
        </w:tc>
      </w:tr>
      <w:tr>
        <w:trPr>
          <w:trHeight w:val="261"/>
        </w:trPr>
        <w:tc>
          <w:tcPr>
            <w:tcW w:w="7460" w:type="dxa"/>
            <w:vAlign w:val="bottom"/>
            <w:tcBorders>
              <w:bottom w:val="single" w:sz="8" w:color="CFEBF4"/>
            </w:tcBorders>
            <w:shd w:val="clear" w:color="auto" w:fill="CFEBF4"/>
          </w:tcPr>
          <w:p>
            <w:pPr>
              <w:ind w:left="420"/>
              <w:spacing w:after="0"/>
              <w:rPr>
                <w:sz w:val="20"/>
                <w:szCs w:val="20"/>
                <w:color w:val="auto"/>
              </w:rPr>
            </w:pPr>
            <w:r>
              <w:rPr>
                <w:rFonts w:ascii="Times New Roman" w:cs="Times New Roman" w:eastAsia="Times New Roman" w:hAnsi="Times New Roman"/>
                <w:sz w:val="20"/>
                <w:szCs w:val="20"/>
                <w:color w:val="231F20"/>
              </w:rPr>
              <w:t>Noncontrolling interests</w:t>
            </w:r>
          </w:p>
        </w:tc>
        <w:tc>
          <w:tcPr>
            <w:tcW w:w="160" w:type="dxa"/>
            <w:vAlign w:val="bottom"/>
            <w:tcBorders>
              <w:bottom w:val="single" w:sz="8" w:color="231F20"/>
            </w:tcBorders>
            <w:shd w:val="clear" w:color="auto" w:fill="CFEBF4"/>
          </w:tcPr>
          <w:p>
            <w:pPr>
              <w:spacing w:after="0"/>
              <w:rPr>
                <w:sz w:val="22"/>
                <w:szCs w:val="22"/>
                <w:color w:val="auto"/>
              </w:rPr>
            </w:pPr>
          </w:p>
        </w:tc>
        <w:tc>
          <w:tcPr>
            <w:tcW w:w="1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60" w:type="dxa"/>
            <w:vAlign w:val="bottom"/>
            <w:tcBorders>
              <w:bottom w:val="single" w:sz="8" w:color="CFEBF4"/>
            </w:tcBorders>
            <w:shd w:val="clear" w:color="auto" w:fill="CFEBF4"/>
          </w:tcPr>
          <w:p>
            <w:pPr>
              <w:spacing w:after="0"/>
              <w:rPr>
                <w:sz w:val="22"/>
                <w:szCs w:val="22"/>
                <w:color w:val="auto"/>
              </w:rPr>
            </w:pPr>
          </w:p>
        </w:tc>
        <w:tc>
          <w:tcPr>
            <w:tcW w:w="320" w:type="dxa"/>
            <w:vAlign w:val="bottom"/>
            <w:tcBorders>
              <w:bottom w:val="single" w:sz="8" w:color="231F20"/>
            </w:tcBorders>
            <w:shd w:val="clear" w:color="auto" w:fill="CFEBF4"/>
          </w:tcPr>
          <w:p>
            <w:pPr>
              <w:spacing w:after="0"/>
              <w:rPr>
                <w:sz w:val="22"/>
                <w:szCs w:val="22"/>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0" w:type="dxa"/>
            <w:vAlign w:val="bottom"/>
          </w:tcPr>
          <w:p>
            <w:pPr>
              <w:spacing w:after="0"/>
              <w:rPr>
                <w:sz w:val="1"/>
                <w:szCs w:val="1"/>
                <w:color w:val="auto"/>
              </w:rPr>
            </w:pPr>
          </w:p>
        </w:tc>
      </w:tr>
      <w:tr>
        <w:trPr>
          <w:trHeight w:val="211"/>
        </w:trPr>
        <w:tc>
          <w:tcPr>
            <w:tcW w:w="7460" w:type="dxa"/>
            <w:vAlign w:val="bottom"/>
            <w:tcBorders>
              <w:bottom w:val="single" w:sz="8" w:color="CFEBF4"/>
            </w:tcBorders>
          </w:tcPr>
          <w:p>
            <w:pPr>
              <w:ind w:left="620"/>
              <w:spacing w:after="0" w:line="211" w:lineRule="exact"/>
              <w:rPr>
                <w:sz w:val="20"/>
                <w:szCs w:val="20"/>
                <w:color w:val="auto"/>
              </w:rPr>
            </w:pPr>
            <w:r>
              <w:rPr>
                <w:rFonts w:ascii="Times New Roman" w:cs="Times New Roman" w:eastAsia="Times New Roman" w:hAnsi="Times New Roman"/>
                <w:sz w:val="20"/>
                <w:szCs w:val="20"/>
                <w:color w:val="231F20"/>
              </w:rPr>
              <w:t>Total stockholders’ equity</w:t>
            </w:r>
          </w:p>
        </w:tc>
        <w:tc>
          <w:tcPr>
            <w:tcW w:w="16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spacing w:after="0" w:line="211" w:lineRule="exact"/>
              <w:rPr>
                <w:sz w:val="20"/>
                <w:szCs w:val="20"/>
                <w:color w:val="auto"/>
              </w:rPr>
            </w:pPr>
            <w:r>
              <w:rPr>
                <w:rFonts w:ascii="Times New Roman" w:cs="Times New Roman" w:eastAsia="Times New Roman" w:hAnsi="Times New Roman"/>
                <w:sz w:val="20"/>
                <w:szCs w:val="20"/>
                <w:color w:val="231F20"/>
              </w:rPr>
              <w:t>5,026.4</w:t>
            </w:r>
          </w:p>
        </w:tc>
        <w:tc>
          <w:tcPr>
            <w:tcW w:w="60" w:type="dxa"/>
            <w:vAlign w:val="bottom"/>
            <w:tcBorders>
              <w:bottom w:val="single" w:sz="8" w:color="CFEBF4"/>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spacing w:after="0" w:line="211" w:lineRule="exact"/>
              <w:rPr>
                <w:sz w:val="20"/>
                <w:szCs w:val="20"/>
                <w:color w:val="auto"/>
              </w:rPr>
            </w:pPr>
            <w:r>
              <w:rPr>
                <w:rFonts w:ascii="Times New Roman" w:cs="Times New Roman" w:eastAsia="Times New Roman" w:hAnsi="Times New Roman"/>
                <w:sz w:val="20"/>
                <w:szCs w:val="20"/>
                <w:color w:val="231F20"/>
              </w:rPr>
              <w:t>4,965.5</w:t>
            </w:r>
          </w:p>
        </w:tc>
        <w:tc>
          <w:tcPr>
            <w:tcW w:w="0" w:type="dxa"/>
            <w:vAlign w:val="bottom"/>
          </w:tcPr>
          <w:p>
            <w:pPr>
              <w:spacing w:after="0"/>
              <w:rPr>
                <w:sz w:val="1"/>
                <w:szCs w:val="1"/>
                <w:color w:val="auto"/>
              </w:rPr>
            </w:pPr>
          </w:p>
        </w:tc>
      </w:tr>
      <w:tr>
        <w:trPr>
          <w:trHeight w:val="251"/>
        </w:trPr>
        <w:tc>
          <w:tcPr>
            <w:tcW w:w="7460" w:type="dxa"/>
            <w:vAlign w:val="bottom"/>
            <w:tcBorders>
              <w:bottom w:val="single" w:sz="8" w:color="CFEBF4"/>
            </w:tcBorders>
            <w:shd w:val="clear" w:color="auto" w:fill="CFEBF4"/>
          </w:tcPr>
          <w:p>
            <w:pPr>
              <w:ind w:left="620"/>
              <w:spacing w:after="0" w:line="211" w:lineRule="exact"/>
              <w:rPr>
                <w:sz w:val="20"/>
                <w:szCs w:val="20"/>
                <w:color w:val="auto"/>
              </w:rPr>
            </w:pPr>
            <w:r>
              <w:rPr>
                <w:rFonts w:ascii="Times New Roman" w:cs="Times New Roman" w:eastAsia="Times New Roman" w:hAnsi="Times New Roman"/>
                <w:sz w:val="20"/>
                <w:szCs w:val="20"/>
                <w:color w:val="231F20"/>
              </w:rPr>
              <w:t>Total liabilities and stockholders’ equity</w:t>
            </w:r>
          </w:p>
        </w:tc>
        <w:tc>
          <w:tcPr>
            <w:tcW w:w="160" w:type="dxa"/>
            <w:vAlign w:val="bottom"/>
            <w:tcBorders>
              <w:bottom w:val="single" w:sz="8" w:color="231F20"/>
            </w:tcBorders>
            <w:shd w:val="clear" w:color="auto" w:fill="CFEBF4"/>
          </w:tcPr>
          <w:p>
            <w:pPr>
              <w:jc w:val="right"/>
              <w:spacing w:after="0" w:line="211" w:lineRule="exact"/>
              <w:rPr>
                <w:sz w:val="20"/>
                <w:szCs w:val="20"/>
                <w:color w:val="auto"/>
              </w:rPr>
            </w:pPr>
            <w:r>
              <w:rPr>
                <w:rFonts w:ascii="Times New Roman" w:cs="Times New Roman" w:eastAsia="Times New Roman" w:hAnsi="Times New Roman"/>
                <w:sz w:val="20"/>
                <w:szCs w:val="20"/>
                <w:color w:val="231F20"/>
              </w:rPr>
              <w:t>$</w:t>
            </w:r>
          </w:p>
        </w:tc>
        <w:tc>
          <w:tcPr>
            <w:tcW w:w="1140" w:type="dxa"/>
            <w:vAlign w:val="bottom"/>
            <w:tcBorders>
              <w:bottom w:val="single" w:sz="8" w:color="231F20"/>
            </w:tcBorders>
            <w:shd w:val="clear" w:color="auto" w:fill="CFEBF4"/>
          </w:tcPr>
          <w:p>
            <w:pPr>
              <w:jc w:val="right"/>
              <w:spacing w:after="0" w:line="211" w:lineRule="exact"/>
              <w:rPr>
                <w:sz w:val="20"/>
                <w:szCs w:val="20"/>
                <w:color w:val="auto"/>
              </w:rPr>
            </w:pPr>
            <w:r>
              <w:rPr>
                <w:rFonts w:ascii="Times New Roman" w:cs="Times New Roman" w:eastAsia="Times New Roman" w:hAnsi="Times New Roman"/>
                <w:sz w:val="20"/>
                <w:szCs w:val="20"/>
                <w:color w:val="231F20"/>
              </w:rPr>
              <w:t>16,494.9</w:t>
            </w:r>
          </w:p>
        </w:tc>
        <w:tc>
          <w:tcPr>
            <w:tcW w:w="60" w:type="dxa"/>
            <w:vAlign w:val="bottom"/>
            <w:tcBorders>
              <w:bottom w:val="single" w:sz="8" w:color="CFEBF4"/>
            </w:tcBorders>
            <w:shd w:val="clear" w:color="auto" w:fill="CFEBF4"/>
          </w:tcPr>
          <w:p>
            <w:pPr>
              <w:spacing w:after="0"/>
              <w:rPr>
                <w:sz w:val="21"/>
                <w:szCs w:val="21"/>
                <w:color w:val="auto"/>
              </w:rPr>
            </w:pPr>
          </w:p>
        </w:tc>
        <w:tc>
          <w:tcPr>
            <w:tcW w:w="320" w:type="dxa"/>
            <w:vAlign w:val="bottom"/>
            <w:tcBorders>
              <w:bottom w:val="single" w:sz="8" w:color="231F20"/>
            </w:tcBorders>
            <w:shd w:val="clear" w:color="auto" w:fill="CFEBF4"/>
          </w:tcPr>
          <w:p>
            <w:pPr>
              <w:jc w:val="right"/>
              <w:ind w:right="61"/>
              <w:spacing w:after="0" w:line="211"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line="211" w:lineRule="exact"/>
              <w:rPr>
                <w:sz w:val="20"/>
                <w:szCs w:val="20"/>
                <w:color w:val="auto"/>
              </w:rPr>
            </w:pPr>
            <w:r>
              <w:rPr>
                <w:rFonts w:ascii="Times New Roman" w:cs="Times New Roman" w:eastAsia="Times New Roman" w:hAnsi="Times New Roman"/>
                <w:sz w:val="20"/>
                <w:szCs w:val="20"/>
                <w:color w:val="231F20"/>
              </w:rPr>
              <w:t>15,061.4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-6254750</wp:posOffset>
            </wp:positionV>
            <wp:extent cx="88836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-5137785</wp:posOffset>
            </wp:positionV>
            <wp:extent cx="888365"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-4991100</wp:posOffset>
            </wp:positionV>
            <wp:extent cx="1729740" cy="74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1729740" cy="7493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-4002405</wp:posOffset>
            </wp:positionV>
            <wp:extent cx="888365"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-3074035</wp:posOffset>
            </wp:positionV>
            <wp:extent cx="888365"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-681355</wp:posOffset>
            </wp:positionV>
            <wp:extent cx="888365" cy="50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-361950</wp:posOffset>
            </wp:positionV>
            <wp:extent cx="888365"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-202565</wp:posOffset>
            </wp:positionV>
            <wp:extent cx="888365" cy="5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-55880</wp:posOffset>
            </wp:positionV>
            <wp:extent cx="1729740" cy="749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extLst>
                    </a:blip>
                    <a:srcRect/>
                    <a:stretch>
                      <a:fillRect/>
                    </a:stretch>
                  </pic:blipFill>
                  <pic:spPr bwMode="auto">
                    <a:xfrm>
                      <a:off x="0" y="0"/>
                      <a:ext cx="1729740" cy="7493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1880" w:h="15480" w:orient="portrait"/>
          <w:cols w:equalWidth="0" w:num="1">
            <w:col w:w="10120"/>
          </w:cols>
          <w:pgMar w:left="880" w:top="52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120"/>
          </w:cols>
          <w:pgMar w:left="880" w:top="521" w:right="88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INCOME AND COMPREHENSIVE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880" w:type="dxa"/>
            <w:vAlign w:val="bottom"/>
            <w:tcBorders>
              <w:bottom w:val="single" w:sz="8" w:color="231F20"/>
            </w:tcBorders>
            <w:gridSpan w:val="6"/>
          </w:tcPr>
          <w:p>
            <w:pPr>
              <w:jc w:val="center"/>
              <w:ind w:left="423"/>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820" w:type="dxa"/>
            <w:vAlign w:val="bottom"/>
            <w:tcBorders>
              <w:bottom w:val="single" w:sz="8" w:color="231F20"/>
            </w:tcBorders>
          </w:tcPr>
          <w:p>
            <w:pPr>
              <w:spacing w:after="0"/>
              <w:rPr>
                <w:sz w:val="20"/>
                <w:szCs w:val="20"/>
                <w:color w:val="auto"/>
              </w:rPr>
            </w:pPr>
          </w:p>
        </w:tc>
      </w:tr>
      <w:tr>
        <w:trPr>
          <w:trHeight w:val="231"/>
        </w:trPr>
        <w:tc>
          <w:tcPr>
            <w:tcW w:w="60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202"/>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w w:val="94"/>
              </w:rPr>
              <w:t>2023</w:t>
            </w:r>
          </w:p>
        </w:tc>
      </w:tr>
      <w:tr>
        <w:trPr>
          <w:trHeight w:val="233"/>
        </w:trPr>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6"/>
          </w:tcPr>
          <w:p>
            <w:pPr>
              <w:jc w:val="center"/>
              <w:ind w:left="443"/>
              <w:spacing w:after="0"/>
              <w:rPr>
                <w:sz w:val="20"/>
                <w:szCs w:val="20"/>
                <w:color w:val="auto"/>
              </w:rPr>
            </w:pPr>
            <w:r>
              <w:rPr>
                <w:rFonts w:ascii="Times New Roman" w:cs="Times New Roman" w:eastAsia="Times New Roman" w:hAnsi="Times New Roman"/>
                <w:sz w:val="16"/>
                <w:szCs w:val="16"/>
                <w:b w:val="1"/>
                <w:bCs w:val="1"/>
                <w:color w:val="231F20"/>
                <w:w w:val="98"/>
              </w:rPr>
              <w:t>(In millions, except per share data)</w:t>
            </w:r>
          </w:p>
        </w:tc>
        <w:tc>
          <w:tcPr>
            <w:tcW w:w="820" w:type="dxa"/>
            <w:vAlign w:val="bottom"/>
          </w:tcPr>
          <w:p>
            <w:pPr>
              <w:spacing w:after="0"/>
              <w:rPr>
                <w:sz w:val="20"/>
                <w:szCs w:val="20"/>
                <w:color w:val="auto"/>
              </w:rPr>
            </w:pPr>
          </w:p>
        </w:tc>
      </w:tr>
      <w:tr>
        <w:trPr>
          <w:trHeight w:val="303"/>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Net sales</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23,510.9</w:t>
            </w:r>
          </w:p>
        </w:tc>
        <w:tc>
          <w:tcPr>
            <w:tcW w:w="380" w:type="dxa"/>
            <w:vAlign w:val="bottom"/>
            <w:gridSpan w:val="2"/>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21,818.8</w:t>
            </w:r>
          </w:p>
        </w:tc>
        <w:tc>
          <w:tcPr>
            <w:tcW w:w="540" w:type="dxa"/>
            <w:vAlign w:val="bottom"/>
            <w:gridSpan w:val="2"/>
            <w:shd w:val="clear" w:color="auto" w:fill="CFEBF4"/>
          </w:tcPr>
          <w:p>
            <w:pPr>
              <w:jc w:val="right"/>
              <w:ind w:right="201"/>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22,385.2</w:t>
            </w:r>
          </w:p>
        </w:tc>
      </w:tr>
      <w:tr>
        <w:trPr>
          <w:trHeight w:val="290"/>
        </w:trPr>
        <w:tc>
          <w:tcPr>
            <w:tcW w:w="6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Cost of goods sold (excluding depreciation and amortization)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18,538.9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17,106.2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17,541.5</w:t>
            </w:r>
          </w:p>
        </w:tc>
      </w:tr>
      <w:tr>
        <w:trPr>
          <w:trHeight w:val="301"/>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3,541.4</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3,306.2</w:t>
            </w: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3,256.0</w:t>
            </w:r>
          </w:p>
        </w:tc>
      </w:tr>
      <w:tr>
        <w:trPr>
          <w:trHeight w:val="285"/>
        </w:trPr>
        <w:tc>
          <w:tcPr>
            <w:tcW w:w="608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197.6</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183.2</w:t>
            </w:r>
          </w:p>
        </w:tc>
        <w:tc>
          <w:tcPr>
            <w:tcW w:w="80" w:type="dxa"/>
            <w:vAlign w:val="bottom"/>
            <w:tcBorders>
              <w:bottom w:val="single" w:sz="8" w:color="CFEBF4"/>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181.3</w:t>
            </w:r>
          </w:p>
        </w:tc>
      </w:tr>
      <w:tr>
        <w:trPr>
          <w:trHeight w:val="286"/>
        </w:trPr>
        <w:tc>
          <w:tcPr>
            <w:tcW w:w="60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Income from operations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1,233.0</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1,223.2</w:t>
            </w: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1,406.4</w:t>
            </w:r>
          </w:p>
        </w:tc>
      </w:tr>
      <w:tr>
        <w:trPr>
          <w:trHeight w:val="290"/>
        </w:trPr>
        <w:tc>
          <w:tcPr>
            <w:tcW w:w="6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Interest expense, net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389.3</w:t>
            </w:r>
          </w:p>
        </w:tc>
      </w:tr>
      <w:tr>
        <w:trPr>
          <w:trHeight w:val="291"/>
        </w:trPr>
        <w:tc>
          <w:tcPr>
            <w:tcW w:w="60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Other (income) expense, net</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(92.7)</w:t>
            </w:r>
          </w:p>
        </w:tc>
        <w:tc>
          <w:tcPr>
            <w:tcW w:w="80" w:type="dxa"/>
            <w:vAlign w:val="bottom"/>
            <w:tcBorders>
              <w:bottom w:val="single" w:sz="8" w:color="CFEBF4"/>
            </w:tcBorders>
            <w:shd w:val="clear" w:color="auto" w:fill="CFEBF4"/>
          </w:tcPr>
          <w:p>
            <w:pPr>
              <w:spacing w:after="0"/>
              <w:rPr>
                <w:sz w:val="24"/>
                <w:szCs w:val="24"/>
                <w:color w:val="auto"/>
              </w:rPr>
            </w:pPr>
          </w:p>
        </w:tc>
        <w:tc>
          <w:tcPr>
            <w:tcW w:w="460" w:type="dxa"/>
            <w:vAlign w:val="bottom"/>
            <w:tcBorders>
              <w:bottom w:val="single" w:sz="8" w:color="231F20"/>
            </w:tcBorders>
            <w:shd w:val="clear" w:color="auto" w:fill="CFEBF4"/>
          </w:tcPr>
          <w:p>
            <w:pPr>
              <w:spacing w:after="0"/>
              <w:rPr>
                <w:sz w:val="24"/>
                <w:szCs w:val="24"/>
                <w:color w:val="auto"/>
              </w:rPr>
            </w:pPr>
          </w:p>
        </w:tc>
        <w:tc>
          <w:tcPr>
            <w:tcW w:w="8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25.1</w:t>
            </w:r>
          </w:p>
        </w:tc>
      </w:tr>
      <w:tr>
        <w:trPr>
          <w:trHeight w:val="280"/>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951.0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992.0</w:t>
            </w:r>
          </w:p>
        </w:tc>
      </w:tr>
      <w:tr>
        <w:trPr>
          <w:trHeight w:val="291"/>
        </w:trPr>
        <w:tc>
          <w:tcPr>
            <w:tcW w:w="60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213.4</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231.6</w:t>
            </w:r>
          </w:p>
        </w:tc>
        <w:tc>
          <w:tcPr>
            <w:tcW w:w="80" w:type="dxa"/>
            <w:vAlign w:val="bottom"/>
            <w:tcBorders>
              <w:bottom w:val="single" w:sz="8" w:color="CFEBF4"/>
            </w:tcBorders>
            <w:shd w:val="clear" w:color="auto" w:fill="CFEBF4"/>
          </w:tcPr>
          <w:p>
            <w:pPr>
              <w:spacing w:after="0"/>
              <w:rPr>
                <w:sz w:val="24"/>
                <w:szCs w:val="24"/>
                <w:color w:val="auto"/>
              </w:rPr>
            </w:pPr>
          </w:p>
        </w:tc>
        <w:tc>
          <w:tcPr>
            <w:tcW w:w="460" w:type="dxa"/>
            <w:vAlign w:val="bottom"/>
            <w:tcBorders>
              <w:bottom w:val="single" w:sz="8" w:color="231F20"/>
            </w:tcBorders>
            <w:shd w:val="clear" w:color="auto" w:fill="CFEBF4"/>
          </w:tcPr>
          <w:p>
            <w:pPr>
              <w:spacing w:after="0"/>
              <w:rPr>
                <w:sz w:val="24"/>
                <w:szCs w:val="24"/>
                <w:color w:val="auto"/>
              </w:rPr>
            </w:pPr>
          </w:p>
        </w:tc>
        <w:tc>
          <w:tcPr>
            <w:tcW w:w="8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225.9</w:t>
            </w:r>
          </w:p>
        </w:tc>
      </w:tr>
      <w:tr>
        <w:trPr>
          <w:trHeight w:val="280"/>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Net income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719.4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766.1</w:t>
            </w:r>
          </w:p>
        </w:tc>
      </w:tr>
      <w:tr>
        <w:trPr>
          <w:trHeight w:val="291"/>
        </w:trPr>
        <w:tc>
          <w:tcPr>
            <w:tcW w:w="60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Less: Net income attributable to noncontrolling interests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Borders>
              <w:bottom w:val="single" w:sz="8" w:color="CFEBF4"/>
            </w:tcBorders>
            <w:shd w:val="clear" w:color="auto" w:fill="CFEBF4"/>
          </w:tcPr>
          <w:p>
            <w:pPr>
              <w:spacing w:after="0"/>
              <w:rPr>
                <w:sz w:val="24"/>
                <w:szCs w:val="24"/>
                <w:color w:val="auto"/>
              </w:rPr>
            </w:pPr>
          </w:p>
        </w:tc>
        <w:tc>
          <w:tcPr>
            <w:tcW w:w="460" w:type="dxa"/>
            <w:vAlign w:val="bottom"/>
            <w:tcBorders>
              <w:bottom w:val="single" w:sz="8" w:color="231F20"/>
            </w:tcBorders>
            <w:shd w:val="clear" w:color="auto" w:fill="CFEBF4"/>
          </w:tcPr>
          <w:p>
            <w:pPr>
              <w:spacing w:after="0"/>
              <w:rPr>
                <w:sz w:val="24"/>
                <w:szCs w:val="24"/>
                <w:color w:val="auto"/>
              </w:rPr>
            </w:pPr>
          </w:p>
        </w:tc>
        <w:tc>
          <w:tcPr>
            <w:tcW w:w="8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0.6</w:t>
            </w:r>
          </w:p>
        </w:tc>
      </w:tr>
      <w:tr>
        <w:trPr>
          <w:trHeight w:val="280"/>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Net income attributable to WESCO International, Inc.</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717.6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765.5</w:t>
            </w:r>
          </w:p>
        </w:tc>
      </w:tr>
      <w:tr>
        <w:trPr>
          <w:trHeight w:val="301"/>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Plus: Gain on redemption of Series A Preferred Stock</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32.9</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608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Less: Preferred stock dividends</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80" w:type="dxa"/>
            <w:vAlign w:val="bottom"/>
            <w:tcBorders>
              <w:bottom w:val="single" w:sz="8" w:color="CFEBF4"/>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w:t>
            </w:r>
          </w:p>
        </w:tc>
      </w:tr>
      <w:tr>
        <w:trPr>
          <w:trHeight w:val="295"/>
        </w:trPr>
        <w:tc>
          <w:tcPr>
            <w:tcW w:w="6080" w:type="dxa"/>
            <w:vAlign w:val="bottom"/>
            <w:shd w:val="clear" w:color="auto" w:fill="CFEBF4"/>
          </w:tcPr>
          <w:p>
            <w:pPr>
              <w:ind w:left="220"/>
              <w:spacing w:after="0"/>
              <w:rPr>
                <w:sz w:val="20"/>
                <w:szCs w:val="20"/>
                <w:color w:val="auto"/>
              </w:rPr>
            </w:pPr>
            <w:r>
              <w:rPr>
                <w:rFonts w:ascii="Times New Roman" w:cs="Times New Roman" w:eastAsia="Times New Roman" w:hAnsi="Times New Roman"/>
                <w:sz w:val="20"/>
                <w:szCs w:val="20"/>
                <w:color w:val="231F20"/>
              </w:rPr>
              <w:t>Net income attributable to common stockholders</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645.8</w:t>
            </w:r>
          </w:p>
        </w:tc>
        <w:tc>
          <w:tcPr>
            <w:tcW w:w="380" w:type="dxa"/>
            <w:vAlign w:val="bottom"/>
            <w:gridSpan w:val="2"/>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660.2</w:t>
            </w:r>
          </w:p>
        </w:tc>
        <w:tc>
          <w:tcPr>
            <w:tcW w:w="540" w:type="dxa"/>
            <w:vAlign w:val="bottom"/>
            <w:gridSpan w:val="2"/>
            <w:shd w:val="clear" w:color="auto" w:fill="CFEBF4"/>
          </w:tcPr>
          <w:p>
            <w:pPr>
              <w:jc w:val="right"/>
              <w:ind w:right="201"/>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708.1</w:t>
            </w:r>
          </w:p>
        </w:tc>
      </w:tr>
      <w:tr>
        <w:trPr>
          <w:trHeight w:val="266"/>
        </w:trPr>
        <w:tc>
          <w:tcPr>
            <w:tcW w:w="6080" w:type="dxa"/>
            <w:vAlign w:val="bottom"/>
            <w:tcBorders>
              <w:top w:val="single" w:sz="8" w:color="CFEBF4"/>
            </w:tcBorders>
          </w:tcPr>
          <w:p>
            <w:pPr>
              <w:spacing w:after="0"/>
              <w:rPr>
                <w:sz w:val="23"/>
                <w:szCs w:val="23"/>
                <w:color w:val="auto"/>
              </w:rPr>
            </w:pPr>
          </w:p>
        </w:tc>
        <w:tc>
          <w:tcPr>
            <w:tcW w:w="300" w:type="dxa"/>
            <w:vAlign w:val="bottom"/>
            <w:tcBorders>
              <w:top w:val="single" w:sz="8" w:color="231F20"/>
            </w:tcBorders>
          </w:tcPr>
          <w:p>
            <w:pPr>
              <w:spacing w:after="0"/>
              <w:rPr>
                <w:sz w:val="23"/>
                <w:szCs w:val="23"/>
                <w:color w:val="auto"/>
              </w:rPr>
            </w:pPr>
          </w:p>
        </w:tc>
        <w:tc>
          <w:tcPr>
            <w:tcW w:w="980" w:type="dxa"/>
            <w:vAlign w:val="bottom"/>
            <w:tcBorders>
              <w:top w:val="single" w:sz="8" w:color="231F20"/>
            </w:tcBorders>
          </w:tcPr>
          <w:p>
            <w:pPr>
              <w:spacing w:after="0"/>
              <w:rPr>
                <w:sz w:val="23"/>
                <w:szCs w:val="23"/>
                <w:color w:val="auto"/>
              </w:rPr>
            </w:pPr>
          </w:p>
        </w:tc>
        <w:tc>
          <w:tcPr>
            <w:tcW w:w="80" w:type="dxa"/>
            <w:vAlign w:val="bottom"/>
            <w:tcBorders>
              <w:top w:val="single" w:sz="8" w:color="CFEBF4"/>
            </w:tcBorders>
          </w:tcPr>
          <w:p>
            <w:pPr>
              <w:spacing w:after="0"/>
              <w:rPr>
                <w:sz w:val="23"/>
                <w:szCs w:val="23"/>
                <w:color w:val="auto"/>
              </w:rPr>
            </w:pPr>
          </w:p>
        </w:tc>
        <w:tc>
          <w:tcPr>
            <w:tcW w:w="300" w:type="dxa"/>
            <w:vAlign w:val="bottom"/>
            <w:tcBorders>
              <w:top w:val="single" w:sz="8" w:color="231F20"/>
            </w:tcBorders>
          </w:tcPr>
          <w:p>
            <w:pPr>
              <w:spacing w:after="0"/>
              <w:rPr>
                <w:sz w:val="23"/>
                <w:szCs w:val="23"/>
                <w:color w:val="auto"/>
              </w:rPr>
            </w:pPr>
          </w:p>
        </w:tc>
        <w:tc>
          <w:tcPr>
            <w:tcW w:w="980" w:type="dxa"/>
            <w:vAlign w:val="bottom"/>
            <w:tcBorders>
              <w:top w:val="single" w:sz="8" w:color="231F20"/>
            </w:tcBorders>
          </w:tcPr>
          <w:p>
            <w:pPr>
              <w:spacing w:after="0"/>
              <w:rPr>
                <w:sz w:val="23"/>
                <w:szCs w:val="23"/>
                <w:color w:val="auto"/>
              </w:rPr>
            </w:pPr>
          </w:p>
        </w:tc>
        <w:tc>
          <w:tcPr>
            <w:tcW w:w="80" w:type="dxa"/>
            <w:vAlign w:val="bottom"/>
            <w:tcBorders>
              <w:top w:val="single" w:sz="8" w:color="CFEBF4"/>
            </w:tcBorders>
          </w:tcPr>
          <w:p>
            <w:pPr>
              <w:spacing w:after="0"/>
              <w:rPr>
                <w:sz w:val="23"/>
                <w:szCs w:val="23"/>
                <w:color w:val="auto"/>
              </w:rPr>
            </w:pPr>
          </w:p>
        </w:tc>
        <w:tc>
          <w:tcPr>
            <w:tcW w:w="460" w:type="dxa"/>
            <w:vAlign w:val="bottom"/>
            <w:tcBorders>
              <w:top w:val="single" w:sz="8" w:color="231F20"/>
            </w:tcBorders>
          </w:tcPr>
          <w:p>
            <w:pPr>
              <w:spacing w:after="0"/>
              <w:rPr>
                <w:sz w:val="23"/>
                <w:szCs w:val="23"/>
                <w:color w:val="auto"/>
              </w:rPr>
            </w:pPr>
          </w:p>
        </w:tc>
        <w:tc>
          <w:tcPr>
            <w:tcW w:w="820" w:type="dxa"/>
            <w:vAlign w:val="bottom"/>
            <w:tcBorders>
              <w:top w:val="single" w:sz="8" w:color="231F20"/>
            </w:tcBorders>
          </w:tcPr>
          <w:p>
            <w:pPr>
              <w:spacing w:after="0"/>
              <w:rPr>
                <w:sz w:val="23"/>
                <w:szCs w:val="23"/>
                <w:color w:val="auto"/>
              </w:rPr>
            </w:pPr>
          </w:p>
        </w:tc>
      </w:tr>
      <w:tr>
        <w:trPr>
          <w:trHeight w:val="296"/>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Earnings per share attributable to common stockholders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spacing w:after="0"/>
              <w:rPr>
                <w:sz w:val="24"/>
                <w:szCs w:val="24"/>
                <w:color w:val="auto"/>
              </w:rPr>
            </w:pPr>
          </w:p>
        </w:tc>
      </w:tr>
      <w:tr>
        <w:trPr>
          <w:trHeight w:val="290"/>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Basic</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13.26</w:t>
            </w:r>
          </w:p>
        </w:tc>
        <w:tc>
          <w:tcPr>
            <w:tcW w:w="3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13.26</w:t>
            </w:r>
          </w:p>
        </w:tc>
        <w:tc>
          <w:tcPr>
            <w:tcW w:w="5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13.86</w:t>
            </w:r>
          </w:p>
        </w:tc>
      </w:tr>
      <w:tr>
        <w:trPr>
          <w:trHeight w:val="301"/>
        </w:trPr>
        <w:tc>
          <w:tcPr>
            <w:tcW w:w="60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Diluted</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380" w:type="dxa"/>
            <w:vAlign w:val="bottom"/>
            <w:gridSpan w:val="2"/>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540" w:type="dxa"/>
            <w:vAlign w:val="bottom"/>
            <w:gridSpan w:val="2"/>
            <w:shd w:val="clear" w:color="auto" w:fill="CFEBF4"/>
          </w:tcPr>
          <w:p>
            <w:pPr>
              <w:jc w:val="right"/>
              <w:ind w:right="201"/>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13.54</w:t>
            </w:r>
          </w:p>
        </w:tc>
      </w:tr>
      <w:tr>
        <w:trPr>
          <w:trHeight w:val="296"/>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5"/>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Other comprehensive income (loss):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spacing w:after="0"/>
              <w:rPr>
                <w:sz w:val="24"/>
                <w:szCs w:val="24"/>
                <w:color w:val="auto"/>
              </w:rPr>
            </w:pPr>
          </w:p>
        </w:tc>
      </w:tr>
      <w:tr>
        <w:trPr>
          <w:trHeight w:val="290"/>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Foreign currency translation adjustments and other</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(228.7)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w:t>
            </w:r>
          </w:p>
        </w:tc>
      </w:tr>
      <w:tr>
        <w:trPr>
          <w:trHeight w:val="291"/>
        </w:trPr>
        <w:tc>
          <w:tcPr>
            <w:tcW w:w="6080" w:type="dxa"/>
            <w:vAlign w:val="bottom"/>
            <w:tcBorders>
              <w:bottom w:val="single" w:sz="8" w:color="CFEBF4"/>
            </w:tcBorders>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Post-retirement benefit plan adjustments, net of tax</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80" w:type="dxa"/>
            <w:vAlign w:val="bottom"/>
            <w:tcBorders>
              <w:bottom w:val="single" w:sz="8" w:color="CFEBF4"/>
            </w:tcBorders>
            <w:shd w:val="clear" w:color="auto" w:fill="CFEBF4"/>
          </w:tcPr>
          <w:p>
            <w:pPr>
              <w:spacing w:after="0"/>
              <w:rPr>
                <w:sz w:val="24"/>
                <w:szCs w:val="24"/>
                <w:color w:val="auto"/>
              </w:rPr>
            </w:pPr>
          </w:p>
        </w:tc>
        <w:tc>
          <w:tcPr>
            <w:tcW w:w="460" w:type="dxa"/>
            <w:vAlign w:val="bottom"/>
            <w:tcBorders>
              <w:bottom w:val="single" w:sz="8" w:color="231F20"/>
            </w:tcBorders>
            <w:shd w:val="clear" w:color="auto" w:fill="CFEBF4"/>
          </w:tcPr>
          <w:p>
            <w:pPr>
              <w:spacing w:after="0"/>
              <w:rPr>
                <w:sz w:val="24"/>
                <w:szCs w:val="24"/>
                <w:color w:val="auto"/>
              </w:rPr>
            </w:pPr>
          </w:p>
        </w:tc>
        <w:tc>
          <w:tcPr>
            <w:tcW w:w="8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(11.3)</w:t>
            </w:r>
          </w:p>
        </w:tc>
      </w:tr>
      <w:tr>
        <w:trPr>
          <w:trHeight w:val="276"/>
        </w:trPr>
        <w:tc>
          <w:tcPr>
            <w:tcW w:w="6080" w:type="dxa"/>
            <w:vAlign w:val="bottom"/>
            <w:tcBorders>
              <w:bottom w:val="single" w:sz="8" w:color="CFEBF4"/>
            </w:tcBorders>
          </w:tcPr>
          <w:p>
            <w:pPr>
              <w:ind w:left="260"/>
              <w:spacing w:after="0"/>
              <w:rPr>
                <w:sz w:val="20"/>
                <w:szCs w:val="20"/>
                <w:color w:val="auto"/>
              </w:rPr>
            </w:pPr>
            <w:r>
              <w:rPr>
                <w:rFonts w:ascii="Times New Roman" w:cs="Times New Roman" w:eastAsia="Times New Roman" w:hAnsi="Times New Roman"/>
                <w:sz w:val="20"/>
                <w:szCs w:val="20"/>
                <w:color w:val="231F20"/>
              </w:rPr>
              <w:t>Other comprehensive income (loss)</w:t>
            </w: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147.7</w:t>
            </w:r>
          </w:p>
        </w:tc>
        <w:tc>
          <w:tcPr>
            <w:tcW w:w="80" w:type="dxa"/>
            <w:vAlign w:val="bottom"/>
            <w:tcBorders>
              <w:bottom w:val="single" w:sz="8" w:color="CFEBF4"/>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(215.2)</w:t>
            </w:r>
          </w:p>
        </w:tc>
        <w:tc>
          <w:tcPr>
            <w:tcW w:w="80" w:type="dxa"/>
            <w:vAlign w:val="bottom"/>
            <w:tcBorders>
              <w:bottom w:val="single" w:sz="8" w:color="CFEBF4"/>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45.8</w:t>
            </w:r>
          </w:p>
        </w:tc>
      </w:tr>
      <w:tr>
        <w:trPr>
          <w:trHeight w:val="286"/>
        </w:trPr>
        <w:tc>
          <w:tcPr>
            <w:tcW w:w="6080" w:type="dxa"/>
            <w:vAlign w:val="bottom"/>
            <w:shd w:val="clear" w:color="auto" w:fill="CFEBF4"/>
          </w:tcPr>
          <w:p>
            <w:pPr>
              <w:ind w:left="140"/>
              <w:spacing w:after="0"/>
              <w:rPr>
                <w:sz w:val="20"/>
                <w:szCs w:val="20"/>
                <w:color w:val="auto"/>
              </w:rPr>
            </w:pPr>
            <w:r>
              <w:rPr>
                <w:rFonts w:ascii="Times New Roman" w:cs="Times New Roman" w:eastAsia="Times New Roman" w:hAnsi="Times New Roman"/>
                <w:sz w:val="20"/>
                <w:szCs w:val="20"/>
                <w:color w:val="231F20"/>
              </w:rPr>
              <w:t>Comprehensive income</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790.2</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504.2</w:t>
            </w: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811.9</w:t>
            </w:r>
          </w:p>
        </w:tc>
      </w:tr>
      <w:tr>
        <w:trPr>
          <w:trHeight w:val="290"/>
        </w:trPr>
        <w:tc>
          <w:tcPr>
            <w:tcW w:w="6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 Comprehensive income attributable to noncontrolling interests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0.6</w:t>
            </w:r>
          </w:p>
        </w:tc>
      </w:tr>
      <w:tr>
        <w:trPr>
          <w:trHeight w:val="301"/>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Plus: Gain on redemption of Series A Preferred Stock</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32.9</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46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608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Less: Preferred stock dividends</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80" w:type="dxa"/>
            <w:vAlign w:val="bottom"/>
            <w:tcBorders>
              <w:bottom w:val="single" w:sz="8" w:color="CFEBF4"/>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w:t>
            </w:r>
          </w:p>
        </w:tc>
      </w:tr>
      <w:tr>
        <w:trPr>
          <w:trHeight w:val="295"/>
        </w:trPr>
        <w:tc>
          <w:tcPr>
            <w:tcW w:w="6080" w:type="dxa"/>
            <w:vAlign w:val="bottom"/>
            <w:tcBorders>
              <w:bottom w:val="single" w:sz="8" w:color="CFEBF4"/>
            </w:tcBorders>
            <w:shd w:val="clear" w:color="auto" w:fill="CFEBF4"/>
          </w:tcPr>
          <w:p>
            <w:pPr>
              <w:ind w:left="140"/>
              <w:spacing w:after="0"/>
              <w:rPr>
                <w:sz w:val="20"/>
                <w:szCs w:val="20"/>
                <w:color w:val="auto"/>
              </w:rPr>
            </w:pPr>
            <w:r>
              <w:rPr>
                <w:rFonts w:ascii="Times New Roman" w:cs="Times New Roman" w:eastAsia="Times New Roman" w:hAnsi="Times New Roman"/>
                <w:sz w:val="20"/>
                <w:szCs w:val="20"/>
                <w:color w:val="231F20"/>
              </w:rPr>
              <w:t>Comprehensive income attributable to common stockholders</w:t>
            </w:r>
          </w:p>
        </w:tc>
        <w:tc>
          <w:tcPr>
            <w:tcW w:w="300" w:type="dxa"/>
            <w:vAlign w:val="bottom"/>
            <w:tcBorders>
              <w:bottom w:val="single" w:sz="8" w:color="231F20"/>
            </w:tcBorders>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793.5</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445.0</w:t>
            </w:r>
          </w:p>
        </w:tc>
        <w:tc>
          <w:tcPr>
            <w:tcW w:w="80" w:type="dxa"/>
            <w:vAlign w:val="bottom"/>
            <w:tcBorders>
              <w:bottom w:val="single" w:sz="8" w:color="CFEBF4"/>
            </w:tcBorders>
            <w:shd w:val="clear" w:color="auto" w:fill="CFEBF4"/>
          </w:tcPr>
          <w:p>
            <w:pPr>
              <w:spacing w:after="0"/>
              <w:rPr>
                <w:sz w:val="24"/>
                <w:szCs w:val="24"/>
                <w:color w:val="auto"/>
              </w:rPr>
            </w:pPr>
          </w:p>
        </w:tc>
        <w:tc>
          <w:tcPr>
            <w:tcW w:w="460" w:type="dxa"/>
            <w:vAlign w:val="bottom"/>
            <w:tcBorders>
              <w:bottom w:val="single" w:sz="8" w:color="231F20"/>
            </w:tcBorders>
            <w:shd w:val="clear" w:color="auto" w:fill="CFEBF4"/>
          </w:tcPr>
          <w:p>
            <w:pPr>
              <w:jc w:val="right"/>
              <w:ind w:right="201"/>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-4734560</wp:posOffset>
            </wp:positionV>
            <wp:extent cx="1751330"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-4171315</wp:posOffset>
            </wp:positionV>
            <wp:extent cx="175133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-3796030</wp:posOffset>
            </wp:positionV>
            <wp:extent cx="1751330"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-3420745</wp:posOffset>
            </wp:positionV>
            <wp:extent cx="175133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-2858135</wp:posOffset>
            </wp:positionV>
            <wp:extent cx="1751330"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-2682875</wp:posOffset>
            </wp:positionV>
            <wp:extent cx="2592705" cy="74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1">
                      <a:extLst>
                        <a:ext uri="{28A0092B-C50C-407E-A947-70E740481C1C}"/>
                      </a:extLst>
                    </a:blip>
                    <a:srcRect/>
                    <a:stretch>
                      <a:fillRect/>
                    </a:stretch>
                  </pic:blipFill>
                  <pic:spPr bwMode="auto">
                    <a:xfrm>
                      <a:off x="0" y="0"/>
                      <a:ext cx="2592705" cy="749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-1169035</wp:posOffset>
            </wp:positionV>
            <wp:extent cx="1751330"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2">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-981710</wp:posOffset>
            </wp:positionV>
            <wp:extent cx="1751330"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-231140</wp:posOffset>
            </wp:positionV>
            <wp:extent cx="1751330"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-55880</wp:posOffset>
            </wp:positionV>
            <wp:extent cx="2592705" cy="74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a:extLst>
                        <a:ext uri="{28A0092B-C50C-407E-A947-70E740481C1C}"/>
                      </a:extLst>
                    </a:blip>
                    <a:srcRect/>
                    <a:stretch>
                      <a:fillRect/>
                    </a:stretch>
                  </pic:blipFill>
                  <pic:spPr bwMode="auto">
                    <a:xfrm>
                      <a:off x="0" y="0"/>
                      <a:ext cx="2592705" cy="749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1880" w:h="15480" w:orient="portrait"/>
          <w:cols w:equalWidth="0" w:num="1">
            <w:col w:w="10080"/>
          </w:cols>
          <w:pgMar w:left="900" w:top="52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080"/>
          </w:cols>
          <w:pgMar w:left="900" w:top="521" w:right="900" w:bottom="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231F20"/>
              </w:rPr>
              <w:t>48</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b w:val="1"/>
          <w:bCs w:val="1"/>
          <w:color w:val="231F20"/>
        </w:rPr>
        <w:t>WESCO INTERNATIONAL,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STOCKHOLDERS’ EQUITY</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jc w:val="center"/>
              <w:ind w:right="125"/>
              <w:spacing w:after="0"/>
              <w:rPr>
                <w:sz w:val="20"/>
                <w:szCs w:val="20"/>
                <w:color w:val="auto"/>
              </w:rPr>
            </w:pPr>
            <w:r>
              <w:rPr>
                <w:rFonts w:ascii="Times New Roman" w:cs="Times New Roman" w:eastAsia="Times New Roman" w:hAnsi="Times New Roman"/>
                <w:sz w:val="15"/>
                <w:szCs w:val="15"/>
                <w:b w:val="1"/>
                <w:bCs w:val="1"/>
                <w:color w:val="231F20"/>
              </w:rPr>
              <w:t>Class B</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restart"/>
          </w:tcPr>
          <w:p>
            <w:pPr>
              <w:jc w:val="right"/>
              <w:ind w:right="405"/>
              <w:spacing w:after="0"/>
              <w:rPr>
                <w:sz w:val="20"/>
                <w:szCs w:val="20"/>
                <w:color w:val="auto"/>
              </w:rPr>
            </w:pPr>
            <w:r>
              <w:rPr>
                <w:rFonts w:ascii="Times New Roman" w:cs="Times New Roman" w:eastAsia="Times New Roman" w:hAnsi="Times New Roman"/>
                <w:sz w:val="15"/>
                <w:szCs w:val="15"/>
                <w:b w:val="1"/>
                <w:bCs w:val="1"/>
                <w:color w:val="231F20"/>
              </w:rPr>
              <w:t>Series A</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231F20"/>
                <w:w w:val="98"/>
              </w:rPr>
              <w:t>Accumulated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231F20"/>
                <w:w w:val="99"/>
              </w:rPr>
              <w:t>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25"/>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231F20"/>
              </w:rPr>
              <w:t>Preferred Stock</w:t>
            </w:r>
          </w:p>
        </w:tc>
        <w:tc>
          <w:tcPr>
            <w:tcW w:w="60" w:type="dxa"/>
            <w:vAlign w:val="bottom"/>
          </w:tcPr>
          <w:p>
            <w:pPr>
              <w:spacing w:after="0"/>
              <w:rPr>
                <w:sz w:val="17"/>
                <w:szCs w:val="17"/>
                <w:color w:val="auto"/>
              </w:rPr>
            </w:pPr>
          </w:p>
        </w:tc>
        <w:tc>
          <w:tcPr>
            <w:tcW w:w="9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231F20"/>
              </w:rPr>
              <w:t>Additional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231F20"/>
              </w:rPr>
              <w:t>Retained</w:t>
            </w:r>
          </w:p>
        </w:tc>
        <w:tc>
          <w:tcPr>
            <w:tcW w:w="140" w:type="dxa"/>
            <w:vAlign w:val="bottom"/>
          </w:tcPr>
          <w:p>
            <w:pPr>
              <w:spacing w:after="0"/>
              <w:rPr>
                <w:sz w:val="17"/>
                <w:szCs w:val="17"/>
                <w:color w:val="auto"/>
              </w:rPr>
            </w:pPr>
          </w:p>
        </w:tc>
        <w:tc>
          <w:tcPr>
            <w:tcW w:w="1520" w:type="dxa"/>
            <w:vAlign w:val="bottom"/>
            <w:gridSpan w:val="2"/>
          </w:tcPr>
          <w:p>
            <w:pPr>
              <w:jc w:val="right"/>
              <w:ind w:right="265"/>
              <w:spacing w:after="0"/>
              <w:rPr>
                <w:sz w:val="20"/>
                <w:szCs w:val="20"/>
                <w:color w:val="auto"/>
              </w:rPr>
            </w:pPr>
            <w:r>
              <w:rPr>
                <w:rFonts w:ascii="Times New Roman" w:cs="Times New Roman" w:eastAsia="Times New Roman" w:hAnsi="Times New Roman"/>
                <w:sz w:val="15"/>
                <w:szCs w:val="15"/>
                <w:b w:val="1"/>
                <w:bCs w:val="1"/>
                <w:color w:val="231F20"/>
              </w:rPr>
              <w:t>Treasury Stock</w:t>
            </w:r>
          </w:p>
        </w:tc>
        <w:tc>
          <w:tcPr>
            <w:tcW w:w="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231F20"/>
              </w:rPr>
              <w:t>Noncontrolling</w:t>
            </w:r>
          </w:p>
        </w:tc>
        <w:tc>
          <w:tcPr>
            <w:tcW w:w="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Comprehensive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231F20"/>
              </w:rPr>
              <w:t>(In millions, except shares)</w:t>
            </w:r>
          </w:p>
        </w:tc>
        <w:tc>
          <w:tcPr>
            <w:tcW w:w="640" w:type="dxa"/>
            <w:vAlign w:val="bottom"/>
            <w:tcBorders>
              <w:bottom w:val="single" w:sz="8" w:color="231F20"/>
            </w:tcBorders>
            <w:gridSpan w:val="2"/>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231F20"/>
              </w:rPr>
              <w:t>Earnings</w:t>
            </w:r>
          </w:p>
        </w:tc>
        <w:tc>
          <w:tcPr>
            <w:tcW w:w="720" w:type="dxa"/>
            <w:vAlign w:val="bottom"/>
            <w:tcBorders>
              <w:bottom w:val="single" w:sz="8" w:color="231F20"/>
            </w:tcBorders>
            <w:gridSpan w:val="2"/>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restart"/>
          </w:tcPr>
          <w:p>
            <w:pPr>
              <w:jc w:val="right"/>
              <w:ind w:right="185"/>
              <w:spacing w:after="0"/>
              <w:rPr>
                <w:sz w:val="20"/>
                <w:szCs w:val="20"/>
                <w:color w:val="auto"/>
              </w:rPr>
            </w:pPr>
            <w:r>
              <w:rPr>
                <w:rFonts w:ascii="Times New Roman" w:cs="Times New Roman" w:eastAsia="Times New Roman" w:hAnsi="Times New Roman"/>
                <w:sz w:val="15"/>
                <w:szCs w:val="15"/>
                <w:b w:val="1"/>
                <w:bCs w:val="1"/>
                <w:color w:val="231F20"/>
              </w:rPr>
              <w:t>Interests</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b w:val="1"/>
                <w:bCs w:val="1"/>
                <w:color w:val="231F20"/>
                <w:w w:val="95"/>
              </w:rPr>
              <w:t>Loss</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0" w:type="dxa"/>
            <w:vAlign w:val="bottom"/>
          </w:tcPr>
          <w:p>
            <w:pPr>
              <w:spacing w:after="0"/>
              <w:rPr>
                <w:sz w:val="1"/>
                <w:szCs w:val="1"/>
                <w:color w:val="auto"/>
              </w:rPr>
            </w:pPr>
          </w:p>
        </w:tc>
      </w:tr>
      <w:tr>
        <w:trPr>
          <w:trHeight w:val="204"/>
        </w:trPr>
        <w:tc>
          <w:tcPr>
            <w:tcW w:w="2680" w:type="dxa"/>
            <w:vAlign w:val="bottom"/>
            <w:vMerge w:val="continue"/>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vMerge w:val="continue"/>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94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vMerge w:val="continue"/>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2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9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tcBorders>
              <w:top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15"/>
                <w:szCs w:val="15"/>
                <w:b w:val="1"/>
                <w:bCs w:val="1"/>
                <w:color w:val="231F20"/>
              </w:rPr>
              <w:t>Balance, December 31, 2022</w:t>
            </w:r>
          </w:p>
        </w:tc>
        <w:tc>
          <w:tcPr>
            <w:tcW w:w="220" w:type="dxa"/>
            <w:vAlign w:val="bottom"/>
            <w:tcBorders>
              <w:top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top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0.7</w:t>
            </w:r>
          </w:p>
        </w:tc>
        <w:tc>
          <w:tcPr>
            <w:tcW w:w="9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68,535,704</w:t>
            </w:r>
          </w:p>
        </w:tc>
        <w:tc>
          <w:tcPr>
            <w:tcW w:w="60" w:type="dxa"/>
            <w:vAlign w:val="bottom"/>
            <w:tcBorders>
              <w:top w:val="single" w:sz="8" w:color="CFEBF4"/>
            </w:tcBorders>
            <w:shd w:val="clear" w:color="auto" w:fill="CFEBF4"/>
          </w:tcPr>
          <w:p>
            <w:pPr>
              <w:spacing w:after="0"/>
              <w:rPr>
                <w:sz w:val="18"/>
                <w:szCs w:val="18"/>
                <w:color w:val="auto"/>
              </w:rPr>
            </w:pPr>
          </w:p>
        </w:tc>
        <w:tc>
          <w:tcPr>
            <w:tcW w:w="20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top w:val="single" w:sz="8" w:color="231F20"/>
            </w:tcBorders>
            <w:shd w:val="clear" w:color="auto" w:fill="CFEBF4"/>
          </w:tcPr>
          <w:p>
            <w:pPr>
              <w:ind w:left="200"/>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Borders>
              <w:top w:val="single" w:sz="8" w:color="231F20"/>
            </w:tcBorders>
            <w:shd w:val="clear" w:color="auto" w:fill="CFEBF4"/>
          </w:tcPr>
          <w:p>
            <w:pPr>
              <w:ind w:left="280"/>
              <w:spacing w:after="0"/>
              <w:rPr>
                <w:sz w:val="20"/>
                <w:szCs w:val="20"/>
                <w:color w:val="auto"/>
              </w:rPr>
            </w:pPr>
            <w:r>
              <w:rPr>
                <w:rFonts w:ascii="Times New Roman" w:cs="Times New Roman" w:eastAsia="Times New Roman" w:hAnsi="Times New Roman"/>
                <w:sz w:val="15"/>
                <w:szCs w:val="15"/>
                <w:color w:val="231F20"/>
              </w:rPr>
              <w:t>4,339,431</w:t>
            </w:r>
          </w:p>
        </w:tc>
        <w:tc>
          <w:tcPr>
            <w:tcW w:w="60" w:type="dxa"/>
            <w:vAlign w:val="bottom"/>
            <w:tcBorders>
              <w:top w:val="single" w:sz="8" w:color="CFEBF4"/>
            </w:tcBorders>
            <w:shd w:val="clear" w:color="auto" w:fill="CFEBF4"/>
          </w:tcPr>
          <w:p>
            <w:pPr>
              <w:spacing w:after="0"/>
              <w:rPr>
                <w:sz w:val="18"/>
                <w:szCs w:val="18"/>
                <w:color w:val="auto"/>
              </w:rPr>
            </w:pPr>
          </w:p>
        </w:tc>
        <w:tc>
          <w:tcPr>
            <w:tcW w:w="18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60" w:type="dxa"/>
            <w:vAlign w:val="bottom"/>
            <w:tcBorders>
              <w:top w:val="single" w:sz="8" w:color="231F20"/>
            </w:tcBorders>
            <w:shd w:val="clear" w:color="auto" w:fill="CFEBF4"/>
          </w:tcPr>
          <w:p>
            <w:pPr>
              <w:ind w:left="240"/>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21,612</w:t>
            </w:r>
          </w:p>
        </w:tc>
        <w:tc>
          <w:tcPr>
            <w:tcW w:w="60" w:type="dxa"/>
            <w:vAlign w:val="bottom"/>
            <w:tcBorders>
              <w:top w:val="single" w:sz="8" w:color="CFEBF4"/>
            </w:tcBorders>
            <w:shd w:val="clear" w:color="auto" w:fill="CFEBF4"/>
          </w:tcPr>
          <w:p>
            <w:pPr>
              <w:spacing w:after="0"/>
              <w:rPr>
                <w:sz w:val="18"/>
                <w:szCs w:val="18"/>
                <w:color w:val="auto"/>
              </w:rPr>
            </w:pPr>
          </w:p>
        </w:tc>
        <w:tc>
          <w:tcPr>
            <w:tcW w:w="1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tcBorders>
              <w:top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2,005.4</w:t>
            </w:r>
          </w:p>
        </w:tc>
        <w:tc>
          <w:tcPr>
            <w:tcW w:w="40" w:type="dxa"/>
            <w:vAlign w:val="bottom"/>
            <w:tcBorders>
              <w:top w:val="single" w:sz="8" w:color="CFEBF4"/>
            </w:tcBorders>
            <w:shd w:val="clear" w:color="auto" w:fill="CFEBF4"/>
          </w:tcPr>
          <w:p>
            <w:pPr>
              <w:spacing w:after="0"/>
              <w:rPr>
                <w:sz w:val="18"/>
                <w:szCs w:val="18"/>
                <w:color w:val="auto"/>
              </w:rPr>
            </w:pPr>
          </w:p>
        </w:tc>
        <w:tc>
          <w:tcPr>
            <w:tcW w:w="1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3,795.0</w:t>
            </w:r>
          </w:p>
        </w:tc>
        <w:tc>
          <w:tcPr>
            <w:tcW w:w="60" w:type="dxa"/>
            <w:vAlign w:val="bottom"/>
            <w:tcBorders>
              <w:top w:val="single" w:sz="8" w:color="CFEBF4"/>
            </w:tcBorders>
            <w:shd w:val="clear" w:color="auto" w:fill="CFEBF4"/>
          </w:tcPr>
          <w:p>
            <w:pPr>
              <w:spacing w:after="0"/>
              <w:rPr>
                <w:sz w:val="18"/>
                <w:szCs w:val="18"/>
                <w:color w:val="auto"/>
              </w:rPr>
            </w:pPr>
          </w:p>
        </w:tc>
        <w:tc>
          <w:tcPr>
            <w:tcW w:w="1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58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(969.2)</w:t>
            </w:r>
          </w:p>
        </w:tc>
        <w:tc>
          <w:tcPr>
            <w:tcW w:w="9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(22,115,653)</w:t>
            </w:r>
          </w:p>
        </w:tc>
        <w:tc>
          <w:tcPr>
            <w:tcW w:w="60" w:type="dxa"/>
            <w:vAlign w:val="bottom"/>
            <w:tcBorders>
              <w:top w:val="single" w:sz="8" w:color="CFEBF4"/>
            </w:tcBorders>
            <w:shd w:val="clear" w:color="auto" w:fill="CFEBF4"/>
          </w:tcPr>
          <w:p>
            <w:pPr>
              <w:spacing w:after="0"/>
              <w:rPr>
                <w:sz w:val="18"/>
                <w:szCs w:val="18"/>
                <w:color w:val="auto"/>
              </w:rPr>
            </w:pPr>
          </w:p>
        </w:tc>
        <w:tc>
          <w:tcPr>
            <w:tcW w:w="18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(4.7)</w:t>
            </w:r>
          </w:p>
        </w:tc>
        <w:tc>
          <w:tcPr>
            <w:tcW w:w="60" w:type="dxa"/>
            <w:vAlign w:val="bottom"/>
            <w:tcBorders>
              <w:top w:val="single" w:sz="8" w:color="CFEBF4"/>
            </w:tcBorders>
            <w:shd w:val="clear" w:color="auto" w:fill="CFEBF4"/>
          </w:tcPr>
          <w:p>
            <w:pPr>
              <w:spacing w:after="0"/>
              <w:rPr>
                <w:sz w:val="18"/>
                <w:szCs w:val="18"/>
                <w:color w:val="auto"/>
              </w:rPr>
            </w:pPr>
          </w:p>
        </w:tc>
        <w:tc>
          <w:tcPr>
            <w:tcW w:w="14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(377.8)</w:t>
            </w:r>
          </w:p>
        </w:tc>
        <w:tc>
          <w:tcPr>
            <w:tcW w:w="60" w:type="dxa"/>
            <w:vAlign w:val="bottom"/>
            <w:tcBorders>
              <w:top w:val="single" w:sz="8" w:color="CFEBF4"/>
            </w:tcBorders>
            <w:shd w:val="clear" w:color="auto" w:fill="CFEBF4"/>
          </w:tcPr>
          <w:p>
            <w:pPr>
              <w:spacing w:after="0"/>
              <w:rPr>
                <w:sz w:val="18"/>
                <w:szCs w:val="18"/>
                <w:color w:val="auto"/>
              </w:rPr>
            </w:pPr>
          </w:p>
        </w:tc>
        <w:tc>
          <w:tcPr>
            <w:tcW w:w="200" w:type="dxa"/>
            <w:vAlign w:val="bottom"/>
            <w:tcBorders>
              <w:top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70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4,449.4</w:t>
            </w:r>
          </w:p>
        </w:tc>
        <w:tc>
          <w:tcPr>
            <w:tcW w:w="20" w:type="dxa"/>
            <w:vAlign w:val="bottom"/>
            <w:tcBorders>
              <w:top w:val="single" w:sz="8" w:color="CFEBF4"/>
            </w:tcBorders>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Exercise of stock-based awards</w:t>
            </w:r>
          </w:p>
        </w:tc>
        <w:tc>
          <w:tcPr>
            <w:tcW w:w="220" w:type="dxa"/>
            <w:vAlign w:val="bottom"/>
          </w:tcPr>
          <w:p>
            <w:pPr>
              <w:spacing w:after="0"/>
              <w:rPr>
                <w:sz w:val="17"/>
                <w:szCs w:val="17"/>
                <w:color w:val="auto"/>
              </w:rPr>
            </w:pP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1,054,608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231F20"/>
              </w:rPr>
              <w:t>0.4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(16.2)</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(100,998)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Stock-based compensation expense</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48.1</w:t>
            </w: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58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48.1</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Repurchases of common stock</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(75.0)</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(504,335)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shd w:val="clear" w:color="auto" w:fill="CFEBF4"/>
          </w:tcPr>
          <w:p>
            <w:pPr>
              <w:ind w:left="220"/>
              <w:spacing w:after="0" w:line="156" w:lineRule="exact"/>
              <w:rPr>
                <w:sz w:val="20"/>
                <w:szCs w:val="20"/>
                <w:color w:val="auto"/>
              </w:rPr>
            </w:pPr>
            <w:r>
              <w:rPr>
                <w:rFonts w:ascii="Times New Roman" w:cs="Times New Roman" w:eastAsia="Times New Roman" w:hAnsi="Times New Roman"/>
                <w:sz w:val="15"/>
                <w:szCs w:val="15"/>
                <w:color w:val="231F20"/>
              </w:rPr>
              <w:t>Tax withholding related to vesting of</w:t>
            </w:r>
          </w:p>
        </w:tc>
        <w:tc>
          <w:tcPr>
            <w:tcW w:w="220" w:type="dxa"/>
            <w:vAlign w:val="bottom"/>
            <w:shd w:val="clear" w:color="auto" w:fill="CFEBF4"/>
          </w:tcPr>
          <w:p>
            <w:pPr>
              <w:spacing w:after="0"/>
              <w:rPr>
                <w:sz w:val="13"/>
                <w:szCs w:val="13"/>
                <w:color w:val="auto"/>
              </w:rPr>
            </w:pPr>
          </w:p>
        </w:tc>
        <w:tc>
          <w:tcPr>
            <w:tcW w:w="42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200" w:type="dxa"/>
            <w:vAlign w:val="bottom"/>
            <w:shd w:val="clear" w:color="auto" w:fill="CFEBF4"/>
          </w:tcPr>
          <w:p>
            <w:pPr>
              <w:spacing w:after="0"/>
              <w:rPr>
                <w:sz w:val="13"/>
                <w:szCs w:val="13"/>
                <w:color w:val="auto"/>
              </w:rPr>
            </w:pPr>
          </w:p>
        </w:tc>
        <w:tc>
          <w:tcPr>
            <w:tcW w:w="42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80" w:type="dxa"/>
            <w:vAlign w:val="bottom"/>
            <w:shd w:val="clear" w:color="auto" w:fill="CFEBF4"/>
          </w:tcPr>
          <w:p>
            <w:pPr>
              <w:spacing w:after="0"/>
              <w:rPr>
                <w:sz w:val="13"/>
                <w:szCs w:val="13"/>
                <w:color w:val="auto"/>
              </w:rPr>
            </w:pPr>
          </w:p>
        </w:tc>
        <w:tc>
          <w:tcPr>
            <w:tcW w:w="460" w:type="dxa"/>
            <w:vAlign w:val="bottom"/>
            <w:shd w:val="clear" w:color="auto" w:fill="CFEBF4"/>
          </w:tcPr>
          <w:p>
            <w:pPr>
              <w:spacing w:after="0"/>
              <w:rPr>
                <w:sz w:val="13"/>
                <w:szCs w:val="13"/>
                <w:color w:val="auto"/>
              </w:rPr>
            </w:pPr>
          </w:p>
        </w:tc>
        <w:tc>
          <w:tcPr>
            <w:tcW w:w="8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60" w:type="dxa"/>
            <w:vAlign w:val="bottom"/>
            <w:shd w:val="clear" w:color="auto" w:fill="CFEBF4"/>
          </w:tcPr>
          <w:p>
            <w:pPr>
              <w:spacing w:after="0"/>
              <w:rPr>
                <w:sz w:val="13"/>
                <w:szCs w:val="13"/>
                <w:color w:val="auto"/>
              </w:rPr>
            </w:pPr>
          </w:p>
        </w:tc>
        <w:tc>
          <w:tcPr>
            <w:tcW w:w="740" w:type="dxa"/>
            <w:vAlign w:val="bottom"/>
            <w:shd w:val="clear" w:color="auto" w:fill="CFEBF4"/>
          </w:tcPr>
          <w:p>
            <w:pPr>
              <w:spacing w:after="0"/>
              <w:rPr>
                <w:sz w:val="13"/>
                <w:szCs w:val="13"/>
                <w:color w:val="auto"/>
              </w:rPr>
            </w:pPr>
          </w:p>
        </w:tc>
        <w:tc>
          <w:tcPr>
            <w:tcW w:w="4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76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58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80" w:type="dxa"/>
            <w:vAlign w:val="bottom"/>
            <w:shd w:val="clear" w:color="auto" w:fill="CFEBF4"/>
          </w:tcPr>
          <w:p>
            <w:pPr>
              <w:spacing w:after="0"/>
              <w:rPr>
                <w:sz w:val="13"/>
                <w:szCs w:val="13"/>
                <w:color w:val="auto"/>
              </w:rPr>
            </w:pPr>
          </w:p>
        </w:tc>
        <w:tc>
          <w:tcPr>
            <w:tcW w:w="88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98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200" w:type="dxa"/>
            <w:vAlign w:val="bottom"/>
            <w:shd w:val="clear" w:color="auto" w:fill="CFEBF4"/>
          </w:tcPr>
          <w:p>
            <w:pPr>
              <w:spacing w:after="0"/>
              <w:rPr>
                <w:sz w:val="13"/>
                <w:szCs w:val="13"/>
                <w:color w:val="auto"/>
              </w:rPr>
            </w:pPr>
          </w:p>
        </w:tc>
        <w:tc>
          <w:tcPr>
            <w:tcW w:w="700" w:type="dxa"/>
            <w:vAlign w:val="bottom"/>
            <w:shd w:val="clear" w:color="auto" w:fill="CFEBF4"/>
          </w:tcPr>
          <w:p>
            <w:pPr>
              <w:spacing w:after="0"/>
              <w:rPr>
                <w:sz w:val="13"/>
                <w:szCs w:val="13"/>
                <w:color w:val="auto"/>
              </w:rPr>
            </w:pPr>
          </w:p>
        </w:tc>
        <w:tc>
          <w:tcPr>
            <w:tcW w:w="20" w:type="dxa"/>
            <w:vAlign w:val="bottom"/>
            <w:shd w:val="clear" w:color="auto" w:fill="CFEBF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80" w:type="dxa"/>
            <w:vAlign w:val="bottom"/>
            <w:shd w:val="clear" w:color="auto" w:fill="CFEBF4"/>
          </w:tcPr>
          <w:p>
            <w:pPr>
              <w:ind w:left="380"/>
              <w:spacing w:after="0" w:line="150" w:lineRule="exact"/>
              <w:rPr>
                <w:sz w:val="20"/>
                <w:szCs w:val="20"/>
                <w:color w:val="auto"/>
              </w:rPr>
            </w:pPr>
            <w:r>
              <w:rPr>
                <w:rFonts w:ascii="Times New Roman" w:cs="Times New Roman" w:eastAsia="Times New Roman" w:hAnsi="Times New Roman"/>
                <w:sz w:val="15"/>
                <w:szCs w:val="15"/>
                <w:color w:val="231F20"/>
              </w:rPr>
              <w:t>restricted stock units and retirement</w:t>
            </w:r>
          </w:p>
        </w:tc>
        <w:tc>
          <w:tcPr>
            <w:tcW w:w="220" w:type="dxa"/>
            <w:vAlign w:val="bottom"/>
            <w:shd w:val="clear" w:color="auto" w:fill="CFEBF4"/>
          </w:tcPr>
          <w:p>
            <w:pPr>
              <w:spacing w:after="0"/>
              <w:rPr>
                <w:sz w:val="13"/>
                <w:szCs w:val="13"/>
                <w:color w:val="auto"/>
              </w:rPr>
            </w:pPr>
          </w:p>
        </w:tc>
        <w:tc>
          <w:tcPr>
            <w:tcW w:w="420" w:type="dxa"/>
            <w:vAlign w:val="bottom"/>
            <w:vMerge w:val="restart"/>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(311,635)</w:t>
            </w:r>
          </w:p>
        </w:tc>
        <w:tc>
          <w:tcPr>
            <w:tcW w:w="60" w:type="dxa"/>
            <w:vAlign w:val="bottom"/>
            <w:shd w:val="clear" w:color="auto" w:fill="CFEBF4"/>
          </w:tcPr>
          <w:p>
            <w:pPr>
              <w:spacing w:after="0"/>
              <w:rPr>
                <w:sz w:val="13"/>
                <w:szCs w:val="13"/>
                <w:color w:val="auto"/>
              </w:rPr>
            </w:pPr>
          </w:p>
        </w:tc>
        <w:tc>
          <w:tcPr>
            <w:tcW w:w="200" w:type="dxa"/>
            <w:vAlign w:val="bottom"/>
            <w:shd w:val="clear" w:color="auto" w:fill="CFEBF4"/>
          </w:tcPr>
          <w:p>
            <w:pPr>
              <w:spacing w:after="0"/>
              <w:rPr>
                <w:sz w:val="13"/>
                <w:szCs w:val="13"/>
                <w:color w:val="auto"/>
              </w:rPr>
            </w:pPr>
          </w:p>
        </w:tc>
        <w:tc>
          <w:tcPr>
            <w:tcW w:w="42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80" w:type="dxa"/>
            <w:vAlign w:val="bottom"/>
            <w:shd w:val="clear" w:color="auto" w:fill="CFEBF4"/>
          </w:tcPr>
          <w:p>
            <w:pPr>
              <w:spacing w:after="0"/>
              <w:rPr>
                <w:sz w:val="13"/>
                <w:szCs w:val="13"/>
                <w:color w:val="auto"/>
              </w:rPr>
            </w:pPr>
          </w:p>
        </w:tc>
        <w:tc>
          <w:tcPr>
            <w:tcW w:w="460" w:type="dxa"/>
            <w:vAlign w:val="bottom"/>
            <w:shd w:val="clear" w:color="auto" w:fill="CFEBF4"/>
          </w:tcPr>
          <w:p>
            <w:pPr>
              <w:spacing w:after="0"/>
              <w:rPr>
                <w:sz w:val="13"/>
                <w:szCs w:val="13"/>
                <w:color w:val="auto"/>
              </w:rPr>
            </w:pPr>
          </w:p>
        </w:tc>
        <w:tc>
          <w:tcPr>
            <w:tcW w:w="8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60" w:type="dxa"/>
            <w:vAlign w:val="bottom"/>
            <w:shd w:val="clear" w:color="auto" w:fill="CFEBF4"/>
          </w:tcPr>
          <w:p>
            <w:pPr>
              <w:spacing w:after="0"/>
              <w:rPr>
                <w:sz w:val="13"/>
                <w:szCs w:val="13"/>
                <w:color w:val="auto"/>
              </w:rPr>
            </w:pPr>
          </w:p>
        </w:tc>
        <w:tc>
          <w:tcPr>
            <w:tcW w:w="7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(16.9)</w:t>
            </w:r>
          </w:p>
        </w:tc>
        <w:tc>
          <w:tcPr>
            <w:tcW w:w="4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7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(35.1)</w:t>
            </w:r>
          </w:p>
        </w:tc>
        <w:tc>
          <w:tcPr>
            <w:tcW w:w="6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58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80" w:type="dxa"/>
            <w:vAlign w:val="bottom"/>
            <w:shd w:val="clear" w:color="auto" w:fill="CFEBF4"/>
          </w:tcPr>
          <w:p>
            <w:pPr>
              <w:spacing w:after="0"/>
              <w:rPr>
                <w:sz w:val="13"/>
                <w:szCs w:val="13"/>
                <w:color w:val="auto"/>
              </w:rPr>
            </w:pPr>
          </w:p>
        </w:tc>
        <w:tc>
          <w:tcPr>
            <w:tcW w:w="88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98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200" w:type="dxa"/>
            <w:vAlign w:val="bottom"/>
            <w:shd w:val="clear" w:color="auto" w:fill="CFEBF4"/>
          </w:tcPr>
          <w:p>
            <w:pPr>
              <w:spacing w:after="0"/>
              <w:rPr>
                <w:sz w:val="13"/>
                <w:szCs w:val="13"/>
                <w:color w:val="auto"/>
              </w:rPr>
            </w:pPr>
          </w:p>
        </w:tc>
        <w:tc>
          <w:tcPr>
            <w:tcW w:w="70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(52.0)</w:t>
            </w:r>
          </w:p>
        </w:tc>
        <w:tc>
          <w:tcPr>
            <w:tcW w:w="20" w:type="dxa"/>
            <w:vAlign w:val="bottom"/>
            <w:shd w:val="clear" w:color="auto" w:fill="CFEBF4"/>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CFEBF4"/>
          </w:tcPr>
          <w:p>
            <w:pPr>
              <w:ind w:left="380"/>
              <w:spacing w:after="0"/>
              <w:rPr>
                <w:sz w:val="20"/>
                <w:szCs w:val="20"/>
                <w:color w:val="auto"/>
              </w:rPr>
            </w:pPr>
            <w:r>
              <w:rPr>
                <w:rFonts w:ascii="Times New Roman" w:cs="Times New Roman" w:eastAsia="Times New Roman" w:hAnsi="Times New Roman"/>
                <w:sz w:val="15"/>
                <w:szCs w:val="15"/>
                <w:color w:val="231F20"/>
              </w:rPr>
              <w:t>of common stock</w:t>
            </w:r>
          </w:p>
        </w:tc>
        <w:tc>
          <w:tcPr>
            <w:tcW w:w="220" w:type="dxa"/>
            <w:vAlign w:val="bottom"/>
            <w:shd w:val="clear" w:color="auto" w:fill="CFEBF4"/>
          </w:tcPr>
          <w:p>
            <w:pPr>
              <w:spacing w:after="0"/>
              <w:rPr>
                <w:sz w:val="18"/>
                <w:szCs w:val="18"/>
                <w:color w:val="auto"/>
              </w:rPr>
            </w:pPr>
          </w:p>
        </w:tc>
        <w:tc>
          <w:tcPr>
            <w:tcW w:w="420" w:type="dxa"/>
            <w:vAlign w:val="bottom"/>
            <w:vMerge w:val="continue"/>
            <w:shd w:val="clear" w:color="auto" w:fill="CFEBF4"/>
          </w:tcPr>
          <w:p>
            <w:pPr>
              <w:spacing w:after="0"/>
              <w:rPr>
                <w:sz w:val="18"/>
                <w:szCs w:val="18"/>
                <w:color w:val="auto"/>
              </w:rPr>
            </w:pPr>
          </w:p>
        </w:tc>
        <w:tc>
          <w:tcPr>
            <w:tcW w:w="940" w:type="dxa"/>
            <w:vAlign w:val="bottom"/>
            <w:vMerge w:val="continue"/>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42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460" w:type="dxa"/>
            <w:vAlign w:val="bottom"/>
            <w:shd w:val="clear" w:color="auto" w:fill="CFEBF4"/>
          </w:tcPr>
          <w:p>
            <w:pPr>
              <w:spacing w:after="0"/>
              <w:rPr>
                <w:sz w:val="18"/>
                <w:szCs w:val="18"/>
                <w:color w:val="auto"/>
              </w:rPr>
            </w:pPr>
          </w:p>
        </w:tc>
        <w:tc>
          <w:tcPr>
            <w:tcW w:w="8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60" w:type="dxa"/>
            <w:vAlign w:val="bottom"/>
            <w:shd w:val="clear" w:color="auto" w:fill="CFEBF4"/>
          </w:tcPr>
          <w:p>
            <w:pPr>
              <w:spacing w:after="0"/>
              <w:rPr>
                <w:sz w:val="18"/>
                <w:szCs w:val="18"/>
                <w:color w:val="auto"/>
              </w:rPr>
            </w:pPr>
          </w:p>
        </w:tc>
        <w:tc>
          <w:tcPr>
            <w:tcW w:w="740" w:type="dxa"/>
            <w:vAlign w:val="bottom"/>
            <w:vMerge w:val="continue"/>
            <w:shd w:val="clear" w:color="auto" w:fill="CFEBF4"/>
          </w:tcPr>
          <w:p>
            <w:pPr>
              <w:spacing w:after="0"/>
              <w:rPr>
                <w:sz w:val="18"/>
                <w:szCs w:val="18"/>
                <w:color w:val="auto"/>
              </w:rPr>
            </w:pPr>
          </w:p>
        </w:tc>
        <w:tc>
          <w:tcPr>
            <w:tcW w:w="4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760" w:type="dxa"/>
            <w:vAlign w:val="bottom"/>
            <w:vMerge w:val="continue"/>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58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8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9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700" w:type="dxa"/>
            <w:vAlign w:val="bottom"/>
            <w:vMerge w:val="continue"/>
            <w:shd w:val="clear" w:color="auto" w:fill="CFEBF4"/>
          </w:tcPr>
          <w:p>
            <w:pPr>
              <w:spacing w:after="0"/>
              <w:rPr>
                <w:sz w:val="18"/>
                <w:szCs w:val="18"/>
                <w:color w:val="auto"/>
              </w:rPr>
            </w:pPr>
          </w:p>
        </w:tc>
        <w:tc>
          <w:tcPr>
            <w:tcW w:w="20" w:type="dxa"/>
            <w:vAlign w:val="bottom"/>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Noncontrolling interests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0.6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shd w:val="clear" w:color="auto" w:fill="CFEBF4"/>
          </w:tcPr>
          <w:p>
            <w:pPr>
              <w:ind w:left="220"/>
              <w:spacing w:after="0" w:line="169" w:lineRule="exact"/>
              <w:rPr>
                <w:sz w:val="20"/>
                <w:szCs w:val="20"/>
                <w:color w:val="auto"/>
              </w:rPr>
            </w:pPr>
            <w:r>
              <w:rPr>
                <w:rFonts w:ascii="Times New Roman" w:cs="Times New Roman" w:eastAsia="Times New Roman" w:hAnsi="Times New Roman"/>
                <w:sz w:val="15"/>
                <w:szCs w:val="15"/>
                <w:color w:val="231F20"/>
              </w:rPr>
              <w:t>Net income attributable to WESCO</w:t>
            </w:r>
          </w:p>
        </w:tc>
        <w:tc>
          <w:tcPr>
            <w:tcW w:w="220" w:type="dxa"/>
            <w:vAlign w:val="bottom"/>
            <w:shd w:val="clear" w:color="auto" w:fill="CFEBF4"/>
          </w:tcPr>
          <w:p>
            <w:pPr>
              <w:spacing w:after="0"/>
              <w:rPr>
                <w:sz w:val="14"/>
                <w:szCs w:val="14"/>
                <w:color w:val="auto"/>
              </w:rPr>
            </w:pPr>
          </w:p>
        </w:tc>
        <w:tc>
          <w:tcPr>
            <w:tcW w:w="42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200" w:type="dxa"/>
            <w:vAlign w:val="bottom"/>
            <w:shd w:val="clear" w:color="auto" w:fill="CFEBF4"/>
          </w:tcPr>
          <w:p>
            <w:pPr>
              <w:spacing w:after="0"/>
              <w:rPr>
                <w:sz w:val="14"/>
                <w:szCs w:val="14"/>
                <w:color w:val="auto"/>
              </w:rPr>
            </w:pPr>
          </w:p>
        </w:tc>
        <w:tc>
          <w:tcPr>
            <w:tcW w:w="42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80" w:type="dxa"/>
            <w:vAlign w:val="bottom"/>
            <w:shd w:val="clear" w:color="auto" w:fill="CFEBF4"/>
          </w:tcPr>
          <w:p>
            <w:pPr>
              <w:spacing w:after="0"/>
              <w:rPr>
                <w:sz w:val="14"/>
                <w:szCs w:val="14"/>
                <w:color w:val="auto"/>
              </w:rPr>
            </w:pPr>
          </w:p>
        </w:tc>
        <w:tc>
          <w:tcPr>
            <w:tcW w:w="460" w:type="dxa"/>
            <w:vAlign w:val="bottom"/>
            <w:shd w:val="clear" w:color="auto" w:fill="CFEBF4"/>
          </w:tcPr>
          <w:p>
            <w:pPr>
              <w:spacing w:after="0"/>
              <w:rPr>
                <w:sz w:val="14"/>
                <w:szCs w:val="14"/>
                <w:color w:val="auto"/>
              </w:rPr>
            </w:pPr>
          </w:p>
        </w:tc>
        <w:tc>
          <w:tcPr>
            <w:tcW w:w="8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60" w:type="dxa"/>
            <w:vAlign w:val="bottom"/>
            <w:shd w:val="clear" w:color="auto" w:fill="CFEBF4"/>
          </w:tcPr>
          <w:p>
            <w:pPr>
              <w:spacing w:after="0"/>
              <w:rPr>
                <w:sz w:val="14"/>
                <w:szCs w:val="14"/>
                <w:color w:val="auto"/>
              </w:rPr>
            </w:pPr>
          </w:p>
        </w:tc>
        <w:tc>
          <w:tcPr>
            <w:tcW w:w="740" w:type="dxa"/>
            <w:vAlign w:val="bottom"/>
            <w:shd w:val="clear" w:color="auto" w:fill="CFEBF4"/>
          </w:tcPr>
          <w:p>
            <w:pPr>
              <w:spacing w:after="0"/>
              <w:rPr>
                <w:sz w:val="14"/>
                <w:szCs w:val="14"/>
                <w:color w:val="auto"/>
              </w:rPr>
            </w:pPr>
          </w:p>
        </w:tc>
        <w:tc>
          <w:tcPr>
            <w:tcW w:w="4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7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765.5</w:t>
            </w:r>
          </w:p>
        </w:tc>
        <w:tc>
          <w:tcPr>
            <w:tcW w:w="6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58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80" w:type="dxa"/>
            <w:vAlign w:val="bottom"/>
            <w:shd w:val="clear" w:color="auto" w:fill="CFEBF4"/>
          </w:tcPr>
          <w:p>
            <w:pPr>
              <w:spacing w:after="0"/>
              <w:rPr>
                <w:sz w:val="14"/>
                <w:szCs w:val="14"/>
                <w:color w:val="auto"/>
              </w:rPr>
            </w:pPr>
          </w:p>
        </w:tc>
        <w:tc>
          <w:tcPr>
            <w:tcW w:w="88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98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200" w:type="dxa"/>
            <w:vAlign w:val="bottom"/>
            <w:shd w:val="clear" w:color="auto" w:fill="CFEBF4"/>
          </w:tcPr>
          <w:p>
            <w:pPr>
              <w:spacing w:after="0"/>
              <w:rPr>
                <w:sz w:val="14"/>
                <w:szCs w:val="14"/>
                <w:color w:val="auto"/>
              </w:rPr>
            </w:pPr>
          </w:p>
        </w:tc>
        <w:tc>
          <w:tcPr>
            <w:tcW w:w="70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765.5</w:t>
            </w:r>
          </w:p>
        </w:tc>
        <w:tc>
          <w:tcPr>
            <w:tcW w:w="20" w:type="dxa"/>
            <w:vAlign w:val="bottom"/>
            <w:shd w:val="clear" w:color="auto" w:fill="CFEBF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FEBF4"/>
          </w:tcPr>
          <w:p>
            <w:pPr>
              <w:ind w:left="380"/>
              <w:spacing w:after="0"/>
              <w:rPr>
                <w:sz w:val="20"/>
                <w:szCs w:val="20"/>
                <w:color w:val="auto"/>
              </w:rPr>
            </w:pPr>
            <w:r>
              <w:rPr>
                <w:rFonts w:ascii="Times New Roman" w:cs="Times New Roman" w:eastAsia="Times New Roman" w:hAnsi="Times New Roman"/>
                <w:sz w:val="15"/>
                <w:szCs w:val="15"/>
                <w:color w:val="231F20"/>
              </w:rPr>
              <w:t>International, Inc.</w:t>
            </w:r>
          </w:p>
        </w:tc>
        <w:tc>
          <w:tcPr>
            <w:tcW w:w="220" w:type="dxa"/>
            <w:vAlign w:val="bottom"/>
            <w:shd w:val="clear" w:color="auto" w:fill="CFEBF4"/>
          </w:tcPr>
          <w:p>
            <w:pPr>
              <w:spacing w:after="0"/>
              <w:rPr>
                <w:sz w:val="18"/>
                <w:szCs w:val="18"/>
                <w:color w:val="auto"/>
              </w:rPr>
            </w:pPr>
          </w:p>
        </w:tc>
        <w:tc>
          <w:tcPr>
            <w:tcW w:w="42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42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460" w:type="dxa"/>
            <w:vAlign w:val="bottom"/>
            <w:shd w:val="clear" w:color="auto" w:fill="CFEBF4"/>
          </w:tcPr>
          <w:p>
            <w:pPr>
              <w:spacing w:after="0"/>
              <w:rPr>
                <w:sz w:val="18"/>
                <w:szCs w:val="18"/>
                <w:color w:val="auto"/>
              </w:rPr>
            </w:pPr>
          </w:p>
        </w:tc>
        <w:tc>
          <w:tcPr>
            <w:tcW w:w="8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60" w:type="dxa"/>
            <w:vAlign w:val="bottom"/>
            <w:shd w:val="clear" w:color="auto" w:fill="CFEBF4"/>
          </w:tcPr>
          <w:p>
            <w:pPr>
              <w:spacing w:after="0"/>
              <w:rPr>
                <w:sz w:val="18"/>
                <w:szCs w:val="18"/>
                <w:color w:val="auto"/>
              </w:rPr>
            </w:pPr>
          </w:p>
        </w:tc>
        <w:tc>
          <w:tcPr>
            <w:tcW w:w="740" w:type="dxa"/>
            <w:vAlign w:val="bottom"/>
            <w:shd w:val="clear" w:color="auto" w:fill="CFEBF4"/>
          </w:tcPr>
          <w:p>
            <w:pPr>
              <w:spacing w:after="0"/>
              <w:rPr>
                <w:sz w:val="18"/>
                <w:szCs w:val="18"/>
                <w:color w:val="auto"/>
              </w:rPr>
            </w:pPr>
          </w:p>
        </w:tc>
        <w:tc>
          <w:tcPr>
            <w:tcW w:w="4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760" w:type="dxa"/>
            <w:vAlign w:val="bottom"/>
            <w:vMerge w:val="continue"/>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58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8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9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700" w:type="dxa"/>
            <w:vAlign w:val="bottom"/>
            <w:vMerge w:val="continue"/>
            <w:shd w:val="clear" w:color="auto" w:fill="CFEBF4"/>
          </w:tcPr>
          <w:p>
            <w:pPr>
              <w:spacing w:after="0"/>
              <w:rPr>
                <w:sz w:val="18"/>
                <w:szCs w:val="18"/>
                <w:color w:val="auto"/>
              </w:rPr>
            </w:pPr>
          </w:p>
        </w:tc>
        <w:tc>
          <w:tcPr>
            <w:tcW w:w="20" w:type="dxa"/>
            <w:vAlign w:val="bottom"/>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Common stock dividends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(76.6)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Preferred stock dividends</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spacing w:after="0"/>
              <w:rPr>
                <w:sz w:val="17"/>
                <w:szCs w:val="17"/>
                <w:color w:val="auto"/>
              </w:rPr>
            </w:pP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(57.4)</w:t>
            </w: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58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(57.4)</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Dividends to noncontrolling interests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Translation adjustments and other</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0.1</w:t>
            </w: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0.3</w:t>
            </w: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58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57.1</w:t>
            </w: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680" w:type="dxa"/>
            <w:vAlign w:val="bottom"/>
          </w:tcPr>
          <w:p>
            <w:pPr>
              <w:ind w:left="220"/>
              <w:spacing w:after="0" w:line="169" w:lineRule="exact"/>
              <w:rPr>
                <w:sz w:val="20"/>
                <w:szCs w:val="20"/>
                <w:color w:val="auto"/>
              </w:rPr>
            </w:pPr>
            <w:r>
              <w:rPr>
                <w:rFonts w:ascii="Times New Roman" w:cs="Times New Roman" w:eastAsia="Times New Roman" w:hAnsi="Times New Roman"/>
                <w:sz w:val="15"/>
                <w:szCs w:val="15"/>
                <w:color w:val="231F20"/>
              </w:rPr>
              <w:t>Benefit plan adjustments, net of tax</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(11.3)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80" w:type="dxa"/>
            <w:vAlign w:val="bottom"/>
            <w:tcBorders>
              <w:bottom w:val="single" w:sz="8" w:color="CFEBF4"/>
            </w:tcBorders>
          </w:tcPr>
          <w:p>
            <w:pPr>
              <w:ind w:left="380"/>
              <w:spacing w:after="0"/>
              <w:rPr>
                <w:sz w:val="20"/>
                <w:szCs w:val="20"/>
                <w:color w:val="auto"/>
              </w:rPr>
            </w:pPr>
            <w:r>
              <w:rPr>
                <w:rFonts w:ascii="Times New Roman" w:cs="Times New Roman" w:eastAsia="Times New Roman" w:hAnsi="Times New Roman"/>
                <w:sz w:val="15"/>
                <w:szCs w:val="15"/>
                <w:color w:val="231F20"/>
              </w:rPr>
              <w:t>effect of $7.4 million</w:t>
            </w:r>
          </w:p>
        </w:tc>
        <w:tc>
          <w:tcPr>
            <w:tcW w:w="22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4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20" w:type="dxa"/>
            <w:vAlign w:val="bottom"/>
            <w:tcBorders>
              <w:bottom w:val="single" w:sz="8" w:color="CFEBF4"/>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5"/>
                <w:szCs w:val="15"/>
                <w:b w:val="1"/>
                <w:bCs w:val="1"/>
                <w:color w:val="231F20"/>
              </w:rPr>
              <w:t>Balance, December 31, 2023</w:t>
            </w:r>
          </w:p>
        </w:tc>
        <w:tc>
          <w:tcPr>
            <w:tcW w:w="2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0.7</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69,278,677</w:t>
            </w: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shd w:val="clear" w:color="auto" w:fill="CFEBF4"/>
          </w:tcPr>
          <w:p>
            <w:pPr>
              <w:ind w:left="280"/>
              <w:spacing w:after="0"/>
              <w:rPr>
                <w:sz w:val="20"/>
                <w:szCs w:val="20"/>
                <w:color w:val="auto"/>
              </w:rPr>
            </w:pPr>
            <w:r>
              <w:rPr>
                <w:rFonts w:ascii="Times New Roman" w:cs="Times New Roman" w:eastAsia="Times New Roman" w:hAnsi="Times New Roman"/>
                <w:sz w:val="15"/>
                <w:szCs w:val="15"/>
                <w:color w:val="231F20"/>
              </w:rPr>
              <w:t>4,339,431</w:t>
            </w: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6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21,612</w:t>
            </w:r>
          </w:p>
        </w:tc>
        <w:tc>
          <w:tcPr>
            <w:tcW w:w="60" w:type="dxa"/>
            <w:vAlign w:val="bottom"/>
            <w:shd w:val="clear" w:color="auto" w:fill="CFEBF4"/>
          </w:tcPr>
          <w:p>
            <w:pPr>
              <w:spacing w:after="0"/>
              <w:rPr>
                <w:sz w:val="18"/>
                <w:szCs w:val="18"/>
                <w:color w:val="auto"/>
              </w:rPr>
            </w:pPr>
          </w:p>
        </w:tc>
        <w:tc>
          <w:tcPr>
            <w:tcW w:w="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2,037.1</w:t>
            </w:r>
          </w:p>
        </w:tc>
        <w:tc>
          <w:tcPr>
            <w:tcW w:w="40" w:type="dxa"/>
            <w:vAlign w:val="bottom"/>
            <w:shd w:val="clear" w:color="auto" w:fill="CFEBF4"/>
          </w:tcPr>
          <w:p>
            <w:pPr>
              <w:spacing w:after="0"/>
              <w:rPr>
                <w:sz w:val="18"/>
                <w:szCs w:val="18"/>
                <w:color w:val="auto"/>
              </w:rPr>
            </w:pPr>
          </w:p>
        </w:tc>
        <w:tc>
          <w:tcPr>
            <w:tcW w:w="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4,391.7</w:t>
            </w: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w w:val="98"/>
              </w:rPr>
              <w:t>(1,060.4)</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(22,720,986)</w:t>
            </w: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(5.2)</w:t>
            </w: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(332.0)</w:t>
            </w: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7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5,031.9</w:t>
            </w:r>
          </w:p>
        </w:tc>
        <w:tc>
          <w:tcPr>
            <w:tcW w:w="20" w:type="dxa"/>
            <w:vAlign w:val="bottom"/>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Exercise of stock-based awards</w:t>
            </w:r>
          </w:p>
        </w:tc>
        <w:tc>
          <w:tcPr>
            <w:tcW w:w="220" w:type="dxa"/>
            <w:vAlign w:val="bottom"/>
          </w:tcPr>
          <w:p>
            <w:pPr>
              <w:spacing w:after="0"/>
              <w:rPr>
                <w:sz w:val="17"/>
                <w:szCs w:val="17"/>
                <w:color w:val="auto"/>
              </w:rPr>
            </w:pP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509,140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231F20"/>
              </w:rPr>
              <w:t>0.6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(6.0)</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(30,760)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Stock-based compensation expense</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28.9</w:t>
            </w: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58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28.9</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80" w:type="dxa"/>
            <w:vAlign w:val="bottom"/>
          </w:tcPr>
          <w:p>
            <w:pPr>
              <w:ind w:left="220"/>
              <w:spacing w:after="0" w:line="160" w:lineRule="exact"/>
              <w:rPr>
                <w:sz w:val="20"/>
                <w:szCs w:val="20"/>
                <w:color w:val="auto"/>
              </w:rPr>
            </w:pPr>
            <w:r>
              <w:rPr>
                <w:rFonts w:ascii="Times New Roman" w:cs="Times New Roman" w:eastAsia="Times New Roman" w:hAnsi="Times New Roman"/>
                <w:sz w:val="15"/>
                <w:szCs w:val="15"/>
                <w:color w:val="231F20"/>
              </w:rPr>
              <w:t>Repurchases of common stock,</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80" w:type="dxa"/>
            <w:vAlign w:val="bottom"/>
          </w:tcPr>
          <w:p>
            <w:pPr>
              <w:ind w:left="380"/>
              <w:spacing w:after="0" w:line="150" w:lineRule="exact"/>
              <w:rPr>
                <w:sz w:val="20"/>
                <w:szCs w:val="20"/>
                <w:color w:val="auto"/>
              </w:rPr>
            </w:pPr>
            <w:r>
              <w:rPr>
                <w:rFonts w:ascii="Times New Roman" w:cs="Times New Roman" w:eastAsia="Times New Roman" w:hAnsi="Times New Roman"/>
                <w:sz w:val="15"/>
                <w:szCs w:val="15"/>
                <w:color w:val="231F20"/>
              </w:rPr>
              <w:t>including excise taxes of $3.8</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(428.8)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(2,424,488)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380"/>
              <w:spacing w:after="0"/>
              <w:rPr>
                <w:sz w:val="20"/>
                <w:szCs w:val="20"/>
                <w:color w:val="auto"/>
              </w:rPr>
            </w:pPr>
            <w:r>
              <w:rPr>
                <w:rFonts w:ascii="Times New Roman" w:cs="Times New Roman" w:eastAsia="Times New Roman" w:hAnsi="Times New Roman"/>
                <w:sz w:val="15"/>
                <w:szCs w:val="15"/>
                <w:color w:val="231F20"/>
              </w:rPr>
              <w:t>million</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680" w:type="dxa"/>
            <w:vAlign w:val="bottom"/>
            <w:shd w:val="clear" w:color="auto" w:fill="CFEBF4"/>
          </w:tcPr>
          <w:p>
            <w:pPr>
              <w:ind w:left="220"/>
              <w:spacing w:after="0" w:line="164" w:lineRule="exact"/>
              <w:rPr>
                <w:sz w:val="20"/>
                <w:szCs w:val="20"/>
                <w:color w:val="auto"/>
              </w:rPr>
            </w:pPr>
            <w:r>
              <w:rPr>
                <w:rFonts w:ascii="Times New Roman" w:cs="Times New Roman" w:eastAsia="Times New Roman" w:hAnsi="Times New Roman"/>
                <w:sz w:val="15"/>
                <w:szCs w:val="15"/>
                <w:color w:val="231F20"/>
              </w:rPr>
              <w:t>Tax withholding related to vesting of</w:t>
            </w:r>
          </w:p>
        </w:tc>
        <w:tc>
          <w:tcPr>
            <w:tcW w:w="220" w:type="dxa"/>
            <w:vAlign w:val="bottom"/>
            <w:shd w:val="clear" w:color="auto" w:fill="CFEBF4"/>
          </w:tcPr>
          <w:p>
            <w:pPr>
              <w:spacing w:after="0"/>
              <w:rPr>
                <w:sz w:val="14"/>
                <w:szCs w:val="14"/>
                <w:color w:val="auto"/>
              </w:rPr>
            </w:pPr>
          </w:p>
        </w:tc>
        <w:tc>
          <w:tcPr>
            <w:tcW w:w="42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200" w:type="dxa"/>
            <w:vAlign w:val="bottom"/>
            <w:shd w:val="clear" w:color="auto" w:fill="CFEBF4"/>
          </w:tcPr>
          <w:p>
            <w:pPr>
              <w:spacing w:after="0"/>
              <w:rPr>
                <w:sz w:val="14"/>
                <w:szCs w:val="14"/>
                <w:color w:val="auto"/>
              </w:rPr>
            </w:pPr>
          </w:p>
        </w:tc>
        <w:tc>
          <w:tcPr>
            <w:tcW w:w="42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80" w:type="dxa"/>
            <w:vAlign w:val="bottom"/>
            <w:shd w:val="clear" w:color="auto" w:fill="CFEBF4"/>
          </w:tcPr>
          <w:p>
            <w:pPr>
              <w:spacing w:after="0"/>
              <w:rPr>
                <w:sz w:val="14"/>
                <w:szCs w:val="14"/>
                <w:color w:val="auto"/>
              </w:rPr>
            </w:pPr>
          </w:p>
        </w:tc>
        <w:tc>
          <w:tcPr>
            <w:tcW w:w="460" w:type="dxa"/>
            <w:vAlign w:val="bottom"/>
            <w:shd w:val="clear" w:color="auto" w:fill="CFEBF4"/>
          </w:tcPr>
          <w:p>
            <w:pPr>
              <w:spacing w:after="0"/>
              <w:rPr>
                <w:sz w:val="14"/>
                <w:szCs w:val="14"/>
                <w:color w:val="auto"/>
              </w:rPr>
            </w:pPr>
          </w:p>
        </w:tc>
        <w:tc>
          <w:tcPr>
            <w:tcW w:w="8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60" w:type="dxa"/>
            <w:vAlign w:val="bottom"/>
            <w:shd w:val="clear" w:color="auto" w:fill="CFEBF4"/>
          </w:tcPr>
          <w:p>
            <w:pPr>
              <w:spacing w:after="0"/>
              <w:rPr>
                <w:sz w:val="14"/>
                <w:szCs w:val="14"/>
                <w:color w:val="auto"/>
              </w:rPr>
            </w:pPr>
          </w:p>
        </w:tc>
        <w:tc>
          <w:tcPr>
            <w:tcW w:w="740" w:type="dxa"/>
            <w:vAlign w:val="bottom"/>
            <w:shd w:val="clear" w:color="auto" w:fill="CFEBF4"/>
          </w:tcPr>
          <w:p>
            <w:pPr>
              <w:spacing w:after="0"/>
              <w:rPr>
                <w:sz w:val="14"/>
                <w:szCs w:val="14"/>
                <w:color w:val="auto"/>
              </w:rPr>
            </w:pPr>
          </w:p>
        </w:tc>
        <w:tc>
          <w:tcPr>
            <w:tcW w:w="4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76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58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80" w:type="dxa"/>
            <w:vAlign w:val="bottom"/>
            <w:shd w:val="clear" w:color="auto" w:fill="CFEBF4"/>
          </w:tcPr>
          <w:p>
            <w:pPr>
              <w:spacing w:after="0"/>
              <w:rPr>
                <w:sz w:val="14"/>
                <w:szCs w:val="14"/>
                <w:color w:val="auto"/>
              </w:rPr>
            </w:pPr>
          </w:p>
        </w:tc>
        <w:tc>
          <w:tcPr>
            <w:tcW w:w="88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98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200" w:type="dxa"/>
            <w:vAlign w:val="bottom"/>
            <w:shd w:val="clear" w:color="auto" w:fill="CFEBF4"/>
          </w:tcPr>
          <w:p>
            <w:pPr>
              <w:spacing w:after="0"/>
              <w:rPr>
                <w:sz w:val="14"/>
                <w:szCs w:val="14"/>
                <w:color w:val="auto"/>
              </w:rPr>
            </w:pPr>
          </w:p>
        </w:tc>
        <w:tc>
          <w:tcPr>
            <w:tcW w:w="700" w:type="dxa"/>
            <w:vAlign w:val="bottom"/>
            <w:shd w:val="clear" w:color="auto" w:fill="CFEBF4"/>
          </w:tcPr>
          <w:p>
            <w:pPr>
              <w:spacing w:after="0"/>
              <w:rPr>
                <w:sz w:val="14"/>
                <w:szCs w:val="14"/>
                <w:color w:val="auto"/>
              </w:rPr>
            </w:pPr>
          </w:p>
        </w:tc>
        <w:tc>
          <w:tcPr>
            <w:tcW w:w="20" w:type="dxa"/>
            <w:vAlign w:val="bottom"/>
            <w:shd w:val="clear" w:color="auto" w:fill="CFEBF4"/>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680" w:type="dxa"/>
            <w:vAlign w:val="bottom"/>
            <w:shd w:val="clear" w:color="auto" w:fill="CFEBF4"/>
          </w:tcPr>
          <w:p>
            <w:pPr>
              <w:ind w:left="380"/>
              <w:spacing w:after="0" w:line="150" w:lineRule="exact"/>
              <w:rPr>
                <w:sz w:val="20"/>
                <w:szCs w:val="20"/>
                <w:color w:val="auto"/>
              </w:rPr>
            </w:pPr>
            <w:r>
              <w:rPr>
                <w:rFonts w:ascii="Times New Roman" w:cs="Times New Roman" w:eastAsia="Times New Roman" w:hAnsi="Times New Roman"/>
                <w:sz w:val="15"/>
                <w:szCs w:val="15"/>
                <w:color w:val="231F20"/>
              </w:rPr>
              <w:t>restricted stock units and retirement</w:t>
            </w:r>
          </w:p>
        </w:tc>
        <w:tc>
          <w:tcPr>
            <w:tcW w:w="220" w:type="dxa"/>
            <w:vAlign w:val="bottom"/>
            <w:shd w:val="clear" w:color="auto" w:fill="CFEBF4"/>
          </w:tcPr>
          <w:p>
            <w:pPr>
              <w:spacing w:after="0"/>
              <w:rPr>
                <w:sz w:val="13"/>
                <w:szCs w:val="13"/>
                <w:color w:val="auto"/>
              </w:rPr>
            </w:pPr>
          </w:p>
        </w:tc>
        <w:tc>
          <w:tcPr>
            <w:tcW w:w="420" w:type="dxa"/>
            <w:vAlign w:val="bottom"/>
            <w:vMerge w:val="restart"/>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(160,419)</w:t>
            </w:r>
          </w:p>
        </w:tc>
        <w:tc>
          <w:tcPr>
            <w:tcW w:w="60" w:type="dxa"/>
            <w:vAlign w:val="bottom"/>
            <w:shd w:val="clear" w:color="auto" w:fill="CFEBF4"/>
          </w:tcPr>
          <w:p>
            <w:pPr>
              <w:spacing w:after="0"/>
              <w:rPr>
                <w:sz w:val="13"/>
                <w:szCs w:val="13"/>
                <w:color w:val="auto"/>
              </w:rPr>
            </w:pPr>
          </w:p>
        </w:tc>
        <w:tc>
          <w:tcPr>
            <w:tcW w:w="200" w:type="dxa"/>
            <w:vAlign w:val="bottom"/>
            <w:shd w:val="clear" w:color="auto" w:fill="CFEBF4"/>
          </w:tcPr>
          <w:p>
            <w:pPr>
              <w:spacing w:after="0"/>
              <w:rPr>
                <w:sz w:val="13"/>
                <w:szCs w:val="13"/>
                <w:color w:val="auto"/>
              </w:rPr>
            </w:pPr>
          </w:p>
        </w:tc>
        <w:tc>
          <w:tcPr>
            <w:tcW w:w="42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80" w:type="dxa"/>
            <w:vAlign w:val="bottom"/>
            <w:shd w:val="clear" w:color="auto" w:fill="CFEBF4"/>
          </w:tcPr>
          <w:p>
            <w:pPr>
              <w:spacing w:after="0"/>
              <w:rPr>
                <w:sz w:val="13"/>
                <w:szCs w:val="13"/>
                <w:color w:val="auto"/>
              </w:rPr>
            </w:pPr>
          </w:p>
        </w:tc>
        <w:tc>
          <w:tcPr>
            <w:tcW w:w="460" w:type="dxa"/>
            <w:vAlign w:val="bottom"/>
            <w:shd w:val="clear" w:color="auto" w:fill="CFEBF4"/>
          </w:tcPr>
          <w:p>
            <w:pPr>
              <w:spacing w:after="0"/>
              <w:rPr>
                <w:sz w:val="13"/>
                <w:szCs w:val="13"/>
                <w:color w:val="auto"/>
              </w:rPr>
            </w:pPr>
          </w:p>
        </w:tc>
        <w:tc>
          <w:tcPr>
            <w:tcW w:w="8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60" w:type="dxa"/>
            <w:vAlign w:val="bottom"/>
            <w:shd w:val="clear" w:color="auto" w:fill="CFEBF4"/>
          </w:tcPr>
          <w:p>
            <w:pPr>
              <w:spacing w:after="0"/>
              <w:rPr>
                <w:sz w:val="13"/>
                <w:szCs w:val="13"/>
                <w:color w:val="auto"/>
              </w:rPr>
            </w:pPr>
          </w:p>
        </w:tc>
        <w:tc>
          <w:tcPr>
            <w:tcW w:w="7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(15.1)</w:t>
            </w:r>
          </w:p>
        </w:tc>
        <w:tc>
          <w:tcPr>
            <w:tcW w:w="4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7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(9.8)</w:t>
            </w:r>
          </w:p>
        </w:tc>
        <w:tc>
          <w:tcPr>
            <w:tcW w:w="6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580" w:type="dxa"/>
            <w:vAlign w:val="bottom"/>
            <w:shd w:val="clear" w:color="auto" w:fill="CFEBF4"/>
          </w:tcPr>
          <w:p>
            <w:pPr>
              <w:spacing w:after="0"/>
              <w:rPr>
                <w:sz w:val="13"/>
                <w:szCs w:val="13"/>
                <w:color w:val="auto"/>
              </w:rPr>
            </w:pPr>
          </w:p>
        </w:tc>
        <w:tc>
          <w:tcPr>
            <w:tcW w:w="94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80" w:type="dxa"/>
            <w:vAlign w:val="bottom"/>
            <w:shd w:val="clear" w:color="auto" w:fill="CFEBF4"/>
          </w:tcPr>
          <w:p>
            <w:pPr>
              <w:spacing w:after="0"/>
              <w:rPr>
                <w:sz w:val="13"/>
                <w:szCs w:val="13"/>
                <w:color w:val="auto"/>
              </w:rPr>
            </w:pPr>
          </w:p>
        </w:tc>
        <w:tc>
          <w:tcPr>
            <w:tcW w:w="88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140" w:type="dxa"/>
            <w:vAlign w:val="bottom"/>
            <w:shd w:val="clear" w:color="auto" w:fill="CFEBF4"/>
          </w:tcPr>
          <w:p>
            <w:pPr>
              <w:spacing w:after="0"/>
              <w:rPr>
                <w:sz w:val="13"/>
                <w:szCs w:val="13"/>
                <w:color w:val="auto"/>
              </w:rPr>
            </w:pPr>
          </w:p>
        </w:tc>
        <w:tc>
          <w:tcPr>
            <w:tcW w:w="980" w:type="dxa"/>
            <w:vAlign w:val="bottom"/>
            <w:shd w:val="clear" w:color="auto" w:fill="CFEBF4"/>
          </w:tcPr>
          <w:p>
            <w:pPr>
              <w:spacing w:after="0"/>
              <w:rPr>
                <w:sz w:val="13"/>
                <w:szCs w:val="13"/>
                <w:color w:val="auto"/>
              </w:rPr>
            </w:pPr>
          </w:p>
        </w:tc>
        <w:tc>
          <w:tcPr>
            <w:tcW w:w="60" w:type="dxa"/>
            <w:vAlign w:val="bottom"/>
            <w:shd w:val="clear" w:color="auto" w:fill="CFEBF4"/>
          </w:tcPr>
          <w:p>
            <w:pPr>
              <w:spacing w:after="0"/>
              <w:rPr>
                <w:sz w:val="13"/>
                <w:szCs w:val="13"/>
                <w:color w:val="auto"/>
              </w:rPr>
            </w:pPr>
          </w:p>
        </w:tc>
        <w:tc>
          <w:tcPr>
            <w:tcW w:w="200" w:type="dxa"/>
            <w:vAlign w:val="bottom"/>
            <w:shd w:val="clear" w:color="auto" w:fill="CFEBF4"/>
          </w:tcPr>
          <w:p>
            <w:pPr>
              <w:spacing w:after="0"/>
              <w:rPr>
                <w:sz w:val="13"/>
                <w:szCs w:val="13"/>
                <w:color w:val="auto"/>
              </w:rPr>
            </w:pPr>
          </w:p>
        </w:tc>
        <w:tc>
          <w:tcPr>
            <w:tcW w:w="70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(24.9)</w:t>
            </w:r>
          </w:p>
        </w:tc>
        <w:tc>
          <w:tcPr>
            <w:tcW w:w="20" w:type="dxa"/>
            <w:vAlign w:val="bottom"/>
            <w:shd w:val="clear" w:color="auto" w:fill="CFEBF4"/>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CFEBF4"/>
          </w:tcPr>
          <w:p>
            <w:pPr>
              <w:ind w:left="380"/>
              <w:spacing w:after="0"/>
              <w:rPr>
                <w:sz w:val="20"/>
                <w:szCs w:val="20"/>
                <w:color w:val="auto"/>
              </w:rPr>
            </w:pPr>
            <w:r>
              <w:rPr>
                <w:rFonts w:ascii="Times New Roman" w:cs="Times New Roman" w:eastAsia="Times New Roman" w:hAnsi="Times New Roman"/>
                <w:sz w:val="15"/>
                <w:szCs w:val="15"/>
                <w:color w:val="231F20"/>
              </w:rPr>
              <w:t>of common stock</w:t>
            </w:r>
          </w:p>
        </w:tc>
        <w:tc>
          <w:tcPr>
            <w:tcW w:w="220" w:type="dxa"/>
            <w:vAlign w:val="bottom"/>
            <w:shd w:val="clear" w:color="auto" w:fill="CFEBF4"/>
          </w:tcPr>
          <w:p>
            <w:pPr>
              <w:spacing w:after="0"/>
              <w:rPr>
                <w:sz w:val="18"/>
                <w:szCs w:val="18"/>
                <w:color w:val="auto"/>
              </w:rPr>
            </w:pPr>
          </w:p>
        </w:tc>
        <w:tc>
          <w:tcPr>
            <w:tcW w:w="420" w:type="dxa"/>
            <w:vAlign w:val="bottom"/>
            <w:vMerge w:val="continue"/>
            <w:shd w:val="clear" w:color="auto" w:fill="CFEBF4"/>
          </w:tcPr>
          <w:p>
            <w:pPr>
              <w:spacing w:after="0"/>
              <w:rPr>
                <w:sz w:val="18"/>
                <w:szCs w:val="18"/>
                <w:color w:val="auto"/>
              </w:rPr>
            </w:pPr>
          </w:p>
        </w:tc>
        <w:tc>
          <w:tcPr>
            <w:tcW w:w="940" w:type="dxa"/>
            <w:vAlign w:val="bottom"/>
            <w:vMerge w:val="continue"/>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42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460" w:type="dxa"/>
            <w:vAlign w:val="bottom"/>
            <w:shd w:val="clear" w:color="auto" w:fill="CFEBF4"/>
          </w:tcPr>
          <w:p>
            <w:pPr>
              <w:spacing w:after="0"/>
              <w:rPr>
                <w:sz w:val="18"/>
                <w:szCs w:val="18"/>
                <w:color w:val="auto"/>
              </w:rPr>
            </w:pPr>
          </w:p>
        </w:tc>
        <w:tc>
          <w:tcPr>
            <w:tcW w:w="8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60" w:type="dxa"/>
            <w:vAlign w:val="bottom"/>
            <w:shd w:val="clear" w:color="auto" w:fill="CFEBF4"/>
          </w:tcPr>
          <w:p>
            <w:pPr>
              <w:spacing w:after="0"/>
              <w:rPr>
                <w:sz w:val="18"/>
                <w:szCs w:val="18"/>
                <w:color w:val="auto"/>
              </w:rPr>
            </w:pPr>
          </w:p>
        </w:tc>
        <w:tc>
          <w:tcPr>
            <w:tcW w:w="740" w:type="dxa"/>
            <w:vAlign w:val="bottom"/>
            <w:vMerge w:val="continue"/>
            <w:shd w:val="clear" w:color="auto" w:fill="CFEBF4"/>
          </w:tcPr>
          <w:p>
            <w:pPr>
              <w:spacing w:after="0"/>
              <w:rPr>
                <w:sz w:val="18"/>
                <w:szCs w:val="18"/>
                <w:color w:val="auto"/>
              </w:rPr>
            </w:pPr>
          </w:p>
        </w:tc>
        <w:tc>
          <w:tcPr>
            <w:tcW w:w="4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760" w:type="dxa"/>
            <w:vAlign w:val="bottom"/>
            <w:vMerge w:val="continue"/>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58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8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9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700" w:type="dxa"/>
            <w:vAlign w:val="bottom"/>
            <w:vMerge w:val="continue"/>
            <w:shd w:val="clear" w:color="auto" w:fill="CFEBF4"/>
          </w:tcPr>
          <w:p>
            <w:pPr>
              <w:spacing w:after="0"/>
              <w:rPr>
                <w:sz w:val="18"/>
                <w:szCs w:val="18"/>
                <w:color w:val="auto"/>
              </w:rPr>
            </w:pPr>
          </w:p>
        </w:tc>
        <w:tc>
          <w:tcPr>
            <w:tcW w:w="20" w:type="dxa"/>
            <w:vAlign w:val="bottom"/>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Noncontrolling interests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shd w:val="clear" w:color="auto" w:fill="CFEBF4"/>
          </w:tcPr>
          <w:p>
            <w:pPr>
              <w:ind w:left="220"/>
              <w:spacing w:after="0" w:line="169" w:lineRule="exact"/>
              <w:rPr>
                <w:sz w:val="20"/>
                <w:szCs w:val="20"/>
                <w:color w:val="auto"/>
              </w:rPr>
            </w:pPr>
            <w:r>
              <w:rPr>
                <w:rFonts w:ascii="Times New Roman" w:cs="Times New Roman" w:eastAsia="Times New Roman" w:hAnsi="Times New Roman"/>
                <w:sz w:val="15"/>
                <w:szCs w:val="15"/>
                <w:color w:val="231F20"/>
              </w:rPr>
              <w:t>Net income attributable to WESCO</w:t>
            </w:r>
          </w:p>
        </w:tc>
        <w:tc>
          <w:tcPr>
            <w:tcW w:w="220" w:type="dxa"/>
            <w:vAlign w:val="bottom"/>
            <w:shd w:val="clear" w:color="auto" w:fill="CFEBF4"/>
          </w:tcPr>
          <w:p>
            <w:pPr>
              <w:spacing w:after="0"/>
              <w:rPr>
                <w:sz w:val="14"/>
                <w:szCs w:val="14"/>
                <w:color w:val="auto"/>
              </w:rPr>
            </w:pPr>
          </w:p>
        </w:tc>
        <w:tc>
          <w:tcPr>
            <w:tcW w:w="42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200" w:type="dxa"/>
            <w:vAlign w:val="bottom"/>
            <w:shd w:val="clear" w:color="auto" w:fill="CFEBF4"/>
          </w:tcPr>
          <w:p>
            <w:pPr>
              <w:spacing w:after="0"/>
              <w:rPr>
                <w:sz w:val="14"/>
                <w:szCs w:val="14"/>
                <w:color w:val="auto"/>
              </w:rPr>
            </w:pPr>
          </w:p>
        </w:tc>
        <w:tc>
          <w:tcPr>
            <w:tcW w:w="42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80" w:type="dxa"/>
            <w:vAlign w:val="bottom"/>
            <w:shd w:val="clear" w:color="auto" w:fill="CFEBF4"/>
          </w:tcPr>
          <w:p>
            <w:pPr>
              <w:spacing w:after="0"/>
              <w:rPr>
                <w:sz w:val="14"/>
                <w:szCs w:val="14"/>
                <w:color w:val="auto"/>
              </w:rPr>
            </w:pPr>
          </w:p>
        </w:tc>
        <w:tc>
          <w:tcPr>
            <w:tcW w:w="460" w:type="dxa"/>
            <w:vAlign w:val="bottom"/>
            <w:shd w:val="clear" w:color="auto" w:fill="CFEBF4"/>
          </w:tcPr>
          <w:p>
            <w:pPr>
              <w:spacing w:after="0"/>
              <w:rPr>
                <w:sz w:val="14"/>
                <w:szCs w:val="14"/>
                <w:color w:val="auto"/>
              </w:rPr>
            </w:pPr>
          </w:p>
        </w:tc>
        <w:tc>
          <w:tcPr>
            <w:tcW w:w="8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60" w:type="dxa"/>
            <w:vAlign w:val="bottom"/>
            <w:shd w:val="clear" w:color="auto" w:fill="CFEBF4"/>
          </w:tcPr>
          <w:p>
            <w:pPr>
              <w:spacing w:after="0"/>
              <w:rPr>
                <w:sz w:val="14"/>
                <w:szCs w:val="14"/>
                <w:color w:val="auto"/>
              </w:rPr>
            </w:pPr>
          </w:p>
        </w:tc>
        <w:tc>
          <w:tcPr>
            <w:tcW w:w="740" w:type="dxa"/>
            <w:vAlign w:val="bottom"/>
            <w:shd w:val="clear" w:color="auto" w:fill="CFEBF4"/>
          </w:tcPr>
          <w:p>
            <w:pPr>
              <w:spacing w:after="0"/>
              <w:rPr>
                <w:sz w:val="14"/>
                <w:szCs w:val="14"/>
                <w:color w:val="auto"/>
              </w:rPr>
            </w:pPr>
          </w:p>
        </w:tc>
        <w:tc>
          <w:tcPr>
            <w:tcW w:w="4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7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717.6</w:t>
            </w:r>
          </w:p>
        </w:tc>
        <w:tc>
          <w:tcPr>
            <w:tcW w:w="6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580" w:type="dxa"/>
            <w:vAlign w:val="bottom"/>
            <w:shd w:val="clear" w:color="auto" w:fill="CFEBF4"/>
          </w:tcPr>
          <w:p>
            <w:pPr>
              <w:spacing w:after="0"/>
              <w:rPr>
                <w:sz w:val="14"/>
                <w:szCs w:val="14"/>
                <w:color w:val="auto"/>
              </w:rPr>
            </w:pPr>
          </w:p>
        </w:tc>
        <w:tc>
          <w:tcPr>
            <w:tcW w:w="94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80" w:type="dxa"/>
            <w:vAlign w:val="bottom"/>
            <w:shd w:val="clear" w:color="auto" w:fill="CFEBF4"/>
          </w:tcPr>
          <w:p>
            <w:pPr>
              <w:spacing w:after="0"/>
              <w:rPr>
                <w:sz w:val="14"/>
                <w:szCs w:val="14"/>
                <w:color w:val="auto"/>
              </w:rPr>
            </w:pPr>
          </w:p>
        </w:tc>
        <w:tc>
          <w:tcPr>
            <w:tcW w:w="88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140" w:type="dxa"/>
            <w:vAlign w:val="bottom"/>
            <w:shd w:val="clear" w:color="auto" w:fill="CFEBF4"/>
          </w:tcPr>
          <w:p>
            <w:pPr>
              <w:spacing w:after="0"/>
              <w:rPr>
                <w:sz w:val="14"/>
                <w:szCs w:val="14"/>
                <w:color w:val="auto"/>
              </w:rPr>
            </w:pPr>
          </w:p>
        </w:tc>
        <w:tc>
          <w:tcPr>
            <w:tcW w:w="980" w:type="dxa"/>
            <w:vAlign w:val="bottom"/>
            <w:shd w:val="clear" w:color="auto" w:fill="CFEBF4"/>
          </w:tcPr>
          <w:p>
            <w:pPr>
              <w:spacing w:after="0"/>
              <w:rPr>
                <w:sz w:val="14"/>
                <w:szCs w:val="14"/>
                <w:color w:val="auto"/>
              </w:rPr>
            </w:pPr>
          </w:p>
        </w:tc>
        <w:tc>
          <w:tcPr>
            <w:tcW w:w="60" w:type="dxa"/>
            <w:vAlign w:val="bottom"/>
            <w:shd w:val="clear" w:color="auto" w:fill="CFEBF4"/>
          </w:tcPr>
          <w:p>
            <w:pPr>
              <w:spacing w:after="0"/>
              <w:rPr>
                <w:sz w:val="14"/>
                <w:szCs w:val="14"/>
                <w:color w:val="auto"/>
              </w:rPr>
            </w:pPr>
          </w:p>
        </w:tc>
        <w:tc>
          <w:tcPr>
            <w:tcW w:w="200" w:type="dxa"/>
            <w:vAlign w:val="bottom"/>
            <w:shd w:val="clear" w:color="auto" w:fill="CFEBF4"/>
          </w:tcPr>
          <w:p>
            <w:pPr>
              <w:spacing w:after="0"/>
              <w:rPr>
                <w:sz w:val="14"/>
                <w:szCs w:val="14"/>
                <w:color w:val="auto"/>
              </w:rPr>
            </w:pPr>
          </w:p>
        </w:tc>
        <w:tc>
          <w:tcPr>
            <w:tcW w:w="70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717.6</w:t>
            </w:r>
          </w:p>
        </w:tc>
        <w:tc>
          <w:tcPr>
            <w:tcW w:w="20" w:type="dxa"/>
            <w:vAlign w:val="bottom"/>
            <w:shd w:val="clear" w:color="auto" w:fill="CFEBF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FEBF4"/>
          </w:tcPr>
          <w:p>
            <w:pPr>
              <w:ind w:left="380"/>
              <w:spacing w:after="0"/>
              <w:rPr>
                <w:sz w:val="20"/>
                <w:szCs w:val="20"/>
                <w:color w:val="auto"/>
              </w:rPr>
            </w:pPr>
            <w:r>
              <w:rPr>
                <w:rFonts w:ascii="Times New Roman" w:cs="Times New Roman" w:eastAsia="Times New Roman" w:hAnsi="Times New Roman"/>
                <w:sz w:val="15"/>
                <w:szCs w:val="15"/>
                <w:color w:val="231F20"/>
              </w:rPr>
              <w:t>International, Inc.</w:t>
            </w:r>
          </w:p>
        </w:tc>
        <w:tc>
          <w:tcPr>
            <w:tcW w:w="220" w:type="dxa"/>
            <w:vAlign w:val="bottom"/>
            <w:shd w:val="clear" w:color="auto" w:fill="CFEBF4"/>
          </w:tcPr>
          <w:p>
            <w:pPr>
              <w:spacing w:after="0"/>
              <w:rPr>
                <w:sz w:val="18"/>
                <w:szCs w:val="18"/>
                <w:color w:val="auto"/>
              </w:rPr>
            </w:pPr>
          </w:p>
        </w:tc>
        <w:tc>
          <w:tcPr>
            <w:tcW w:w="42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42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460" w:type="dxa"/>
            <w:vAlign w:val="bottom"/>
            <w:shd w:val="clear" w:color="auto" w:fill="CFEBF4"/>
          </w:tcPr>
          <w:p>
            <w:pPr>
              <w:spacing w:after="0"/>
              <w:rPr>
                <w:sz w:val="18"/>
                <w:szCs w:val="18"/>
                <w:color w:val="auto"/>
              </w:rPr>
            </w:pPr>
          </w:p>
        </w:tc>
        <w:tc>
          <w:tcPr>
            <w:tcW w:w="8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60" w:type="dxa"/>
            <w:vAlign w:val="bottom"/>
            <w:shd w:val="clear" w:color="auto" w:fill="CFEBF4"/>
          </w:tcPr>
          <w:p>
            <w:pPr>
              <w:spacing w:after="0"/>
              <w:rPr>
                <w:sz w:val="18"/>
                <w:szCs w:val="18"/>
                <w:color w:val="auto"/>
              </w:rPr>
            </w:pPr>
          </w:p>
        </w:tc>
        <w:tc>
          <w:tcPr>
            <w:tcW w:w="740" w:type="dxa"/>
            <w:vAlign w:val="bottom"/>
            <w:shd w:val="clear" w:color="auto" w:fill="CFEBF4"/>
          </w:tcPr>
          <w:p>
            <w:pPr>
              <w:spacing w:after="0"/>
              <w:rPr>
                <w:sz w:val="18"/>
                <w:szCs w:val="18"/>
                <w:color w:val="auto"/>
              </w:rPr>
            </w:pPr>
          </w:p>
        </w:tc>
        <w:tc>
          <w:tcPr>
            <w:tcW w:w="4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760" w:type="dxa"/>
            <w:vAlign w:val="bottom"/>
            <w:vMerge w:val="continue"/>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580" w:type="dxa"/>
            <w:vAlign w:val="bottom"/>
            <w:shd w:val="clear" w:color="auto" w:fill="CFEBF4"/>
          </w:tcPr>
          <w:p>
            <w:pPr>
              <w:spacing w:after="0"/>
              <w:rPr>
                <w:sz w:val="18"/>
                <w:szCs w:val="18"/>
                <w:color w:val="auto"/>
              </w:rPr>
            </w:pPr>
          </w:p>
        </w:tc>
        <w:tc>
          <w:tcPr>
            <w:tcW w:w="94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80" w:type="dxa"/>
            <w:vAlign w:val="bottom"/>
            <w:shd w:val="clear" w:color="auto" w:fill="CFEBF4"/>
          </w:tcPr>
          <w:p>
            <w:pPr>
              <w:spacing w:after="0"/>
              <w:rPr>
                <w:sz w:val="18"/>
                <w:szCs w:val="18"/>
                <w:color w:val="auto"/>
              </w:rPr>
            </w:pPr>
          </w:p>
        </w:tc>
        <w:tc>
          <w:tcPr>
            <w:tcW w:w="8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40" w:type="dxa"/>
            <w:vAlign w:val="bottom"/>
            <w:shd w:val="clear" w:color="auto" w:fill="CFEBF4"/>
          </w:tcPr>
          <w:p>
            <w:pPr>
              <w:spacing w:after="0"/>
              <w:rPr>
                <w:sz w:val="18"/>
                <w:szCs w:val="18"/>
                <w:color w:val="auto"/>
              </w:rPr>
            </w:pPr>
          </w:p>
        </w:tc>
        <w:tc>
          <w:tcPr>
            <w:tcW w:w="98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200" w:type="dxa"/>
            <w:vAlign w:val="bottom"/>
            <w:shd w:val="clear" w:color="auto" w:fill="CFEBF4"/>
          </w:tcPr>
          <w:p>
            <w:pPr>
              <w:spacing w:after="0"/>
              <w:rPr>
                <w:sz w:val="18"/>
                <w:szCs w:val="18"/>
                <w:color w:val="auto"/>
              </w:rPr>
            </w:pPr>
          </w:p>
        </w:tc>
        <w:tc>
          <w:tcPr>
            <w:tcW w:w="700" w:type="dxa"/>
            <w:vAlign w:val="bottom"/>
            <w:vMerge w:val="continue"/>
            <w:shd w:val="clear" w:color="auto" w:fill="CFEBF4"/>
          </w:tcPr>
          <w:p>
            <w:pPr>
              <w:spacing w:after="0"/>
              <w:rPr>
                <w:sz w:val="18"/>
                <w:szCs w:val="18"/>
                <w:color w:val="auto"/>
              </w:rPr>
            </w:pPr>
          </w:p>
        </w:tc>
        <w:tc>
          <w:tcPr>
            <w:tcW w:w="20" w:type="dxa"/>
            <w:vAlign w:val="bottom"/>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Common stock dividends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Preferred stock dividends</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spacing w:after="0"/>
              <w:rPr>
                <w:sz w:val="17"/>
                <w:szCs w:val="17"/>
                <w:color w:val="auto"/>
              </w:rPr>
            </w:pP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(57.4)</w:t>
            </w: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58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(57.4)</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Dividends to noncontrolling interests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Translation adjustments and other</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0.1</w:t>
            </w: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0.1</w:t>
            </w: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58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0.1</w:t>
            </w: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(228.7)</w:t>
            </w: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(228.4)</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680" w:type="dxa"/>
            <w:vAlign w:val="bottom"/>
          </w:tcPr>
          <w:p>
            <w:pPr>
              <w:ind w:left="220"/>
              <w:spacing w:after="0" w:line="169" w:lineRule="exact"/>
              <w:rPr>
                <w:sz w:val="20"/>
                <w:szCs w:val="20"/>
                <w:color w:val="auto"/>
              </w:rPr>
            </w:pPr>
            <w:r>
              <w:rPr>
                <w:rFonts w:ascii="Times New Roman" w:cs="Times New Roman" w:eastAsia="Times New Roman" w:hAnsi="Times New Roman"/>
                <w:sz w:val="15"/>
                <w:szCs w:val="15"/>
                <w:color w:val="231F20"/>
              </w:rPr>
              <w:t>Benefit plan adjustments, net of tax</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80" w:type="dxa"/>
            <w:vAlign w:val="bottom"/>
            <w:tcBorders>
              <w:bottom w:val="single" w:sz="8" w:color="CFEBF4"/>
            </w:tcBorders>
          </w:tcPr>
          <w:p>
            <w:pPr>
              <w:ind w:left="380"/>
              <w:spacing w:after="0"/>
              <w:rPr>
                <w:sz w:val="20"/>
                <w:szCs w:val="20"/>
                <w:color w:val="auto"/>
              </w:rPr>
            </w:pPr>
            <w:r>
              <w:rPr>
                <w:rFonts w:ascii="Times New Roman" w:cs="Times New Roman" w:eastAsia="Times New Roman" w:hAnsi="Times New Roman"/>
                <w:sz w:val="15"/>
                <w:szCs w:val="15"/>
                <w:color w:val="231F20"/>
              </w:rPr>
              <w:t>effect of $5.7 million</w:t>
            </w:r>
          </w:p>
        </w:tc>
        <w:tc>
          <w:tcPr>
            <w:tcW w:w="22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8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4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spacing w:after="0"/>
              <w:rPr>
                <w:sz w:val="17"/>
                <w:szCs w:val="17"/>
                <w:color w:val="auto"/>
              </w:rPr>
            </w:pPr>
          </w:p>
        </w:tc>
        <w:tc>
          <w:tcPr>
            <w:tcW w:w="9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20" w:type="dxa"/>
            <w:vAlign w:val="bottom"/>
            <w:tcBorders>
              <w:bottom w:val="single" w:sz="8" w:color="CFEBF4"/>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15"/>
                <w:szCs w:val="15"/>
                <w:b w:val="1"/>
                <w:bCs w:val="1"/>
                <w:color w:val="231F20"/>
              </w:rPr>
              <w:t>Balance, December 31, 2024</w:t>
            </w:r>
          </w:p>
        </w:tc>
        <w:tc>
          <w:tcPr>
            <w:tcW w:w="220" w:type="dxa"/>
            <w:vAlign w:val="bottom"/>
            <w:tcBorders>
              <w:bottom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bottom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0.7</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69,627,398</w:t>
            </w:r>
          </w:p>
        </w:tc>
        <w:tc>
          <w:tcPr>
            <w:tcW w:w="60" w:type="dxa"/>
            <w:vAlign w:val="bottom"/>
            <w:tcBorders>
              <w:bottom w:val="single" w:sz="8" w:color="CFEBF4"/>
            </w:tcBorders>
            <w:shd w:val="clear" w:color="auto" w:fill="CFEBF4"/>
          </w:tcPr>
          <w:p>
            <w:pPr>
              <w:spacing w:after="0"/>
              <w:rPr>
                <w:sz w:val="19"/>
                <w:szCs w:val="19"/>
                <w:color w:val="auto"/>
              </w:rPr>
            </w:pPr>
          </w:p>
        </w:tc>
        <w:tc>
          <w:tcPr>
            <w:tcW w:w="20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bottom w:val="single" w:sz="8" w:color="231F20"/>
            </w:tcBorders>
            <w:shd w:val="clear" w:color="auto" w:fill="CFEBF4"/>
          </w:tcPr>
          <w:p>
            <w:pPr>
              <w:ind w:left="200"/>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Borders>
              <w:bottom w:val="single" w:sz="8" w:color="231F20"/>
            </w:tcBorders>
            <w:shd w:val="clear" w:color="auto" w:fill="CFEBF4"/>
          </w:tcPr>
          <w:p>
            <w:pPr>
              <w:ind w:left="280"/>
              <w:spacing w:after="0"/>
              <w:rPr>
                <w:sz w:val="20"/>
                <w:szCs w:val="20"/>
                <w:color w:val="auto"/>
              </w:rPr>
            </w:pPr>
            <w:r>
              <w:rPr>
                <w:rFonts w:ascii="Times New Roman" w:cs="Times New Roman" w:eastAsia="Times New Roman" w:hAnsi="Times New Roman"/>
                <w:sz w:val="15"/>
                <w:szCs w:val="15"/>
                <w:color w:val="231F20"/>
              </w:rPr>
              <w:t>4,339,431</w:t>
            </w:r>
          </w:p>
        </w:tc>
        <w:tc>
          <w:tcPr>
            <w:tcW w:w="60" w:type="dxa"/>
            <w:vAlign w:val="bottom"/>
            <w:tcBorders>
              <w:bottom w:val="single" w:sz="8" w:color="CFEBF4"/>
            </w:tcBorders>
            <w:shd w:val="clear" w:color="auto" w:fill="CFEBF4"/>
          </w:tcPr>
          <w:p>
            <w:pPr>
              <w:spacing w:after="0"/>
              <w:rPr>
                <w:sz w:val="19"/>
                <w:szCs w:val="19"/>
                <w:color w:val="auto"/>
              </w:rPr>
            </w:pPr>
          </w:p>
        </w:tc>
        <w:tc>
          <w:tcPr>
            <w:tcW w:w="18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60" w:type="dxa"/>
            <w:vAlign w:val="bottom"/>
            <w:tcBorders>
              <w:bottom w:val="single" w:sz="8" w:color="231F20"/>
            </w:tcBorders>
            <w:shd w:val="clear" w:color="auto" w:fill="CFEBF4"/>
          </w:tcPr>
          <w:p>
            <w:pPr>
              <w:ind w:left="240"/>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21,612</w:t>
            </w:r>
          </w:p>
        </w:tc>
        <w:tc>
          <w:tcPr>
            <w:tcW w:w="60" w:type="dxa"/>
            <w:vAlign w:val="bottom"/>
            <w:tcBorders>
              <w:bottom w:val="single" w:sz="8" w:color="CFEBF4"/>
            </w:tcBorders>
            <w:shd w:val="clear" w:color="auto" w:fill="CFEBF4"/>
          </w:tcPr>
          <w:p>
            <w:pPr>
              <w:spacing w:after="0"/>
              <w:rPr>
                <w:sz w:val="19"/>
                <w:szCs w:val="19"/>
                <w:color w:val="auto"/>
              </w:rPr>
            </w:pPr>
          </w:p>
        </w:tc>
        <w:tc>
          <w:tcPr>
            <w:tcW w:w="1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tcBorders>
              <w:bottom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2,051.6</w:t>
            </w:r>
          </w:p>
        </w:tc>
        <w:tc>
          <w:tcPr>
            <w:tcW w:w="40" w:type="dxa"/>
            <w:vAlign w:val="bottom"/>
            <w:tcBorders>
              <w:bottom w:val="single" w:sz="8" w:color="CFEBF4"/>
            </w:tcBorders>
            <w:shd w:val="clear" w:color="auto" w:fill="CFEBF4"/>
          </w:tcPr>
          <w:p>
            <w:pPr>
              <w:spacing w:after="0"/>
              <w:rPr>
                <w:sz w:val="19"/>
                <w:szCs w:val="19"/>
                <w:color w:val="auto"/>
              </w:rPr>
            </w:pPr>
          </w:p>
        </w:tc>
        <w:tc>
          <w:tcPr>
            <w:tcW w:w="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4,960.7</w:t>
            </w:r>
          </w:p>
        </w:tc>
        <w:tc>
          <w:tcPr>
            <w:tcW w:w="60" w:type="dxa"/>
            <w:vAlign w:val="bottom"/>
            <w:tcBorders>
              <w:bottom w:val="single" w:sz="8" w:color="CFEBF4"/>
            </w:tcBorders>
            <w:shd w:val="clear" w:color="auto" w:fill="CFEBF4"/>
          </w:tcPr>
          <w:p>
            <w:pPr>
              <w:spacing w:after="0"/>
              <w:rPr>
                <w:sz w:val="19"/>
                <w:szCs w:val="19"/>
                <w:color w:val="auto"/>
              </w:rPr>
            </w:pPr>
          </w:p>
        </w:tc>
        <w:tc>
          <w:tcPr>
            <w:tcW w:w="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5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w w:val="98"/>
              </w:rPr>
              <w:t>(1,495.1)</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(25,176,234)</w:t>
            </w:r>
          </w:p>
        </w:tc>
        <w:tc>
          <w:tcPr>
            <w:tcW w:w="60" w:type="dxa"/>
            <w:vAlign w:val="bottom"/>
            <w:tcBorders>
              <w:bottom w:val="single" w:sz="8" w:color="CFEBF4"/>
            </w:tcBorders>
            <w:shd w:val="clear" w:color="auto" w:fill="CFEBF4"/>
          </w:tcPr>
          <w:p>
            <w:pPr>
              <w:spacing w:after="0"/>
              <w:rPr>
                <w:sz w:val="19"/>
                <w:szCs w:val="19"/>
                <w:color w:val="auto"/>
              </w:rPr>
            </w:pPr>
          </w:p>
        </w:tc>
        <w:tc>
          <w:tcPr>
            <w:tcW w:w="18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(5.2)</w:t>
            </w:r>
          </w:p>
        </w:tc>
        <w:tc>
          <w:tcPr>
            <w:tcW w:w="60" w:type="dxa"/>
            <w:vAlign w:val="bottom"/>
            <w:tcBorders>
              <w:bottom w:val="single" w:sz="8" w:color="CFEBF4"/>
            </w:tcBorders>
            <w:shd w:val="clear" w:color="auto" w:fill="CFEBF4"/>
          </w:tcPr>
          <w:p>
            <w:pPr>
              <w:spacing w:after="0"/>
              <w:rPr>
                <w:sz w:val="19"/>
                <w:szCs w:val="19"/>
                <w:color w:val="auto"/>
              </w:rPr>
            </w:pPr>
          </w:p>
        </w:tc>
        <w:tc>
          <w:tcPr>
            <w:tcW w:w="14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(547.2)</w:t>
            </w:r>
          </w:p>
        </w:tc>
        <w:tc>
          <w:tcPr>
            <w:tcW w:w="60" w:type="dxa"/>
            <w:vAlign w:val="bottom"/>
            <w:tcBorders>
              <w:bottom w:val="single" w:sz="8" w:color="CFEBF4"/>
            </w:tcBorders>
            <w:shd w:val="clear" w:color="auto" w:fill="CFEBF4"/>
          </w:tcPr>
          <w:p>
            <w:pPr>
              <w:spacing w:after="0"/>
              <w:rPr>
                <w:sz w:val="19"/>
                <w:szCs w:val="19"/>
                <w:color w:val="auto"/>
              </w:rPr>
            </w:pPr>
          </w:p>
        </w:tc>
        <w:tc>
          <w:tcPr>
            <w:tcW w:w="200" w:type="dxa"/>
            <w:vAlign w:val="bottom"/>
            <w:tcBorders>
              <w:bottom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7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4,965.5</w:t>
            </w:r>
          </w:p>
        </w:tc>
        <w:tc>
          <w:tcPr>
            <w:tcW w:w="20" w:type="dxa"/>
            <w:vAlign w:val="bottom"/>
            <w:tcBorders>
              <w:bottom w:val="single" w:sz="8" w:color="CFEBF4"/>
            </w:tcBorders>
            <w:shd w:val="clear" w:color="auto" w:fill="CFEB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-4706620</wp:posOffset>
            </wp:positionV>
            <wp:extent cx="2019300" cy="47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6">
                      <a:extLst>
                        <a:ext uri="{28A0092B-C50C-407E-A947-70E740481C1C}"/>
                      </a:extLst>
                    </a:blip>
                    <a:srcRect/>
                    <a:stretch>
                      <a:fillRect/>
                    </a:stretch>
                  </pic:blipFill>
                  <pic:spPr bwMode="auto">
                    <a:xfrm>
                      <a:off x="0" y="0"/>
                      <a:ext cx="2019300" cy="47625"/>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-4563745</wp:posOffset>
            </wp:positionV>
            <wp:extent cx="7401560" cy="47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a:extLst>
                        <a:ext uri="{28A0092B-C50C-407E-A947-70E740481C1C}"/>
                      </a:extLst>
                    </a:blip>
                    <a:srcRect/>
                    <a:stretch>
                      <a:fillRect/>
                    </a:stretch>
                  </pic:blipFill>
                  <pic:spPr bwMode="auto">
                    <a:xfrm>
                      <a:off x="0" y="0"/>
                      <a:ext cx="7401560" cy="47625"/>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-2467610</wp:posOffset>
            </wp:positionV>
            <wp:extent cx="7401560" cy="47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a:extLst>
                        <a:ext uri="{28A0092B-C50C-407E-A947-70E740481C1C}"/>
                      </a:extLst>
                    </a:blip>
                    <a:srcRect/>
                    <a:stretch>
                      <a:fillRect/>
                    </a:stretch>
                  </pic:blipFill>
                  <pic:spPr bwMode="auto">
                    <a:xfrm>
                      <a:off x="0" y="0"/>
                      <a:ext cx="7401560"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1695450</wp:posOffset>
                </wp:positionH>
                <wp:positionV relativeFrom="paragraph">
                  <wp:posOffset>-166370</wp:posOffset>
                </wp:positionV>
                <wp:extent cx="12700" cy="127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79" o:spid="_x0000_s1104" style="position:absolute;margin-left:133.5pt;margin-top:-13.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2080260</wp:posOffset>
            </wp:positionH>
            <wp:positionV relativeFrom="paragraph">
              <wp:posOffset>-189865</wp:posOffset>
            </wp:positionV>
            <wp:extent cx="700024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9">
                      <a:extLst>
                        <a:ext uri="{28A0092B-C50C-407E-A947-70E740481C1C}"/>
                      </a:extLst>
                    </a:blip>
                    <a:srcRect/>
                    <a:stretch>
                      <a:fillRect/>
                    </a:stretch>
                  </pic:blipFill>
                  <pic:spPr bwMode="auto">
                    <a:xfrm>
                      <a:off x="0" y="0"/>
                      <a:ext cx="7000240" cy="5969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-52705</wp:posOffset>
            </wp:positionV>
            <wp:extent cx="7425055" cy="71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0">
                      <a:extLst>
                        <a:ext uri="{28A0092B-C50C-407E-A947-70E740481C1C}"/>
                      </a:extLst>
                    </a:blip>
                    <a:srcRect/>
                    <a:stretch>
                      <a:fillRect/>
                    </a:stretch>
                  </pic:blipFill>
                  <pic:spPr bwMode="auto">
                    <a:xfrm>
                      <a:off x="0" y="0"/>
                      <a:ext cx="7425055" cy="71755"/>
                    </a:xfrm>
                    <a:prstGeom prst="rect">
                      <a:avLst/>
                    </a:prstGeom>
                    <a:noFill/>
                  </pic:spPr>
                </pic:pic>
              </a:graphicData>
            </a:graphic>
          </wp:anchor>
        </w:drawing>
      </w:r>
    </w:p>
    <w:p>
      <w:pPr>
        <w:spacing w:after="0" w:line="38" w:lineRule="exact"/>
        <w:rPr>
          <w:sz w:val="20"/>
          <w:szCs w:val="20"/>
          <w:color w:val="auto"/>
        </w:rPr>
      </w:pPr>
    </w:p>
    <w:p>
      <w:pPr>
        <w:sectPr>
          <w:pgSz w:w="15480" w:h="11880" w:orient="landscape"/>
          <w:cols w:equalWidth="0" w:num="2">
            <w:col w:w="230" w:space="336"/>
            <w:col w:w="14300"/>
          </w:cols>
          <w:pgMar w:left="254" w:top="513" w:right="360" w:bottom="1440" w:gutter="0" w:footer="0" w:header="0"/>
        </w:sectPr>
      </w:pPr>
    </w:p>
    <w:p>
      <w:pPr>
        <w:ind w:left="4806"/>
        <w:spacing w:after="0"/>
        <w:rPr>
          <w:sz w:val="20"/>
          <w:szCs w:val="20"/>
          <w:color w:val="auto"/>
        </w:rPr>
      </w:pPr>
      <w:r>
        <w:rPr>
          <w:rFonts w:ascii="Times New Roman" w:cs="Times New Roman" w:eastAsia="Times New Roman" w:hAnsi="Times New Roman"/>
          <w:sz w:val="16"/>
          <w:szCs w:val="16"/>
          <w:i w:val="1"/>
          <w:iCs w:val="1"/>
          <w:color w:val="231F20"/>
        </w:rPr>
        <w:t>The accompanying notes are an integral part of the consolidated financial statements.</w:t>
      </w:r>
    </w:p>
    <w:p>
      <w:pPr>
        <w:sectPr>
          <w:pgSz w:w="15480" w:h="11880" w:orient="landscape"/>
          <w:cols w:equalWidth="0" w:num="1">
            <w:col w:w="14866"/>
          </w:cols>
          <w:pgMar w:left="254" w:top="513" w:right="360" w:bottom="144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231F20"/>
              </w:rPr>
              <w:t>49</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b w:val="1"/>
          <w:bCs w:val="1"/>
          <w:color w:val="231F20"/>
        </w:rPr>
        <w:t>WESCO INTERNATIONAL,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STOCKHOLDERS’ EQUITY</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jc w:val="center"/>
              <w:ind w:right="125"/>
              <w:spacing w:after="0"/>
              <w:rPr>
                <w:sz w:val="20"/>
                <w:szCs w:val="20"/>
                <w:color w:val="auto"/>
              </w:rPr>
            </w:pPr>
            <w:r>
              <w:rPr>
                <w:rFonts w:ascii="Times New Roman" w:cs="Times New Roman" w:eastAsia="Times New Roman" w:hAnsi="Times New Roman"/>
                <w:sz w:val="15"/>
                <w:szCs w:val="15"/>
                <w:b w:val="1"/>
                <w:bCs w:val="1"/>
                <w:color w:val="231F20"/>
              </w:rPr>
              <w:t>Class B</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restart"/>
          </w:tcPr>
          <w:p>
            <w:pPr>
              <w:jc w:val="right"/>
              <w:ind w:right="405"/>
              <w:spacing w:after="0"/>
              <w:rPr>
                <w:sz w:val="20"/>
                <w:szCs w:val="20"/>
                <w:color w:val="auto"/>
              </w:rPr>
            </w:pPr>
            <w:r>
              <w:rPr>
                <w:rFonts w:ascii="Times New Roman" w:cs="Times New Roman" w:eastAsia="Times New Roman" w:hAnsi="Times New Roman"/>
                <w:sz w:val="15"/>
                <w:szCs w:val="15"/>
                <w:b w:val="1"/>
                <w:bCs w:val="1"/>
                <w:color w:val="231F20"/>
              </w:rPr>
              <w:t>Series A</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231F20"/>
                <w:w w:val="98"/>
              </w:rPr>
              <w:t>Accumulated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231F20"/>
                <w:w w:val="99"/>
              </w:rPr>
              <w:t>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25"/>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231F20"/>
              </w:rPr>
              <w:t>Preferred Stock</w:t>
            </w:r>
          </w:p>
        </w:tc>
        <w:tc>
          <w:tcPr>
            <w:tcW w:w="60" w:type="dxa"/>
            <w:vAlign w:val="bottom"/>
          </w:tcPr>
          <w:p>
            <w:pPr>
              <w:spacing w:after="0"/>
              <w:rPr>
                <w:sz w:val="17"/>
                <w:szCs w:val="17"/>
                <w:color w:val="auto"/>
              </w:rPr>
            </w:pPr>
          </w:p>
        </w:tc>
        <w:tc>
          <w:tcPr>
            <w:tcW w:w="9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231F20"/>
              </w:rPr>
              <w:t>Additional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231F20"/>
              </w:rPr>
              <w:t>Retained</w:t>
            </w:r>
          </w:p>
        </w:tc>
        <w:tc>
          <w:tcPr>
            <w:tcW w:w="1660" w:type="dxa"/>
            <w:vAlign w:val="bottom"/>
            <w:gridSpan w:val="2"/>
          </w:tcPr>
          <w:p>
            <w:pPr>
              <w:jc w:val="right"/>
              <w:ind w:right="265"/>
              <w:spacing w:after="0"/>
              <w:rPr>
                <w:sz w:val="20"/>
                <w:szCs w:val="20"/>
                <w:color w:val="auto"/>
              </w:rPr>
            </w:pPr>
            <w:r>
              <w:rPr>
                <w:rFonts w:ascii="Times New Roman" w:cs="Times New Roman" w:eastAsia="Times New Roman" w:hAnsi="Times New Roman"/>
                <w:sz w:val="15"/>
                <w:szCs w:val="15"/>
                <w:b w:val="1"/>
                <w:bCs w:val="1"/>
                <w:color w:val="231F20"/>
              </w:rPr>
              <w:t>Treasury Stock</w:t>
            </w:r>
          </w:p>
        </w:tc>
        <w:tc>
          <w:tcPr>
            <w:tcW w:w="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231F20"/>
              </w:rPr>
              <w:t>Noncontrolling</w:t>
            </w:r>
          </w:p>
        </w:tc>
        <w:tc>
          <w:tcPr>
            <w:tcW w:w="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Comprehensive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231F20"/>
              </w:rPr>
              <w:t>(In millions, except shares)</w:t>
            </w:r>
          </w:p>
        </w:tc>
        <w:tc>
          <w:tcPr>
            <w:tcW w:w="640" w:type="dxa"/>
            <w:vAlign w:val="bottom"/>
            <w:tcBorders>
              <w:bottom w:val="single" w:sz="8" w:color="231F20"/>
            </w:tcBorders>
            <w:gridSpan w:val="2"/>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231F20"/>
              </w:rPr>
              <w:t>Earnings</w:t>
            </w:r>
          </w:p>
        </w:tc>
        <w:tc>
          <w:tcPr>
            <w:tcW w:w="7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restart"/>
          </w:tcPr>
          <w:p>
            <w:pPr>
              <w:jc w:val="right"/>
              <w:ind w:right="185"/>
              <w:spacing w:after="0"/>
              <w:rPr>
                <w:sz w:val="20"/>
                <w:szCs w:val="20"/>
                <w:color w:val="auto"/>
              </w:rPr>
            </w:pPr>
            <w:r>
              <w:rPr>
                <w:rFonts w:ascii="Times New Roman" w:cs="Times New Roman" w:eastAsia="Times New Roman" w:hAnsi="Times New Roman"/>
                <w:sz w:val="15"/>
                <w:szCs w:val="15"/>
                <w:b w:val="1"/>
                <w:bCs w:val="1"/>
                <w:color w:val="231F20"/>
              </w:rPr>
              <w:t>Interests</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b w:val="1"/>
                <w:bCs w:val="1"/>
                <w:color w:val="231F20"/>
                <w:w w:val="95"/>
              </w:rPr>
              <w:t>Loss</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0" w:type="dxa"/>
            <w:vAlign w:val="bottom"/>
          </w:tcPr>
          <w:p>
            <w:pPr>
              <w:spacing w:after="0"/>
              <w:rPr>
                <w:sz w:val="1"/>
                <w:szCs w:val="1"/>
                <w:color w:val="auto"/>
              </w:rPr>
            </w:pPr>
          </w:p>
        </w:tc>
      </w:tr>
      <w:tr>
        <w:trPr>
          <w:trHeight w:val="204"/>
        </w:trPr>
        <w:tc>
          <w:tcPr>
            <w:tcW w:w="2680" w:type="dxa"/>
            <w:vAlign w:val="bottom"/>
            <w:vMerge w:val="continue"/>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vMerge w:val="continue"/>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94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vMerge w:val="continue"/>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9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tcBorders>
              <w:top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15"/>
                <w:szCs w:val="15"/>
                <w:b w:val="1"/>
                <w:bCs w:val="1"/>
                <w:color w:val="231F20"/>
              </w:rPr>
              <w:t>Balance, December 31, 2024</w:t>
            </w:r>
          </w:p>
        </w:tc>
        <w:tc>
          <w:tcPr>
            <w:tcW w:w="220" w:type="dxa"/>
            <w:vAlign w:val="bottom"/>
            <w:tcBorders>
              <w:top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top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0.7</w:t>
            </w:r>
          </w:p>
        </w:tc>
        <w:tc>
          <w:tcPr>
            <w:tcW w:w="940" w:type="dxa"/>
            <w:vAlign w:val="bottom"/>
            <w:tcBorders>
              <w:top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69,627,398</w:t>
            </w:r>
          </w:p>
        </w:tc>
        <w:tc>
          <w:tcPr>
            <w:tcW w:w="60" w:type="dxa"/>
            <w:vAlign w:val="bottom"/>
            <w:tcBorders>
              <w:top w:val="single" w:sz="8" w:color="CFEBF4"/>
            </w:tcBorders>
            <w:shd w:val="clear" w:color="auto" w:fill="CFEBF4"/>
          </w:tcPr>
          <w:p>
            <w:pPr>
              <w:spacing w:after="0"/>
              <w:rPr>
                <w:sz w:val="18"/>
                <w:szCs w:val="18"/>
                <w:color w:val="auto"/>
              </w:rPr>
            </w:pPr>
          </w:p>
        </w:tc>
        <w:tc>
          <w:tcPr>
            <w:tcW w:w="20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top w:val="single" w:sz="8" w:color="231F20"/>
            </w:tcBorders>
            <w:shd w:val="clear" w:color="auto" w:fill="CFEBF4"/>
          </w:tcPr>
          <w:p>
            <w:pPr>
              <w:ind w:left="200"/>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Borders>
              <w:top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15"/>
                <w:szCs w:val="15"/>
                <w:color w:val="231F20"/>
              </w:rPr>
              <w:t>4,339,431</w:t>
            </w:r>
          </w:p>
        </w:tc>
        <w:tc>
          <w:tcPr>
            <w:tcW w:w="60" w:type="dxa"/>
            <w:vAlign w:val="bottom"/>
            <w:tcBorders>
              <w:top w:val="single" w:sz="8" w:color="CFEBF4"/>
            </w:tcBorders>
            <w:shd w:val="clear" w:color="auto" w:fill="CFEBF4"/>
          </w:tcPr>
          <w:p>
            <w:pPr>
              <w:spacing w:after="0"/>
              <w:rPr>
                <w:sz w:val="18"/>
                <w:szCs w:val="18"/>
                <w:color w:val="auto"/>
              </w:rPr>
            </w:pPr>
          </w:p>
        </w:tc>
        <w:tc>
          <w:tcPr>
            <w:tcW w:w="18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60" w:type="dxa"/>
            <w:vAlign w:val="bottom"/>
            <w:tcBorders>
              <w:top w:val="single" w:sz="8" w:color="231F20"/>
            </w:tcBorders>
            <w:shd w:val="clear" w:color="auto" w:fill="CFEBF4"/>
          </w:tcPr>
          <w:p>
            <w:pPr>
              <w:ind w:left="240"/>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top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21,612</w:t>
            </w:r>
          </w:p>
        </w:tc>
        <w:tc>
          <w:tcPr>
            <w:tcW w:w="60" w:type="dxa"/>
            <w:vAlign w:val="bottom"/>
            <w:tcBorders>
              <w:top w:val="single" w:sz="8" w:color="CFEBF4"/>
            </w:tcBorders>
            <w:shd w:val="clear" w:color="auto" w:fill="CFEBF4"/>
          </w:tcPr>
          <w:p>
            <w:pPr>
              <w:spacing w:after="0"/>
              <w:rPr>
                <w:sz w:val="18"/>
                <w:szCs w:val="18"/>
                <w:color w:val="auto"/>
              </w:rPr>
            </w:pPr>
          </w:p>
        </w:tc>
        <w:tc>
          <w:tcPr>
            <w:tcW w:w="1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tcBorders>
              <w:top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2,051.6</w:t>
            </w:r>
          </w:p>
        </w:tc>
        <w:tc>
          <w:tcPr>
            <w:tcW w:w="40" w:type="dxa"/>
            <w:vAlign w:val="bottom"/>
            <w:tcBorders>
              <w:top w:val="single" w:sz="8" w:color="CFEBF4"/>
            </w:tcBorders>
            <w:shd w:val="clear" w:color="auto" w:fill="CFEBF4"/>
          </w:tcPr>
          <w:p>
            <w:pPr>
              <w:spacing w:after="0"/>
              <w:rPr>
                <w:sz w:val="18"/>
                <w:szCs w:val="18"/>
                <w:color w:val="auto"/>
              </w:rPr>
            </w:pPr>
          </w:p>
        </w:tc>
        <w:tc>
          <w:tcPr>
            <w:tcW w:w="1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4,960.7</w:t>
            </w:r>
          </w:p>
        </w:tc>
        <w:tc>
          <w:tcPr>
            <w:tcW w:w="60" w:type="dxa"/>
            <w:vAlign w:val="bottom"/>
            <w:tcBorders>
              <w:top w:val="single" w:sz="8" w:color="CFEBF4"/>
            </w:tcBorders>
            <w:shd w:val="clear" w:color="auto" w:fill="CFEBF4"/>
          </w:tcPr>
          <w:p>
            <w:pPr>
              <w:spacing w:after="0"/>
              <w:rPr>
                <w:sz w:val="18"/>
                <w:szCs w:val="18"/>
                <w:color w:val="auto"/>
              </w:rPr>
            </w:pPr>
          </w:p>
        </w:tc>
        <w:tc>
          <w:tcPr>
            <w:tcW w:w="72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 (1,495.1)</w:t>
            </w:r>
          </w:p>
        </w:tc>
        <w:tc>
          <w:tcPr>
            <w:tcW w:w="940" w:type="dxa"/>
            <w:vAlign w:val="bottom"/>
            <w:tcBorders>
              <w:top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(25,176,234)</w:t>
            </w:r>
          </w:p>
        </w:tc>
        <w:tc>
          <w:tcPr>
            <w:tcW w:w="60" w:type="dxa"/>
            <w:vAlign w:val="bottom"/>
            <w:tcBorders>
              <w:top w:val="single" w:sz="8" w:color="CFEBF4"/>
            </w:tcBorders>
            <w:shd w:val="clear" w:color="auto" w:fill="CFEBF4"/>
          </w:tcPr>
          <w:p>
            <w:pPr>
              <w:spacing w:after="0"/>
              <w:rPr>
                <w:sz w:val="18"/>
                <w:szCs w:val="18"/>
                <w:color w:val="auto"/>
              </w:rPr>
            </w:pPr>
          </w:p>
        </w:tc>
        <w:tc>
          <w:tcPr>
            <w:tcW w:w="180" w:type="dxa"/>
            <w:vAlign w:val="bottom"/>
            <w:tcBorders>
              <w:top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(5.2)</w:t>
            </w:r>
          </w:p>
        </w:tc>
        <w:tc>
          <w:tcPr>
            <w:tcW w:w="60" w:type="dxa"/>
            <w:vAlign w:val="bottom"/>
            <w:tcBorders>
              <w:top w:val="single" w:sz="8" w:color="CFEBF4"/>
            </w:tcBorders>
            <w:shd w:val="clear" w:color="auto" w:fill="CFEBF4"/>
          </w:tcPr>
          <w:p>
            <w:pPr>
              <w:spacing w:after="0"/>
              <w:rPr>
                <w:sz w:val="18"/>
                <w:szCs w:val="18"/>
                <w:color w:val="auto"/>
              </w:rPr>
            </w:pPr>
          </w:p>
        </w:tc>
        <w:tc>
          <w:tcPr>
            <w:tcW w:w="14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(547.2)</w:t>
            </w:r>
          </w:p>
        </w:tc>
        <w:tc>
          <w:tcPr>
            <w:tcW w:w="60" w:type="dxa"/>
            <w:vAlign w:val="bottom"/>
            <w:tcBorders>
              <w:top w:val="single" w:sz="8" w:color="CFEBF4"/>
            </w:tcBorders>
            <w:shd w:val="clear" w:color="auto" w:fill="CFEBF4"/>
          </w:tcPr>
          <w:p>
            <w:pPr>
              <w:spacing w:after="0"/>
              <w:rPr>
                <w:sz w:val="18"/>
                <w:szCs w:val="18"/>
                <w:color w:val="auto"/>
              </w:rPr>
            </w:pPr>
          </w:p>
        </w:tc>
        <w:tc>
          <w:tcPr>
            <w:tcW w:w="200" w:type="dxa"/>
            <w:vAlign w:val="bottom"/>
            <w:tcBorders>
              <w:top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70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4,965.5</w:t>
            </w:r>
          </w:p>
        </w:tc>
        <w:tc>
          <w:tcPr>
            <w:tcW w:w="20" w:type="dxa"/>
            <w:vAlign w:val="bottom"/>
            <w:tcBorders>
              <w:top w:val="single" w:sz="8" w:color="CFEBF4"/>
            </w:tcBorders>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Exercise of stock-based awards</w:t>
            </w:r>
          </w:p>
        </w:tc>
        <w:tc>
          <w:tcPr>
            <w:tcW w:w="220" w:type="dxa"/>
            <w:vAlign w:val="bottom"/>
          </w:tcPr>
          <w:p>
            <w:pPr>
              <w:spacing w:after="0"/>
              <w:rPr>
                <w:sz w:val="17"/>
                <w:szCs w:val="17"/>
                <w:color w:val="auto"/>
              </w:rPr>
            </w:pP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467,586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231F20"/>
              </w:rPr>
              <w:t>0.9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(20.0)</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(90,160)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Stock-based compensation expense</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40.5</w:t>
            </w: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7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40.5</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231F20"/>
              </w:rPr>
              <w:t>Repurchases of common stock,</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80" w:type="dxa"/>
            <w:vAlign w:val="bottom"/>
          </w:tcPr>
          <w:p>
            <w:pPr>
              <w:ind w:left="380"/>
              <w:spacing w:after="0" w:line="150" w:lineRule="exact"/>
              <w:rPr>
                <w:sz w:val="20"/>
                <w:szCs w:val="20"/>
                <w:color w:val="auto"/>
              </w:rPr>
            </w:pPr>
            <w:r>
              <w:rPr>
                <w:rFonts w:ascii="Times New Roman" w:cs="Times New Roman" w:eastAsia="Times New Roman" w:hAnsi="Times New Roman"/>
                <w:sz w:val="15"/>
                <w:szCs w:val="15"/>
                <w:color w:val="231F20"/>
              </w:rPr>
              <w:t>including excise taxes of $0.2</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(75.2)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(419,570)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80" w:type="dxa"/>
            <w:vAlign w:val="bottom"/>
          </w:tcPr>
          <w:p>
            <w:pPr>
              <w:ind w:left="380"/>
              <w:spacing w:after="0"/>
              <w:rPr>
                <w:sz w:val="20"/>
                <w:szCs w:val="20"/>
                <w:color w:val="auto"/>
              </w:rPr>
            </w:pPr>
            <w:r>
              <w:rPr>
                <w:rFonts w:ascii="Times New Roman" w:cs="Times New Roman" w:eastAsia="Times New Roman" w:hAnsi="Times New Roman"/>
                <w:sz w:val="15"/>
                <w:szCs w:val="15"/>
                <w:color w:val="231F20"/>
              </w:rPr>
              <w:t>million</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Redemption of preferred stock</w:t>
            </w:r>
          </w:p>
        </w:tc>
        <w:tc>
          <w:tcPr>
            <w:tcW w:w="220" w:type="dxa"/>
            <w:vAlign w:val="bottom"/>
            <w:tcBorders>
              <w:bottom w:val="single" w:sz="8" w:color="CFEBF4"/>
            </w:tcBorders>
            <w:shd w:val="clear" w:color="auto" w:fill="CFEBF4"/>
          </w:tcPr>
          <w:p>
            <w:pPr>
              <w:spacing w:after="0"/>
              <w:rPr>
                <w:sz w:val="18"/>
                <w:szCs w:val="18"/>
                <w:color w:val="auto"/>
              </w:rPr>
            </w:pPr>
          </w:p>
        </w:tc>
        <w:tc>
          <w:tcPr>
            <w:tcW w:w="4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200" w:type="dxa"/>
            <w:vAlign w:val="bottom"/>
            <w:tcBorders>
              <w:bottom w:val="single" w:sz="8" w:color="CFEBF4"/>
            </w:tcBorders>
            <w:shd w:val="clear" w:color="auto" w:fill="CFEBF4"/>
          </w:tcPr>
          <w:p>
            <w:pPr>
              <w:spacing w:after="0"/>
              <w:rPr>
                <w:sz w:val="18"/>
                <w:szCs w:val="18"/>
                <w:color w:val="auto"/>
              </w:rPr>
            </w:pPr>
          </w:p>
        </w:tc>
        <w:tc>
          <w:tcPr>
            <w:tcW w:w="4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80" w:type="dxa"/>
            <w:vAlign w:val="bottom"/>
            <w:tcBorders>
              <w:bottom w:val="single" w:sz="8" w:color="CFEBF4"/>
            </w:tcBorders>
            <w:shd w:val="clear" w:color="auto" w:fill="CFEBF4"/>
          </w:tcPr>
          <w:p>
            <w:pPr>
              <w:spacing w:after="0"/>
              <w:rPr>
                <w:sz w:val="18"/>
                <w:szCs w:val="18"/>
                <w:color w:val="auto"/>
              </w:rPr>
            </w:pPr>
          </w:p>
        </w:tc>
        <w:tc>
          <w:tcPr>
            <w:tcW w:w="460" w:type="dxa"/>
            <w:vAlign w:val="bottom"/>
            <w:tcBorders>
              <w:bottom w:val="single" w:sz="8" w:color="CFEBF4"/>
            </w:tcBorders>
            <w:shd w:val="clear" w:color="auto" w:fill="CFEBF4"/>
          </w:tcPr>
          <w:p>
            <w:pPr>
              <w:ind w:left="240"/>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(21,612)</w:t>
            </w:r>
          </w:p>
        </w:tc>
        <w:tc>
          <w:tcPr>
            <w:tcW w:w="60" w:type="dxa"/>
            <w:vAlign w:val="bottom"/>
            <w:tcBorders>
              <w:bottom w:val="single" w:sz="8" w:color="CFEBF4"/>
            </w:tcBorders>
            <w:shd w:val="clear" w:color="auto" w:fill="CFEBF4"/>
          </w:tcPr>
          <w:p>
            <w:pPr>
              <w:spacing w:after="0"/>
              <w:rPr>
                <w:sz w:val="18"/>
                <w:szCs w:val="18"/>
                <w:color w:val="auto"/>
              </w:rPr>
            </w:pPr>
          </w:p>
        </w:tc>
        <w:tc>
          <w:tcPr>
            <w:tcW w:w="160" w:type="dxa"/>
            <w:vAlign w:val="bottom"/>
            <w:tcBorders>
              <w:bottom w:val="single" w:sz="8" w:color="CFEBF4"/>
            </w:tcBorders>
            <w:shd w:val="clear" w:color="auto" w:fill="CFEBF4"/>
          </w:tcPr>
          <w:p>
            <w:pPr>
              <w:spacing w:after="0"/>
              <w:rPr>
                <w:sz w:val="18"/>
                <w:szCs w:val="18"/>
                <w:color w:val="auto"/>
              </w:rPr>
            </w:pPr>
          </w:p>
        </w:tc>
        <w:tc>
          <w:tcPr>
            <w:tcW w:w="74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(573.3)</w:t>
            </w:r>
          </w:p>
        </w:tc>
        <w:tc>
          <w:tcPr>
            <w:tcW w:w="40" w:type="dxa"/>
            <w:vAlign w:val="bottom"/>
            <w:tcBorders>
              <w:bottom w:val="single" w:sz="8" w:color="CFEBF4"/>
            </w:tcBorders>
            <w:shd w:val="clear" w:color="auto" w:fill="CFEBF4"/>
          </w:tcPr>
          <w:p>
            <w:pPr>
              <w:spacing w:after="0"/>
              <w:rPr>
                <w:sz w:val="18"/>
                <w:szCs w:val="18"/>
                <w:color w:val="auto"/>
              </w:rPr>
            </w:pPr>
          </w:p>
        </w:tc>
        <w:tc>
          <w:tcPr>
            <w:tcW w:w="140" w:type="dxa"/>
            <w:vAlign w:val="bottom"/>
            <w:tcBorders>
              <w:bottom w:val="single" w:sz="8" w:color="CFEBF4"/>
            </w:tcBorders>
            <w:shd w:val="clear" w:color="auto" w:fill="CFEBF4"/>
          </w:tcPr>
          <w:p>
            <w:pPr>
              <w:spacing w:after="0"/>
              <w:rPr>
                <w:sz w:val="18"/>
                <w:szCs w:val="18"/>
                <w:color w:val="auto"/>
              </w:rPr>
            </w:pPr>
          </w:p>
        </w:tc>
        <w:tc>
          <w:tcPr>
            <w:tcW w:w="76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7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80" w:type="dxa"/>
            <w:vAlign w:val="bottom"/>
            <w:tcBorders>
              <w:bottom w:val="single" w:sz="8" w:color="CFEBF4"/>
            </w:tcBorders>
            <w:shd w:val="clear" w:color="auto" w:fill="CFEBF4"/>
          </w:tcPr>
          <w:p>
            <w:pPr>
              <w:spacing w:after="0"/>
              <w:rPr>
                <w:sz w:val="18"/>
                <w:szCs w:val="18"/>
                <w:color w:val="auto"/>
              </w:rPr>
            </w:pPr>
          </w:p>
        </w:tc>
        <w:tc>
          <w:tcPr>
            <w:tcW w:w="88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40" w:type="dxa"/>
            <w:vAlign w:val="bottom"/>
            <w:tcBorders>
              <w:bottom w:val="single" w:sz="8" w:color="CFEBF4"/>
            </w:tcBorders>
            <w:shd w:val="clear" w:color="auto" w:fill="CFEBF4"/>
          </w:tcPr>
          <w:p>
            <w:pPr>
              <w:spacing w:after="0"/>
              <w:rPr>
                <w:sz w:val="18"/>
                <w:szCs w:val="18"/>
                <w:color w:val="auto"/>
              </w:rPr>
            </w:pPr>
          </w:p>
        </w:tc>
        <w:tc>
          <w:tcPr>
            <w:tcW w:w="98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200" w:type="dxa"/>
            <w:vAlign w:val="bottom"/>
            <w:tcBorders>
              <w:bottom w:val="single" w:sz="8" w:color="CFEBF4"/>
            </w:tcBorders>
            <w:shd w:val="clear" w:color="auto" w:fill="CFEBF4"/>
          </w:tcPr>
          <w:p>
            <w:pPr>
              <w:spacing w:after="0"/>
              <w:rPr>
                <w:sz w:val="18"/>
                <w:szCs w:val="18"/>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(573.3)</w:t>
            </w:r>
          </w:p>
        </w:tc>
        <w:tc>
          <w:tcPr>
            <w:tcW w:w="20" w:type="dxa"/>
            <w:vAlign w:val="bottom"/>
            <w:tcBorders>
              <w:bottom w:val="single" w:sz="8" w:color="CFEBF4"/>
            </w:tcBorders>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231F20"/>
              </w:rPr>
              <w:t>Tax withholding related to vesting of</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80" w:type="dxa"/>
            <w:vAlign w:val="bottom"/>
          </w:tcPr>
          <w:p>
            <w:pPr>
              <w:ind w:left="380"/>
              <w:spacing w:after="0" w:line="150" w:lineRule="exact"/>
              <w:rPr>
                <w:sz w:val="20"/>
                <w:szCs w:val="20"/>
                <w:color w:val="auto"/>
              </w:rPr>
            </w:pPr>
            <w:r>
              <w:rPr>
                <w:rFonts w:ascii="Times New Roman" w:cs="Times New Roman" w:eastAsia="Times New Roman" w:hAnsi="Times New Roman"/>
                <w:sz w:val="15"/>
                <w:szCs w:val="15"/>
                <w:color w:val="231F20"/>
              </w:rPr>
              <w:t>restricted stock units and retirement</w:t>
            </w:r>
          </w:p>
        </w:tc>
        <w:tc>
          <w:tcPr>
            <w:tcW w:w="220" w:type="dxa"/>
            <w:vAlign w:val="bottom"/>
          </w:tcPr>
          <w:p>
            <w:pPr>
              <w:spacing w:after="0"/>
              <w:rPr>
                <w:sz w:val="13"/>
                <w:szCs w:val="13"/>
                <w:color w:val="auto"/>
              </w:rPr>
            </w:pPr>
          </w:p>
        </w:tc>
        <w:tc>
          <w:tcPr>
            <w:tcW w:w="4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(90,118)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(4.8)</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80" w:type="dxa"/>
            <w:vAlign w:val="bottom"/>
          </w:tcPr>
          <w:p>
            <w:pPr>
              <w:ind w:left="380"/>
              <w:spacing w:after="0"/>
              <w:rPr>
                <w:sz w:val="20"/>
                <w:szCs w:val="20"/>
                <w:color w:val="auto"/>
              </w:rPr>
            </w:pPr>
            <w:r>
              <w:rPr>
                <w:rFonts w:ascii="Times New Roman" w:cs="Times New Roman" w:eastAsia="Times New Roman" w:hAnsi="Times New Roman"/>
                <w:sz w:val="15"/>
                <w:szCs w:val="15"/>
                <w:color w:val="231F20"/>
              </w:rPr>
              <w:t>of common stock</w:t>
            </w: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Noncontrolling interests</w:t>
            </w:r>
          </w:p>
        </w:tc>
        <w:tc>
          <w:tcPr>
            <w:tcW w:w="220" w:type="dxa"/>
            <w:vAlign w:val="bottom"/>
            <w:tcBorders>
              <w:bottom w:val="single" w:sz="8" w:color="CFEBF4"/>
            </w:tcBorders>
            <w:shd w:val="clear" w:color="auto" w:fill="CFEBF4"/>
          </w:tcPr>
          <w:p>
            <w:pPr>
              <w:spacing w:after="0"/>
              <w:rPr>
                <w:sz w:val="18"/>
                <w:szCs w:val="18"/>
                <w:color w:val="auto"/>
              </w:rPr>
            </w:pPr>
          </w:p>
        </w:tc>
        <w:tc>
          <w:tcPr>
            <w:tcW w:w="4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200" w:type="dxa"/>
            <w:vAlign w:val="bottom"/>
            <w:tcBorders>
              <w:bottom w:val="single" w:sz="8" w:color="CFEBF4"/>
            </w:tcBorders>
            <w:shd w:val="clear" w:color="auto" w:fill="CFEBF4"/>
          </w:tcPr>
          <w:p>
            <w:pPr>
              <w:spacing w:after="0"/>
              <w:rPr>
                <w:sz w:val="18"/>
                <w:szCs w:val="18"/>
                <w:color w:val="auto"/>
              </w:rPr>
            </w:pPr>
          </w:p>
        </w:tc>
        <w:tc>
          <w:tcPr>
            <w:tcW w:w="4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80" w:type="dxa"/>
            <w:vAlign w:val="bottom"/>
            <w:tcBorders>
              <w:bottom w:val="single" w:sz="8" w:color="CFEBF4"/>
            </w:tcBorders>
            <w:shd w:val="clear" w:color="auto" w:fill="CFEBF4"/>
          </w:tcPr>
          <w:p>
            <w:pPr>
              <w:spacing w:after="0"/>
              <w:rPr>
                <w:sz w:val="18"/>
                <w:szCs w:val="18"/>
                <w:color w:val="auto"/>
              </w:rPr>
            </w:pPr>
          </w:p>
        </w:tc>
        <w:tc>
          <w:tcPr>
            <w:tcW w:w="460" w:type="dxa"/>
            <w:vAlign w:val="bottom"/>
            <w:tcBorders>
              <w:bottom w:val="single" w:sz="8" w:color="CFEBF4"/>
            </w:tcBorders>
            <w:shd w:val="clear" w:color="auto" w:fill="CFEBF4"/>
          </w:tcPr>
          <w:p>
            <w:pPr>
              <w:spacing w:after="0"/>
              <w:rPr>
                <w:sz w:val="18"/>
                <w:szCs w:val="18"/>
                <w:color w:val="auto"/>
              </w:rPr>
            </w:pPr>
          </w:p>
        </w:tc>
        <w:tc>
          <w:tcPr>
            <w:tcW w:w="8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60" w:type="dxa"/>
            <w:vAlign w:val="bottom"/>
            <w:tcBorders>
              <w:bottom w:val="single" w:sz="8" w:color="CFEBF4"/>
            </w:tcBorders>
            <w:shd w:val="clear" w:color="auto" w:fill="CFEBF4"/>
          </w:tcPr>
          <w:p>
            <w:pPr>
              <w:spacing w:after="0"/>
              <w:rPr>
                <w:sz w:val="18"/>
                <w:szCs w:val="18"/>
                <w:color w:val="auto"/>
              </w:rPr>
            </w:pPr>
          </w:p>
        </w:tc>
        <w:tc>
          <w:tcPr>
            <w:tcW w:w="740" w:type="dxa"/>
            <w:vAlign w:val="bottom"/>
            <w:tcBorders>
              <w:bottom w:val="single" w:sz="8" w:color="CFEBF4"/>
            </w:tcBorders>
            <w:shd w:val="clear" w:color="auto" w:fill="CFEBF4"/>
          </w:tcPr>
          <w:p>
            <w:pPr>
              <w:spacing w:after="0"/>
              <w:rPr>
                <w:sz w:val="18"/>
                <w:szCs w:val="18"/>
                <w:color w:val="auto"/>
              </w:rPr>
            </w:pPr>
          </w:p>
        </w:tc>
        <w:tc>
          <w:tcPr>
            <w:tcW w:w="40" w:type="dxa"/>
            <w:vAlign w:val="bottom"/>
            <w:tcBorders>
              <w:bottom w:val="single" w:sz="8" w:color="CFEBF4"/>
            </w:tcBorders>
            <w:shd w:val="clear" w:color="auto" w:fill="CFEBF4"/>
          </w:tcPr>
          <w:p>
            <w:pPr>
              <w:spacing w:after="0"/>
              <w:rPr>
                <w:sz w:val="18"/>
                <w:szCs w:val="18"/>
                <w:color w:val="auto"/>
              </w:rPr>
            </w:pPr>
          </w:p>
        </w:tc>
        <w:tc>
          <w:tcPr>
            <w:tcW w:w="140" w:type="dxa"/>
            <w:vAlign w:val="bottom"/>
            <w:tcBorders>
              <w:bottom w:val="single" w:sz="8" w:color="CFEBF4"/>
            </w:tcBorders>
            <w:shd w:val="clear" w:color="auto" w:fill="CFEBF4"/>
          </w:tcPr>
          <w:p>
            <w:pPr>
              <w:spacing w:after="0"/>
              <w:rPr>
                <w:sz w:val="18"/>
                <w:szCs w:val="18"/>
                <w:color w:val="auto"/>
              </w:rPr>
            </w:pPr>
          </w:p>
        </w:tc>
        <w:tc>
          <w:tcPr>
            <w:tcW w:w="76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7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80" w:type="dxa"/>
            <w:vAlign w:val="bottom"/>
            <w:tcBorders>
              <w:bottom w:val="single" w:sz="8" w:color="CFEBF4"/>
            </w:tcBorders>
            <w:shd w:val="clear" w:color="auto" w:fill="CFEBF4"/>
          </w:tcPr>
          <w:p>
            <w:pPr>
              <w:spacing w:after="0"/>
              <w:rPr>
                <w:sz w:val="18"/>
                <w:szCs w:val="18"/>
                <w:color w:val="auto"/>
              </w:rPr>
            </w:pPr>
          </w:p>
        </w:tc>
        <w:tc>
          <w:tcPr>
            <w:tcW w:w="88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2.3</w:t>
            </w:r>
          </w:p>
        </w:tc>
        <w:tc>
          <w:tcPr>
            <w:tcW w:w="60" w:type="dxa"/>
            <w:vAlign w:val="bottom"/>
            <w:tcBorders>
              <w:bottom w:val="single" w:sz="8" w:color="CFEBF4"/>
            </w:tcBorders>
            <w:shd w:val="clear" w:color="auto" w:fill="CFEBF4"/>
          </w:tcPr>
          <w:p>
            <w:pPr>
              <w:spacing w:after="0"/>
              <w:rPr>
                <w:sz w:val="18"/>
                <w:szCs w:val="18"/>
                <w:color w:val="auto"/>
              </w:rPr>
            </w:pPr>
          </w:p>
        </w:tc>
        <w:tc>
          <w:tcPr>
            <w:tcW w:w="140" w:type="dxa"/>
            <w:vAlign w:val="bottom"/>
            <w:tcBorders>
              <w:bottom w:val="single" w:sz="8" w:color="CFEBF4"/>
            </w:tcBorders>
            <w:shd w:val="clear" w:color="auto" w:fill="CFEBF4"/>
          </w:tcPr>
          <w:p>
            <w:pPr>
              <w:spacing w:after="0"/>
              <w:rPr>
                <w:sz w:val="18"/>
                <w:szCs w:val="18"/>
                <w:color w:val="auto"/>
              </w:rPr>
            </w:pPr>
          </w:p>
        </w:tc>
        <w:tc>
          <w:tcPr>
            <w:tcW w:w="98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200" w:type="dxa"/>
            <w:vAlign w:val="bottom"/>
            <w:tcBorders>
              <w:bottom w:val="single" w:sz="8" w:color="CFEBF4"/>
            </w:tcBorders>
            <w:shd w:val="clear" w:color="auto" w:fill="CFEBF4"/>
          </w:tcPr>
          <w:p>
            <w:pPr>
              <w:spacing w:after="0"/>
              <w:rPr>
                <w:sz w:val="18"/>
                <w:szCs w:val="18"/>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2.3</w:t>
            </w:r>
          </w:p>
        </w:tc>
        <w:tc>
          <w:tcPr>
            <w:tcW w:w="20" w:type="dxa"/>
            <w:vAlign w:val="bottom"/>
            <w:tcBorders>
              <w:bottom w:val="single" w:sz="8" w:color="CFEBF4"/>
            </w:tcBorders>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tcPr>
          <w:p>
            <w:pPr>
              <w:ind w:left="220"/>
              <w:spacing w:after="0" w:line="169" w:lineRule="exact"/>
              <w:rPr>
                <w:sz w:val="20"/>
                <w:szCs w:val="20"/>
                <w:color w:val="auto"/>
              </w:rPr>
            </w:pPr>
            <w:r>
              <w:rPr>
                <w:rFonts w:ascii="Times New Roman" w:cs="Times New Roman" w:eastAsia="Times New Roman" w:hAnsi="Times New Roman"/>
                <w:sz w:val="15"/>
                <w:szCs w:val="15"/>
                <w:color w:val="231F20"/>
              </w:rPr>
              <w:t>Net income attributable to WESCO</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640.2</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640.2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380"/>
              <w:spacing w:after="0"/>
              <w:rPr>
                <w:sz w:val="20"/>
                <w:szCs w:val="20"/>
                <w:color w:val="auto"/>
              </w:rPr>
            </w:pPr>
            <w:r>
              <w:rPr>
                <w:rFonts w:ascii="Times New Roman" w:cs="Times New Roman" w:eastAsia="Times New Roman" w:hAnsi="Times New Roman"/>
                <w:sz w:val="15"/>
                <w:szCs w:val="15"/>
                <w:color w:val="231F20"/>
              </w:rPr>
              <w:t>International, Inc.</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Common stock dividends</w:t>
            </w:r>
          </w:p>
        </w:tc>
        <w:tc>
          <w:tcPr>
            <w:tcW w:w="220" w:type="dxa"/>
            <w:vAlign w:val="bottom"/>
            <w:tcBorders>
              <w:bottom w:val="single" w:sz="8" w:color="CFEBF4"/>
            </w:tcBorders>
            <w:shd w:val="clear" w:color="auto" w:fill="CFEBF4"/>
          </w:tcPr>
          <w:p>
            <w:pPr>
              <w:spacing w:after="0"/>
              <w:rPr>
                <w:sz w:val="18"/>
                <w:szCs w:val="18"/>
                <w:color w:val="auto"/>
              </w:rPr>
            </w:pPr>
          </w:p>
        </w:tc>
        <w:tc>
          <w:tcPr>
            <w:tcW w:w="4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200" w:type="dxa"/>
            <w:vAlign w:val="bottom"/>
            <w:tcBorders>
              <w:bottom w:val="single" w:sz="8" w:color="CFEBF4"/>
            </w:tcBorders>
            <w:shd w:val="clear" w:color="auto" w:fill="CFEBF4"/>
          </w:tcPr>
          <w:p>
            <w:pPr>
              <w:spacing w:after="0"/>
              <w:rPr>
                <w:sz w:val="18"/>
                <w:szCs w:val="18"/>
                <w:color w:val="auto"/>
              </w:rPr>
            </w:pPr>
          </w:p>
        </w:tc>
        <w:tc>
          <w:tcPr>
            <w:tcW w:w="4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80" w:type="dxa"/>
            <w:vAlign w:val="bottom"/>
            <w:tcBorders>
              <w:bottom w:val="single" w:sz="8" w:color="CFEBF4"/>
            </w:tcBorders>
            <w:shd w:val="clear" w:color="auto" w:fill="CFEBF4"/>
          </w:tcPr>
          <w:p>
            <w:pPr>
              <w:spacing w:after="0"/>
              <w:rPr>
                <w:sz w:val="18"/>
                <w:szCs w:val="18"/>
                <w:color w:val="auto"/>
              </w:rPr>
            </w:pPr>
          </w:p>
        </w:tc>
        <w:tc>
          <w:tcPr>
            <w:tcW w:w="460" w:type="dxa"/>
            <w:vAlign w:val="bottom"/>
            <w:tcBorders>
              <w:bottom w:val="single" w:sz="8" w:color="CFEBF4"/>
            </w:tcBorders>
            <w:shd w:val="clear" w:color="auto" w:fill="CFEBF4"/>
          </w:tcPr>
          <w:p>
            <w:pPr>
              <w:spacing w:after="0"/>
              <w:rPr>
                <w:sz w:val="18"/>
                <w:szCs w:val="18"/>
                <w:color w:val="auto"/>
              </w:rPr>
            </w:pPr>
          </w:p>
        </w:tc>
        <w:tc>
          <w:tcPr>
            <w:tcW w:w="8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60" w:type="dxa"/>
            <w:vAlign w:val="bottom"/>
            <w:tcBorders>
              <w:bottom w:val="single" w:sz="8" w:color="CFEBF4"/>
            </w:tcBorders>
            <w:shd w:val="clear" w:color="auto" w:fill="CFEBF4"/>
          </w:tcPr>
          <w:p>
            <w:pPr>
              <w:spacing w:after="0"/>
              <w:rPr>
                <w:sz w:val="18"/>
                <w:szCs w:val="18"/>
                <w:color w:val="auto"/>
              </w:rPr>
            </w:pPr>
          </w:p>
        </w:tc>
        <w:tc>
          <w:tcPr>
            <w:tcW w:w="740" w:type="dxa"/>
            <w:vAlign w:val="bottom"/>
            <w:tcBorders>
              <w:bottom w:val="single" w:sz="8" w:color="CFEBF4"/>
            </w:tcBorders>
            <w:shd w:val="clear" w:color="auto" w:fill="CFEBF4"/>
          </w:tcPr>
          <w:p>
            <w:pPr>
              <w:spacing w:after="0"/>
              <w:rPr>
                <w:sz w:val="18"/>
                <w:szCs w:val="18"/>
                <w:color w:val="auto"/>
              </w:rPr>
            </w:pPr>
          </w:p>
        </w:tc>
        <w:tc>
          <w:tcPr>
            <w:tcW w:w="40" w:type="dxa"/>
            <w:vAlign w:val="bottom"/>
            <w:tcBorders>
              <w:bottom w:val="single" w:sz="8" w:color="CFEBF4"/>
            </w:tcBorders>
            <w:shd w:val="clear" w:color="auto" w:fill="CFEBF4"/>
          </w:tcPr>
          <w:p>
            <w:pPr>
              <w:spacing w:after="0"/>
              <w:rPr>
                <w:sz w:val="18"/>
                <w:szCs w:val="18"/>
                <w:color w:val="auto"/>
              </w:rPr>
            </w:pPr>
          </w:p>
        </w:tc>
        <w:tc>
          <w:tcPr>
            <w:tcW w:w="140" w:type="dxa"/>
            <w:vAlign w:val="bottom"/>
            <w:tcBorders>
              <w:bottom w:val="single" w:sz="8" w:color="CFEBF4"/>
            </w:tcBorders>
            <w:shd w:val="clear" w:color="auto" w:fill="CFEBF4"/>
          </w:tcPr>
          <w:p>
            <w:pPr>
              <w:spacing w:after="0"/>
              <w:rPr>
                <w:sz w:val="18"/>
                <w:szCs w:val="18"/>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(88.4)</w:t>
            </w:r>
          </w:p>
        </w:tc>
        <w:tc>
          <w:tcPr>
            <w:tcW w:w="60" w:type="dxa"/>
            <w:vAlign w:val="bottom"/>
            <w:tcBorders>
              <w:bottom w:val="single" w:sz="8" w:color="CFEBF4"/>
            </w:tcBorders>
            <w:shd w:val="clear" w:color="auto" w:fill="CFEBF4"/>
          </w:tcPr>
          <w:p>
            <w:pPr>
              <w:spacing w:after="0"/>
              <w:rPr>
                <w:sz w:val="18"/>
                <w:szCs w:val="18"/>
                <w:color w:val="auto"/>
              </w:rPr>
            </w:pPr>
          </w:p>
        </w:tc>
        <w:tc>
          <w:tcPr>
            <w:tcW w:w="720" w:type="dxa"/>
            <w:vAlign w:val="bottom"/>
            <w:tcBorders>
              <w:bottom w:val="single" w:sz="8" w:color="CFEBF4"/>
            </w:tcBorders>
            <w:shd w:val="clear" w:color="auto" w:fill="CFEBF4"/>
          </w:tcPr>
          <w:p>
            <w:pPr>
              <w:spacing w:after="0"/>
              <w:rPr>
                <w:sz w:val="18"/>
                <w:szCs w:val="18"/>
                <w:color w:val="auto"/>
              </w:rPr>
            </w:pPr>
          </w:p>
        </w:tc>
        <w:tc>
          <w:tcPr>
            <w:tcW w:w="94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80" w:type="dxa"/>
            <w:vAlign w:val="bottom"/>
            <w:tcBorders>
              <w:bottom w:val="single" w:sz="8" w:color="CFEBF4"/>
            </w:tcBorders>
            <w:shd w:val="clear" w:color="auto" w:fill="CFEBF4"/>
          </w:tcPr>
          <w:p>
            <w:pPr>
              <w:spacing w:after="0"/>
              <w:rPr>
                <w:sz w:val="18"/>
                <w:szCs w:val="18"/>
                <w:color w:val="auto"/>
              </w:rPr>
            </w:pPr>
          </w:p>
        </w:tc>
        <w:tc>
          <w:tcPr>
            <w:tcW w:w="88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140" w:type="dxa"/>
            <w:vAlign w:val="bottom"/>
            <w:tcBorders>
              <w:bottom w:val="single" w:sz="8" w:color="CFEBF4"/>
            </w:tcBorders>
            <w:shd w:val="clear" w:color="auto" w:fill="CFEBF4"/>
          </w:tcPr>
          <w:p>
            <w:pPr>
              <w:spacing w:after="0"/>
              <w:rPr>
                <w:sz w:val="18"/>
                <w:szCs w:val="18"/>
                <w:color w:val="auto"/>
              </w:rPr>
            </w:pPr>
          </w:p>
        </w:tc>
        <w:tc>
          <w:tcPr>
            <w:tcW w:w="980" w:type="dxa"/>
            <w:vAlign w:val="bottom"/>
            <w:tcBorders>
              <w:bottom w:val="single" w:sz="8" w:color="CFEBF4"/>
            </w:tcBorders>
            <w:shd w:val="clear" w:color="auto" w:fill="CFEBF4"/>
          </w:tcPr>
          <w:p>
            <w:pPr>
              <w:spacing w:after="0"/>
              <w:rPr>
                <w:sz w:val="18"/>
                <w:szCs w:val="18"/>
                <w:color w:val="auto"/>
              </w:rPr>
            </w:pPr>
          </w:p>
        </w:tc>
        <w:tc>
          <w:tcPr>
            <w:tcW w:w="60" w:type="dxa"/>
            <w:vAlign w:val="bottom"/>
            <w:tcBorders>
              <w:bottom w:val="single" w:sz="8" w:color="CFEBF4"/>
            </w:tcBorders>
            <w:shd w:val="clear" w:color="auto" w:fill="CFEBF4"/>
          </w:tcPr>
          <w:p>
            <w:pPr>
              <w:spacing w:after="0"/>
              <w:rPr>
                <w:sz w:val="18"/>
                <w:szCs w:val="18"/>
                <w:color w:val="auto"/>
              </w:rPr>
            </w:pPr>
          </w:p>
        </w:tc>
        <w:tc>
          <w:tcPr>
            <w:tcW w:w="200" w:type="dxa"/>
            <w:vAlign w:val="bottom"/>
            <w:tcBorders>
              <w:bottom w:val="single" w:sz="8" w:color="CFEBF4"/>
            </w:tcBorders>
            <w:shd w:val="clear" w:color="auto" w:fill="CFEBF4"/>
          </w:tcPr>
          <w:p>
            <w:pPr>
              <w:spacing w:after="0"/>
              <w:rPr>
                <w:sz w:val="18"/>
                <w:szCs w:val="18"/>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(88.4)</w:t>
            </w:r>
          </w:p>
        </w:tc>
        <w:tc>
          <w:tcPr>
            <w:tcW w:w="20" w:type="dxa"/>
            <w:vAlign w:val="bottom"/>
            <w:tcBorders>
              <w:bottom w:val="single" w:sz="8" w:color="CFEBF4"/>
            </w:tcBorders>
            <w:shd w:val="clear" w:color="auto" w:fill="CFEBF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Gain on redemption of preferred stock</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32.9</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Preferred stock dividends</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spacing w:after="0"/>
              <w:rPr>
                <w:sz w:val="17"/>
                <w:szCs w:val="17"/>
                <w:color w:val="auto"/>
              </w:rPr>
            </w:pP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(27.3)</w:t>
            </w:r>
          </w:p>
        </w:tc>
        <w:tc>
          <w:tcPr>
            <w:tcW w:w="60" w:type="dxa"/>
            <w:vAlign w:val="bottom"/>
            <w:tcBorders>
              <w:bottom w:val="single" w:sz="8" w:color="CFEBF4"/>
            </w:tcBorders>
            <w:shd w:val="clear" w:color="auto" w:fill="CFEBF4"/>
          </w:tcPr>
          <w:p>
            <w:pPr>
              <w:spacing w:after="0"/>
              <w:rPr>
                <w:sz w:val="17"/>
                <w:szCs w:val="17"/>
                <w:color w:val="auto"/>
              </w:rPr>
            </w:pPr>
          </w:p>
        </w:tc>
        <w:tc>
          <w:tcPr>
            <w:tcW w:w="7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(27.3)</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20"/>
              <w:spacing w:after="0"/>
              <w:rPr>
                <w:sz w:val="20"/>
                <w:szCs w:val="20"/>
                <w:color w:val="auto"/>
              </w:rPr>
            </w:pPr>
            <w:r>
              <w:rPr>
                <w:rFonts w:ascii="Times New Roman" w:cs="Times New Roman" w:eastAsia="Times New Roman" w:hAnsi="Times New Roman"/>
                <w:sz w:val="15"/>
                <w:szCs w:val="15"/>
                <w:color w:val="231F20"/>
              </w:rPr>
              <w:t>Dividends to noncontrolling interests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tcBorders>
              <w:bottom w:val="single" w:sz="8" w:color="CFEBF4"/>
            </w:tcBorders>
            <w:shd w:val="clear" w:color="auto" w:fill="CFEBF4"/>
          </w:tcPr>
          <w:p>
            <w:pPr>
              <w:ind w:left="220"/>
              <w:spacing w:after="0"/>
              <w:rPr>
                <w:sz w:val="20"/>
                <w:szCs w:val="20"/>
                <w:color w:val="auto"/>
              </w:rPr>
            </w:pPr>
            <w:r>
              <w:rPr>
                <w:rFonts w:ascii="Times New Roman" w:cs="Times New Roman" w:eastAsia="Times New Roman" w:hAnsi="Times New Roman"/>
                <w:sz w:val="15"/>
                <w:szCs w:val="15"/>
                <w:color w:val="231F20"/>
              </w:rPr>
              <w:t>Translation adjustments and other</w:t>
            </w:r>
          </w:p>
        </w:tc>
        <w:tc>
          <w:tcPr>
            <w:tcW w:w="22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4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460" w:type="dxa"/>
            <w:vAlign w:val="bottom"/>
            <w:tcBorders>
              <w:bottom w:val="single" w:sz="8" w:color="CFEBF4"/>
            </w:tcBorders>
            <w:shd w:val="clear" w:color="auto" w:fill="CFEBF4"/>
          </w:tcPr>
          <w:p>
            <w:pPr>
              <w:spacing w:after="0"/>
              <w:rPr>
                <w:sz w:val="17"/>
                <w:szCs w:val="17"/>
                <w:color w:val="auto"/>
              </w:rPr>
            </w:pPr>
          </w:p>
        </w:tc>
        <w:tc>
          <w:tcPr>
            <w:tcW w:w="8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60" w:type="dxa"/>
            <w:vAlign w:val="bottom"/>
            <w:tcBorders>
              <w:bottom w:val="single" w:sz="8" w:color="CFEBF4"/>
            </w:tcBorders>
            <w:shd w:val="clear" w:color="auto" w:fill="CFEBF4"/>
          </w:tcPr>
          <w:p>
            <w:pPr>
              <w:spacing w:after="0"/>
              <w:rPr>
                <w:sz w:val="17"/>
                <w:szCs w:val="17"/>
                <w:color w:val="auto"/>
              </w:rPr>
            </w:pPr>
          </w:p>
        </w:tc>
        <w:tc>
          <w:tcPr>
            <w:tcW w:w="740" w:type="dxa"/>
            <w:vAlign w:val="bottom"/>
            <w:tcBorders>
              <w:bottom w:val="single" w:sz="8" w:color="CFEBF4"/>
            </w:tcBorders>
            <w:shd w:val="clear" w:color="auto" w:fill="CFEBF4"/>
          </w:tcPr>
          <w:p>
            <w:pPr>
              <w:spacing w:after="0"/>
              <w:rPr>
                <w:sz w:val="17"/>
                <w:szCs w:val="17"/>
                <w:color w:val="auto"/>
              </w:rPr>
            </w:pPr>
          </w:p>
        </w:tc>
        <w:tc>
          <w:tcPr>
            <w:tcW w:w="4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76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0.1</w:t>
            </w:r>
          </w:p>
        </w:tc>
        <w:tc>
          <w:tcPr>
            <w:tcW w:w="60" w:type="dxa"/>
            <w:vAlign w:val="bottom"/>
            <w:tcBorders>
              <w:bottom w:val="single" w:sz="8" w:color="CFEBF4"/>
            </w:tcBorders>
            <w:shd w:val="clear" w:color="auto" w:fill="CFEBF4"/>
          </w:tcPr>
          <w:p>
            <w:pPr>
              <w:spacing w:after="0"/>
              <w:rPr>
                <w:sz w:val="17"/>
                <w:szCs w:val="17"/>
                <w:color w:val="auto"/>
              </w:rPr>
            </w:pPr>
          </w:p>
        </w:tc>
        <w:tc>
          <w:tcPr>
            <w:tcW w:w="720" w:type="dxa"/>
            <w:vAlign w:val="bottom"/>
            <w:tcBorders>
              <w:bottom w:val="single" w:sz="8" w:color="CFEBF4"/>
            </w:tcBorders>
            <w:shd w:val="clear" w:color="auto" w:fill="CFEBF4"/>
          </w:tcPr>
          <w:p>
            <w:pPr>
              <w:spacing w:after="0"/>
              <w:rPr>
                <w:sz w:val="17"/>
                <w:szCs w:val="17"/>
                <w:color w:val="auto"/>
              </w:rPr>
            </w:pPr>
          </w:p>
        </w:tc>
        <w:tc>
          <w:tcPr>
            <w:tcW w:w="94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80" w:type="dxa"/>
            <w:vAlign w:val="bottom"/>
            <w:tcBorders>
              <w:bottom w:val="single" w:sz="8" w:color="CFEBF4"/>
            </w:tcBorders>
            <w:shd w:val="clear" w:color="auto" w:fill="CFEBF4"/>
          </w:tcPr>
          <w:p>
            <w:pPr>
              <w:spacing w:after="0"/>
              <w:rPr>
                <w:sz w:val="17"/>
                <w:szCs w:val="17"/>
                <w:color w:val="auto"/>
              </w:rPr>
            </w:pPr>
          </w:p>
        </w:tc>
        <w:tc>
          <w:tcPr>
            <w:tcW w:w="880" w:type="dxa"/>
            <w:vAlign w:val="bottom"/>
            <w:tcBorders>
              <w:bottom w:val="single" w:sz="8" w:color="CFEBF4"/>
            </w:tcBorders>
            <w:shd w:val="clear" w:color="auto" w:fill="CFEBF4"/>
          </w:tcPr>
          <w:p>
            <w:pPr>
              <w:spacing w:after="0"/>
              <w:rPr>
                <w:sz w:val="17"/>
                <w:szCs w:val="17"/>
                <w:color w:val="auto"/>
              </w:rPr>
            </w:pPr>
          </w:p>
        </w:tc>
        <w:tc>
          <w:tcPr>
            <w:tcW w:w="60" w:type="dxa"/>
            <w:vAlign w:val="bottom"/>
            <w:tcBorders>
              <w:bottom w:val="single" w:sz="8" w:color="CFEBF4"/>
            </w:tcBorders>
            <w:shd w:val="clear" w:color="auto" w:fill="CFEBF4"/>
          </w:tcPr>
          <w:p>
            <w:pPr>
              <w:spacing w:after="0"/>
              <w:rPr>
                <w:sz w:val="17"/>
                <w:szCs w:val="17"/>
                <w:color w:val="auto"/>
              </w:rPr>
            </w:pPr>
          </w:p>
        </w:tc>
        <w:tc>
          <w:tcPr>
            <w:tcW w:w="140" w:type="dxa"/>
            <w:vAlign w:val="bottom"/>
            <w:tcBorders>
              <w:bottom w:val="single" w:sz="8" w:color="CFEBF4"/>
            </w:tcBorders>
            <w:shd w:val="clear" w:color="auto" w:fill="CFEBF4"/>
          </w:tcPr>
          <w:p>
            <w:pPr>
              <w:spacing w:after="0"/>
              <w:rPr>
                <w:sz w:val="17"/>
                <w:szCs w:val="17"/>
                <w:color w:val="auto"/>
              </w:rPr>
            </w:pPr>
          </w:p>
        </w:tc>
        <w:tc>
          <w:tcPr>
            <w:tcW w:w="98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148.5</w:t>
            </w:r>
          </w:p>
        </w:tc>
        <w:tc>
          <w:tcPr>
            <w:tcW w:w="60" w:type="dxa"/>
            <w:vAlign w:val="bottom"/>
            <w:tcBorders>
              <w:bottom w:val="single" w:sz="8" w:color="CFEBF4"/>
            </w:tcBorders>
            <w:shd w:val="clear" w:color="auto" w:fill="CFEBF4"/>
          </w:tcPr>
          <w:p>
            <w:pPr>
              <w:spacing w:after="0"/>
              <w:rPr>
                <w:sz w:val="17"/>
                <w:szCs w:val="17"/>
                <w:color w:val="auto"/>
              </w:rPr>
            </w:pPr>
          </w:p>
        </w:tc>
        <w:tc>
          <w:tcPr>
            <w:tcW w:w="200" w:type="dxa"/>
            <w:vAlign w:val="bottom"/>
            <w:tcBorders>
              <w:bottom w:val="single" w:sz="8" w:color="CFEBF4"/>
            </w:tcBorders>
            <w:shd w:val="clear" w:color="auto" w:fill="CFEBF4"/>
          </w:tcPr>
          <w:p>
            <w:pPr>
              <w:spacing w:after="0"/>
              <w:rPr>
                <w:sz w:val="17"/>
                <w:szCs w:val="17"/>
                <w:color w:val="auto"/>
              </w:rPr>
            </w:pPr>
          </w:p>
        </w:tc>
        <w:tc>
          <w:tcPr>
            <w:tcW w:w="700" w:type="dxa"/>
            <w:vAlign w:val="bottom"/>
            <w:tcBorders>
              <w:bottom w:val="single" w:sz="8" w:color="CFEBF4"/>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148.6</w:t>
            </w:r>
          </w:p>
        </w:tc>
        <w:tc>
          <w:tcPr>
            <w:tcW w:w="20" w:type="dxa"/>
            <w:vAlign w:val="bottom"/>
            <w:tcBorders>
              <w:bottom w:val="single" w:sz="8" w:color="CFEBF4"/>
            </w:tcBorders>
            <w:shd w:val="clear" w:color="auto" w:fill="CFEBF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680" w:type="dxa"/>
            <w:vAlign w:val="bottom"/>
          </w:tcPr>
          <w:p>
            <w:pPr>
              <w:ind w:left="220"/>
              <w:spacing w:after="0" w:line="169" w:lineRule="exact"/>
              <w:rPr>
                <w:sz w:val="20"/>
                <w:szCs w:val="20"/>
                <w:color w:val="auto"/>
              </w:rPr>
            </w:pPr>
            <w:r>
              <w:rPr>
                <w:rFonts w:ascii="Times New Roman" w:cs="Times New Roman" w:eastAsia="Times New Roman" w:hAnsi="Times New Roman"/>
                <w:sz w:val="15"/>
                <w:szCs w:val="15"/>
                <w:color w:val="231F20"/>
              </w:rPr>
              <w:t>Benefit plan adjustments, net of tax</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(0.8)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80" w:type="dxa"/>
            <w:vAlign w:val="bottom"/>
            <w:tcBorders>
              <w:bottom w:val="single" w:sz="8" w:color="CFEBF4"/>
            </w:tcBorders>
          </w:tcPr>
          <w:p>
            <w:pPr>
              <w:ind w:left="380"/>
              <w:spacing w:after="0"/>
              <w:rPr>
                <w:sz w:val="20"/>
                <w:szCs w:val="20"/>
                <w:color w:val="auto"/>
              </w:rPr>
            </w:pPr>
            <w:r>
              <w:rPr>
                <w:rFonts w:ascii="Times New Roman" w:cs="Times New Roman" w:eastAsia="Times New Roman" w:hAnsi="Times New Roman"/>
                <w:sz w:val="15"/>
                <w:szCs w:val="15"/>
                <w:color w:val="231F20"/>
              </w:rPr>
              <w:t>effect of $2.7 million</w:t>
            </w:r>
          </w:p>
        </w:tc>
        <w:tc>
          <w:tcPr>
            <w:tcW w:w="22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9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8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4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940" w:type="dxa"/>
            <w:vAlign w:val="bottom"/>
            <w:tcBorders>
              <w:bottom w:val="single" w:sz="8" w:color="CFEBF4"/>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vMerge w:val="continue"/>
          </w:tcPr>
          <w:p>
            <w:pPr>
              <w:spacing w:after="0"/>
              <w:rPr>
                <w:sz w:val="17"/>
                <w:szCs w:val="17"/>
                <w:color w:val="auto"/>
              </w:rPr>
            </w:pPr>
          </w:p>
        </w:tc>
        <w:tc>
          <w:tcPr>
            <w:tcW w:w="60" w:type="dxa"/>
            <w:vAlign w:val="bottom"/>
            <w:tcBorders>
              <w:bottom w:val="single" w:sz="8" w:color="CFEBF4"/>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20" w:type="dxa"/>
            <w:vAlign w:val="bottom"/>
            <w:tcBorders>
              <w:bottom w:val="single" w:sz="8" w:color="CFEBF4"/>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15"/>
                <w:szCs w:val="15"/>
                <w:b w:val="1"/>
                <w:bCs w:val="1"/>
                <w:color w:val="231F20"/>
              </w:rPr>
              <w:t>Balance, December 31, 2025</w:t>
            </w:r>
          </w:p>
        </w:tc>
        <w:tc>
          <w:tcPr>
            <w:tcW w:w="220" w:type="dxa"/>
            <w:vAlign w:val="bottom"/>
            <w:tcBorders>
              <w:bottom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bottom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0.7</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70,004,866</w:t>
            </w:r>
          </w:p>
        </w:tc>
        <w:tc>
          <w:tcPr>
            <w:tcW w:w="60" w:type="dxa"/>
            <w:vAlign w:val="bottom"/>
            <w:tcBorders>
              <w:bottom w:val="single" w:sz="8" w:color="CFEBF4"/>
            </w:tcBorders>
            <w:shd w:val="clear" w:color="auto" w:fill="CFEBF4"/>
          </w:tcPr>
          <w:p>
            <w:pPr>
              <w:spacing w:after="0"/>
              <w:rPr>
                <w:sz w:val="19"/>
                <w:szCs w:val="19"/>
                <w:color w:val="auto"/>
              </w:rPr>
            </w:pPr>
          </w:p>
        </w:tc>
        <w:tc>
          <w:tcPr>
            <w:tcW w:w="20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20" w:type="dxa"/>
            <w:vAlign w:val="bottom"/>
            <w:tcBorders>
              <w:bottom w:val="single" w:sz="8" w:color="231F20"/>
            </w:tcBorders>
            <w:shd w:val="clear" w:color="auto" w:fill="CFEBF4"/>
          </w:tcPr>
          <w:p>
            <w:pPr>
              <w:ind w:left="200"/>
              <w:spacing w:after="0"/>
              <w:rPr>
                <w:sz w:val="20"/>
                <w:szCs w:val="20"/>
                <w:color w:val="auto"/>
              </w:rPr>
            </w:pPr>
            <w:r>
              <w:rPr>
                <w:rFonts w:ascii="Times New Roman" w:cs="Times New Roman" w:eastAsia="Times New Roman" w:hAnsi="Times New Roman"/>
                <w:sz w:val="15"/>
                <w:szCs w:val="15"/>
                <w:color w:val="231F20"/>
              </w:rPr>
              <w:t>—</w:t>
            </w:r>
          </w:p>
        </w:tc>
        <w:tc>
          <w:tcPr>
            <w:tcW w:w="940" w:type="dxa"/>
            <w:vAlign w:val="bottom"/>
            <w:tcBorders>
              <w:bottom w:val="single" w:sz="8" w:color="231F20"/>
            </w:tcBorders>
            <w:shd w:val="clear" w:color="auto" w:fill="CFEBF4"/>
          </w:tcPr>
          <w:p>
            <w:pPr>
              <w:ind w:left="280"/>
              <w:spacing w:after="0"/>
              <w:rPr>
                <w:sz w:val="20"/>
                <w:szCs w:val="20"/>
                <w:color w:val="auto"/>
              </w:rPr>
            </w:pPr>
            <w:r>
              <w:rPr>
                <w:rFonts w:ascii="Times New Roman" w:cs="Times New Roman" w:eastAsia="Times New Roman" w:hAnsi="Times New Roman"/>
                <w:sz w:val="15"/>
                <w:szCs w:val="15"/>
                <w:color w:val="231F20"/>
              </w:rPr>
              <w:t>4,339,431</w:t>
            </w:r>
          </w:p>
        </w:tc>
        <w:tc>
          <w:tcPr>
            <w:tcW w:w="60" w:type="dxa"/>
            <w:vAlign w:val="bottom"/>
            <w:tcBorders>
              <w:bottom w:val="single" w:sz="8" w:color="CFEBF4"/>
            </w:tcBorders>
            <w:shd w:val="clear" w:color="auto" w:fill="CFEBF4"/>
          </w:tcPr>
          <w:p>
            <w:pPr>
              <w:spacing w:after="0"/>
              <w:rPr>
                <w:sz w:val="19"/>
                <w:szCs w:val="19"/>
                <w:color w:val="auto"/>
              </w:rPr>
            </w:pPr>
          </w:p>
        </w:tc>
        <w:tc>
          <w:tcPr>
            <w:tcW w:w="18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460" w:type="dxa"/>
            <w:vAlign w:val="bottom"/>
            <w:tcBorders>
              <w:bottom w:val="single" w:sz="8" w:color="231F20"/>
            </w:tcBorders>
            <w:shd w:val="clear" w:color="auto" w:fill="CFEBF4"/>
          </w:tcPr>
          <w:p>
            <w:pPr>
              <w:ind w:left="240"/>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Borders>
              <w:bottom w:val="single" w:sz="8" w:color="CFEBF4"/>
            </w:tcBorders>
            <w:shd w:val="clear" w:color="auto" w:fill="CFEBF4"/>
          </w:tcPr>
          <w:p>
            <w:pPr>
              <w:spacing w:after="0"/>
              <w:rPr>
                <w:sz w:val="19"/>
                <w:szCs w:val="19"/>
                <w:color w:val="auto"/>
              </w:rPr>
            </w:pPr>
          </w:p>
        </w:tc>
        <w:tc>
          <w:tcPr>
            <w:tcW w:w="1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tcBorders>
              <w:bottom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1,507.3</w:t>
            </w:r>
          </w:p>
        </w:tc>
        <w:tc>
          <w:tcPr>
            <w:tcW w:w="40" w:type="dxa"/>
            <w:vAlign w:val="bottom"/>
            <w:tcBorders>
              <w:bottom w:val="single" w:sz="8" w:color="CFEBF4"/>
            </w:tcBorders>
            <w:shd w:val="clear" w:color="auto" w:fill="CFEBF4"/>
          </w:tcPr>
          <w:p>
            <w:pPr>
              <w:spacing w:after="0"/>
              <w:rPr>
                <w:sz w:val="19"/>
                <w:szCs w:val="19"/>
                <w:color w:val="auto"/>
              </w:rPr>
            </w:pPr>
          </w:p>
        </w:tc>
        <w:tc>
          <w:tcPr>
            <w:tcW w:w="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5,513.4</w:t>
            </w:r>
          </w:p>
        </w:tc>
        <w:tc>
          <w:tcPr>
            <w:tcW w:w="60" w:type="dxa"/>
            <w:vAlign w:val="bottom"/>
            <w:tcBorders>
              <w:bottom w:val="single" w:sz="8" w:color="CFEBF4"/>
            </w:tcBorders>
            <w:shd w:val="clear" w:color="auto" w:fill="CFEBF4"/>
          </w:tcPr>
          <w:p>
            <w:pPr>
              <w:spacing w:after="0"/>
              <w:rPr>
                <w:sz w:val="19"/>
                <w:szCs w:val="19"/>
                <w:color w:val="auto"/>
              </w:rPr>
            </w:pPr>
          </w:p>
        </w:tc>
        <w:tc>
          <w:tcPr>
            <w:tcW w:w="7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 (1,590.3)</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(25,685,964)</w:t>
            </w:r>
          </w:p>
        </w:tc>
        <w:tc>
          <w:tcPr>
            <w:tcW w:w="60" w:type="dxa"/>
            <w:vAlign w:val="bottom"/>
            <w:tcBorders>
              <w:bottom w:val="single" w:sz="8" w:color="CFEBF4"/>
            </w:tcBorders>
            <w:shd w:val="clear" w:color="auto" w:fill="CFEBF4"/>
          </w:tcPr>
          <w:p>
            <w:pPr>
              <w:spacing w:after="0"/>
              <w:rPr>
                <w:sz w:val="19"/>
                <w:szCs w:val="19"/>
                <w:color w:val="auto"/>
              </w:rPr>
            </w:pPr>
          </w:p>
        </w:tc>
        <w:tc>
          <w:tcPr>
            <w:tcW w:w="18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(5.2)</w:t>
            </w:r>
          </w:p>
        </w:tc>
        <w:tc>
          <w:tcPr>
            <w:tcW w:w="60" w:type="dxa"/>
            <w:vAlign w:val="bottom"/>
            <w:tcBorders>
              <w:bottom w:val="single" w:sz="8" w:color="CFEBF4"/>
            </w:tcBorders>
            <w:shd w:val="clear" w:color="auto" w:fill="CFEBF4"/>
          </w:tcPr>
          <w:p>
            <w:pPr>
              <w:spacing w:after="0"/>
              <w:rPr>
                <w:sz w:val="19"/>
                <w:szCs w:val="19"/>
                <w:color w:val="auto"/>
              </w:rPr>
            </w:pPr>
          </w:p>
        </w:tc>
        <w:tc>
          <w:tcPr>
            <w:tcW w:w="1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(399.5)</w:t>
            </w:r>
          </w:p>
        </w:tc>
        <w:tc>
          <w:tcPr>
            <w:tcW w:w="60" w:type="dxa"/>
            <w:vAlign w:val="bottom"/>
            <w:tcBorders>
              <w:bottom w:val="single" w:sz="8" w:color="CFEBF4"/>
            </w:tcBorders>
            <w:shd w:val="clear" w:color="auto" w:fill="CFEBF4"/>
          </w:tcPr>
          <w:p>
            <w:pPr>
              <w:spacing w:after="0"/>
              <w:rPr>
                <w:sz w:val="19"/>
                <w:szCs w:val="19"/>
                <w:color w:val="auto"/>
              </w:rPr>
            </w:pPr>
          </w:p>
        </w:tc>
        <w:tc>
          <w:tcPr>
            <w:tcW w:w="200" w:type="dxa"/>
            <w:vAlign w:val="bottom"/>
            <w:tcBorders>
              <w:bottom w:val="single" w:sz="8" w:color="231F20"/>
            </w:tcBorders>
            <w:shd w:val="clear" w:color="auto" w:fill="CFEBF4"/>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7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5"/>
                <w:szCs w:val="15"/>
                <w:color w:val="231F20"/>
              </w:rPr>
              <w:t>5,026.4</w:t>
            </w:r>
          </w:p>
        </w:tc>
        <w:tc>
          <w:tcPr>
            <w:tcW w:w="20" w:type="dxa"/>
            <w:vAlign w:val="bottom"/>
            <w:tcBorders>
              <w:bottom w:val="single" w:sz="8" w:color="CFEBF4"/>
            </w:tcBorders>
            <w:shd w:val="clear" w:color="auto" w:fill="CFEB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-2895600</wp:posOffset>
            </wp:positionV>
            <wp:extent cx="2019300" cy="47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1">
                      <a:extLst>
                        <a:ext uri="{28A0092B-C50C-407E-A947-70E740481C1C}"/>
                      </a:extLst>
                    </a:blip>
                    <a:srcRect/>
                    <a:stretch>
                      <a:fillRect/>
                    </a:stretch>
                  </pic:blipFill>
                  <pic:spPr bwMode="auto">
                    <a:xfrm>
                      <a:off x="0" y="0"/>
                      <a:ext cx="2019300"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1695450</wp:posOffset>
                </wp:positionH>
                <wp:positionV relativeFrom="paragraph">
                  <wp:posOffset>-2736215</wp:posOffset>
                </wp:positionV>
                <wp:extent cx="12700" cy="1333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FFFFFF"/>
                        </a:solidFill>
                      </wps:spPr>
                      <wps:bodyPr/>
                    </wps:wsp>
                  </a:graphicData>
                </a:graphic>
              </wp:anchor>
            </w:drawing>
          </mc:Choice>
          <mc:Fallback>
            <w:pict>
              <v:rect id="Shape 83" o:spid="_x0000_s1108" style="position:absolute;margin-left:133.5pt;margin-top:-215.4499pt;width: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1695450</wp:posOffset>
                </wp:positionH>
                <wp:positionV relativeFrom="paragraph">
                  <wp:posOffset>-2735580</wp:posOffset>
                </wp:positionV>
                <wp:extent cx="12700" cy="1270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84" o:spid="_x0000_s1109" style="position:absolute;margin-left:133.5pt;margin-top:-215.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2080260</wp:posOffset>
            </wp:positionH>
            <wp:positionV relativeFrom="paragraph">
              <wp:posOffset>-2759075</wp:posOffset>
            </wp:positionV>
            <wp:extent cx="700024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2">
                      <a:extLst>
                        <a:ext uri="{28A0092B-C50C-407E-A947-70E740481C1C}"/>
                      </a:extLst>
                    </a:blip>
                    <a:srcRect/>
                    <a:stretch>
                      <a:fillRect/>
                    </a:stretch>
                  </pic:blipFill>
                  <pic:spPr bwMode="auto">
                    <a:xfrm>
                      <a:off x="0" y="0"/>
                      <a:ext cx="7000240" cy="5969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-189865</wp:posOffset>
            </wp:positionV>
            <wp:extent cx="740156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3">
                      <a:extLst>
                        <a:ext uri="{28A0092B-C50C-407E-A947-70E740481C1C}"/>
                      </a:extLst>
                    </a:blip>
                    <a:srcRect/>
                    <a:stretch>
                      <a:fillRect/>
                    </a:stretch>
                  </pic:blipFill>
                  <pic:spPr bwMode="auto">
                    <a:xfrm>
                      <a:off x="0" y="0"/>
                      <a:ext cx="7401560" cy="5969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-52705</wp:posOffset>
            </wp:positionV>
            <wp:extent cx="7425055" cy="71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4">
                      <a:extLst>
                        <a:ext uri="{28A0092B-C50C-407E-A947-70E740481C1C}"/>
                      </a:extLst>
                    </a:blip>
                    <a:srcRect/>
                    <a:stretch>
                      <a:fillRect/>
                    </a:stretch>
                  </pic:blipFill>
                  <pic:spPr bwMode="auto">
                    <a:xfrm>
                      <a:off x="0" y="0"/>
                      <a:ext cx="7425055" cy="7175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accompanying notes are an integral part of the consolidated financial statements.</w:t>
      </w:r>
    </w:p>
    <w:p>
      <w:pPr>
        <w:sectPr>
          <w:pgSz w:w="15480" w:h="11880" w:orient="landscape"/>
          <w:cols w:equalWidth="0" w:num="2">
            <w:col w:w="230" w:space="336"/>
            <w:col w:w="14300"/>
          </w:cols>
          <w:pgMar w:left="254" w:top="513" w:right="36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2500" w:type="dxa"/>
            <w:vAlign w:val="bottom"/>
            <w:tcBorders>
              <w:bottom w:val="single" w:sz="8" w:color="231F20"/>
            </w:tcBorders>
            <w:gridSpan w:val="6"/>
          </w:tcPr>
          <w:p>
            <w:pPr>
              <w:jc w:val="center"/>
              <w:ind w:left="411"/>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760" w:type="dxa"/>
            <w:vAlign w:val="bottom"/>
            <w:tcBorders>
              <w:bottom w:val="single" w:sz="8" w:color="231F20"/>
            </w:tcBorders>
          </w:tcPr>
          <w:p>
            <w:pPr>
              <w:spacing w:after="0"/>
              <w:rPr>
                <w:sz w:val="20"/>
                <w:szCs w:val="20"/>
                <w:color w:val="auto"/>
              </w:rPr>
            </w:pPr>
          </w:p>
        </w:tc>
      </w:tr>
      <w:tr>
        <w:trPr>
          <w:trHeight w:val="232"/>
        </w:trPr>
        <w:tc>
          <w:tcPr>
            <w:tcW w:w="65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231F20"/>
                <w:w w:val="99"/>
              </w:rPr>
              <w:t>2023</w:t>
            </w:r>
          </w:p>
        </w:tc>
      </w:tr>
      <w:tr>
        <w:trPr>
          <w:trHeight w:val="211"/>
        </w:trPr>
        <w:tc>
          <w:tcPr>
            <w:tcW w:w="6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231F20"/>
                <w:w w:val="99"/>
              </w:rPr>
              <w:t>(In millions)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5"/>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Net income</w:t>
            </w:r>
          </w:p>
        </w:tc>
        <w:tc>
          <w:tcPr>
            <w:tcW w:w="260" w:type="dxa"/>
            <w:vAlign w:val="bottom"/>
            <w:shd w:val="clear" w:color="auto" w:fill="CFEBF4"/>
          </w:tcPr>
          <w:p>
            <w:pPr>
              <w:jc w:val="right"/>
              <w:ind w:right="31"/>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642.5</w:t>
            </w:r>
          </w:p>
        </w:tc>
        <w:tc>
          <w:tcPr>
            <w:tcW w:w="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719.4</w:t>
            </w:r>
          </w:p>
        </w:tc>
        <w:tc>
          <w:tcPr>
            <w:tcW w:w="440" w:type="dxa"/>
            <w:vAlign w:val="bottom"/>
            <w:gridSpan w:val="2"/>
            <w:shd w:val="clear" w:color="auto" w:fill="CFEBF4"/>
          </w:tcPr>
          <w:p>
            <w:pPr>
              <w:jc w:val="right"/>
              <w:ind w:right="131"/>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766.1</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Adjustments to reconcile net income to net cash provided by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8"/>
        </w:trPr>
        <w:tc>
          <w:tcPr>
            <w:tcW w:w="656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197.6</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183.2</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181.3</w:t>
            </w: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48.1</w:t>
            </w:r>
          </w:p>
        </w:tc>
      </w:tr>
      <w:tr>
        <w:trPr>
          <w:trHeight w:val="258"/>
        </w:trPr>
        <w:tc>
          <w:tcPr>
            <w:tcW w:w="656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18"/>
                <w:szCs w:val="18"/>
                <w:color w:val="231F20"/>
              </w:rPr>
              <w:t>Cloud computing arrangement amortization</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30.2</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14.1</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Amortization of debt issuance costs and debt discount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14.8</w:t>
            </w:r>
          </w:p>
        </w:tc>
      </w:tr>
      <w:tr>
        <w:trPr>
          <w:trHeight w:val="258"/>
        </w:trPr>
        <w:tc>
          <w:tcPr>
            <w:tcW w:w="656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18"/>
                <w:szCs w:val="18"/>
                <w:color w:val="231F20"/>
              </w:rPr>
              <w:t>Gain on divestiture</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(122.2)</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Loss on abandonment of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58"/>
        </w:trPr>
        <w:tc>
          <w:tcPr>
            <w:tcW w:w="656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18"/>
                <w:szCs w:val="18"/>
                <w:color w:val="231F20"/>
              </w:rPr>
              <w:t>Other operating activities, net</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10.4</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8.1</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(0.5)</w:t>
            </w: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Deferred income taxes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w:t>
            </w:r>
          </w:p>
        </w:tc>
      </w:tr>
      <w:tr>
        <w:trPr>
          <w:trHeight w:val="258"/>
        </w:trPr>
        <w:tc>
          <w:tcPr>
            <w:tcW w:w="656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18"/>
                <w:szCs w:val="18"/>
                <w:color w:val="231F20"/>
              </w:rPr>
              <w:t>Changes in assets and liabilities:</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spacing w:after="0"/>
              <w:rPr>
                <w:sz w:val="22"/>
                <w:szCs w:val="22"/>
                <w:color w:val="auto"/>
              </w:rPr>
            </w:pP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spacing w:after="0"/>
              <w:rPr>
                <w:sz w:val="22"/>
                <w:szCs w:val="22"/>
                <w:color w:val="auto"/>
              </w:rPr>
            </w:pP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spacing w:after="0"/>
              <w:rPr>
                <w:sz w:val="22"/>
                <w:szCs w:val="22"/>
                <w:color w:val="auto"/>
              </w:rPr>
            </w:pPr>
          </w:p>
        </w:tc>
      </w:tr>
      <w:tr>
        <w:trPr>
          <w:trHeight w:val="244"/>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Trade accounts receivable,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52.2</w:t>
            </w:r>
          </w:p>
        </w:tc>
      </w:tr>
      <w:tr>
        <w:trPr>
          <w:trHeight w:val="258"/>
        </w:trPr>
        <w:tc>
          <w:tcPr>
            <w:tcW w:w="656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18"/>
                <w:szCs w:val="18"/>
                <w:color w:val="231F20"/>
              </w:rPr>
              <w:t>Other accounts receivable</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(79.8)</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2.0</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3.6</w:t>
            </w:r>
          </w:p>
        </w:tc>
      </w:tr>
      <w:tr>
        <w:trPr>
          <w:trHeight w:val="244"/>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Inventories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(68.4)</w:t>
            </w:r>
          </w:p>
        </w:tc>
      </w:tr>
      <w:tr>
        <w:trPr>
          <w:trHeight w:val="258"/>
        </w:trPr>
        <w:tc>
          <w:tcPr>
            <w:tcW w:w="656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18"/>
                <w:szCs w:val="18"/>
                <w:color w:val="231F20"/>
              </w:rPr>
              <w:t>Other current and noncurrent assets</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(116.7)</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(142.6)</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(60.6)</w:t>
            </w:r>
          </w:p>
        </w:tc>
      </w:tr>
      <w:tr>
        <w:trPr>
          <w:trHeight w:val="244"/>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Accounts payable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(319.7)</w:t>
            </w:r>
          </w:p>
        </w:tc>
      </w:tr>
      <w:tr>
        <w:trPr>
          <w:trHeight w:val="258"/>
        </w:trPr>
        <w:tc>
          <w:tcPr>
            <w:tcW w:w="656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18"/>
                <w:szCs w:val="18"/>
                <w:color w:val="231F20"/>
              </w:rPr>
              <w:t>Accrued payroll and benefit costs</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25.4</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62.7</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(92.3)</w:t>
            </w:r>
          </w:p>
        </w:tc>
      </w:tr>
      <w:tr>
        <w:trPr>
          <w:trHeight w:val="241"/>
        </w:trPr>
        <w:tc>
          <w:tcPr>
            <w:tcW w:w="6560" w:type="dxa"/>
            <w:vAlign w:val="bottom"/>
            <w:tcBorders>
              <w:bottom w:val="single" w:sz="8" w:color="CFEBF4"/>
            </w:tcBorders>
          </w:tcPr>
          <w:p>
            <w:pPr>
              <w:ind w:left="520"/>
              <w:spacing w:after="0"/>
              <w:rPr>
                <w:sz w:val="20"/>
                <w:szCs w:val="20"/>
                <w:color w:val="auto"/>
              </w:rPr>
            </w:pPr>
            <w:r>
              <w:rPr>
                <w:rFonts w:ascii="Times New Roman" w:cs="Times New Roman" w:eastAsia="Times New Roman" w:hAnsi="Times New Roman"/>
                <w:sz w:val="18"/>
                <w:szCs w:val="18"/>
                <w:color w:val="231F20"/>
              </w:rPr>
              <w:t>Other current and noncurrent liabilities</w:t>
            </w:r>
          </w:p>
        </w:tc>
        <w:tc>
          <w:tcPr>
            <w:tcW w:w="2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34.8</w:t>
            </w:r>
          </w:p>
        </w:tc>
        <w:tc>
          <w:tcPr>
            <w:tcW w:w="80" w:type="dxa"/>
            <w:vAlign w:val="bottom"/>
            <w:tcBorders>
              <w:bottom w:val="single" w:sz="8" w:color="CFEBF4"/>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93.3</w:t>
            </w:r>
          </w:p>
        </w:tc>
        <w:tc>
          <w:tcPr>
            <w:tcW w:w="80" w:type="dxa"/>
            <w:vAlign w:val="bottom"/>
            <w:tcBorders>
              <w:bottom w:val="single" w:sz="8" w:color="CFEBF4"/>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(23.5)</w:t>
            </w:r>
          </w:p>
        </w:tc>
      </w:tr>
      <w:tr>
        <w:trPr>
          <w:trHeight w:val="251"/>
        </w:trPr>
        <w:tc>
          <w:tcPr>
            <w:tcW w:w="6560" w:type="dxa"/>
            <w:vAlign w:val="bottom"/>
            <w:tcBorders>
              <w:bottom w:val="single" w:sz="8" w:color="CFEBF4"/>
            </w:tcBorders>
            <w:shd w:val="clear" w:color="auto" w:fill="CFEBF4"/>
          </w:tcPr>
          <w:p>
            <w:pPr>
              <w:ind w:left="740"/>
              <w:spacing w:after="0"/>
              <w:rPr>
                <w:sz w:val="20"/>
                <w:szCs w:val="20"/>
                <w:color w:val="auto"/>
              </w:rPr>
            </w:pPr>
            <w:r>
              <w:rPr>
                <w:rFonts w:ascii="Times New Roman" w:cs="Times New Roman" w:eastAsia="Times New Roman" w:hAnsi="Times New Roman"/>
                <w:sz w:val="18"/>
                <w:szCs w:val="18"/>
                <w:color w:val="231F20"/>
              </w:rPr>
              <w:t>Net cash provided by operating activities</w:t>
            </w:r>
          </w:p>
        </w:tc>
        <w:tc>
          <w:tcPr>
            <w:tcW w:w="260" w:type="dxa"/>
            <w:vAlign w:val="bottom"/>
            <w:tcBorders>
              <w:bottom w:val="single" w:sz="8" w:color="231F20"/>
            </w:tcBorders>
            <w:shd w:val="clear" w:color="auto" w:fill="CFEBF4"/>
          </w:tcPr>
          <w:p>
            <w:pPr>
              <w:spacing w:after="0"/>
              <w:rPr>
                <w:sz w:val="21"/>
                <w:szCs w:val="21"/>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125.0</w:t>
            </w:r>
          </w:p>
        </w:tc>
        <w:tc>
          <w:tcPr>
            <w:tcW w:w="80" w:type="dxa"/>
            <w:vAlign w:val="bottom"/>
            <w:tcBorders>
              <w:bottom w:val="single" w:sz="8" w:color="CFEBF4"/>
            </w:tcBorders>
            <w:shd w:val="clear" w:color="auto" w:fill="CFEBF4"/>
          </w:tcPr>
          <w:p>
            <w:pPr>
              <w:spacing w:after="0"/>
              <w:rPr>
                <w:sz w:val="21"/>
                <w:szCs w:val="21"/>
                <w:color w:val="auto"/>
              </w:rPr>
            </w:pPr>
          </w:p>
        </w:tc>
        <w:tc>
          <w:tcPr>
            <w:tcW w:w="140" w:type="dxa"/>
            <w:vAlign w:val="bottom"/>
            <w:tcBorders>
              <w:bottom w:val="single" w:sz="8" w:color="231F20"/>
            </w:tcBorders>
            <w:shd w:val="clear" w:color="auto" w:fill="CFEBF4"/>
          </w:tcPr>
          <w:p>
            <w:pPr>
              <w:spacing w:after="0"/>
              <w:rPr>
                <w:sz w:val="21"/>
                <w:szCs w:val="21"/>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1,101.2</w:t>
            </w:r>
          </w:p>
        </w:tc>
        <w:tc>
          <w:tcPr>
            <w:tcW w:w="80" w:type="dxa"/>
            <w:vAlign w:val="bottom"/>
            <w:tcBorders>
              <w:bottom w:val="single" w:sz="8" w:color="CFEBF4"/>
            </w:tcBorders>
            <w:shd w:val="clear" w:color="auto" w:fill="CFEBF4"/>
          </w:tcPr>
          <w:p>
            <w:pPr>
              <w:spacing w:after="0"/>
              <w:rPr>
                <w:sz w:val="21"/>
                <w:szCs w:val="21"/>
                <w:color w:val="auto"/>
              </w:rPr>
            </w:pPr>
          </w:p>
        </w:tc>
        <w:tc>
          <w:tcPr>
            <w:tcW w:w="360" w:type="dxa"/>
            <w:vAlign w:val="bottom"/>
            <w:tcBorders>
              <w:bottom w:val="single" w:sz="8" w:color="231F20"/>
            </w:tcBorders>
            <w:shd w:val="clear" w:color="auto" w:fill="CFEBF4"/>
          </w:tcPr>
          <w:p>
            <w:pPr>
              <w:spacing w:after="0"/>
              <w:rPr>
                <w:sz w:val="21"/>
                <w:szCs w:val="21"/>
                <w:color w:val="auto"/>
              </w:rPr>
            </w:pPr>
          </w:p>
        </w:tc>
        <w:tc>
          <w:tcPr>
            <w:tcW w:w="7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493.2</w:t>
            </w:r>
          </w:p>
        </w:tc>
      </w:tr>
      <w:tr>
        <w:trPr>
          <w:trHeight w:val="214"/>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Capital expenditures</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(99.8)</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(94.7)</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(92.3)</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Acquisition payments, net of cash acquired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Proceeds from divestiture, net of cash transferred</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354.9</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41"/>
        </w:trPr>
        <w:tc>
          <w:tcPr>
            <w:tcW w:w="6560" w:type="dxa"/>
            <w:vAlign w:val="bottom"/>
            <w:tcBorders>
              <w:bottom w:val="single" w:sz="8" w:color="CFEBF4"/>
            </w:tcBorders>
          </w:tcPr>
          <w:p>
            <w:pPr>
              <w:ind w:left="180"/>
              <w:spacing w:after="0"/>
              <w:rPr>
                <w:sz w:val="20"/>
                <w:szCs w:val="20"/>
                <w:color w:val="auto"/>
              </w:rPr>
            </w:pPr>
            <w:r>
              <w:rPr>
                <w:rFonts w:ascii="Times New Roman" w:cs="Times New Roman" w:eastAsia="Times New Roman" w:hAnsi="Times New Roman"/>
                <w:sz w:val="18"/>
                <w:szCs w:val="18"/>
                <w:color w:val="231F20"/>
              </w:rPr>
              <w:t>Other investing activities, net</w:t>
            </w:r>
          </w:p>
        </w:tc>
        <w:tc>
          <w:tcPr>
            <w:tcW w:w="2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(4.8)</w:t>
            </w:r>
          </w:p>
        </w:tc>
        <w:tc>
          <w:tcPr>
            <w:tcW w:w="80" w:type="dxa"/>
            <w:vAlign w:val="bottom"/>
            <w:tcBorders>
              <w:bottom w:val="single" w:sz="8" w:color="CFEBF4"/>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80" w:type="dxa"/>
            <w:vAlign w:val="bottom"/>
            <w:tcBorders>
              <w:bottom w:val="single" w:sz="8" w:color="CFEBF4"/>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2.7</w:t>
            </w:r>
          </w:p>
        </w:tc>
      </w:tr>
      <w:tr>
        <w:trPr>
          <w:trHeight w:val="251"/>
        </w:trPr>
        <w:tc>
          <w:tcPr>
            <w:tcW w:w="6560" w:type="dxa"/>
            <w:vAlign w:val="bottom"/>
            <w:tcBorders>
              <w:bottom w:val="single" w:sz="8" w:color="CFEBF4"/>
            </w:tcBorders>
            <w:shd w:val="clear" w:color="auto" w:fill="CFEBF4"/>
          </w:tcPr>
          <w:p>
            <w:pPr>
              <w:ind w:left="740"/>
              <w:spacing w:after="0"/>
              <w:rPr>
                <w:sz w:val="20"/>
                <w:szCs w:val="20"/>
                <w:color w:val="auto"/>
              </w:rPr>
            </w:pPr>
            <w:r>
              <w:rPr>
                <w:rFonts w:ascii="Times New Roman" w:cs="Times New Roman" w:eastAsia="Times New Roman" w:hAnsi="Times New Roman"/>
                <w:sz w:val="18"/>
                <w:szCs w:val="18"/>
                <w:color w:val="231F20"/>
              </w:rPr>
              <w:t>Net cash (used in) provided by investing activities</w:t>
            </w:r>
          </w:p>
        </w:tc>
        <w:tc>
          <w:tcPr>
            <w:tcW w:w="260" w:type="dxa"/>
            <w:vAlign w:val="bottom"/>
            <w:tcBorders>
              <w:bottom w:val="single" w:sz="8" w:color="231F20"/>
            </w:tcBorders>
            <w:shd w:val="clear" w:color="auto" w:fill="CFEBF4"/>
          </w:tcPr>
          <w:p>
            <w:pPr>
              <w:spacing w:after="0"/>
              <w:rPr>
                <w:sz w:val="21"/>
                <w:szCs w:val="21"/>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(140.7)</w:t>
            </w:r>
          </w:p>
        </w:tc>
        <w:tc>
          <w:tcPr>
            <w:tcW w:w="80" w:type="dxa"/>
            <w:vAlign w:val="bottom"/>
            <w:tcBorders>
              <w:bottom w:val="single" w:sz="8" w:color="CFEBF4"/>
            </w:tcBorders>
            <w:shd w:val="clear" w:color="auto" w:fill="CFEBF4"/>
          </w:tcPr>
          <w:p>
            <w:pPr>
              <w:spacing w:after="0"/>
              <w:rPr>
                <w:sz w:val="21"/>
                <w:szCs w:val="21"/>
                <w:color w:val="auto"/>
              </w:rPr>
            </w:pPr>
          </w:p>
        </w:tc>
        <w:tc>
          <w:tcPr>
            <w:tcW w:w="140" w:type="dxa"/>
            <w:vAlign w:val="bottom"/>
            <w:tcBorders>
              <w:bottom w:val="single" w:sz="8" w:color="231F20"/>
            </w:tcBorders>
            <w:shd w:val="clear" w:color="auto" w:fill="CFEBF4"/>
          </w:tcPr>
          <w:p>
            <w:pPr>
              <w:spacing w:after="0"/>
              <w:rPr>
                <w:sz w:val="21"/>
                <w:szCs w:val="21"/>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40.4</w:t>
            </w:r>
          </w:p>
        </w:tc>
        <w:tc>
          <w:tcPr>
            <w:tcW w:w="80" w:type="dxa"/>
            <w:vAlign w:val="bottom"/>
            <w:tcBorders>
              <w:bottom w:val="single" w:sz="8" w:color="CFEBF4"/>
            </w:tcBorders>
            <w:shd w:val="clear" w:color="auto" w:fill="CFEBF4"/>
          </w:tcPr>
          <w:p>
            <w:pPr>
              <w:spacing w:after="0"/>
              <w:rPr>
                <w:sz w:val="21"/>
                <w:szCs w:val="21"/>
                <w:color w:val="auto"/>
              </w:rPr>
            </w:pPr>
          </w:p>
        </w:tc>
        <w:tc>
          <w:tcPr>
            <w:tcW w:w="360" w:type="dxa"/>
            <w:vAlign w:val="bottom"/>
            <w:tcBorders>
              <w:bottom w:val="single" w:sz="8" w:color="231F20"/>
            </w:tcBorders>
            <w:shd w:val="clear" w:color="auto" w:fill="CFEBF4"/>
          </w:tcPr>
          <w:p>
            <w:pPr>
              <w:spacing w:after="0"/>
              <w:rPr>
                <w:sz w:val="21"/>
                <w:szCs w:val="21"/>
                <w:color w:val="auto"/>
              </w:rPr>
            </w:pPr>
          </w:p>
        </w:tc>
        <w:tc>
          <w:tcPr>
            <w:tcW w:w="7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(89.6)</w:t>
            </w:r>
          </w:p>
        </w:tc>
      </w:tr>
      <w:tr>
        <w:trPr>
          <w:trHeight w:val="214"/>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Financing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Proceeds from short-term debt</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23.4</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4.3</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17.1</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Repayments of short-term debt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(22.7)</w:t>
            </w: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Proceeds from issuance of long-term debt</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6,928.7</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6,775.0</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3,290.2</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Repayments of long-term debt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(6,224.3)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(7,053.5)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(3,404.6)</w:t>
            </w: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Debt issuance costs</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(14.0)</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(26.6)</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Payments for taxes related to net-share settlement of equity awards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(68.3)</w:t>
            </w: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Repurchases of common stock</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(75.0)</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(425.0)</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(75.0)</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Redemption of preferred stock</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58"/>
        </w:trPr>
        <w:tc>
          <w:tcPr>
            <w:tcW w:w="65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Payment of common stock dividends</w:t>
            </w:r>
          </w:p>
        </w:tc>
        <w:tc>
          <w:tcPr>
            <w:tcW w:w="260" w:type="dxa"/>
            <w:vAlign w:val="bottom"/>
            <w:shd w:val="clear" w:color="auto" w:fill="CFEBF4"/>
          </w:tcPr>
          <w:p>
            <w:pPr>
              <w:spacing w:after="0"/>
              <w:rPr>
                <w:sz w:val="22"/>
                <w:szCs w:val="22"/>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(88.4)</w:t>
            </w:r>
          </w:p>
        </w:tc>
        <w:tc>
          <w:tcPr>
            <w:tcW w:w="80" w:type="dxa"/>
            <w:vAlign w:val="bottom"/>
            <w:shd w:val="clear" w:color="auto" w:fill="CFEBF4"/>
          </w:tcPr>
          <w:p>
            <w:pPr>
              <w:spacing w:after="0"/>
              <w:rPr>
                <w:sz w:val="22"/>
                <w:szCs w:val="22"/>
                <w:color w:val="auto"/>
              </w:rPr>
            </w:pPr>
          </w:p>
        </w:tc>
        <w:tc>
          <w:tcPr>
            <w:tcW w:w="140" w:type="dxa"/>
            <w:vAlign w:val="bottom"/>
            <w:shd w:val="clear" w:color="auto" w:fill="CFEBF4"/>
          </w:tcPr>
          <w:p>
            <w:pPr>
              <w:spacing w:after="0"/>
              <w:rPr>
                <w:sz w:val="22"/>
                <w:szCs w:val="22"/>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(81.5)</w:t>
            </w:r>
          </w:p>
        </w:tc>
        <w:tc>
          <w:tcPr>
            <w:tcW w:w="80" w:type="dxa"/>
            <w:vAlign w:val="bottom"/>
            <w:shd w:val="clear" w:color="auto" w:fill="CFEBF4"/>
          </w:tcPr>
          <w:p>
            <w:pPr>
              <w:spacing w:after="0"/>
              <w:rPr>
                <w:sz w:val="22"/>
                <w:szCs w:val="22"/>
                <w:color w:val="auto"/>
              </w:rPr>
            </w:pPr>
          </w:p>
        </w:tc>
        <w:tc>
          <w:tcPr>
            <w:tcW w:w="360" w:type="dxa"/>
            <w:vAlign w:val="bottom"/>
            <w:shd w:val="clear" w:color="auto" w:fill="CFEBF4"/>
          </w:tcPr>
          <w:p>
            <w:pPr>
              <w:spacing w:after="0"/>
              <w:rPr>
                <w:sz w:val="22"/>
                <w:szCs w:val="22"/>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(76.6)</w:t>
            </w:r>
          </w:p>
        </w:tc>
      </w:tr>
      <w:tr>
        <w:trPr>
          <w:trHeight w:val="24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Payment of preferred stock dividends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(57.4)</w:t>
            </w:r>
          </w:p>
        </w:tc>
      </w:tr>
      <w:tr>
        <w:trPr>
          <w:trHeight w:val="266"/>
        </w:trPr>
        <w:tc>
          <w:tcPr>
            <w:tcW w:w="6560" w:type="dxa"/>
            <w:vAlign w:val="bottom"/>
            <w:tcBorders>
              <w:bottom w:val="single" w:sz="8" w:color="CFEBF4"/>
            </w:tcBorders>
            <w:shd w:val="clear" w:color="auto" w:fill="CFEBF4"/>
          </w:tcPr>
          <w:p>
            <w:pPr>
              <w:ind w:left="180"/>
              <w:spacing w:after="0"/>
              <w:rPr>
                <w:sz w:val="20"/>
                <w:szCs w:val="20"/>
                <w:color w:val="auto"/>
              </w:rPr>
            </w:pPr>
            <w:r>
              <w:rPr>
                <w:rFonts w:ascii="Times New Roman" w:cs="Times New Roman" w:eastAsia="Times New Roman" w:hAnsi="Times New Roman"/>
                <w:sz w:val="18"/>
                <w:szCs w:val="18"/>
                <w:color w:val="231F20"/>
              </w:rPr>
              <w:t>Other financing activities, net</w:t>
            </w:r>
          </w:p>
        </w:tc>
        <w:tc>
          <w:tcPr>
            <w:tcW w:w="260" w:type="dxa"/>
            <w:vAlign w:val="bottom"/>
            <w:tcBorders>
              <w:bottom w:val="single" w:sz="8" w:color="231F20"/>
            </w:tcBorders>
            <w:shd w:val="clear" w:color="auto" w:fill="CFEBF4"/>
          </w:tcPr>
          <w:p>
            <w:pPr>
              <w:spacing w:after="0"/>
              <w:rPr>
                <w:sz w:val="23"/>
                <w:szCs w:val="23"/>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(16.0)</w:t>
            </w:r>
          </w:p>
        </w:tc>
        <w:tc>
          <w:tcPr>
            <w:tcW w:w="80" w:type="dxa"/>
            <w:vAlign w:val="bottom"/>
            <w:tcBorders>
              <w:bottom w:val="single" w:sz="8" w:color="CFEBF4"/>
            </w:tcBorders>
            <w:shd w:val="clear" w:color="auto" w:fill="CFEBF4"/>
          </w:tcPr>
          <w:p>
            <w:pPr>
              <w:spacing w:after="0"/>
              <w:rPr>
                <w:sz w:val="23"/>
                <w:szCs w:val="23"/>
                <w:color w:val="auto"/>
              </w:rPr>
            </w:pPr>
          </w:p>
        </w:tc>
        <w:tc>
          <w:tcPr>
            <w:tcW w:w="140" w:type="dxa"/>
            <w:vAlign w:val="bottom"/>
            <w:tcBorders>
              <w:bottom w:val="single" w:sz="8" w:color="231F20"/>
            </w:tcBorders>
            <w:shd w:val="clear" w:color="auto" w:fill="CFEBF4"/>
          </w:tcPr>
          <w:p>
            <w:pPr>
              <w:spacing w:after="0"/>
              <w:rPr>
                <w:sz w:val="23"/>
                <w:szCs w:val="23"/>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(28.6)</w:t>
            </w:r>
          </w:p>
        </w:tc>
        <w:tc>
          <w:tcPr>
            <w:tcW w:w="80" w:type="dxa"/>
            <w:vAlign w:val="bottom"/>
            <w:tcBorders>
              <w:bottom w:val="single" w:sz="8" w:color="CFEBF4"/>
            </w:tcBorders>
            <w:shd w:val="clear" w:color="auto" w:fill="CFEBF4"/>
          </w:tcPr>
          <w:p>
            <w:pPr>
              <w:spacing w:after="0"/>
              <w:rPr>
                <w:sz w:val="23"/>
                <w:szCs w:val="23"/>
                <w:color w:val="auto"/>
              </w:rPr>
            </w:pPr>
          </w:p>
        </w:tc>
        <w:tc>
          <w:tcPr>
            <w:tcW w:w="360" w:type="dxa"/>
            <w:vAlign w:val="bottom"/>
            <w:tcBorders>
              <w:bottom w:val="single" w:sz="8" w:color="231F20"/>
            </w:tcBorders>
            <w:shd w:val="clear" w:color="auto" w:fill="CFEBF4"/>
          </w:tcPr>
          <w:p>
            <w:pPr>
              <w:spacing w:after="0"/>
              <w:rPr>
                <w:sz w:val="23"/>
                <w:szCs w:val="23"/>
                <w:color w:val="auto"/>
              </w:rPr>
            </w:pPr>
          </w:p>
        </w:tc>
        <w:tc>
          <w:tcPr>
            <w:tcW w:w="7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(6.6)</w:t>
            </w:r>
          </w:p>
        </w:tc>
      </w:tr>
      <w:tr>
        <w:trPr>
          <w:trHeight w:val="213"/>
        </w:trPr>
        <w:tc>
          <w:tcPr>
            <w:tcW w:w="6560" w:type="dxa"/>
            <w:vAlign w:val="bottom"/>
            <w:tcBorders>
              <w:bottom w:val="single" w:sz="8" w:color="CFEBF4"/>
            </w:tcBorders>
          </w:tcPr>
          <w:p>
            <w:pPr>
              <w:ind w:left="740"/>
              <w:spacing w:after="0"/>
              <w:rPr>
                <w:sz w:val="20"/>
                <w:szCs w:val="20"/>
                <w:color w:val="auto"/>
              </w:rPr>
            </w:pPr>
            <w:r>
              <w:rPr>
                <w:rFonts w:ascii="Times New Roman" w:cs="Times New Roman" w:eastAsia="Times New Roman" w:hAnsi="Times New Roman"/>
                <w:sz w:val="18"/>
                <w:szCs w:val="18"/>
                <w:color w:val="231F20"/>
              </w:rPr>
              <w:t>Net cash used in financing activities</w:t>
            </w:r>
          </w:p>
        </w:tc>
        <w:tc>
          <w:tcPr>
            <w:tcW w:w="2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(92.7)</w:t>
            </w:r>
          </w:p>
        </w:tc>
        <w:tc>
          <w:tcPr>
            <w:tcW w:w="80" w:type="dxa"/>
            <w:vAlign w:val="bottom"/>
            <w:tcBorders>
              <w:bottom w:val="single" w:sz="8" w:color="CFEBF4"/>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(928.3)</w:t>
            </w:r>
          </w:p>
        </w:tc>
        <w:tc>
          <w:tcPr>
            <w:tcW w:w="80" w:type="dxa"/>
            <w:vAlign w:val="bottom"/>
            <w:tcBorders>
              <w:bottom w:val="single" w:sz="8" w:color="CFEBF4"/>
            </w:tcBorders>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(403.9)</w:t>
            </w:r>
          </w:p>
        </w:tc>
      </w:tr>
      <w:tr>
        <w:trPr>
          <w:trHeight w:val="241"/>
        </w:trPr>
        <w:tc>
          <w:tcPr>
            <w:tcW w:w="65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18"/>
                <w:szCs w:val="18"/>
                <w:color w:val="231F20"/>
              </w:rPr>
              <w:t>Effect of exchange rate changes on cash and cash equivalents</w:t>
            </w:r>
          </w:p>
        </w:tc>
        <w:tc>
          <w:tcPr>
            <w:tcW w:w="260" w:type="dxa"/>
            <w:vAlign w:val="bottom"/>
            <w:shd w:val="clear" w:color="auto" w:fill="CFEBF4"/>
          </w:tcPr>
          <w:p>
            <w:pPr>
              <w:spacing w:after="0"/>
              <w:rPr>
                <w:sz w:val="20"/>
                <w:szCs w:val="20"/>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10.6</w:t>
            </w:r>
          </w:p>
        </w:tc>
        <w:tc>
          <w:tcPr>
            <w:tcW w:w="80" w:type="dxa"/>
            <w:vAlign w:val="bottom"/>
            <w:shd w:val="clear" w:color="auto" w:fill="CFEBF4"/>
          </w:tcPr>
          <w:p>
            <w:pPr>
              <w:spacing w:after="0"/>
              <w:rPr>
                <w:sz w:val="20"/>
                <w:szCs w:val="20"/>
                <w:color w:val="auto"/>
              </w:rPr>
            </w:pPr>
          </w:p>
        </w:tc>
        <w:tc>
          <w:tcPr>
            <w:tcW w:w="140" w:type="dxa"/>
            <w:vAlign w:val="bottom"/>
            <w:shd w:val="clear" w:color="auto" w:fill="CFEBF4"/>
          </w:tcPr>
          <w:p>
            <w:pPr>
              <w:spacing w:after="0"/>
              <w:rPr>
                <w:sz w:val="20"/>
                <w:szCs w:val="20"/>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(34.8)</w:t>
            </w:r>
          </w:p>
        </w:tc>
        <w:tc>
          <w:tcPr>
            <w:tcW w:w="80" w:type="dxa"/>
            <w:vAlign w:val="bottom"/>
            <w:shd w:val="clear" w:color="auto" w:fill="CFEBF4"/>
          </w:tcPr>
          <w:p>
            <w:pPr>
              <w:spacing w:after="0"/>
              <w:rPr>
                <w:sz w:val="20"/>
                <w:szCs w:val="20"/>
                <w:color w:val="auto"/>
              </w:rPr>
            </w:pPr>
          </w:p>
        </w:tc>
        <w:tc>
          <w:tcPr>
            <w:tcW w:w="360" w:type="dxa"/>
            <w:vAlign w:val="bottom"/>
            <w:shd w:val="clear" w:color="auto" w:fill="CFEBF4"/>
          </w:tcPr>
          <w:p>
            <w:pPr>
              <w:spacing w:after="0"/>
              <w:rPr>
                <w:sz w:val="20"/>
                <w:szCs w:val="20"/>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(2.9)</w:t>
            </w:r>
          </w:p>
        </w:tc>
      </w:tr>
      <w:tr>
        <w:trPr>
          <w:trHeight w:val="244"/>
        </w:trPr>
        <w:tc>
          <w:tcPr>
            <w:tcW w:w="65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Net change in cash and cash equivalents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w:t>
            </w:r>
          </w:p>
        </w:tc>
      </w:tr>
      <w:tr>
        <w:trPr>
          <w:trHeight w:val="266"/>
        </w:trPr>
        <w:tc>
          <w:tcPr>
            <w:tcW w:w="65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18"/>
                <w:szCs w:val="18"/>
                <w:color w:val="231F20"/>
              </w:rPr>
              <w:t>Cash and cash equivalents at the beginning of period</w:t>
            </w:r>
          </w:p>
        </w:tc>
        <w:tc>
          <w:tcPr>
            <w:tcW w:w="260" w:type="dxa"/>
            <w:vAlign w:val="bottom"/>
            <w:tcBorders>
              <w:bottom w:val="single" w:sz="8" w:color="231F20"/>
            </w:tcBorders>
            <w:shd w:val="clear" w:color="auto" w:fill="CFEBF4"/>
          </w:tcPr>
          <w:p>
            <w:pPr>
              <w:spacing w:after="0"/>
              <w:rPr>
                <w:sz w:val="23"/>
                <w:szCs w:val="23"/>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702.6</w:t>
            </w:r>
          </w:p>
        </w:tc>
        <w:tc>
          <w:tcPr>
            <w:tcW w:w="80" w:type="dxa"/>
            <w:vAlign w:val="bottom"/>
            <w:tcBorders>
              <w:bottom w:val="single" w:sz="8" w:color="CFEBF4"/>
            </w:tcBorders>
            <w:shd w:val="clear" w:color="auto" w:fill="CFEBF4"/>
          </w:tcPr>
          <w:p>
            <w:pPr>
              <w:spacing w:after="0"/>
              <w:rPr>
                <w:sz w:val="23"/>
                <w:szCs w:val="23"/>
                <w:color w:val="auto"/>
              </w:rPr>
            </w:pPr>
          </w:p>
        </w:tc>
        <w:tc>
          <w:tcPr>
            <w:tcW w:w="140" w:type="dxa"/>
            <w:vAlign w:val="bottom"/>
            <w:tcBorders>
              <w:bottom w:val="single" w:sz="8" w:color="231F20"/>
            </w:tcBorders>
            <w:shd w:val="clear" w:color="auto" w:fill="CFEBF4"/>
          </w:tcPr>
          <w:p>
            <w:pPr>
              <w:spacing w:after="0"/>
              <w:rPr>
                <w:sz w:val="23"/>
                <w:szCs w:val="23"/>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524.1</w:t>
            </w:r>
          </w:p>
        </w:tc>
        <w:tc>
          <w:tcPr>
            <w:tcW w:w="80" w:type="dxa"/>
            <w:vAlign w:val="bottom"/>
            <w:tcBorders>
              <w:bottom w:val="single" w:sz="8" w:color="CFEBF4"/>
            </w:tcBorders>
            <w:shd w:val="clear" w:color="auto" w:fill="CFEBF4"/>
          </w:tcPr>
          <w:p>
            <w:pPr>
              <w:spacing w:after="0"/>
              <w:rPr>
                <w:sz w:val="23"/>
                <w:szCs w:val="23"/>
                <w:color w:val="auto"/>
              </w:rPr>
            </w:pPr>
          </w:p>
        </w:tc>
        <w:tc>
          <w:tcPr>
            <w:tcW w:w="360" w:type="dxa"/>
            <w:vAlign w:val="bottom"/>
            <w:tcBorders>
              <w:bottom w:val="single" w:sz="8" w:color="231F20"/>
            </w:tcBorders>
            <w:shd w:val="clear" w:color="auto" w:fill="CFEBF4"/>
          </w:tcPr>
          <w:p>
            <w:pPr>
              <w:spacing w:after="0"/>
              <w:rPr>
                <w:sz w:val="23"/>
                <w:szCs w:val="23"/>
                <w:color w:val="auto"/>
              </w:rPr>
            </w:pPr>
          </w:p>
        </w:tc>
        <w:tc>
          <w:tcPr>
            <w:tcW w:w="7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527.3</w:t>
            </w:r>
          </w:p>
        </w:tc>
      </w:tr>
      <w:tr>
        <w:trPr>
          <w:trHeight w:val="233"/>
        </w:trPr>
        <w:tc>
          <w:tcPr>
            <w:tcW w:w="6560" w:type="dxa"/>
            <w:vAlign w:val="bottom"/>
            <w:tcBorders>
              <w:bottom w:val="single" w:sz="8" w:color="CFEBF4"/>
            </w:tcBorders>
          </w:tcPr>
          <w:p>
            <w:pPr>
              <w:ind w:left="60"/>
              <w:spacing w:after="0" w:line="194" w:lineRule="exact"/>
              <w:rPr>
                <w:sz w:val="20"/>
                <w:szCs w:val="20"/>
                <w:color w:val="auto"/>
              </w:rPr>
            </w:pPr>
            <w:r>
              <w:rPr>
                <w:rFonts w:ascii="Times New Roman" w:cs="Times New Roman" w:eastAsia="Times New Roman" w:hAnsi="Times New Roman"/>
                <w:sz w:val="18"/>
                <w:szCs w:val="18"/>
                <w:color w:val="231F20"/>
              </w:rPr>
              <w:t>Cash and cash equivalents at the end of period</w:t>
            </w:r>
          </w:p>
        </w:tc>
        <w:tc>
          <w:tcPr>
            <w:tcW w:w="260" w:type="dxa"/>
            <w:vAlign w:val="bottom"/>
            <w:tcBorders>
              <w:bottom w:val="single" w:sz="8" w:color="231F20"/>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231F20"/>
              </w:rPr>
              <w:t>$</w:t>
            </w:r>
          </w:p>
        </w:tc>
        <w:tc>
          <w:tcPr>
            <w:tcW w:w="860" w:type="dxa"/>
            <w:vAlign w:val="bottom"/>
            <w:tcBorders>
              <w:bottom w:val="single" w:sz="8" w:color="231F20"/>
            </w:tcBorders>
          </w:tcPr>
          <w:p>
            <w:pPr>
              <w:jc w:val="right"/>
              <w:spacing w:after="0" w:line="194" w:lineRule="exact"/>
              <w:rPr>
                <w:sz w:val="20"/>
                <w:szCs w:val="20"/>
                <w:color w:val="auto"/>
              </w:rPr>
            </w:pPr>
            <w:r>
              <w:rPr>
                <w:rFonts w:ascii="Times New Roman" w:cs="Times New Roman" w:eastAsia="Times New Roman" w:hAnsi="Times New Roman"/>
                <w:sz w:val="18"/>
                <w:szCs w:val="18"/>
                <w:color w:val="231F20"/>
              </w:rPr>
              <w:t>604.8</w:t>
            </w:r>
          </w:p>
        </w:tc>
        <w:tc>
          <w:tcPr>
            <w:tcW w:w="80" w:type="dxa"/>
            <w:vAlign w:val="bottom"/>
            <w:tcBorders>
              <w:bottom w:val="single" w:sz="8" w:color="CFEBF4"/>
            </w:tcBorders>
          </w:tcPr>
          <w:p>
            <w:pPr>
              <w:spacing w:after="0"/>
              <w:rPr>
                <w:sz w:val="20"/>
                <w:szCs w:val="20"/>
                <w:color w:val="auto"/>
              </w:rPr>
            </w:pPr>
          </w:p>
        </w:tc>
        <w:tc>
          <w:tcPr>
            <w:tcW w:w="140" w:type="dxa"/>
            <w:vAlign w:val="bottom"/>
            <w:tcBorders>
              <w:bottom w:val="single" w:sz="8" w:color="231F20"/>
            </w:tcBorders>
          </w:tcPr>
          <w:p>
            <w:pPr>
              <w:jc w:val="right"/>
              <w:spacing w:after="0" w:line="194" w:lineRule="exact"/>
              <w:rPr>
                <w:sz w:val="20"/>
                <w:szCs w:val="20"/>
                <w:color w:val="auto"/>
              </w:rPr>
            </w:pPr>
            <w:r>
              <w:rPr>
                <w:rFonts w:ascii="Times New Roman" w:cs="Times New Roman" w:eastAsia="Times New Roman" w:hAnsi="Times New Roman"/>
                <w:sz w:val="18"/>
                <w:szCs w:val="18"/>
                <w:color w:val="231F20"/>
              </w:rPr>
              <w:t>$</w:t>
            </w:r>
          </w:p>
        </w:tc>
        <w:tc>
          <w:tcPr>
            <w:tcW w:w="980" w:type="dxa"/>
            <w:vAlign w:val="bottom"/>
            <w:tcBorders>
              <w:bottom w:val="single" w:sz="8" w:color="231F20"/>
            </w:tcBorders>
          </w:tcPr>
          <w:p>
            <w:pPr>
              <w:jc w:val="right"/>
              <w:spacing w:after="0" w:line="194" w:lineRule="exact"/>
              <w:rPr>
                <w:sz w:val="20"/>
                <w:szCs w:val="20"/>
                <w:color w:val="auto"/>
              </w:rPr>
            </w:pPr>
            <w:r>
              <w:rPr>
                <w:rFonts w:ascii="Times New Roman" w:cs="Times New Roman" w:eastAsia="Times New Roman" w:hAnsi="Times New Roman"/>
                <w:sz w:val="18"/>
                <w:szCs w:val="18"/>
                <w:color w:val="231F20"/>
              </w:rPr>
              <w:t>702.6</w:t>
            </w:r>
          </w:p>
        </w:tc>
        <w:tc>
          <w:tcPr>
            <w:tcW w:w="80" w:type="dxa"/>
            <w:vAlign w:val="bottom"/>
            <w:tcBorders>
              <w:bottom w:val="single" w:sz="8" w:color="CFEBF4"/>
            </w:tcBorders>
          </w:tcPr>
          <w:p>
            <w:pPr>
              <w:spacing w:after="0"/>
              <w:rPr>
                <w:sz w:val="20"/>
                <w:szCs w:val="20"/>
                <w:color w:val="auto"/>
              </w:rPr>
            </w:pPr>
          </w:p>
        </w:tc>
        <w:tc>
          <w:tcPr>
            <w:tcW w:w="360" w:type="dxa"/>
            <w:vAlign w:val="bottom"/>
            <w:tcBorders>
              <w:bottom w:val="single" w:sz="8" w:color="231F20"/>
            </w:tcBorders>
          </w:tcPr>
          <w:p>
            <w:pPr>
              <w:jc w:val="right"/>
              <w:ind w:right="131"/>
              <w:spacing w:after="0" w:line="194" w:lineRule="exact"/>
              <w:rPr>
                <w:sz w:val="20"/>
                <w:szCs w:val="20"/>
                <w:color w:val="auto"/>
              </w:rPr>
            </w:pPr>
            <w:r>
              <w:rPr>
                <w:rFonts w:ascii="Times New Roman" w:cs="Times New Roman" w:eastAsia="Times New Roman" w:hAnsi="Times New Roman"/>
                <w:sz w:val="18"/>
                <w:szCs w:val="18"/>
                <w:color w:val="231F20"/>
              </w:rPr>
              <w:t>$</w:t>
            </w:r>
          </w:p>
        </w:tc>
        <w:tc>
          <w:tcPr>
            <w:tcW w:w="760" w:type="dxa"/>
            <w:vAlign w:val="bottom"/>
            <w:tcBorders>
              <w:bottom w:val="single" w:sz="8" w:color="231F20"/>
            </w:tcBorders>
          </w:tcPr>
          <w:p>
            <w:pPr>
              <w:jc w:val="right"/>
              <w:spacing w:after="0" w:line="194" w:lineRule="exact"/>
              <w:rPr>
                <w:sz w:val="20"/>
                <w:szCs w:val="20"/>
                <w:color w:val="auto"/>
              </w:rPr>
            </w:pPr>
            <w:r>
              <w:rPr>
                <w:rFonts w:ascii="Times New Roman" w:cs="Times New Roman" w:eastAsia="Times New Roman" w:hAnsi="Times New Roman"/>
                <w:sz w:val="18"/>
                <w:szCs w:val="18"/>
                <w:color w:val="231F20"/>
              </w:rPr>
              <w:t>524.1</w:t>
            </w:r>
          </w:p>
        </w:tc>
      </w:tr>
      <w:tr>
        <w:trPr>
          <w:trHeight w:val="222"/>
        </w:trPr>
        <w:tc>
          <w:tcPr>
            <w:tcW w:w="65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18"/>
                <w:szCs w:val="18"/>
                <w:b w:val="1"/>
                <w:bCs w:val="1"/>
                <w:color w:val="231F20"/>
              </w:rPr>
              <w:t>Supplemental disclosures:</w:t>
            </w:r>
          </w:p>
        </w:tc>
        <w:tc>
          <w:tcPr>
            <w:tcW w:w="260" w:type="dxa"/>
            <w:vAlign w:val="bottom"/>
            <w:shd w:val="clear" w:color="auto" w:fill="CFEBF4"/>
          </w:tcPr>
          <w:p>
            <w:pPr>
              <w:spacing w:after="0"/>
              <w:rPr>
                <w:sz w:val="19"/>
                <w:szCs w:val="19"/>
                <w:color w:val="auto"/>
              </w:rPr>
            </w:pPr>
          </w:p>
        </w:tc>
        <w:tc>
          <w:tcPr>
            <w:tcW w:w="860" w:type="dxa"/>
            <w:vAlign w:val="bottom"/>
            <w:shd w:val="clear" w:color="auto" w:fill="CFEBF4"/>
          </w:tcPr>
          <w:p>
            <w:pPr>
              <w:spacing w:after="0"/>
              <w:rPr>
                <w:sz w:val="19"/>
                <w:szCs w:val="19"/>
                <w:color w:val="auto"/>
              </w:rPr>
            </w:pPr>
          </w:p>
        </w:tc>
        <w:tc>
          <w:tcPr>
            <w:tcW w:w="80" w:type="dxa"/>
            <w:vAlign w:val="bottom"/>
            <w:shd w:val="clear" w:color="auto" w:fill="CFEBF4"/>
          </w:tcPr>
          <w:p>
            <w:pPr>
              <w:spacing w:after="0"/>
              <w:rPr>
                <w:sz w:val="19"/>
                <w:szCs w:val="19"/>
                <w:color w:val="auto"/>
              </w:rPr>
            </w:pPr>
          </w:p>
        </w:tc>
        <w:tc>
          <w:tcPr>
            <w:tcW w:w="140" w:type="dxa"/>
            <w:vAlign w:val="bottom"/>
            <w:shd w:val="clear" w:color="auto" w:fill="CFEBF4"/>
          </w:tcPr>
          <w:p>
            <w:pPr>
              <w:spacing w:after="0"/>
              <w:rPr>
                <w:sz w:val="19"/>
                <w:szCs w:val="19"/>
                <w:color w:val="auto"/>
              </w:rPr>
            </w:pPr>
          </w:p>
        </w:tc>
        <w:tc>
          <w:tcPr>
            <w:tcW w:w="980" w:type="dxa"/>
            <w:vAlign w:val="bottom"/>
            <w:shd w:val="clear" w:color="auto" w:fill="CFEBF4"/>
          </w:tcPr>
          <w:p>
            <w:pPr>
              <w:spacing w:after="0"/>
              <w:rPr>
                <w:sz w:val="19"/>
                <w:szCs w:val="19"/>
                <w:color w:val="auto"/>
              </w:rPr>
            </w:pPr>
          </w:p>
        </w:tc>
        <w:tc>
          <w:tcPr>
            <w:tcW w:w="80" w:type="dxa"/>
            <w:vAlign w:val="bottom"/>
            <w:shd w:val="clear" w:color="auto" w:fill="CFEBF4"/>
          </w:tcPr>
          <w:p>
            <w:pPr>
              <w:spacing w:after="0"/>
              <w:rPr>
                <w:sz w:val="19"/>
                <w:szCs w:val="19"/>
                <w:color w:val="auto"/>
              </w:rPr>
            </w:pPr>
          </w:p>
        </w:tc>
        <w:tc>
          <w:tcPr>
            <w:tcW w:w="360" w:type="dxa"/>
            <w:vAlign w:val="bottom"/>
            <w:shd w:val="clear" w:color="auto" w:fill="CFEBF4"/>
          </w:tcPr>
          <w:p>
            <w:pPr>
              <w:spacing w:after="0"/>
              <w:rPr>
                <w:sz w:val="19"/>
                <w:szCs w:val="19"/>
                <w:color w:val="auto"/>
              </w:rPr>
            </w:pPr>
          </w:p>
        </w:tc>
        <w:tc>
          <w:tcPr>
            <w:tcW w:w="760" w:type="dxa"/>
            <w:vAlign w:val="bottom"/>
            <w:shd w:val="clear" w:color="auto" w:fill="CFEBF4"/>
          </w:tcPr>
          <w:p>
            <w:pPr>
              <w:spacing w:after="0"/>
              <w:rPr>
                <w:sz w:val="19"/>
                <w:szCs w:val="19"/>
                <w:color w:val="auto"/>
              </w:rPr>
            </w:pPr>
          </w:p>
        </w:tc>
      </w:tr>
      <w:tr>
        <w:trPr>
          <w:trHeight w:val="244"/>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Cash paid for interest</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331.2</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386.8</w:t>
            </w:r>
          </w:p>
        </w:tc>
      </w:tr>
      <w:tr>
        <w:trPr>
          <w:trHeight w:val="258"/>
        </w:trPr>
        <w:tc>
          <w:tcPr>
            <w:tcW w:w="65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18"/>
                <w:szCs w:val="18"/>
                <w:color w:val="231F20"/>
              </w:rPr>
              <w:t>Cash paid for taxes</w:t>
            </w:r>
          </w:p>
        </w:tc>
        <w:tc>
          <w:tcPr>
            <w:tcW w:w="260" w:type="dxa"/>
            <w:vAlign w:val="bottom"/>
            <w:shd w:val="clear" w:color="auto" w:fill="CFEBF4"/>
          </w:tcPr>
          <w:p>
            <w:pPr>
              <w:jc w:val="right"/>
              <w:ind w:right="31"/>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237.8</w:t>
            </w:r>
          </w:p>
        </w:tc>
        <w:tc>
          <w:tcPr>
            <w:tcW w:w="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253.3</w:t>
            </w:r>
          </w:p>
        </w:tc>
        <w:tc>
          <w:tcPr>
            <w:tcW w:w="440" w:type="dxa"/>
            <w:vAlign w:val="bottom"/>
            <w:gridSpan w:val="2"/>
            <w:shd w:val="clear" w:color="auto" w:fill="CFEBF4"/>
          </w:tcPr>
          <w:p>
            <w:pPr>
              <w:jc w:val="right"/>
              <w:ind w:right="131"/>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18"/>
                <w:szCs w:val="18"/>
                <w:color w:val="231F20"/>
              </w:rPr>
              <w:t>207.9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-4331335</wp:posOffset>
            </wp:positionV>
            <wp:extent cx="1544955"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5">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-4171315</wp:posOffset>
            </wp:positionV>
            <wp:extent cx="1544955"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6">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-3373755</wp:posOffset>
            </wp:positionV>
            <wp:extent cx="1544955"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7">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-3214370</wp:posOffset>
            </wp:positionV>
            <wp:extent cx="1544955"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8">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-1300480</wp:posOffset>
            </wp:positionV>
            <wp:extent cx="1544955"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9">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-1141095</wp:posOffset>
            </wp:positionV>
            <wp:extent cx="1544955"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0">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-662305</wp:posOffset>
            </wp:positionV>
            <wp:extent cx="1544955"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1">
                      <a:extLst>
                        <a:ext uri="{28A0092B-C50C-407E-A947-70E740481C1C}"/>
                      </a:extLst>
                    </a:blip>
                    <a:srcRect/>
                    <a:stretch>
                      <a:fillRect/>
                    </a:stretch>
                  </pic:blipFill>
                  <pic:spPr bwMode="auto">
                    <a:xfrm>
                      <a:off x="0" y="0"/>
                      <a:ext cx="1544955" cy="5016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-515620</wp:posOffset>
            </wp:positionV>
            <wp:extent cx="2283460" cy="749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2">
                      <a:extLst>
                        <a:ext uri="{28A0092B-C50C-407E-A947-70E740481C1C}"/>
                      </a:extLst>
                    </a:blip>
                    <a:srcRect/>
                    <a:stretch>
                      <a:fillRect/>
                    </a:stretch>
                  </pic:blipFill>
                  <pic:spPr bwMode="auto">
                    <a:xfrm>
                      <a:off x="0" y="0"/>
                      <a:ext cx="2283460" cy="7493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1880" w:h="15480" w:orient="portrait"/>
          <w:cols w:equalWidth="0" w:num="1">
            <w:col w:w="10080"/>
          </w:cols>
          <w:pgMar w:left="900" w:top="52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080"/>
          </w:cols>
          <w:pgMar w:left="900" w:top="521" w:right="900" w:bottom="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ORGANIZATION</w:t>
      </w:r>
    </w:p>
    <w:p>
      <w:pPr>
        <w:spacing w:after="0" w:line="13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77"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Company has operating segments comprising three strategic business units consisting of Electrical &amp; Electronic Solutions (“EES”), Communications &amp; Security Solutions (“CSS”) and Utility &amp; Broadband Solutions (“UBS”). The Company’s operating segments are described further in Note 16, “Business Segments”.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 ACCOUNTING POLICIES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of Presentation</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consolidated financial statements include the accounts of Wesco International and all of its subsidiaries. All intercompany accounts and transactions have been eliminated in consolidation. Certain amounts as of December 31, 2025 and 2024 and for the years ended December 31, 2025, 2024 and 2023 in the consolidated financial statements and associated notes may not foot or recalculate due to rounding.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Reclassifications</w:t>
      </w:r>
    </w:p>
    <w:p>
      <w:pPr>
        <w:spacing w:after="0" w:line="12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Consolidated Statements of Cash Flows for the years ended December 31, 2024 and 2023 include certain reclassifications to previously reported amounts to conform to the current period’s presentation. Such reclassifications had no impact on the totals of operating, investing and financing cash flow activities for those years.</w:t>
      </w:r>
    </w:p>
    <w:p>
      <w:pPr>
        <w:spacing w:after="0" w:line="77"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In the first quarter of 2025, a portion of the EES reportable segment was moved to the CSS reportable segment as a result of operational realignment. The reportable segment financial information for the years ended December 31, 2024 and 2023 has been recast to conform to the current year presentation. The recast does not impact previously reported consolidated results. Refer to Note 16, “Business Segments” for the recasted segment disclosures.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Use of Estimates</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generally accepted accounting principles in the United States of America requires management to make estimates and assumptions that affect the amounts reported in the consolidated financial statements and accompanying notes. Although these estimates are based on management’s best knowledge of current events and actions Wesco may undertake in the future, actual results may ultimately differ from the estimates.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Revenue Recognition</w:t>
      </w:r>
    </w:p>
    <w:p>
      <w:pPr>
        <w:spacing w:after="0" w:line="128"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Wesco’s revenue arrangements generally consist of single performance obligations to transfer a promised good or service, or a combination of goods and services. Revenue is measured as the amount of consideration Wesco expects to receive in exchange for transferring goods or providing services. Revenue is recognized when control has transferred to the customer, which is generally when the product has shipped from a Wesco facility or directly from a supplier. However, transfer may occur at a later date depending on the agreed upon terms, such as delivery at the customer’s designated location, or based on consignment terms. In some instances, revenue is recognized under bill-and-hold arrangements requested by certain customers. Under these arrangements we retain physical possession of the product and revenue is recognized at the time that control of the product transfers to the customer. The product is subsequently shipped on a mutually agreed-upon date. For products that ship directly from suppliers to customers, Wesco generally acts as the principal in the transaction and recognizes revenue on a gross basis. When providing services, sales are generally recognized over time as control transfers to the customer, which occurs as services are rendered. Wesco generally satisfies its performance obligations within a year or less.</w:t>
      </w:r>
    </w:p>
    <w:p>
      <w:pPr>
        <w:spacing w:after="0" w:line="94" w:lineRule="exact"/>
        <w:rPr>
          <w:sz w:val="20"/>
          <w:szCs w:val="20"/>
          <w:color w:val="auto"/>
        </w:rPr>
      </w:pPr>
    </w:p>
    <w:p>
      <w:pPr>
        <w:jc w:val="both"/>
        <w:ind w:firstLine="266"/>
        <w:spacing w:after="0" w:line="273" w:lineRule="auto"/>
        <w:rPr>
          <w:sz w:val="20"/>
          <w:szCs w:val="20"/>
          <w:color w:val="auto"/>
        </w:rPr>
      </w:pPr>
      <w:r>
        <w:rPr>
          <w:rFonts w:ascii="Times New Roman" w:cs="Times New Roman" w:eastAsia="Times New Roman" w:hAnsi="Times New Roman"/>
          <w:sz w:val="19"/>
          <w:szCs w:val="19"/>
          <w:color w:val="231F20"/>
        </w:rPr>
        <w:t>Wesco generally does not have significant financing terms associated with its contractual arrangements; payments are normally received within 60 days. There are generally no significant costs associated with obtaining customer contracts. Wesco typically passes through warranties offered by manufacturers or suppliers to its customers. Sales taxes (and value added taxes in foreign jurisdictions) collected from customers and remitted to governmental authorities are excluded from net sales.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Supplier Volume Rebates</w:t>
      </w:r>
    </w:p>
    <w:p>
      <w:pPr>
        <w:spacing w:after="0" w:line="128" w:lineRule="exact"/>
        <w:rPr>
          <w:sz w:val="20"/>
          <w:szCs w:val="20"/>
          <w:color w:val="auto"/>
        </w:rPr>
      </w:pPr>
    </w:p>
    <w:p>
      <w:pPr>
        <w:jc w:val="both"/>
        <w:ind w:firstLine="266"/>
        <w:spacing w:after="0" w:line="274" w:lineRule="auto"/>
        <w:rPr>
          <w:sz w:val="20"/>
          <w:szCs w:val="20"/>
          <w:color w:val="auto"/>
        </w:rPr>
      </w:pPr>
      <w:r>
        <w:rPr>
          <w:rFonts w:ascii="Times New Roman" w:cs="Times New Roman" w:eastAsia="Times New Roman" w:hAnsi="Times New Roman"/>
          <w:sz w:val="19"/>
          <w:szCs w:val="19"/>
          <w:color w:val="231F20"/>
        </w:rPr>
        <w:t>Wesco receives volume rebates from certain suppliers based on contractual arrangements with such suppliers. Volume rebates that have been earned are included within other accounts receivable in the Consolidated Balance Sheets, and represent the estimated amounts due to Wesco based on forecasted purchases during the rebate period and the rebate provisions of the various supplier contracts. The Company’s volume rebate arrangements with suppliers are generally for the period of January 1</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120"/>
          </w:cols>
          <w:pgMar w:left="880" w:top="285" w:right="880" w:bottom="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231F20"/>
        </w:rPr>
        <w:t>through December 31. The corresponding rebate income is recorded as a reduction to cost of goods sold. Receivables under the supplier rebate program were $264.0 million at December 31, 2025 and $210.0 million at December 31, 2024. Supplier volume rebate income as a percentage of net sales was 1.4% in 2025, 1.3% in 2024 and 1.4% in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and Cash Equivalents</w:t>
      </w:r>
    </w:p>
    <w:p>
      <w:pPr>
        <w:spacing w:after="0" w:line="12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Cash equivalents are defined as highly liquid investments with original maturities of 90 days or less when purchased. Cash and cash equivalents in the Consolidated Balance Sheets include $16.6 million and $19.7 million as of December 31, 2025 and 2024, respectively, that is restricted from use to fund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Allowance for Expected Credit Losses</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Wesco recognizes expected credit losses resulting from the inability of its customers to make required payments through an allowance account that is measured each reporting period. Wesco estimates credit losses over the life of its trade accounts receivable using a combination of historical loss data, current credit conditions, specific customer circumstances, and reasonable and supportable forecasts of future economic conditions. The allowance for expected credit losses was $63.6 million and $55.0 million at December 31, 2025 and 2024, respectively. The total amount recorded as selling, general and administrative expense related to credit losses was $25.1 million, $18.7 million and $18.6 million for 2025, 2024 and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Inventories</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Inventories primarily consist of merchandise purchased for resale and are stated at the lower of cost or net realizable value. Cost is determined under the average cost method. Wesco reduces the carrying value of its inventories at the earlier of identifying an item that is considered to be obsolete or in excess of supply relative to demand, or no movement in a prescribed number of months. The carrying value of inventories reflect reductions for excess and obsolescence of $149.3 million and $131.3 million at December 31, 2025 and 2024, respectively. The total expense related to excess and obsolete inventories, which is included in cost of goods sold, was $74.0 million, $66.0 million and $63.1 million for 2025, 2024 and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Property, Buildings and Equipment</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Property, buildings and equipment are recorded at cost. Depreciation expense is determined using the straight-line method over the estimated useful lives of the assets. Leasehold improvements are amortized over either their respective lease terms or their estimated lives, whichever is shorter. Estimated useful lives typically range from five to forty years for buildings and leasehold improvements and three to eight years for furniture, fixtures and equipment.</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Costs incurred during the application development stage of internally developed software are capitalized and are reported at the lower of unamortized cost or net realizable value. Costs incurred during the preliminary project and post-implementation stages are expensed as incurred. Capitalized costs include external direct costs of materials and services consumed in developing internal-use computer software, payroll and payroll-related costs for employees who are directly associated with and who devote time to the internal-use computer software project, as well as interest costs. Internal-use computer software is amortized using the straight-line method over its estimated useful life, typically three to seven years.</w:t>
      </w:r>
    </w:p>
    <w:p>
      <w:pPr>
        <w:spacing w:after="0" w:line="8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Expenditures for new facilities and improvements that extend the useful life of an asset are capitalized. Ordinary repairs and maintenance are expensed as incurred. When property or other long-lived assets are retired, abandoned, or otherwise disposed, the cost and the related accumulated depreciation are removed from the accounts and any resulting gains or losses are recorded and reported as selling, general and administrative expenses.</w:t>
      </w:r>
    </w:p>
    <w:p>
      <w:pPr>
        <w:spacing w:after="0" w:line="83"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Of Wesco’s $466.8 million net book value of property, buildings and equipment as of December 31, 2025, $189.7 million consists of land, buildings and leasehold improvements that are geographically dispersed among Wesco’s more than 700 sites, including distribution centers, fulfillment centers and sales offices, mitigating the risk of impairment. Wesco assesses its long-lived assets for impairment whenever events or changes in circumstances indicate that the carrying amount of any such assets may not be fully recoverable. Changes in circumstances include, among others, technological advances, changes in the business model, capital structure, economic conditions or operating performance. The evaluation is based upon, among other things, utilization, serviceability and assumptions developed by management, which are categorized as Level 3 of the fair value hierarchy, related to the estimated future undiscounted cash flows that these assets are expected to generate. When the sum of the undiscounted cash flows is less than the carrying value of the asset (asset group), an impairment loss is recognized to the extent that carrying value exceeds fair value. Management applies its best judgment when performing these evaluations.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120"/>
          </w:cols>
          <w:pgMar w:left="880" w:top="285" w:right="88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Leases</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determination of whether an arrangement is, or contains, a lease, and its classification as operating or finance, is performed at the inception of the arrangement. Initial measurement of the right-of-use asset and lease liability is determined at the lease commencement date. The Company has elected the short-term lease measurement and recognition exemption; therefore, leases with an initial term of twelve months or less are not recorded on the balance sheet. Operating lease expense is recognized on a straight-line basis over the lease term. Finance lease cost consists of amortization, recognized on a straight-line basis over the estimated useful life of the leased asset, and interest expense, which is measured using the effective interest rate method.</w:t>
      </w:r>
    </w:p>
    <w:p>
      <w:pPr>
        <w:spacing w:after="0" w:line="89"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Operating and finance lease assets and liabilities are recognized at the commencement date based on the present value of the future minimum lease payments. Certain leases contain rent escalation clauses that are either fixed or adjusted periodically for inflation or market rates and such clauses are factored into the Company’s determination of lease payments. Wesco also has variable lease payments that do not depend on a rate or index, primarily for items such as common area maintenance and real estate taxes, which are recorded as variable expense when incurred. The operating and finance lease asset includes advance payments and excludes incentives and initial direct costs incurred.</w:t>
      </w:r>
    </w:p>
    <w:p>
      <w:pPr>
        <w:spacing w:after="0" w:line="8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The Company’s arrangements include certain non-lease components such as common area and other maintenance for leased real estate, as well as mileage, fuel and maintenance costs related to leased automobiles and trucks. Wesco accounts for these non-lease components separately from the associated lease components. The Company does not guarantee any residual value in its lease agreements, and there are no material restrictions or covenants imposed by lease arrangements. Real estate leases typically include one or more options to extend the lease, or terminate early. The Company regularly evaluates the renewal options, and when they are reasonably certain of exercise, the Company includes the renewal period in its lease term. For most of Wesco’s leases, the discount rate implicit in the lease is not readily determinable. Accordingly, the Company uses its incremental borrowing rate on a secured basis based on the information available at the lease commencement date to discount lease payments to the present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Goodwill and Indefinite-Lived Intangible Assets</w:t>
      </w:r>
    </w:p>
    <w:p>
      <w:pPr>
        <w:spacing w:after="0" w:line="12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Goodwill and indefinite-lived intangible assets are tested for impairment annually as of October 1, or more frequently if triggering events occur, indicating that their carrying value may not be recoverable. Wesco tests for goodwill impairment on a reporting unit level. We have the option to first assess qualitative factors to determine whether it is more likely than not that the fair value of a reporting unit or indefinite-lived intangible asset is less than its carrying value as a basis for determining whether it is necessary to perform quantitative impairment tests. If performing a qualitative assessment, the Company assesses factors,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 among others, to determine whether it is more likely than not that the fair value of Wesco’s reporting units are less than their carrying values.</w:t>
      </w:r>
    </w:p>
    <w:p>
      <w:pPr>
        <w:spacing w:after="0" w:line="90"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If the qualitative assessment indicates that the fair values of the Company’s reporting units or indefinite-lived intangible assets may not exceed their respective carrying values, or if the Company elects to bypass the optional qualitative assessments, then Wesco performs quantitative tests for impairment by comparing the fair value of each reporting unit or indefinite-lived intangible asset to its carrying value. At December 31, 2025 and 2024, goodwill and indefinite-lived intangible assets totaled $4.1 billion.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Definite-Lived Intangible Assets</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Definite-lived intangible assets are amortized over five to twenty years using a straight-line method, which reflects the pattern in which the economic benefits of the respective assets are consumed or otherwise used. Wesco continually evaluates whether events or circumstances have occurred that would indicate the remaining estimated useful lives of definite-lived intangible assets require revision or that the remaining respective carrying value of such assets may not be recoverable.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Cloud Computing Arrangements</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Company capitalizes costs associated with implementing its various cloud computing arrangements, which are amortized using the straight-line method over the estimated useful life of the arrangement, typically one to seven years. Capitalized implementation costs, which are recorded as a component of other assets in the Consolidated Balance Sheets, were $343.4 million and $257.8 million as of December 31, 2025 and 2024, respectively, and the related accumulated amortization was $59.8 million and $29.6 million, respectively. Amortization expense related to cloud computing arrangements is recorded as a component of selling, general and administrative expenses and totaled $30.2 million, $14.1 million and $9.2 million for the years ended December 31, 2025, 2024 and 2023, respectively.</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120"/>
          </w:cols>
          <w:pgMar w:left="880" w:top="285" w:right="88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In 2024, management determined that a third-party developed operations management software product would be abandoned in favor of an application that better suits the Company’s operations and the Company recognized a $17.8 million loss on abandonment of assets, which was recorded as a component of selling, general and administrative expenses in the Consolidated Statement of Income and Comprehensive Income for the year ended December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Insurance Programs</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Wesco uses commercial insurance for auto, workers’ compensation, casualty and health claims, and information technology as a risk-reduction strategy to minimize catastrophic losses. The Company’s strategy involves large deductible policies where Wesco must pay all costs up to the deductible amount. Wesco estimates the reserve for these programs based on historical incident rates and costs. The assumptions included in developing this accrual include the period of time between the incurrence and payment of a claim. The total liability related to insurance programs was $37.2 million and $33.4 million at December 31, 2025 and 2024,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Taxes</w:t>
      </w:r>
    </w:p>
    <w:p>
      <w:pPr>
        <w:spacing w:after="0" w:line="12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Wesco accounts for income taxes under the asset and liability method, which requires the recognition of deferred income taxes for events that have future tax consequences. Under this method, deferred income taxes are recognized (using enacted tax laws and rates) based on the future income tax effects of differences in the carrying amounts of assets and liabilities for financial reporting and tax purposes. The effect of a tax rate change on deferred tax assets and liabilities is recognized in income in the period of change.</w:t>
      </w:r>
    </w:p>
    <w:p>
      <w:pPr>
        <w:spacing w:after="0" w:line="8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Wesco recognizes deferred tax assets consistent with amounts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Wesco regularly assesses the realizability of deferred tax assets.</w:t>
      </w:r>
    </w:p>
    <w:p>
      <w:pPr>
        <w:spacing w:after="0" w:line="8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Wesco accounts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Wesco recognizes interest and penalties related to uncertain tax benefits as part of interest expense and income tax expense, respectively.</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2017 Tax Cuts and Jobs Act (“TCJA”) imposed the transition tax. Except for a portion of foreign earnings previously taxed in the U.S. that can effectively be distributed without further material U.S. or foreign taxation, the Company continues to assert that the undistributed earnings of its foreign subsidiaries are indefinitely reinvested. To the extent the earnings of the Company’s foreign subsidiaries are distributed in the form of dividends, such earnings may be subject to additional taxes. The Company believes that it is able to maintain a sufficient level of liquidity for its domestic operations and commitments without incurring any material tax cost to repatriate cash held by its foreign subsidiaries.</w:t>
      </w:r>
    </w:p>
    <w:p>
      <w:pPr>
        <w:spacing w:after="0" w:line="8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provisions of the TCJA also introduced the global intangible low-taxed income (“GILTI”) tax regime. Wesco has elected to account for the GILTI tax as a component of income tax expense in the period incurred.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Foreign Currency</w:t>
      </w:r>
    </w:p>
    <w:p>
      <w:pPr>
        <w:spacing w:after="0" w:line="128"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9"/>
          <w:szCs w:val="19"/>
          <w:color w:val="231F20"/>
        </w:rPr>
        <w:t>The functional currency for most of the Company’s operations outside the U.S. is generally the applicable local currency. Assets and liabilities of these operations are translated to U.S. dollars at the exchange rate in effect at the end of each period. Income statement accounts are translated at an exchange rate that approximates the average for the period. Translation adjustments arising from the use of differing exchange rates from period to period are included as a component of accumulated other comprehensive income (loss) within stockholders’ equity. Gains and losses from foreign currency transactions are included in net income for the period. The Company may re-evaluate the functional currencies of certain operations outside the U.S. if there are significant changes to operations that indicate that a change in functional currency may be necessary.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Defined Benefit Pension Plans</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Liabilities and expenses for defined benefit pension plans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 Unrealized gains and losses related to the Company’s defined benefit pension obligations are recognized as a component of accumulated other comprehensive income (loss) within stockholders’ equity. Gains or losses resulting from plan amendments, curtailments, and settlements are recognized as a component of other non-operating income and expenses (“other (income) expense, net”) in the period of the remeasurement.</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120"/>
          </w:cols>
          <w:pgMar w:left="880" w:top="285" w:right="88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Fair Value of Financial Instruments</w:t>
      </w:r>
    </w:p>
    <w:p>
      <w:pPr>
        <w:spacing w:after="0" w:line="128" w:lineRule="exact"/>
        <w:rPr>
          <w:sz w:val="20"/>
          <w:szCs w:val="20"/>
          <w:color w:val="auto"/>
        </w:rPr>
      </w:pPr>
    </w:p>
    <w:p>
      <w:pPr>
        <w:jc w:val="both"/>
        <w:ind w:firstLine="266"/>
        <w:spacing w:after="0" w:line="265" w:lineRule="auto"/>
        <w:rPr>
          <w:sz w:val="20"/>
          <w:szCs w:val="20"/>
          <w:color w:val="auto"/>
        </w:rPr>
      </w:pPr>
      <w:r>
        <w:rPr>
          <w:rFonts w:ascii="Times New Roman" w:cs="Times New Roman" w:eastAsia="Times New Roman" w:hAnsi="Times New Roman"/>
          <w:sz w:val="19"/>
          <w:szCs w:val="19"/>
          <w:color w:val="231F20"/>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three levels of the fair value hierarchy are as follows: Level 1 inputs are quoted prices (unadjusted) in active markets for identical assets or liabilities that are accessible at the measurement date; Level 2 inputs include inputs other than Level 1 that are observable, either directly or indirectly, and Level 3 inputs are unobservable inputs for which little or no market data exists, therefore requiring an entity to develop its own assumptions. The hierarchy gives the highest priority to unadjusted quoted prices in active markets for identical assets or liabilities (Level 1) and the lowest priority to measurements involving significant unobservable inputs (Level 3).</w:t>
      </w:r>
    </w:p>
    <w:p>
      <w:pPr>
        <w:spacing w:after="0" w:line="80"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Company measures the fair values of goodwill, intangible assets and property, buildings and equipment on a nonrecurring basis if required by impairment tests applicable to these assets, as described above.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(Income) Expense, net</w:t>
      </w:r>
    </w:p>
    <w:p>
      <w:pPr>
        <w:spacing w:after="0" w:line="12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Other non-operating income and expenses (“other (income) expense, net”) primarily includes the non-service cost components of net periodic pension cost (benefit), foreign exchange gains and losses, and gains and losses associated with periodic, non-operating transactions. For the year ended December 31, 2024, these periodic, non-operating transactions included the divestiture of the Wesco Integrated Supply (“WIS”) business, which resulted in a gain from the sale of $122.2 million, described further in Note 5, “Acquisitions and Divestitures”.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Recently Adopted and Recently Issued Accounting Standards</w:t>
      </w:r>
    </w:p>
    <w:p>
      <w:pPr>
        <w:spacing w:after="0" w:line="125" w:lineRule="exact"/>
        <w:rPr>
          <w:sz w:val="20"/>
          <w:szCs w:val="20"/>
          <w:color w:val="auto"/>
        </w:rPr>
      </w:pPr>
    </w:p>
    <w:p>
      <w:pPr>
        <w:jc w:val="both"/>
        <w:ind w:firstLine="266"/>
        <w:spacing w:after="0" w:line="267" w:lineRule="auto"/>
        <w:rPr>
          <w:sz w:val="20"/>
          <w:szCs w:val="20"/>
          <w:color w:val="auto"/>
        </w:rPr>
      </w:pPr>
      <w:r>
        <w:rPr>
          <w:rFonts w:ascii="Times New Roman" w:cs="Times New Roman" w:eastAsia="Times New Roman" w:hAnsi="Times New Roman"/>
          <w:sz w:val="19"/>
          <w:szCs w:val="19"/>
          <w:color w:val="231F20"/>
        </w:rPr>
        <w:t xml:space="preserve">In November 2023, the FASB issued ASU 2023-07, </w:t>
      </w:r>
      <w:r>
        <w:rPr>
          <w:rFonts w:ascii="Times New Roman" w:cs="Times New Roman" w:eastAsia="Times New Roman" w:hAnsi="Times New Roman"/>
          <w:sz w:val="19"/>
          <w:szCs w:val="19"/>
          <w:i w:val="1"/>
          <w:iCs w:val="1"/>
          <w:color w:val="231F20"/>
        </w:rPr>
        <w:t>Segment Reporting (Topic 280): Improvements to Reportable Segment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Disclosures, </w:t>
      </w:r>
      <w:r>
        <w:rPr>
          <w:rFonts w:ascii="Times New Roman" w:cs="Times New Roman" w:eastAsia="Times New Roman" w:hAnsi="Times New Roman"/>
          <w:sz w:val="19"/>
          <w:szCs w:val="19"/>
          <w:color w:val="231F20"/>
        </w:rPr>
        <w:t>which enhances prior reportable segment disclosure requirements in part by requiring entities to disclose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significant expenses related to their reportable segments. The amendments in this ASU were effective on a retrospective basis for annual periods beginning after December 15, 2023 and interim periods within fiscal years beginning after December 15, 2024. The Company adopted the annual disclosure requirements of this ASU in the fourth quarter of 2024 and the interim disclosure requirements in the first quarter of 2025. The adoption of this ASU resulted in additional required disclosures, including the disclosure of certain expenses at the reportable segment level, described further in Note 16, “Business Segments”.</w:t>
      </w:r>
    </w:p>
    <w:p>
      <w:pPr>
        <w:spacing w:after="0" w:line="72"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 xml:space="preserve">In December 2023, the FASB issued ASU 2023-09, </w:t>
      </w:r>
      <w:r>
        <w:rPr>
          <w:rFonts w:ascii="Times New Roman" w:cs="Times New Roman" w:eastAsia="Times New Roman" w:hAnsi="Times New Roman"/>
          <w:sz w:val="20"/>
          <w:szCs w:val="20"/>
          <w:i w:val="1"/>
          <w:iCs w:val="1"/>
          <w:color w:val="231F20"/>
        </w:rPr>
        <w:t>Income Taxes (Topic 740): Improvements to Income Tax Disclosures,</w:t>
      </w:r>
      <w:r>
        <w:rPr>
          <w:rFonts w:ascii="Times New Roman" w:cs="Times New Roman" w:eastAsia="Times New Roman" w:hAnsi="Times New Roman"/>
          <w:sz w:val="20"/>
          <w:szCs w:val="20"/>
          <w:color w:val="231F20"/>
        </w:rPr>
        <w:t xml:space="preserve">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however, retrospective application is permitted. The Company adopted this ASU on a prospective basis in the fourth quarter of 2025. The adoption of this ASU resulted in additional disclosure about the Company's effective tax rate reconciliation as well as income taxes paid.</w:t>
      </w:r>
    </w:p>
    <w:p>
      <w:pPr>
        <w:spacing w:after="0" w:line="8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 xml:space="preserve">In November 2024, the FASB issued ASU 2024-03, </w:t>
      </w:r>
      <w:r>
        <w:rPr>
          <w:rFonts w:ascii="Times New Roman" w:cs="Times New Roman" w:eastAsia="Times New Roman" w:hAnsi="Times New Roman"/>
          <w:sz w:val="20"/>
          <w:szCs w:val="20"/>
          <w:i w:val="1"/>
          <w:iCs w:val="1"/>
          <w:color w:val="231F20"/>
        </w:rPr>
        <w:t>Income Statement - Reporting Comprehensive Income - Expense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Disaggregation Disclosures (Subtopic 220-40): Disaggregation of Income Statement Expenses</w:t>
      </w:r>
      <w:r>
        <w:rPr>
          <w:rFonts w:ascii="Times New Roman" w:cs="Times New Roman" w:eastAsia="Times New Roman" w:hAnsi="Times New Roman"/>
          <w:sz w:val="20"/>
          <w:szCs w:val="20"/>
          <w:color w:val="231F20"/>
        </w:rPr>
        <w:t>, which is intended to enhance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expense disclosures, primarily by requiring disclosure of 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should be applied prospectively; however, retrospective application is permitted. Management is currently evaluating the impact that this accounting standard will have on its consolidated financial statements and notes thereto.</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 xml:space="preserve">In September 2025, the FASB issued ASU 2025-06, </w:t>
      </w:r>
      <w:r>
        <w:rPr>
          <w:rFonts w:ascii="Times New Roman" w:cs="Times New Roman" w:eastAsia="Times New Roman" w:hAnsi="Times New Roman"/>
          <w:sz w:val="20"/>
          <w:szCs w:val="20"/>
          <w:i w:val="1"/>
          <w:iCs w:val="1"/>
          <w:color w:val="231F20"/>
        </w:rPr>
        <w:t>Intangibles - Goodwill and Other - Internal-Use Software (Subtopic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350-40): Targeted Improvements to the Accounting for Internal-Use Software, </w:t>
      </w:r>
      <w:r>
        <w:rPr>
          <w:rFonts w:ascii="Times New Roman" w:cs="Times New Roman" w:eastAsia="Times New Roman" w:hAnsi="Times New Roman"/>
          <w:sz w:val="20"/>
          <w:szCs w:val="20"/>
          <w:color w:val="231F20"/>
        </w:rPr>
        <w:t>which is intended to modernize and simplify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guidance for capitalizing costs related to internal-use software by removing the stage-based approach and aligning the disclosure requirements with those for other long-lived assets. The amendments in this ASU are effective for annual periods beginning after December 15, 2027 and may be applied prospectively, retrospectively, or using a modified prospective approach. Early adoption is permitted. Management is currently evaluating the impact that this accounting standard will have on its consolidated financial statements and notes thereto.</w:t>
      </w:r>
    </w:p>
    <w:p>
      <w:pPr>
        <w:spacing w:after="0" w:line="87" w:lineRule="exact"/>
        <w:rPr>
          <w:sz w:val="20"/>
          <w:szCs w:val="20"/>
          <w:color w:val="auto"/>
        </w:rPr>
      </w:pPr>
    </w:p>
    <w:p>
      <w:pPr>
        <w:jc w:val="both"/>
        <w:ind w:firstLine="266"/>
        <w:spacing w:after="0" w:line="302" w:lineRule="auto"/>
        <w:rPr>
          <w:sz w:val="20"/>
          <w:szCs w:val="20"/>
          <w:color w:val="auto"/>
        </w:rPr>
      </w:pPr>
      <w:r>
        <w:rPr>
          <w:rFonts w:ascii="Times New Roman" w:cs="Times New Roman" w:eastAsia="Times New Roman" w:hAnsi="Times New Roman"/>
          <w:sz w:val="19"/>
          <w:szCs w:val="19"/>
          <w:color w:val="231F20"/>
        </w:rPr>
        <w:t>Other pronouncements issued by the FASB or other authoritative accounting standards groups with future effective dates are either not applicable or are not expected to be significant to Wesco’s financial position, results of operations or cash flows.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120"/>
          </w:cols>
          <w:pgMar w:left="880" w:top="285" w:right="88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REVENUE</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231F20"/>
        </w:rPr>
        <w:t>Wesco distributes products and provides services to customers globally in various end markets within its business segments.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segments operate in the United States, Canada and various other countries.</w:t>
      </w:r>
    </w:p>
    <w:p>
      <w:pPr>
        <w:spacing w:after="0" w:line="1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disaggregates Wesco’s net sales by geography for the periods presented:</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3500" w:type="dxa"/>
            <w:vAlign w:val="bottom"/>
            <w:tcBorders>
              <w:bottom w:val="single" w:sz="8" w:color="231F20"/>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1260" w:type="dxa"/>
            <w:vAlign w:val="bottom"/>
            <w:tcBorders>
              <w:bottom w:val="single" w:sz="8" w:color="231F20"/>
            </w:tcBorders>
          </w:tcPr>
          <w:p>
            <w:pPr>
              <w:spacing w:after="0"/>
              <w:rPr>
                <w:sz w:val="20"/>
                <w:szCs w:val="20"/>
                <w:color w:val="auto"/>
              </w:rPr>
            </w:pPr>
          </w:p>
        </w:tc>
      </w:tr>
      <w:tr>
        <w:trPr>
          <w:trHeight w:val="276"/>
        </w:trPr>
        <w:tc>
          <w:tcPr>
            <w:tcW w:w="424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4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ind w:right="56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ind w:right="5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CFEBF4"/>
            </w:tcBorders>
          </w:tcPr>
          <w:p>
            <w:pPr>
              <w:spacing w:after="0"/>
              <w:rPr>
                <w:sz w:val="23"/>
                <w:szCs w:val="23"/>
                <w:color w:val="auto"/>
              </w:rPr>
            </w:pPr>
          </w:p>
        </w:tc>
        <w:tc>
          <w:tcPr>
            <w:tcW w:w="420" w:type="dxa"/>
            <w:vAlign w:val="bottom"/>
            <w:tcBorders>
              <w:bottom w:val="single" w:sz="8" w:color="231F20"/>
            </w:tcBorders>
          </w:tcPr>
          <w:p>
            <w:pPr>
              <w:spacing w:after="0"/>
              <w:rPr>
                <w:sz w:val="23"/>
                <w:szCs w:val="23"/>
                <w:color w:val="auto"/>
              </w:rPr>
            </w:pPr>
          </w:p>
        </w:tc>
        <w:tc>
          <w:tcPr>
            <w:tcW w:w="1260" w:type="dxa"/>
            <w:vAlign w:val="bottom"/>
            <w:tcBorders>
              <w:bottom w:val="single" w:sz="8" w:color="231F20"/>
            </w:tcBorders>
          </w:tcPr>
          <w:p>
            <w:pPr>
              <w:jc w:val="right"/>
              <w:ind w:right="56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42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United States</w:t>
            </w:r>
          </w:p>
        </w:tc>
        <w:tc>
          <w:tcPr>
            <w:tcW w:w="400" w:type="dxa"/>
            <w:vAlign w:val="bottom"/>
            <w:shd w:val="clear" w:color="auto" w:fill="CFEBF4"/>
          </w:tcPr>
          <w:p>
            <w:pPr>
              <w:jc w:val="right"/>
              <w:ind w:right="141"/>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17,390.9</w:t>
            </w:r>
          </w:p>
        </w:tc>
        <w:tc>
          <w:tcPr>
            <w:tcW w:w="460" w:type="dxa"/>
            <w:vAlign w:val="bottom"/>
            <w:gridSpan w:val="2"/>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16,189.8</w:t>
            </w:r>
          </w:p>
        </w:tc>
        <w:tc>
          <w:tcPr>
            <w:tcW w:w="480" w:type="dxa"/>
            <w:vAlign w:val="bottom"/>
            <w:gridSpan w:val="2"/>
            <w:shd w:val="clear" w:color="auto" w:fill="CFEBF4"/>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16,609.1</w:t>
            </w:r>
          </w:p>
        </w:tc>
      </w:tr>
      <w:tr>
        <w:trPr>
          <w:trHeight w:val="290"/>
        </w:trPr>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Canada</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3,185.2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2,968.2</w:t>
            </w:r>
          </w:p>
        </w:tc>
      </w:tr>
      <w:tr>
        <w:trPr>
          <w:trHeight w:val="312"/>
        </w:trPr>
        <w:tc>
          <w:tcPr>
            <w:tcW w:w="42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Other International</w:t>
            </w:r>
            <w:r>
              <w:rPr>
                <w:rFonts w:ascii="Times New Roman" w:cs="Times New Roman" w:eastAsia="Times New Roman" w:hAnsi="Times New Roman"/>
                <w:sz w:val="25"/>
                <w:szCs w:val="25"/>
                <w:color w:val="231F20"/>
                <w:vertAlign w:val="superscript"/>
              </w:rPr>
              <w:t>(1)</w:t>
            </w:r>
          </w:p>
        </w:tc>
        <w:tc>
          <w:tcPr>
            <w:tcW w:w="400" w:type="dxa"/>
            <w:vAlign w:val="bottom"/>
            <w:tcBorders>
              <w:bottom w:val="single" w:sz="8" w:color="231F20"/>
            </w:tcBorders>
            <w:shd w:val="clear" w:color="auto" w:fill="CFEBF4"/>
          </w:tcPr>
          <w:p>
            <w:pPr>
              <w:spacing w:after="0"/>
              <w:rPr>
                <w:sz w:val="24"/>
                <w:szCs w:val="24"/>
                <w:color w:val="auto"/>
              </w:rPr>
            </w:pPr>
          </w:p>
        </w:tc>
        <w:tc>
          <w:tcPr>
            <w:tcW w:w="12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2,934.8</w:t>
            </w:r>
          </w:p>
        </w:tc>
        <w:tc>
          <w:tcPr>
            <w:tcW w:w="60" w:type="dxa"/>
            <w:vAlign w:val="bottom"/>
            <w:tcBorders>
              <w:bottom w:val="single" w:sz="8" w:color="CFEBF4"/>
            </w:tcBorders>
            <w:shd w:val="clear" w:color="auto" w:fill="CFEBF4"/>
          </w:tcPr>
          <w:p>
            <w:pPr>
              <w:spacing w:after="0"/>
              <w:rPr>
                <w:sz w:val="24"/>
                <w:szCs w:val="24"/>
                <w:color w:val="auto"/>
              </w:rPr>
            </w:pPr>
          </w:p>
        </w:tc>
        <w:tc>
          <w:tcPr>
            <w:tcW w:w="400" w:type="dxa"/>
            <w:vAlign w:val="bottom"/>
            <w:tcBorders>
              <w:bottom w:val="single" w:sz="8" w:color="231F20"/>
            </w:tcBorders>
            <w:shd w:val="clear" w:color="auto" w:fill="CFEBF4"/>
          </w:tcPr>
          <w:p>
            <w:pPr>
              <w:spacing w:after="0"/>
              <w:rPr>
                <w:sz w:val="24"/>
                <w:szCs w:val="24"/>
                <w:color w:val="auto"/>
              </w:rPr>
            </w:pPr>
          </w:p>
        </w:tc>
        <w:tc>
          <w:tcPr>
            <w:tcW w:w="12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2,688.9</w:t>
            </w:r>
          </w:p>
        </w:tc>
        <w:tc>
          <w:tcPr>
            <w:tcW w:w="6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spacing w:after="0"/>
              <w:rPr>
                <w:sz w:val="24"/>
                <w:szCs w:val="24"/>
                <w:color w:val="auto"/>
              </w:rPr>
            </w:pPr>
          </w:p>
        </w:tc>
        <w:tc>
          <w:tcPr>
            <w:tcW w:w="12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2,807.9</w:t>
            </w:r>
          </w:p>
        </w:tc>
      </w:tr>
      <w:tr>
        <w:trPr>
          <w:trHeight w:val="236"/>
        </w:trPr>
        <w:tc>
          <w:tcPr>
            <w:tcW w:w="4240" w:type="dxa"/>
            <w:vAlign w:val="bottom"/>
          </w:tcPr>
          <w:p>
            <w:pPr>
              <w:ind w:left="180"/>
              <w:spacing w:after="0" w:line="235" w:lineRule="exact"/>
              <w:rPr>
                <w:sz w:val="20"/>
                <w:szCs w:val="20"/>
                <w:color w:val="auto"/>
              </w:rPr>
            </w:pPr>
            <w:r>
              <w:rPr>
                <w:rFonts w:ascii="Times New Roman" w:cs="Times New Roman" w:eastAsia="Times New Roman" w:hAnsi="Times New Roman"/>
                <w:sz w:val="20"/>
                <w:szCs w:val="20"/>
                <w:color w:val="231F20"/>
              </w:rPr>
              <w:t>Total by geography</w:t>
            </w:r>
            <w:r>
              <w:rPr>
                <w:rFonts w:ascii="Times New Roman" w:cs="Times New Roman" w:eastAsia="Times New Roman" w:hAnsi="Times New Roman"/>
                <w:sz w:val="25"/>
                <w:szCs w:val="25"/>
                <w:color w:val="231F20"/>
                <w:vertAlign w:val="superscript"/>
              </w:rPr>
              <w:t>(2)</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23,510.9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21,818.8</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22,385.2</w:t>
            </w:r>
          </w:p>
        </w:tc>
      </w:tr>
      <w:tr>
        <w:trPr>
          <w:trHeight w:val="20"/>
        </w:trPr>
        <w:tc>
          <w:tcPr>
            <w:tcW w:w="424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-793750</wp:posOffset>
            </wp:positionV>
            <wp:extent cx="3324860"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3">
                      <a:extLst>
                        <a:ext uri="{28A0092B-C50C-407E-A947-70E740481C1C}"/>
                      </a:extLst>
                    </a:blip>
                    <a:srcRect/>
                    <a:stretch>
                      <a:fillRect/>
                    </a:stretch>
                  </pic:blipFill>
                  <pic:spPr bwMode="auto">
                    <a:xfrm>
                      <a:off x="0" y="0"/>
                      <a:ext cx="3324860" cy="50165"/>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-231140</wp:posOffset>
            </wp:positionV>
            <wp:extent cx="2239645"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4">
                      <a:extLst>
                        <a:ext uri="{28A0092B-C50C-407E-A947-70E740481C1C}"/>
                      </a:extLst>
                    </a:blip>
                    <a:srcRect/>
                    <a:stretch>
                      <a:fillRect/>
                    </a:stretch>
                  </pic:blipFill>
                  <pic:spPr bwMode="auto">
                    <a:xfrm>
                      <a:off x="0" y="0"/>
                      <a:ext cx="2239645" cy="50165"/>
                    </a:xfrm>
                    <a:prstGeom prst="rect">
                      <a:avLst/>
                    </a:prstGeom>
                    <a:noFill/>
                  </pic:spPr>
                </pic:pic>
              </a:graphicData>
            </a:graphic>
          </wp:anchor>
        </w:drawing>
      </w:r>
    </w:p>
    <w:p>
      <w:pPr>
        <w:spacing w:after="0" w:line="80" w:lineRule="exact"/>
        <w:rPr>
          <w:sz w:val="20"/>
          <w:szCs w:val="20"/>
          <w:color w:val="auto"/>
        </w:rPr>
      </w:pPr>
    </w:p>
    <w:p>
      <w:pPr>
        <w:ind w:left="540" w:hanging="267"/>
        <w:spacing w:after="0"/>
        <w:tabs>
          <w:tab w:leader="none" w:pos="540" w:val="left"/>
        </w:tabs>
        <w:numPr>
          <w:ilvl w:val="0"/>
          <w:numId w:val="23"/>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No individual country’s net sales are greater than 10% of total net sales.</w:t>
      </w:r>
    </w:p>
    <w:p>
      <w:pPr>
        <w:spacing w:after="0" w:line="59" w:lineRule="exact"/>
        <w:rPr>
          <w:rFonts w:ascii="Times New Roman" w:cs="Times New Roman" w:eastAsia="Times New Roman" w:hAnsi="Times New Roman"/>
          <w:sz w:val="23"/>
          <w:szCs w:val="23"/>
          <w:color w:val="231F20"/>
          <w:vertAlign w:val="superscript"/>
        </w:rPr>
      </w:pPr>
    </w:p>
    <w:p>
      <w:pPr>
        <w:ind w:left="540" w:hanging="267"/>
        <w:spacing w:after="0" w:line="192" w:lineRule="auto"/>
        <w:tabs>
          <w:tab w:leader="none" w:pos="540" w:val="left"/>
        </w:tabs>
        <w:numPr>
          <w:ilvl w:val="0"/>
          <w:numId w:val="23"/>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Wesco attributes revenues from external customers to individual countries on the basis of point of sale.</w:t>
      </w:r>
    </w:p>
    <w:p>
      <w:pPr>
        <w:spacing w:after="0" w:line="93"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Revenue associated with these arrangements is generally recognized within a year or less from the date of the advance billing or payment receipt. At December 31, 2025 and 2024, $151.4 million and $141.8 million, respectively, of deferred revenue was recorded as a component of other current liabilities in the Consolidated Balance Sheets. The Company recognized $102.0 million, $76.9 million and $74.0 million of revenue during the years ended December 31, 2025, 2024 and 2023 respectively, that was included in the deferred revenue balances of $141.8 million, $111.9 million and $99.6 million as of December 31, 2024, 2023 and 2022 respectively.</w:t>
      </w:r>
    </w:p>
    <w:p>
      <w:pPr>
        <w:spacing w:after="0" w:line="90"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for the years ended December 31, 2025, 2024 and 2023 by approximately $452.4 million, $436.2 million and $427.8 million, respectively. As of December 31, 2025 and 2024, the Company’s estimated product return obligation was $33.7 million and $41.0 million, respectively.</w:t>
      </w:r>
    </w:p>
    <w:p>
      <w:pPr>
        <w:spacing w:after="0" w:line="8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Billings to customers for shipping and handling are recognized in net sales. Wesco has elected to recognize shipping and handling costs as a fulfillment cost. Shipping and handling costs recorded as a component of selling, general and administrative expenses totaled $335.4 million, $303.3 million and $306.8 million for the years ended December 31, 2025,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FAIR VALUE OF FINANCIAL INSTRUMENTS</w:t>
      </w:r>
    </w:p>
    <w:p>
      <w:pPr>
        <w:spacing w:after="0" w:line="132" w:lineRule="exact"/>
        <w:rPr>
          <w:sz w:val="20"/>
          <w:szCs w:val="20"/>
          <w:color w:val="auto"/>
        </w:rPr>
      </w:pPr>
    </w:p>
    <w:p>
      <w:pPr>
        <w:jc w:val="both"/>
        <w:ind w:firstLine="266"/>
        <w:spacing w:after="0" w:line="274" w:lineRule="auto"/>
        <w:rPr>
          <w:sz w:val="20"/>
          <w:szCs w:val="20"/>
          <w:color w:val="auto"/>
        </w:rPr>
      </w:pPr>
      <w:r>
        <w:rPr>
          <w:rFonts w:ascii="Times New Roman" w:cs="Times New Roman" w:eastAsia="Times New Roman" w:hAnsi="Times New Roman"/>
          <w:sz w:val="19"/>
          <w:szCs w:val="19"/>
          <w:color w:val="231F20"/>
        </w:rPr>
        <w:t>The Company’s financial instruments primarily consist of cash and cash equivalents, accounts receivable, accounts payable, bank overdrafts, outstanding indebtedness, foreign currency forward contracts, and benefit plan assets. The fair value of the Company’s benefit plan assets is disclosed in Note 13, “Employee Benefit Plans” and except for outstanding indebtedness and foreign currency forward contracts, the carrying value of the Company’s other financial instruments approximates fair value.</w:t>
      </w:r>
    </w:p>
    <w:p>
      <w:pPr>
        <w:spacing w:after="0" w:line="66"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carrying value of Wesco’s debt instruments with fixed interest rates was $3,871.9 million and $3,074.9 million as of December 31, 2025 and 2024, respectively. The estimated fair value of this debt was $4,004.2 million and $3,127.3 million as of December 31, 2025 and 2024, respectively. The reported carrying values of Wesco’s other debt instruments, including those with variable interest rates, approximated their fair values as of December 31, 2025 and 2024.</w:t>
      </w:r>
    </w:p>
    <w:p>
      <w:pPr>
        <w:spacing w:after="0" w:line="83" w:lineRule="exact"/>
        <w:rPr>
          <w:sz w:val="20"/>
          <w:szCs w:val="20"/>
          <w:color w:val="auto"/>
        </w:rPr>
      </w:pPr>
    </w:p>
    <w:p>
      <w:pPr>
        <w:jc w:val="both"/>
        <w:ind w:firstLine="266"/>
        <w:spacing w:after="0" w:line="273" w:lineRule="auto"/>
        <w:rPr>
          <w:sz w:val="20"/>
          <w:szCs w:val="20"/>
          <w:color w:val="auto"/>
        </w:rPr>
      </w:pPr>
      <w:r>
        <w:rPr>
          <w:rFonts w:ascii="Times New Roman" w:cs="Times New Roman" w:eastAsia="Times New Roman" w:hAnsi="Times New Roman"/>
          <w:sz w:val="19"/>
          <w:szCs w:val="19"/>
          <w:color w:val="231F20"/>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120"/>
          </w:cols>
          <w:pgMar w:left="880" w:top="285" w:right="88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231F20"/>
        </w:rPr>
        <w:t>currency forward contracts have investment-grade credit ratings. The Company regularly monitors the creditworthiness of its counterparties as a risk mitigation effort to protect the value of its derivatives.</w:t>
      </w:r>
    </w:p>
    <w:p>
      <w:pPr>
        <w:spacing w:after="0" w:line="64" w:lineRule="exact"/>
        <w:rPr>
          <w:sz w:val="20"/>
          <w:szCs w:val="20"/>
          <w:color w:val="auto"/>
        </w:rPr>
      </w:pPr>
    </w:p>
    <w:p>
      <w:pPr>
        <w:jc w:val="both"/>
        <w:ind w:firstLine="266"/>
        <w:spacing w:after="0" w:line="263" w:lineRule="auto"/>
        <w:rPr>
          <w:sz w:val="20"/>
          <w:szCs w:val="20"/>
          <w:color w:val="auto"/>
        </w:rPr>
      </w:pPr>
      <w:r>
        <w:rPr>
          <w:rFonts w:ascii="Times New Roman" w:cs="Times New Roman" w:eastAsia="Times New Roman" w:hAnsi="Times New Roman"/>
          <w:sz w:val="19"/>
          <w:szCs w:val="19"/>
          <w:color w:val="231F20"/>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December 31, 2025 and 2024, foreign currency forward contracts were revalued at then-current foreign exchange rates with the changes in valuation reflected directly in other non-operating expense (income) in the Consolidated Statements of Income and Comprehensive Income offsetting the transaction gain (loss) recorded on foreign currency-denominated accounts. At December 31, 2025 and 2024, the gross and net notional amounts of foreign currency forward contracts outstanding were approximately $286.3 million and $345.7 million, respectively. While all of the Company’s foreign currency forward contracts are subject to master netting arrangements with its counterparties, assets and liabilities related to these contracts are presented on a gross basis within the Consolidated Balance Sheets. The gross fair value of assets and liabilities related to foreign currency forward contracts were immaterial.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ACQUISITIONS AND DIVESTITURES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Industrial Software Solutions</w:t>
      </w:r>
    </w:p>
    <w:p>
      <w:pPr>
        <w:spacing w:after="0" w:line="128" w:lineRule="exact"/>
        <w:rPr>
          <w:sz w:val="20"/>
          <w:szCs w:val="20"/>
          <w:color w:val="auto"/>
        </w:rPr>
      </w:pPr>
    </w:p>
    <w:p>
      <w:pPr>
        <w:jc w:val="both"/>
        <w:ind w:firstLine="266"/>
        <w:spacing w:after="0" w:line="270" w:lineRule="auto"/>
        <w:rPr>
          <w:sz w:val="20"/>
          <w:szCs w:val="20"/>
          <w:color w:val="auto"/>
        </w:rPr>
      </w:pPr>
      <w:r>
        <w:rPr>
          <w:rFonts w:ascii="Times New Roman" w:cs="Times New Roman" w:eastAsia="Times New Roman" w:hAnsi="Times New Roman"/>
          <w:sz w:val="19"/>
          <w:szCs w:val="19"/>
          <w:color w:val="231F20"/>
        </w:rPr>
        <w:t>On January 2, 2025, the Company acquired 100% of the equity securities of Industrial Software Solutions I, Inc. and Industrial Software Solutions ULC (collectively, “ISS”), an industrial automation consulting company, software distributor, and AVEVA Select Partner, for total cash consideration of $36.3 million, net of cash acquired. The assets acquired primarily included distribution agreement and customer relationship intangible assets, with fair values of $10.6 million and $5.0 million, respectively, with the excess of $20.1 million primarily allocated to goodwill in the Company’s EES reportable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Ascent, LLC</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On December 5, 2024, through its wholly-owned subsidiary Anixter Inc., the Company acquired 100% of the equity securities of Ascent, LLC (“Ascent”). Headquartered in St. Louis, Missouri, Ascent is a provider of data center facility management services with more than 300 employees in the U.S. and Canada. Ascent’s expertise in engineering and design-build consultation services, in addition to daily site operations and critical facility intelligence software, extends the Company’s suite of capabilities and solutions that serve the entire lifecycle of the data center. The Company funded the purchase price paid at closing with cash on hand as well as borrowings under its revolving credit facility.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total fair value of consideration transferred for the acquisition of Ascent consisted of the following:</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288"/>
        </w:trPr>
        <w:tc>
          <w:tcPr>
            <w:tcW w:w="48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Purchase price</w:t>
            </w:r>
          </w:p>
        </w:tc>
        <w:tc>
          <w:tcPr>
            <w:tcW w:w="340" w:type="dxa"/>
            <w:vAlign w:val="bottom"/>
            <w:shd w:val="clear" w:color="auto" w:fill="CFEBF4"/>
          </w:tcPr>
          <w:p>
            <w:pPr>
              <w:jc w:val="right"/>
              <w:ind w:right="81"/>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185.0</w:t>
            </w:r>
          </w:p>
        </w:tc>
      </w:tr>
      <w:tr>
        <w:trPr>
          <w:trHeight w:val="271"/>
        </w:trPr>
        <w:tc>
          <w:tcPr>
            <w:tcW w:w="48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Adjustments to purchase price</w:t>
            </w:r>
          </w:p>
        </w:tc>
        <w:tc>
          <w:tcPr>
            <w:tcW w:w="340" w:type="dxa"/>
            <w:vAlign w:val="bottom"/>
            <w:tcBorders>
              <w:bottom w:val="single" w:sz="8" w:color="231F20"/>
            </w:tcBorders>
          </w:tcPr>
          <w:p>
            <w:pPr>
              <w:spacing w:after="0"/>
              <w:rPr>
                <w:sz w:val="23"/>
                <w:szCs w:val="23"/>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271"/>
        </w:trPr>
        <w:tc>
          <w:tcPr>
            <w:tcW w:w="48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Total cash consideration</w:t>
            </w:r>
          </w:p>
        </w:tc>
        <w:tc>
          <w:tcPr>
            <w:tcW w:w="340" w:type="dxa"/>
            <w:vAlign w:val="bottom"/>
            <w:shd w:val="clear" w:color="auto" w:fill="CFEBF4"/>
          </w:tcPr>
          <w:p>
            <w:pPr>
              <w:spacing w:after="0"/>
              <w:rPr>
                <w:sz w:val="23"/>
                <w:szCs w:val="23"/>
                <w:color w:val="auto"/>
              </w:rPr>
            </w:pPr>
          </w:p>
        </w:tc>
        <w:tc>
          <w:tcPr>
            <w:tcW w:w="14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181.5</w:t>
            </w:r>
          </w:p>
        </w:tc>
      </w:tr>
      <w:tr>
        <w:trPr>
          <w:trHeight w:val="271"/>
        </w:trPr>
        <w:tc>
          <w:tcPr>
            <w:tcW w:w="48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Seller expenses paid by Wesco</w:t>
            </w:r>
          </w:p>
        </w:tc>
        <w:tc>
          <w:tcPr>
            <w:tcW w:w="340" w:type="dxa"/>
            <w:vAlign w:val="bottom"/>
            <w:tcBorders>
              <w:bottom w:val="single" w:sz="8" w:color="231F20"/>
            </w:tcBorders>
          </w:tcPr>
          <w:p>
            <w:pPr>
              <w:spacing w:after="0"/>
              <w:rPr>
                <w:sz w:val="23"/>
                <w:szCs w:val="23"/>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w:t>
            </w:r>
          </w:p>
        </w:tc>
      </w:tr>
      <w:tr>
        <w:trPr>
          <w:trHeight w:val="280"/>
        </w:trPr>
        <w:tc>
          <w:tcPr>
            <w:tcW w:w="4860" w:type="dxa"/>
            <w:vAlign w:val="bottom"/>
            <w:tcBorders>
              <w:bottom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Total purchase consideration</w:t>
            </w:r>
          </w:p>
        </w:tc>
        <w:tc>
          <w:tcPr>
            <w:tcW w:w="340" w:type="dxa"/>
            <w:vAlign w:val="bottom"/>
            <w:tcBorders>
              <w:bottom w:val="single" w:sz="8" w:color="231F20"/>
            </w:tcBorders>
            <w:shd w:val="clear" w:color="auto" w:fill="CFEBF4"/>
          </w:tcPr>
          <w:p>
            <w:pPr>
              <w:jc w:val="right"/>
              <w:ind w:right="81"/>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186.6</w:t>
            </w:r>
          </w:p>
        </w:tc>
      </w:tr>
      <w:tr>
        <w:trPr>
          <w:trHeight w:val="245"/>
        </w:trPr>
        <w:tc>
          <w:tcPr>
            <w:tcW w:w="48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Supplemental cash flow disclosure related to acquisitions: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7"/>
        </w:trPr>
        <w:tc>
          <w:tcPr>
            <w:tcW w:w="486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Cash paid for acquisition</w:t>
            </w:r>
          </w:p>
        </w:tc>
        <w:tc>
          <w:tcPr>
            <w:tcW w:w="340" w:type="dxa"/>
            <w:vAlign w:val="bottom"/>
            <w:shd w:val="clear" w:color="auto" w:fill="CFEBF4"/>
          </w:tcPr>
          <w:p>
            <w:pPr>
              <w:jc w:val="right"/>
              <w:ind w:right="81"/>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186.6</w:t>
            </w:r>
          </w:p>
        </w:tc>
      </w:tr>
      <w:tr>
        <w:trPr>
          <w:trHeight w:val="271"/>
        </w:trPr>
        <w:tc>
          <w:tcPr>
            <w:tcW w:w="4860" w:type="dxa"/>
            <w:vAlign w:val="bottom"/>
            <w:tcBorders>
              <w:bottom w:val="single" w:sz="8" w:color="CFEBF4"/>
            </w:tcBorders>
          </w:tcPr>
          <w:p>
            <w:pPr>
              <w:ind w:left="180"/>
              <w:spacing w:after="0"/>
              <w:rPr>
                <w:sz w:val="20"/>
                <w:szCs w:val="20"/>
                <w:color w:val="auto"/>
              </w:rPr>
            </w:pPr>
            <w:r>
              <w:rPr>
                <w:rFonts w:ascii="Times New Roman" w:cs="Times New Roman" w:eastAsia="Times New Roman" w:hAnsi="Times New Roman"/>
                <w:sz w:val="20"/>
                <w:szCs w:val="20"/>
                <w:color w:val="231F20"/>
              </w:rPr>
              <w:t>Less: Cash acquired</w:t>
            </w:r>
          </w:p>
        </w:tc>
        <w:tc>
          <w:tcPr>
            <w:tcW w:w="340" w:type="dxa"/>
            <w:vAlign w:val="bottom"/>
            <w:tcBorders>
              <w:bottom w:val="single" w:sz="8" w:color="231F20"/>
            </w:tcBorders>
          </w:tcPr>
          <w:p>
            <w:pPr>
              <w:spacing w:after="0"/>
              <w:rPr>
                <w:sz w:val="23"/>
                <w:szCs w:val="23"/>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w:t>
            </w:r>
          </w:p>
        </w:tc>
      </w:tr>
      <w:tr>
        <w:trPr>
          <w:trHeight w:val="280"/>
        </w:trPr>
        <w:tc>
          <w:tcPr>
            <w:tcW w:w="4860" w:type="dxa"/>
            <w:vAlign w:val="bottom"/>
            <w:tcBorders>
              <w:bottom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Cash paid for acquisition, net of cash acquired</w:t>
            </w:r>
          </w:p>
        </w:tc>
        <w:tc>
          <w:tcPr>
            <w:tcW w:w="340" w:type="dxa"/>
            <w:vAlign w:val="bottom"/>
            <w:tcBorders>
              <w:bottom w:val="single" w:sz="8" w:color="231F20"/>
            </w:tcBorders>
            <w:shd w:val="clear" w:color="auto" w:fill="CFEBF4"/>
          </w:tcPr>
          <w:p>
            <w:pPr>
              <w:jc w:val="right"/>
              <w:ind w:right="81"/>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179.3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4172585</wp:posOffset>
                </wp:positionH>
                <wp:positionV relativeFrom="paragraph">
                  <wp:posOffset>-1272540</wp:posOffset>
                </wp:positionV>
                <wp:extent cx="12700" cy="127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98" o:spid="_x0000_s1123" style="position:absolute;margin-left:328.55pt;margin-top:-100.1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4172585</wp:posOffset>
                </wp:positionH>
                <wp:positionV relativeFrom="paragraph">
                  <wp:posOffset>-916305</wp:posOffset>
                </wp:positionV>
                <wp:extent cx="12700" cy="1270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99" o:spid="_x0000_s1124" style="position:absolute;margin-left:328.55pt;margin-top:-72.1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5308600</wp:posOffset>
            </wp:positionH>
            <wp:positionV relativeFrom="paragraph">
              <wp:posOffset>-768985</wp:posOffset>
            </wp:positionV>
            <wp:extent cx="50165" cy="74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5">
                      <a:extLst>
                        <a:ext uri="{28A0092B-C50C-407E-A947-70E740481C1C}"/>
                      </a:extLst>
                    </a:blip>
                    <a:srcRect/>
                    <a:stretch>
                      <a:fillRect/>
                    </a:stretch>
                  </pic:blipFill>
                  <pic:spPr bwMode="auto">
                    <a:xfrm>
                      <a:off x="0" y="0"/>
                      <a:ext cx="50165" cy="749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4172585</wp:posOffset>
                </wp:positionH>
                <wp:positionV relativeFrom="paragraph">
                  <wp:posOffset>-750570</wp:posOffset>
                </wp:positionV>
                <wp:extent cx="12700" cy="127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1" o:spid="_x0000_s1126" style="position:absolute;margin-left:328.55pt;margin-top:-59.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4172585</wp:posOffset>
                </wp:positionH>
                <wp:positionV relativeFrom="paragraph">
                  <wp:posOffset>-203200</wp:posOffset>
                </wp:positionV>
                <wp:extent cx="12700" cy="127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2" o:spid="_x0000_s1127" style="position:absolute;margin-left:328.55pt;margin-top:-16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4154170</wp:posOffset>
            </wp:positionH>
            <wp:positionV relativeFrom="paragraph">
              <wp:posOffset>-55880</wp:posOffset>
            </wp:positionV>
            <wp:extent cx="1203960" cy="749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a:extLst>
                        <a:ext uri="{28A0092B-C50C-407E-A947-70E740481C1C}"/>
                      </a:extLst>
                    </a:blip>
                    <a:srcRect/>
                    <a:stretch>
                      <a:fillRect/>
                    </a:stretch>
                  </pic:blipFill>
                  <pic:spPr bwMode="auto">
                    <a:xfrm>
                      <a:off x="0" y="0"/>
                      <a:ext cx="1203960" cy="74930"/>
                    </a:xfrm>
                    <a:prstGeom prst="rect">
                      <a:avLst/>
                    </a:prstGeom>
                    <a:noFill/>
                  </pic:spPr>
                </pic:pic>
              </a:graphicData>
            </a:graphic>
          </wp:anchor>
        </w:drawing>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120"/>
          </w:cols>
          <w:pgMar w:left="880" w:top="285" w:right="880" w:bottom="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purchase consideration was allocated to the identified assets acquired and liabilities assumed based on their respective acquisition date fair value, with the excess allocated to goodwill. The Company identified a customer relationship intangible asset and estimated its fair value using an income valuation method, and a technology know-how intangible asset and estimated its fair value using a cost valuation method. The excess purchase consideration recorded as goodwill is not deductible for income tax purposes, and has been assigned to the Company’s CSS reportable segment. The resulting goodwill is primarily attributable to Ascent’s workforce and expertise in engineering and design-build consultation services.</w:t>
      </w:r>
    </w:p>
    <w:p>
      <w:pPr>
        <w:spacing w:after="0" w:line="8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estimated fair values of assets acquired and liabilities assumed are based on preliminary calculations and valuations using estimates and assumptions at the time of acquisition. During the fourth quarter of 2025, the Company finalized its allocation of the purchase consideration to the respective fair values of assets acquired and liabilities assumed in the acquisition of Ascent. Since the initial measurement of the identified assets acquired and liabilities assumed, the Company has not recorded any material fair value adjustments.</w:t>
      </w:r>
    </w:p>
    <w:p>
      <w:pPr>
        <w:spacing w:after="0" w:line="8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allocation of the purchase consideration to the respective fair values of assets acquired and liabilities assumed for the acquisition of Ascent:</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268"/>
        </w:trPr>
        <w:tc>
          <w:tcPr>
            <w:tcW w:w="5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20" w:type="dxa"/>
            <w:vAlign w:val="bottom"/>
          </w:tcPr>
          <w:p>
            <w:pPr>
              <w:spacing w:after="0"/>
              <w:rPr>
                <w:sz w:val="23"/>
                <w:szCs w:val="23"/>
                <w:color w:val="auto"/>
              </w:rPr>
            </w:pP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301"/>
        </w:trPr>
        <w:tc>
          <w:tcPr>
            <w:tcW w:w="59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7.3</w:t>
            </w:r>
          </w:p>
        </w:tc>
      </w:tr>
      <w:tr>
        <w:trPr>
          <w:trHeight w:val="290"/>
        </w:trPr>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Trade accounts receivable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w:t>
            </w:r>
          </w:p>
        </w:tc>
      </w:tr>
      <w:tr>
        <w:trPr>
          <w:trHeight w:val="301"/>
        </w:trPr>
        <w:tc>
          <w:tcPr>
            <w:tcW w:w="59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Intangible assets</w:t>
            </w:r>
            <w:r>
              <w:rPr>
                <w:rFonts w:ascii="Times New Roman" w:cs="Times New Roman" w:eastAsia="Times New Roman" w:hAnsi="Times New Roman"/>
                <w:sz w:val="25"/>
                <w:szCs w:val="25"/>
                <w:color w:val="231F20"/>
                <w:vertAlign w:val="superscript"/>
              </w:rPr>
              <w:t>(1)</w:t>
            </w:r>
          </w:p>
        </w:tc>
        <w:tc>
          <w:tcPr>
            <w:tcW w:w="220" w:type="dxa"/>
            <w:vAlign w:val="bottom"/>
            <w:shd w:val="clear" w:color="auto" w:fill="CFEBF4"/>
          </w:tcPr>
          <w:p>
            <w:pPr>
              <w:spacing w:after="0"/>
              <w:rPr>
                <w:sz w:val="24"/>
                <w:szCs w:val="24"/>
                <w:color w:val="auto"/>
              </w:rPr>
            </w:pPr>
          </w:p>
        </w:tc>
        <w:tc>
          <w:tcPr>
            <w:tcW w:w="11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58.9</w:t>
            </w:r>
          </w:p>
        </w:tc>
      </w:tr>
      <w:tr>
        <w:trPr>
          <w:trHeight w:val="290"/>
        </w:trPr>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Goodwill</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117.9</w:t>
            </w:r>
          </w:p>
        </w:tc>
      </w:tr>
      <w:tr>
        <w:trPr>
          <w:trHeight w:val="291"/>
        </w:trPr>
        <w:tc>
          <w:tcPr>
            <w:tcW w:w="590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Other current and noncurrent assets</w:t>
            </w:r>
          </w:p>
        </w:tc>
        <w:tc>
          <w:tcPr>
            <w:tcW w:w="220" w:type="dxa"/>
            <w:vAlign w:val="bottom"/>
            <w:tcBorders>
              <w:bottom w:val="single" w:sz="8" w:color="231F20"/>
            </w:tcBorders>
            <w:shd w:val="clear" w:color="auto" w:fill="CFEBF4"/>
          </w:tcPr>
          <w:p>
            <w:pPr>
              <w:spacing w:after="0"/>
              <w:rPr>
                <w:sz w:val="24"/>
                <w:szCs w:val="24"/>
                <w:color w:val="auto"/>
              </w:rPr>
            </w:pPr>
          </w:p>
        </w:tc>
        <w:tc>
          <w:tcPr>
            <w:tcW w:w="11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44.7</w:t>
            </w:r>
          </w:p>
        </w:tc>
      </w:tr>
      <w:tr>
        <w:trPr>
          <w:trHeight w:val="276"/>
        </w:trPr>
        <w:tc>
          <w:tcPr>
            <w:tcW w:w="5900" w:type="dxa"/>
            <w:vAlign w:val="bottom"/>
            <w:tcBorders>
              <w:bottom w:val="single" w:sz="8" w:color="CFEBF4"/>
            </w:tcBorders>
          </w:tcPr>
          <w:p>
            <w:pPr>
              <w:ind w:left="160"/>
              <w:spacing w:after="0"/>
              <w:rPr>
                <w:sz w:val="20"/>
                <w:szCs w:val="20"/>
                <w:color w:val="auto"/>
              </w:rPr>
            </w:pPr>
            <w:r>
              <w:rPr>
                <w:rFonts w:ascii="Times New Roman" w:cs="Times New Roman" w:eastAsia="Times New Roman" w:hAnsi="Times New Roman"/>
                <w:sz w:val="20"/>
                <w:szCs w:val="20"/>
                <w:color w:val="231F20"/>
              </w:rPr>
              <w:t>Total assets</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262.3</w:t>
            </w:r>
          </w:p>
        </w:tc>
      </w:tr>
      <w:tr>
        <w:trPr>
          <w:trHeight w:val="286"/>
        </w:trPr>
        <w:tc>
          <w:tcPr>
            <w:tcW w:w="590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1120" w:type="dxa"/>
            <w:vAlign w:val="bottom"/>
            <w:shd w:val="clear" w:color="auto" w:fill="CFEBF4"/>
          </w:tcPr>
          <w:p>
            <w:pPr>
              <w:spacing w:after="0"/>
              <w:rPr>
                <w:sz w:val="24"/>
                <w:szCs w:val="24"/>
                <w:color w:val="auto"/>
              </w:rPr>
            </w:pPr>
          </w:p>
        </w:tc>
      </w:tr>
      <w:tr>
        <w:trPr>
          <w:trHeight w:val="290"/>
        </w:trPr>
        <w:tc>
          <w:tcPr>
            <w:tcW w:w="5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1"/>
        </w:trPr>
        <w:tc>
          <w:tcPr>
            <w:tcW w:w="59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Accounts payable</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20.9</w:t>
            </w:r>
          </w:p>
        </w:tc>
      </w:tr>
      <w:tr>
        <w:trPr>
          <w:trHeight w:val="290"/>
        </w:trPr>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Accrued payroll and benefit costs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r>
      <w:tr>
        <w:trPr>
          <w:trHeight w:val="291"/>
        </w:trPr>
        <w:tc>
          <w:tcPr>
            <w:tcW w:w="590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Other current and noncurrent liabilities</w:t>
            </w:r>
          </w:p>
        </w:tc>
        <w:tc>
          <w:tcPr>
            <w:tcW w:w="220" w:type="dxa"/>
            <w:vAlign w:val="bottom"/>
            <w:tcBorders>
              <w:bottom w:val="single" w:sz="8" w:color="231F20"/>
            </w:tcBorders>
            <w:shd w:val="clear" w:color="auto" w:fill="CFEBF4"/>
          </w:tcPr>
          <w:p>
            <w:pPr>
              <w:spacing w:after="0"/>
              <w:rPr>
                <w:sz w:val="24"/>
                <w:szCs w:val="24"/>
                <w:color w:val="auto"/>
              </w:rPr>
            </w:pPr>
          </w:p>
        </w:tc>
        <w:tc>
          <w:tcPr>
            <w:tcW w:w="11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46.9</w:t>
            </w:r>
          </w:p>
        </w:tc>
      </w:tr>
      <w:tr>
        <w:trPr>
          <w:trHeight w:val="275"/>
        </w:trPr>
        <w:tc>
          <w:tcPr>
            <w:tcW w:w="5900" w:type="dxa"/>
            <w:vAlign w:val="bottom"/>
            <w:tcBorders>
              <w:bottom w:val="single" w:sz="8" w:color="CFEBF4"/>
            </w:tcBorders>
          </w:tcPr>
          <w:p>
            <w:pPr>
              <w:ind w:left="160"/>
              <w:spacing w:after="0"/>
              <w:rPr>
                <w:sz w:val="20"/>
                <w:szCs w:val="20"/>
                <w:color w:val="auto"/>
              </w:rPr>
            </w:pPr>
            <w:r>
              <w:rPr>
                <w:rFonts w:ascii="Times New Roman" w:cs="Times New Roman" w:eastAsia="Times New Roman" w:hAnsi="Times New Roman"/>
                <w:sz w:val="20"/>
                <w:szCs w:val="20"/>
                <w:color w:val="231F20"/>
              </w:rPr>
              <w:t>Total liabilities</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75.7</w:t>
            </w:r>
          </w:p>
        </w:tc>
      </w:tr>
      <w:tr>
        <w:trPr>
          <w:trHeight w:val="276"/>
        </w:trPr>
        <w:tc>
          <w:tcPr>
            <w:tcW w:w="5900" w:type="dxa"/>
            <w:vAlign w:val="bottom"/>
            <w:tcBorders>
              <w:bottom w:val="single" w:sz="8" w:color="CFEBF4"/>
            </w:tcBorders>
            <w:shd w:val="clear" w:color="auto" w:fill="CFEBF4"/>
          </w:tcPr>
          <w:p>
            <w:pPr>
              <w:spacing w:after="0"/>
              <w:rPr>
                <w:sz w:val="23"/>
                <w:szCs w:val="23"/>
                <w:color w:val="auto"/>
              </w:rPr>
            </w:pPr>
          </w:p>
        </w:tc>
        <w:tc>
          <w:tcPr>
            <w:tcW w:w="220" w:type="dxa"/>
            <w:vAlign w:val="bottom"/>
            <w:tcBorders>
              <w:bottom w:val="single" w:sz="8" w:color="231F20"/>
            </w:tcBorders>
            <w:shd w:val="clear" w:color="auto" w:fill="CFEBF4"/>
          </w:tcPr>
          <w:p>
            <w:pPr>
              <w:spacing w:after="0"/>
              <w:rPr>
                <w:sz w:val="23"/>
                <w:szCs w:val="23"/>
                <w:color w:val="auto"/>
              </w:rPr>
            </w:pPr>
          </w:p>
        </w:tc>
        <w:tc>
          <w:tcPr>
            <w:tcW w:w="1120" w:type="dxa"/>
            <w:vAlign w:val="bottom"/>
            <w:tcBorders>
              <w:bottom w:val="single" w:sz="8" w:color="231F20"/>
            </w:tcBorders>
            <w:shd w:val="clear" w:color="auto" w:fill="CFEBF4"/>
          </w:tcPr>
          <w:p>
            <w:pPr>
              <w:spacing w:after="0"/>
              <w:rPr>
                <w:sz w:val="23"/>
                <w:szCs w:val="23"/>
                <w:color w:val="auto"/>
              </w:rPr>
            </w:pPr>
          </w:p>
        </w:tc>
      </w:tr>
      <w:tr>
        <w:trPr>
          <w:trHeight w:val="256"/>
        </w:trPr>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Fair value of net assets acquired, including goodwill and intangible asset</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186.6</w:t>
            </w: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4655820</wp:posOffset>
                </wp:positionH>
                <wp:positionV relativeFrom="paragraph">
                  <wp:posOffset>-1713865</wp:posOffset>
                </wp:positionV>
                <wp:extent cx="12700"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4" o:spid="_x0000_s1129" style="position:absolute;margin-left:366.6pt;margin-top:-134.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4655820</wp:posOffset>
                </wp:positionH>
                <wp:positionV relativeFrom="paragraph">
                  <wp:posOffset>-1525905</wp:posOffset>
                </wp:positionV>
                <wp:extent cx="12700" cy="127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5" o:spid="_x0000_s1130" style="position:absolute;margin-left:366.6pt;margin-top:-120.1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4655820</wp:posOffset>
                </wp:positionH>
                <wp:positionV relativeFrom="paragraph">
                  <wp:posOffset>-588010</wp:posOffset>
                </wp:positionV>
                <wp:extent cx="12700" cy="127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6" o:spid="_x0000_s1131" style="position:absolute;margin-left:366.6pt;margin-top:-46.2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4655820</wp:posOffset>
                </wp:positionH>
                <wp:positionV relativeFrom="paragraph">
                  <wp:posOffset>-588010</wp:posOffset>
                </wp:positionV>
                <wp:extent cx="12700" cy="1333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FFFFFF"/>
                        </a:solidFill>
                      </wps:spPr>
                      <wps:bodyPr/>
                    </wps:wsp>
                  </a:graphicData>
                </a:graphic>
              </wp:anchor>
            </w:drawing>
          </mc:Choice>
          <mc:Fallback>
            <w:pict>
              <v:rect id="Shape 107" o:spid="_x0000_s1132" style="position:absolute;margin-left:366.6pt;margin-top:-46.2999pt;width: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4655820</wp:posOffset>
                </wp:positionH>
                <wp:positionV relativeFrom="paragraph">
                  <wp:posOffset>-400050</wp:posOffset>
                </wp:positionV>
                <wp:extent cx="12700" cy="127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8" o:spid="_x0000_s1133" style="position:absolute;margin-left:366.6pt;margin-top:-31.4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4655820</wp:posOffset>
                </wp:positionH>
                <wp:positionV relativeFrom="paragraph">
                  <wp:posOffset>-212725</wp:posOffset>
                </wp:positionV>
                <wp:extent cx="12700" cy="12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109" o:spid="_x0000_s1134" style="position:absolute;margin-left:366.6pt;margin-top:-16.7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spacing w:after="0" w:line="53" w:lineRule="exact"/>
        <w:rPr>
          <w:sz w:val="20"/>
          <w:szCs w:val="20"/>
          <w:color w:val="auto"/>
        </w:rPr>
      </w:pPr>
    </w:p>
    <w:p>
      <w:pPr>
        <w:ind w:left="280" w:hanging="273"/>
        <w:spacing w:after="0" w:line="226" w:lineRule="auto"/>
        <w:tabs>
          <w:tab w:leader="none" w:pos="280" w:val="left"/>
        </w:tabs>
        <w:numPr>
          <w:ilvl w:val="0"/>
          <w:numId w:val="24"/>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Consists of a customer relationship intangible asset and a technology know-how intangible asset with estimated useful lives of 15 years and 5 years,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Independent Electric Supply Inc.</w:t>
      </w:r>
    </w:p>
    <w:p>
      <w:pPr>
        <w:spacing w:after="0" w:line="12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Effective July 1, 2024, the Company acquired 100% of the equity securities of Independent Electric Supply Inc. (“IES”), a full-line electrical distributor headquartered in Ontario, Canada for $13.2 million, net of cash acquired.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entroCIM</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On June 3, 2024, the Company acquired the assets and liabilities held by Warez, LLC and Hepta Systems, LLC, which owned and operated the entroCIM business (collectively, “entroCIM”). entroCIM is an innovator in data center and building intelligence software. The total fair value of consideration for the acquisition of entroCIM of $36.5 million includes total cash consideration of $30.1 million, net of cash acquired, and contingent consideration not to exceed $8.0 million. The purchase consideration was allocated to a developed software intangible asset, with the excess of $29.0 million allocated to goodwill in the Company’s CSS reportable segment.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Wesco Integrated Supply Divestiture</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On April 1, 2024, the Company completed the sale of its WIS business for total consideration of $354.9 million, which was adjusted for net working capital, closing cash, and closing indebtedness. The WIS business, located primarily in the U.S. and Canada, was part of the UBS reportable segment and provided products and services to large industrial and commercial end-users to support their maintenance, repair, and operating spend. The Company recognized a gain from the sale of $122.2 million, which was recorded as a component of other (income) expense, net in the Consolidated Statement of Income and Comprehensive Income for the year ended December 31, 2024.</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120"/>
          </w:cols>
          <w:pgMar w:left="880" w:top="285" w:right="88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6. GOODWILL AND INTANGIBLE ASSETS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231F20"/>
        </w:rPr>
        <w:t>The following table sets forth the changes in the carrying value of goodwill by reportable segment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gridSpan w:val="3"/>
          </w:tcPr>
          <w:p>
            <w:pPr>
              <w:jc w:val="center"/>
              <w:ind w:right="286"/>
              <w:spacing w:after="0"/>
              <w:rPr>
                <w:sz w:val="20"/>
                <w:szCs w:val="20"/>
                <w:color w:val="auto"/>
              </w:rPr>
            </w:pPr>
            <w:r>
              <w:rPr>
                <w:rFonts w:ascii="Times New Roman" w:cs="Times New Roman" w:eastAsia="Times New Roman" w:hAnsi="Times New Roman"/>
                <w:sz w:val="18"/>
                <w:szCs w:val="18"/>
                <w:b w:val="1"/>
                <w:bCs w:val="1"/>
                <w:color w:val="231F20"/>
                <w:w w:val="99"/>
              </w:rPr>
              <w:t>EES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231F20"/>
              </w:rPr>
              <w:t>CSS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231F20"/>
                <w:w w:val="96"/>
              </w:rPr>
              <w:t>UBS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5"/>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Borders>
              <w:top w:val="single" w:sz="8" w:color="231F20"/>
            </w:tcBorders>
          </w:tcPr>
          <w:p>
            <w:pPr>
              <w:spacing w:after="0"/>
              <w:rPr>
                <w:sz w:val="20"/>
                <w:szCs w:val="20"/>
                <w:color w:val="auto"/>
              </w:rPr>
            </w:pPr>
          </w:p>
        </w:tc>
        <w:tc>
          <w:tcPr>
            <w:tcW w:w="80" w:type="dxa"/>
            <w:vAlign w:val="bottom"/>
            <w:tcBorders>
              <w:top w:val="single" w:sz="8" w:color="231F20"/>
            </w:tcBorders>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500" w:type="dxa"/>
            <w:vAlign w:val="bottom"/>
            <w:tcBorders>
              <w:top w:val="single" w:sz="8" w:color="231F20"/>
            </w:tcBorders>
          </w:tcPr>
          <w:p>
            <w:pPr>
              <w:spacing w:after="0"/>
              <w:rPr>
                <w:sz w:val="20"/>
                <w:szCs w:val="20"/>
                <w:color w:val="auto"/>
              </w:rPr>
            </w:pPr>
          </w:p>
        </w:tc>
        <w:tc>
          <w:tcPr>
            <w:tcW w:w="4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231F20"/>
            </w:tcBorders>
          </w:tcPr>
          <w:p>
            <w:pPr>
              <w:spacing w:after="0"/>
              <w:rPr>
                <w:sz w:val="20"/>
                <w:szCs w:val="20"/>
                <w:color w:val="auto"/>
              </w:rPr>
            </w:pPr>
          </w:p>
        </w:tc>
        <w:tc>
          <w:tcPr>
            <w:tcW w:w="80" w:type="dxa"/>
            <w:vAlign w:val="bottom"/>
            <w:tcBorders>
              <w:top w:val="single" w:sz="8" w:color="231F20"/>
            </w:tcBorders>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80" w:type="dxa"/>
            <w:vAlign w:val="bottom"/>
            <w:tcBorders>
              <w:top w:val="single" w:sz="8" w:color="231F20"/>
            </w:tcBorders>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231F20"/>
            </w:tcBorders>
          </w:tcPr>
          <w:p>
            <w:pPr>
              <w:spacing w:after="0"/>
              <w:rPr>
                <w:sz w:val="20"/>
                <w:szCs w:val="20"/>
                <w:color w:val="auto"/>
              </w:rPr>
            </w:pPr>
          </w:p>
        </w:tc>
        <w:tc>
          <w:tcPr>
            <w:tcW w:w="80" w:type="dxa"/>
            <w:vAlign w:val="bottom"/>
            <w:tcBorders>
              <w:top w:val="single" w:sz="8" w:color="231F20"/>
            </w:tcBorders>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900" w:type="dxa"/>
            <w:vAlign w:val="bottom"/>
            <w:tcBorders>
              <w:top w:val="single" w:sz="8" w:color="231F20"/>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300" w:type="dxa"/>
            <w:vAlign w:val="bottom"/>
            <w:gridSpan w:val="3"/>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Balance as of December 31, 2023</w:t>
            </w:r>
          </w:p>
        </w:tc>
        <w:tc>
          <w:tcPr>
            <w:tcW w:w="86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780" w:type="dxa"/>
            <w:vAlign w:val="bottom"/>
            <w:gridSpan w:val="2"/>
            <w:shd w:val="clear" w:color="auto" w:fill="CFEBF4"/>
          </w:tcPr>
          <w:p>
            <w:pPr>
              <w:jc w:val="right"/>
              <w:ind w:right="161"/>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7"/>
              </w:rPr>
              <w:t>838.1</w:t>
            </w:r>
          </w:p>
        </w:tc>
        <w:tc>
          <w:tcPr>
            <w:tcW w:w="420" w:type="dxa"/>
            <w:vAlign w:val="bottom"/>
            <w:gridSpan w:val="3"/>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6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6"/>
              </w:rPr>
              <w:t>1,211.6</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1,212.6</w:t>
            </w:r>
          </w:p>
        </w:tc>
        <w:tc>
          <w:tcPr>
            <w:tcW w:w="8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80" w:type="dxa"/>
            <w:vAlign w:val="bottom"/>
            <w:gridSpan w:val="2"/>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w w:val="99"/>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3,262.3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231F20"/>
              </w:rPr>
              <w:t>Adjustments to goodwill for acquisitions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3300" w:type="dxa"/>
            <w:vAlign w:val="bottom"/>
            <w:gridSpan w:val="3"/>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w w:val="98"/>
              </w:rPr>
              <w:t>Adjustments to goodwill for divestiture</w:t>
            </w:r>
          </w:p>
        </w:tc>
        <w:tc>
          <w:tcPr>
            <w:tcW w:w="86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360" w:type="dxa"/>
            <w:vAlign w:val="bottom"/>
            <w:shd w:val="clear" w:color="auto" w:fill="CFEBF4"/>
          </w:tcPr>
          <w:p>
            <w:pPr>
              <w:spacing w:after="0"/>
              <w:rPr>
                <w:sz w:val="24"/>
                <w:szCs w:val="24"/>
                <w:color w:val="auto"/>
              </w:rPr>
            </w:pPr>
          </w:p>
        </w:tc>
        <w:tc>
          <w:tcPr>
            <w:tcW w:w="42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76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(58.1)</w:t>
            </w:r>
          </w:p>
        </w:tc>
        <w:tc>
          <w:tcPr>
            <w:tcW w:w="8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60" w:type="dxa"/>
            <w:vAlign w:val="bottom"/>
            <w:tcBorders>
              <w:bottom w:val="single" w:sz="8" w:color="CFEBF4"/>
            </w:tcBorders>
            <w:gridSpan w:val="4"/>
          </w:tcPr>
          <w:p>
            <w:pPr>
              <w:ind w:left="180"/>
              <w:spacing w:after="0"/>
              <w:rPr>
                <w:sz w:val="20"/>
                <w:szCs w:val="20"/>
                <w:color w:val="auto"/>
              </w:rPr>
            </w:pPr>
            <w:r>
              <w:rPr>
                <w:rFonts w:ascii="Times New Roman" w:cs="Times New Roman" w:eastAsia="Times New Roman" w:hAnsi="Times New Roman"/>
                <w:sz w:val="20"/>
                <w:szCs w:val="20"/>
                <w:color w:val="231F20"/>
              </w:rPr>
              <w:t>Foreign currency exchange rate changes</w:t>
            </w:r>
          </w:p>
        </w:tc>
        <w:tc>
          <w:tcPr>
            <w:tcW w:w="60" w:type="dxa"/>
            <w:vAlign w:val="bottom"/>
            <w:tcBorders>
              <w:bottom w:val="single" w:sz="8" w:color="CFEBF4"/>
            </w:tcBorders>
          </w:tcPr>
          <w:p>
            <w:pPr>
              <w:spacing w:after="0"/>
              <w:rPr>
                <w:sz w:val="24"/>
                <w:szCs w:val="24"/>
                <w:color w:val="auto"/>
              </w:rPr>
            </w:pPr>
          </w:p>
        </w:tc>
        <w:tc>
          <w:tcPr>
            <w:tcW w:w="60" w:type="dxa"/>
            <w:vAlign w:val="bottom"/>
            <w:tcBorders>
              <w:bottom w:val="single" w:sz="8" w:color="CFEBF4"/>
            </w:tcBorders>
          </w:tcPr>
          <w:p>
            <w:pPr>
              <w:spacing w:after="0"/>
              <w:rPr>
                <w:sz w:val="24"/>
                <w:szCs w:val="24"/>
                <w:color w:val="auto"/>
              </w:rPr>
            </w:pPr>
          </w:p>
        </w:tc>
        <w:tc>
          <w:tcPr>
            <w:tcW w:w="320" w:type="dxa"/>
            <w:vAlign w:val="bottom"/>
            <w:tcBorders>
              <w:bottom w:val="single" w:sz="8" w:color="CFEBF4"/>
            </w:tcBorders>
          </w:tcPr>
          <w:p>
            <w:pPr>
              <w:spacing w:after="0"/>
              <w:rPr>
                <w:sz w:val="24"/>
                <w:szCs w:val="24"/>
                <w:color w:val="auto"/>
              </w:rPr>
            </w:pPr>
          </w:p>
        </w:tc>
        <w:tc>
          <w:tcPr>
            <w:tcW w:w="360" w:type="dxa"/>
            <w:vAlign w:val="bottom"/>
            <w:tcBorders>
              <w:bottom w:val="single" w:sz="8" w:color="CFEBF4"/>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80" w:type="dxa"/>
            <w:vAlign w:val="bottom"/>
            <w:tcBorders>
              <w:bottom w:val="single" w:sz="8" w:color="CFEBF4"/>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300" w:type="dxa"/>
            <w:vAlign w:val="bottom"/>
            <w:tcBorders>
              <w:bottom w:val="single" w:sz="8" w:color="CFEBF4"/>
            </w:tcBorders>
            <w:gridSpan w:val="3"/>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Balance as of December 31, 2024</w:t>
            </w:r>
          </w:p>
        </w:tc>
        <w:tc>
          <w:tcPr>
            <w:tcW w:w="860" w:type="dxa"/>
            <w:vAlign w:val="bottom"/>
            <w:tcBorders>
              <w:bottom w:val="single" w:sz="8" w:color="CFEBF4"/>
            </w:tcBorders>
            <w:shd w:val="clear" w:color="auto" w:fill="CFEBF4"/>
          </w:tcPr>
          <w:p>
            <w:pPr>
              <w:spacing w:after="0"/>
              <w:rPr>
                <w:sz w:val="23"/>
                <w:szCs w:val="23"/>
                <w:color w:val="auto"/>
              </w:rPr>
            </w:pPr>
          </w:p>
        </w:tc>
        <w:tc>
          <w:tcPr>
            <w:tcW w:w="60" w:type="dxa"/>
            <w:vAlign w:val="bottom"/>
            <w:tcBorders>
              <w:bottom w:val="single" w:sz="8" w:color="CFEBF4"/>
            </w:tcBorders>
            <w:shd w:val="clear" w:color="auto" w:fill="CFEBF4"/>
          </w:tcPr>
          <w:p>
            <w:pPr>
              <w:spacing w:after="0"/>
              <w:rPr>
                <w:sz w:val="23"/>
                <w:szCs w:val="23"/>
                <w:color w:val="auto"/>
              </w:rPr>
            </w:pPr>
          </w:p>
        </w:tc>
        <w:tc>
          <w:tcPr>
            <w:tcW w:w="60" w:type="dxa"/>
            <w:vAlign w:val="bottom"/>
            <w:tcBorders>
              <w:bottom w:val="single" w:sz="8" w:color="CFEBF4"/>
            </w:tcBorders>
            <w:shd w:val="clear" w:color="auto" w:fill="CFEBF4"/>
          </w:tcPr>
          <w:p>
            <w:pPr>
              <w:spacing w:after="0"/>
              <w:rPr>
                <w:sz w:val="23"/>
                <w:szCs w:val="23"/>
                <w:color w:val="auto"/>
              </w:rPr>
            </w:pPr>
          </w:p>
        </w:tc>
        <w:tc>
          <w:tcPr>
            <w:tcW w:w="320" w:type="dxa"/>
            <w:vAlign w:val="bottom"/>
            <w:tcBorders>
              <w:bottom w:val="single" w:sz="8" w:color="CFEBF4"/>
            </w:tcBorders>
            <w:shd w:val="clear" w:color="auto" w:fill="CFEBF4"/>
          </w:tcPr>
          <w:p>
            <w:pPr>
              <w:spacing w:after="0"/>
              <w:rPr>
                <w:sz w:val="23"/>
                <w:szCs w:val="23"/>
                <w:color w:val="auto"/>
              </w:rPr>
            </w:pPr>
          </w:p>
        </w:tc>
        <w:tc>
          <w:tcPr>
            <w:tcW w:w="360" w:type="dxa"/>
            <w:vAlign w:val="bottom"/>
            <w:tcBorders>
              <w:bottom w:val="single" w:sz="8" w:color="CFEBF4"/>
            </w:tcBorders>
            <w:shd w:val="clear" w:color="auto" w:fill="CFEBF4"/>
          </w:tcPr>
          <w:p>
            <w:pPr>
              <w:spacing w:after="0"/>
              <w:rPr>
                <w:sz w:val="23"/>
                <w:szCs w:val="23"/>
                <w:color w:val="auto"/>
              </w:rPr>
            </w:pPr>
          </w:p>
        </w:tc>
        <w:tc>
          <w:tcPr>
            <w:tcW w:w="420" w:type="dxa"/>
            <w:vAlign w:val="bottom"/>
            <w:tcBorders>
              <w:bottom w:val="single" w:sz="8" w:color="231F20"/>
            </w:tcBorders>
            <w:shd w:val="clear" w:color="auto" w:fill="CFEBF4"/>
          </w:tcPr>
          <w:p>
            <w:pPr>
              <w:jc w:val="right"/>
              <w:ind w:right="161"/>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231F20"/>
            </w:tcBorders>
            <w:shd w:val="clear" w:color="auto" w:fill="CFEBF4"/>
          </w:tcPr>
          <w:p>
            <w:pPr>
              <w:spacing w:after="0"/>
              <w:rPr>
                <w:sz w:val="23"/>
                <w:szCs w:val="23"/>
                <w:color w:val="auto"/>
              </w:rPr>
            </w:pPr>
          </w:p>
        </w:tc>
        <w:tc>
          <w:tcPr>
            <w:tcW w:w="180" w:type="dxa"/>
            <w:vAlign w:val="bottom"/>
            <w:tcBorders>
              <w:bottom w:val="single" w:sz="8" w:color="231F20"/>
            </w:tcBorders>
            <w:shd w:val="clear" w:color="auto" w:fill="CFEBF4"/>
          </w:tcPr>
          <w:p>
            <w:pPr>
              <w:spacing w:after="0"/>
              <w:rPr>
                <w:sz w:val="23"/>
                <w:szCs w:val="23"/>
                <w:color w:val="auto"/>
              </w:rPr>
            </w:pPr>
          </w:p>
        </w:tc>
        <w:tc>
          <w:tcPr>
            <w:tcW w:w="5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7"/>
              </w:rPr>
              <w:t>799.3</w:t>
            </w:r>
          </w:p>
        </w:tc>
        <w:tc>
          <w:tcPr>
            <w:tcW w:w="40" w:type="dxa"/>
            <w:vAlign w:val="bottom"/>
            <w:tcBorders>
              <w:bottom w:val="single" w:sz="8" w:color="231F20"/>
            </w:tcBorders>
            <w:shd w:val="clear" w:color="auto" w:fill="CFEBF4"/>
          </w:tcPr>
          <w:p>
            <w:pPr>
              <w:spacing w:after="0"/>
              <w:rPr>
                <w:sz w:val="23"/>
                <w:szCs w:val="23"/>
                <w:color w:val="auto"/>
              </w:rPr>
            </w:pPr>
          </w:p>
        </w:tc>
        <w:tc>
          <w:tcPr>
            <w:tcW w:w="80" w:type="dxa"/>
            <w:vAlign w:val="bottom"/>
            <w:tcBorders>
              <w:bottom w:val="single" w:sz="8" w:color="CFEBF4"/>
            </w:tcBorders>
            <w:shd w:val="clear" w:color="auto" w:fill="CFEBF4"/>
          </w:tcPr>
          <w:p>
            <w:pPr>
              <w:spacing w:after="0"/>
              <w:rPr>
                <w:sz w:val="23"/>
                <w:szCs w:val="23"/>
                <w:color w:val="auto"/>
              </w:rPr>
            </w:pPr>
          </w:p>
        </w:tc>
        <w:tc>
          <w:tcPr>
            <w:tcW w:w="300" w:type="dxa"/>
            <w:vAlign w:val="bottom"/>
            <w:tcBorders>
              <w:bottom w:val="single" w:sz="8" w:color="231F20"/>
            </w:tcBorders>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231F20"/>
            </w:tcBorders>
            <w:shd w:val="clear" w:color="auto" w:fill="CFEBF4"/>
          </w:tcPr>
          <w:p>
            <w:pPr>
              <w:spacing w:after="0"/>
              <w:rPr>
                <w:sz w:val="23"/>
                <w:szCs w:val="23"/>
                <w:color w:val="auto"/>
              </w:rPr>
            </w:pPr>
          </w:p>
        </w:tc>
        <w:tc>
          <w:tcPr>
            <w:tcW w:w="160" w:type="dxa"/>
            <w:vAlign w:val="bottom"/>
            <w:tcBorders>
              <w:bottom w:val="single" w:sz="8" w:color="231F20"/>
            </w:tcBorders>
            <w:shd w:val="clear" w:color="auto" w:fill="CFEBF4"/>
          </w:tcPr>
          <w:p>
            <w:pPr>
              <w:spacing w:after="0"/>
              <w:rPr>
                <w:sz w:val="23"/>
                <w:szCs w:val="23"/>
                <w:color w:val="auto"/>
              </w:rPr>
            </w:pPr>
          </w:p>
        </w:tc>
        <w:tc>
          <w:tcPr>
            <w:tcW w:w="6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6"/>
              </w:rPr>
              <w:t>1,347.0</w:t>
            </w:r>
          </w:p>
        </w:tc>
        <w:tc>
          <w:tcPr>
            <w:tcW w:w="80" w:type="dxa"/>
            <w:vAlign w:val="bottom"/>
            <w:tcBorders>
              <w:bottom w:val="single" w:sz="8" w:color="CFEBF4"/>
            </w:tcBorders>
            <w:shd w:val="clear" w:color="auto" w:fill="CFEBF4"/>
          </w:tcPr>
          <w:p>
            <w:pPr>
              <w:spacing w:after="0"/>
              <w:rPr>
                <w:sz w:val="23"/>
                <w:szCs w:val="23"/>
                <w:color w:val="auto"/>
              </w:rPr>
            </w:pPr>
          </w:p>
        </w:tc>
        <w:tc>
          <w:tcPr>
            <w:tcW w:w="1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231F20"/>
            </w:tcBorders>
            <w:shd w:val="clear" w:color="auto" w:fill="CFEBF4"/>
          </w:tcPr>
          <w:p>
            <w:pPr>
              <w:spacing w:after="0"/>
              <w:rPr>
                <w:sz w:val="23"/>
                <w:szCs w:val="23"/>
                <w:color w:val="auto"/>
              </w:rPr>
            </w:pPr>
          </w:p>
        </w:tc>
        <w:tc>
          <w:tcPr>
            <w:tcW w:w="180" w:type="dxa"/>
            <w:vAlign w:val="bottom"/>
            <w:tcBorders>
              <w:bottom w:val="single" w:sz="8" w:color="231F20"/>
            </w:tcBorders>
            <w:shd w:val="clear" w:color="auto" w:fill="CFEBF4"/>
          </w:tcPr>
          <w:p>
            <w:pPr>
              <w:spacing w:after="0"/>
              <w:rPr>
                <w:sz w:val="23"/>
                <w:szCs w:val="23"/>
                <w:color w:val="auto"/>
              </w:rPr>
            </w:pPr>
          </w:p>
        </w:tc>
        <w:tc>
          <w:tcPr>
            <w:tcW w:w="8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1,133.8</w:t>
            </w:r>
          </w:p>
        </w:tc>
        <w:tc>
          <w:tcPr>
            <w:tcW w:w="80" w:type="dxa"/>
            <w:vAlign w:val="bottom"/>
            <w:tcBorders>
              <w:bottom w:val="single" w:sz="8" w:color="CFEBF4"/>
            </w:tcBorders>
            <w:shd w:val="clear" w:color="auto" w:fill="CFEBF4"/>
          </w:tcPr>
          <w:p>
            <w:pPr>
              <w:spacing w:after="0"/>
              <w:rPr>
                <w:sz w:val="23"/>
                <w:szCs w:val="23"/>
                <w:color w:val="auto"/>
              </w:rPr>
            </w:pPr>
          </w:p>
        </w:tc>
        <w:tc>
          <w:tcPr>
            <w:tcW w:w="40" w:type="dxa"/>
            <w:vAlign w:val="bottom"/>
            <w:tcBorders>
              <w:bottom w:val="single" w:sz="8" w:color="231F20"/>
            </w:tcBorders>
            <w:shd w:val="clear" w:color="auto" w:fill="CFEBF4"/>
          </w:tcPr>
          <w:p>
            <w:pPr>
              <w:spacing w:after="0"/>
              <w:rPr>
                <w:sz w:val="23"/>
                <w:szCs w:val="23"/>
                <w:color w:val="auto"/>
              </w:rPr>
            </w:pPr>
          </w:p>
        </w:tc>
        <w:tc>
          <w:tcPr>
            <w:tcW w:w="280" w:type="dxa"/>
            <w:vAlign w:val="bottom"/>
            <w:tcBorders>
              <w:bottom w:val="single" w:sz="8" w:color="231F20"/>
            </w:tcBorders>
            <w:gridSpan w:val="2"/>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w w:val="99"/>
              </w:rPr>
              <w:t>$</w:t>
            </w: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3,280.1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231F20"/>
              </w:rPr>
              <w:t>Adjustments to goodwill for acquisitions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tcBorders>
              <w:bottom w:val="single" w:sz="8" w:color="CFEBF4"/>
            </w:tcBorders>
            <w:gridSpan w:val="4"/>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Foreign currency exchange rate changes</w:t>
            </w:r>
          </w:p>
        </w:tc>
        <w:tc>
          <w:tcPr>
            <w:tcW w:w="60" w:type="dxa"/>
            <w:vAlign w:val="bottom"/>
            <w:tcBorders>
              <w:bottom w:val="single" w:sz="8" w:color="CFEBF4"/>
            </w:tcBorders>
            <w:shd w:val="clear" w:color="auto" w:fill="CFEBF4"/>
          </w:tcPr>
          <w:p>
            <w:pPr>
              <w:spacing w:after="0"/>
              <w:rPr>
                <w:sz w:val="24"/>
                <w:szCs w:val="24"/>
                <w:color w:val="auto"/>
              </w:rPr>
            </w:pPr>
          </w:p>
        </w:tc>
        <w:tc>
          <w:tcPr>
            <w:tcW w:w="6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CFEBF4"/>
            </w:tcBorders>
            <w:shd w:val="clear" w:color="auto" w:fill="CFEBF4"/>
          </w:tcPr>
          <w:p>
            <w:pPr>
              <w:spacing w:after="0"/>
              <w:rPr>
                <w:sz w:val="24"/>
                <w:szCs w:val="24"/>
                <w:color w:val="auto"/>
              </w:rPr>
            </w:pPr>
          </w:p>
        </w:tc>
        <w:tc>
          <w:tcPr>
            <w:tcW w:w="36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231F20"/>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5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24.4</w:t>
            </w:r>
          </w:p>
        </w:tc>
        <w:tc>
          <w:tcPr>
            <w:tcW w:w="4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231F20"/>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6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8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231F20"/>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8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8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231F20"/>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Balance as of December 31, 2025</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843.8</w:t>
            </w:r>
          </w:p>
        </w:tc>
        <w:tc>
          <w:tcPr>
            <w:tcW w:w="42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1,354.1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1,145.5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231F20"/>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3,343.4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7"/>
            <w:vMerge w:val="restart"/>
          </w:tcPr>
          <w:p>
            <w:pPr>
              <w:ind w:left="260"/>
              <w:spacing w:after="0"/>
              <w:rPr>
                <w:sz w:val="20"/>
                <w:szCs w:val="20"/>
                <w:color w:val="auto"/>
              </w:rPr>
            </w:pPr>
            <w:r>
              <w:rPr>
                <w:rFonts w:ascii="Times New Roman" w:cs="Times New Roman" w:eastAsia="Times New Roman" w:hAnsi="Times New Roman"/>
                <w:sz w:val="20"/>
                <w:szCs w:val="20"/>
                <w:color w:val="231F20"/>
              </w:rPr>
              <w:t>The components of intangible assets are as follows:</w:t>
            </w:r>
          </w:p>
        </w:tc>
        <w:tc>
          <w:tcPr>
            <w:tcW w:w="3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4600" w:type="dxa"/>
            <w:vAlign w:val="bottom"/>
            <w:gridSpan w:val="7"/>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spacing w:after="0"/>
              <w:rPr>
                <w:sz w:val="24"/>
                <w:szCs w:val="24"/>
                <w:color w:val="auto"/>
              </w:rPr>
            </w:pPr>
          </w:p>
        </w:tc>
        <w:tc>
          <w:tcPr>
            <w:tcW w:w="1480" w:type="dxa"/>
            <w:vAlign w:val="bottom"/>
            <w:tcBorders>
              <w:bottom w:val="single" w:sz="8" w:color="231F20"/>
            </w:tcBorders>
            <w:gridSpan w:val="7"/>
          </w:tcPr>
          <w:p>
            <w:pPr>
              <w:jc w:val="center"/>
              <w:ind w:right="21"/>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50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460" w:type="dxa"/>
            <w:vAlign w:val="bottom"/>
            <w:tcBorders>
              <w:bottom w:val="single" w:sz="8" w:color="231F20"/>
            </w:tcBorders>
            <w:gridSpan w:val="7"/>
          </w:tcPr>
          <w:p>
            <w:pPr>
              <w:jc w:val="center"/>
              <w:ind w:right="81"/>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c>
          <w:tcPr>
            <w:tcW w:w="9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47"/>
              <w:spacing w:after="0" w:line="144"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231F20"/>
                <w:w w:val="99"/>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center"/>
              <w:ind w:left="126"/>
              <w:spacing w:after="0"/>
              <w:rPr>
                <w:sz w:val="20"/>
                <w:szCs w:val="20"/>
                <w:color w:val="auto"/>
              </w:rPr>
            </w:pPr>
            <w:r>
              <w:rPr>
                <w:rFonts w:ascii="Times New Roman" w:cs="Times New Roman" w:eastAsia="Times New Roman" w:hAnsi="Times New Roman"/>
                <w:sz w:val="16"/>
                <w:szCs w:val="16"/>
                <w:b w:val="1"/>
                <w:bCs w:val="1"/>
                <w:color w:val="231F20"/>
                <w:w w:val="99"/>
              </w:rPr>
              <w:t>Net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231F20"/>
                <w:w w:val="99"/>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b w:val="1"/>
                <w:bCs w:val="1"/>
                <w:color w:val="231F20"/>
                <w:w w:val="99"/>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restart"/>
          </w:tcPr>
          <w:p>
            <w:pPr>
              <w:jc w:val="center"/>
              <w:ind w:right="27"/>
              <w:spacing w:after="0"/>
              <w:rPr>
                <w:sz w:val="20"/>
                <w:szCs w:val="20"/>
                <w:color w:val="auto"/>
              </w:rPr>
            </w:pPr>
            <w:r>
              <w:rPr>
                <w:rFonts w:ascii="Times New Roman" w:cs="Times New Roman" w:eastAsia="Times New Roman" w:hAnsi="Times New Roman"/>
                <w:sz w:val="16"/>
                <w:szCs w:val="16"/>
                <w:b w:val="1"/>
                <w:bCs w:val="1"/>
                <w:color w:val="231F20"/>
                <w:w w:val="98"/>
              </w:rPr>
              <w:t>Carrying</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Amortization</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Carrying</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Amortization</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12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rPr>
              <w:t>Life (in years)</w:t>
            </w:r>
          </w:p>
        </w:tc>
        <w:tc>
          <w:tcPr>
            <w:tcW w:w="180" w:type="dxa"/>
            <w:vAlign w:val="bottom"/>
            <w:vMerge w:val="restart"/>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4"/>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05"/>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Borders>
              <w:bottom w:val="single" w:sz="8" w:color="231F20"/>
            </w:tcBorders>
            <w:vMerge w:val="continue"/>
          </w:tcPr>
          <w:p>
            <w:pPr>
              <w:spacing w:after="0"/>
              <w:rPr>
                <w:sz w:val="18"/>
                <w:szCs w:val="18"/>
                <w:color w:val="auto"/>
              </w:rPr>
            </w:pPr>
          </w:p>
        </w:tc>
        <w:tc>
          <w:tcPr>
            <w:tcW w:w="860" w:type="dxa"/>
            <w:vAlign w:val="bottom"/>
            <w:tcBorders>
              <w:bottom w:val="single" w:sz="8" w:color="231F20"/>
            </w:tcBorders>
          </w:tcPr>
          <w:p>
            <w:pPr>
              <w:jc w:val="center"/>
              <w:ind w:right="27"/>
              <w:spacing w:after="0" w:line="211" w:lineRule="exact"/>
              <w:rPr>
                <w:sz w:val="20"/>
                <w:szCs w:val="20"/>
                <w:color w:val="auto"/>
              </w:rPr>
            </w:pPr>
            <w:r>
              <w:rPr>
                <w:rFonts w:ascii="Times New Roman" w:cs="Times New Roman" w:eastAsia="Times New Roman" w:hAnsi="Times New Roman"/>
                <w:sz w:val="16"/>
                <w:szCs w:val="16"/>
                <w:b w:val="1"/>
                <w:bCs w:val="1"/>
                <w:color w:val="231F20"/>
                <w:w w:val="92"/>
              </w:rPr>
              <w:t xml:space="preserve">Amount </w:t>
            </w:r>
            <w:r>
              <w:rPr>
                <w:rFonts w:ascii="Times New Roman" w:cs="Times New Roman" w:eastAsia="Times New Roman" w:hAnsi="Times New Roman"/>
                <w:sz w:val="20"/>
                <w:szCs w:val="20"/>
                <w:b w:val="1"/>
                <w:bCs w:val="1"/>
                <w:color w:val="231F20"/>
                <w:w w:val="92"/>
                <w:vertAlign w:val="superscript"/>
              </w:rPr>
              <w:t>(1)</w:t>
            </w:r>
          </w:p>
        </w:tc>
        <w:tc>
          <w:tcPr>
            <w:tcW w:w="6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360" w:type="dxa"/>
            <w:vAlign w:val="bottom"/>
            <w:tcBorders>
              <w:bottom w:val="single" w:sz="8" w:color="231F20"/>
            </w:tcBorders>
          </w:tcPr>
          <w:p>
            <w:pPr>
              <w:jc w:val="center"/>
              <w:ind w:left="27"/>
              <w:spacing w:after="0"/>
              <w:rPr>
                <w:sz w:val="20"/>
                <w:szCs w:val="20"/>
                <w:color w:val="auto"/>
              </w:rPr>
            </w:pPr>
            <w:r>
              <w:rPr>
                <w:rFonts w:ascii="Times New Roman" w:cs="Times New Roman" w:eastAsia="Times New Roman" w:hAnsi="Times New Roman"/>
                <w:sz w:val="10"/>
                <w:szCs w:val="10"/>
                <w:b w:val="1"/>
                <w:bCs w:val="1"/>
                <w:color w:val="231F20"/>
              </w:rPr>
              <w:t>(1)</w:t>
            </w:r>
          </w:p>
        </w:tc>
        <w:tc>
          <w:tcPr>
            <w:tcW w:w="4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gridSpan w:val="4"/>
          </w:tcPr>
          <w:p>
            <w:pPr>
              <w:jc w:val="center"/>
              <w:ind w:right="81"/>
              <w:spacing w:after="0"/>
              <w:rPr>
                <w:sz w:val="20"/>
                <w:szCs w:val="20"/>
                <w:color w:val="auto"/>
              </w:rPr>
            </w:pPr>
            <w:r>
              <w:rPr>
                <w:rFonts w:ascii="Times New Roman" w:cs="Times New Roman" w:eastAsia="Times New Roman" w:hAnsi="Times New Roman"/>
                <w:sz w:val="16"/>
                <w:szCs w:val="16"/>
                <w:b w:val="1"/>
                <w:bCs w:val="1"/>
                <w:color w:val="231F20"/>
                <w:w w:val="96"/>
              </w:rPr>
              <w:t>Amount</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gridSpan w:val="2"/>
          </w:tcPr>
          <w:p>
            <w:pPr>
              <w:jc w:val="center"/>
              <w:spacing w:after="0" w:line="211" w:lineRule="exact"/>
              <w:rPr>
                <w:sz w:val="20"/>
                <w:szCs w:val="20"/>
                <w:color w:val="auto"/>
              </w:rPr>
            </w:pPr>
            <w:r>
              <w:rPr>
                <w:rFonts w:ascii="Times New Roman" w:cs="Times New Roman" w:eastAsia="Times New Roman" w:hAnsi="Times New Roman"/>
                <w:sz w:val="16"/>
                <w:szCs w:val="16"/>
                <w:b w:val="1"/>
                <w:bCs w:val="1"/>
                <w:color w:val="231F20"/>
                <w:w w:val="95"/>
              </w:rPr>
              <w:t xml:space="preserve">Amount </w:t>
            </w:r>
            <w:r>
              <w:rPr>
                <w:rFonts w:ascii="Times New Roman" w:cs="Times New Roman" w:eastAsia="Times New Roman" w:hAnsi="Times New Roman"/>
                <w:sz w:val="20"/>
                <w:szCs w:val="20"/>
                <w:b w:val="1"/>
                <w:bCs w:val="1"/>
                <w:color w:val="231F20"/>
                <w:w w:val="95"/>
                <w:vertAlign w:val="superscript"/>
              </w:rPr>
              <w:t>(1)</w:t>
            </w:r>
          </w:p>
        </w:tc>
        <w:tc>
          <w:tcPr>
            <w:tcW w:w="1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0"/>
                <w:szCs w:val="10"/>
                <w:b w:val="1"/>
                <w:bCs w:val="1"/>
                <w:color w:val="231F20"/>
                <w:w w:val="85"/>
              </w:rPr>
              <w:t>(1)</w:t>
            </w:r>
          </w:p>
        </w:tc>
        <w:tc>
          <w:tcPr>
            <w:tcW w:w="8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231F20"/>
                <w:w w:val="96"/>
              </w:rPr>
              <w:t>Amount</w:t>
            </w:r>
          </w:p>
        </w:tc>
        <w:tc>
          <w:tcPr>
            <w:tcW w:w="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Intangible assets: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shd w:val="clear" w:color="auto" w:fill="CFEBF4"/>
          </w:tcPr>
          <w:p>
            <w:pPr>
              <w:spacing w:after="0"/>
              <w:rPr>
                <w:sz w:val="24"/>
                <w:szCs w:val="24"/>
                <w:color w:val="auto"/>
              </w:rPr>
            </w:pPr>
          </w:p>
        </w:tc>
        <w:tc>
          <w:tcPr>
            <w:tcW w:w="20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Trademarks</w:t>
            </w:r>
          </w:p>
        </w:tc>
        <w:tc>
          <w:tcPr>
            <w:tcW w:w="130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Indefinite   $</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791.6</w:t>
            </w:r>
          </w:p>
        </w:tc>
        <w:tc>
          <w:tcPr>
            <w:tcW w:w="440" w:type="dxa"/>
            <w:vAlign w:val="bottom"/>
            <w:gridSpan w:val="3"/>
            <w:shd w:val="clear" w:color="auto" w:fill="CFEBF4"/>
          </w:tcPr>
          <w:p>
            <w:pPr>
              <w:jc w:val="right"/>
              <w:ind w:right="75"/>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CFEBF4"/>
          </w:tcPr>
          <w:p>
            <w:pPr>
              <w:spacing w:after="0"/>
              <w:rPr>
                <w:sz w:val="24"/>
                <w:szCs w:val="24"/>
                <w:color w:val="auto"/>
              </w:rPr>
            </w:pPr>
          </w:p>
        </w:tc>
        <w:tc>
          <w:tcPr>
            <w:tcW w:w="4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gridSpan w:val="4"/>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791.6</w:t>
            </w:r>
          </w:p>
        </w:tc>
        <w:tc>
          <w:tcPr>
            <w:tcW w:w="240" w:type="dxa"/>
            <w:vAlign w:val="bottom"/>
            <w:gridSpan w:val="2"/>
            <w:shd w:val="clear" w:color="auto" w:fill="CFEBF4"/>
          </w:tcPr>
          <w:p>
            <w:pP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789.7</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3"/>
            <w:shd w:val="clear" w:color="auto" w:fill="CFEBF4"/>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789.7</w:t>
            </w:r>
          </w:p>
        </w:tc>
        <w:tc>
          <w:tcPr>
            <w:tcW w:w="2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Customer relationships</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9 - 20</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1,523.6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(570.2)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953.4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1,502.4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(476.4)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shd w:val="clear" w:color="auto" w:fill="CFEBF4"/>
          </w:tcPr>
          <w:p>
            <w:pPr>
              <w:spacing w:after="0"/>
              <w:rPr>
                <w:sz w:val="24"/>
                <w:szCs w:val="24"/>
                <w:color w:val="auto"/>
              </w:rPr>
            </w:pPr>
          </w:p>
        </w:tc>
        <w:tc>
          <w:tcPr>
            <w:tcW w:w="20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Distribution agreements</w:t>
            </w:r>
          </w:p>
        </w:tc>
        <w:tc>
          <w:tcPr>
            <w:tcW w:w="11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8</w:t>
            </w:r>
          </w:p>
        </w:tc>
        <w:tc>
          <w:tcPr>
            <w:tcW w:w="18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6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7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00" w:type="dxa"/>
            <w:vAlign w:val="bottom"/>
            <w:shd w:val="clear" w:color="auto" w:fill="CFEBF4"/>
          </w:tcPr>
          <w:p>
            <w:pPr>
              <w:spacing w:after="0"/>
              <w:rPr>
                <w:sz w:val="24"/>
                <w:szCs w:val="24"/>
                <w:color w:val="auto"/>
              </w:rPr>
            </w:pPr>
          </w:p>
        </w:tc>
        <w:tc>
          <w:tcPr>
            <w:tcW w:w="42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2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29.2</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920" w:type="dxa"/>
            <w:vAlign w:val="bottom"/>
            <w:gridSpan w:val="3"/>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(27.7)</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2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Trademarks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231F20"/>
              </w:rPr>
              <w:t>5 and 12</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(11.7)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shd w:val="clear" w:color="auto" w:fill="CFEBF4"/>
          </w:tcPr>
          <w:p>
            <w:pPr>
              <w:spacing w:after="0"/>
              <w:rPr>
                <w:sz w:val="24"/>
                <w:szCs w:val="24"/>
                <w:color w:val="auto"/>
              </w:rPr>
            </w:pPr>
          </w:p>
        </w:tc>
        <w:tc>
          <w:tcPr>
            <w:tcW w:w="200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Software</w:t>
            </w:r>
          </w:p>
        </w:tc>
        <w:tc>
          <w:tcPr>
            <w:tcW w:w="11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7</w:t>
            </w:r>
          </w:p>
        </w:tc>
        <w:tc>
          <w:tcPr>
            <w:tcW w:w="18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6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7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00" w:type="dxa"/>
            <w:vAlign w:val="bottom"/>
            <w:shd w:val="clear" w:color="auto" w:fill="CFEBF4"/>
          </w:tcPr>
          <w:p>
            <w:pPr>
              <w:spacing w:after="0"/>
              <w:rPr>
                <w:sz w:val="24"/>
                <w:szCs w:val="24"/>
                <w:color w:val="auto"/>
              </w:rPr>
            </w:pPr>
          </w:p>
        </w:tc>
        <w:tc>
          <w:tcPr>
            <w:tcW w:w="42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1"/>
              </w:rPr>
              <w:t>12.6</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92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920" w:type="dxa"/>
            <w:vAlign w:val="bottom"/>
            <w:gridSpan w:val="3"/>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(1.1)</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2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CFEBF4"/>
            </w:tcBorders>
          </w:tcPr>
          <w:p>
            <w:pPr>
              <w:spacing w:after="0"/>
              <w:rPr>
                <w:sz w:val="24"/>
                <w:szCs w:val="24"/>
                <w:color w:val="auto"/>
              </w:rPr>
            </w:pPr>
          </w:p>
        </w:tc>
        <w:tc>
          <w:tcPr>
            <w:tcW w:w="200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Technology know-how</w:t>
            </w:r>
          </w:p>
        </w:tc>
        <w:tc>
          <w:tcPr>
            <w:tcW w:w="1120" w:type="dxa"/>
            <w:vAlign w:val="bottom"/>
            <w:tcBorders>
              <w:bottom w:val="single" w:sz="8" w:color="CFEBF4"/>
            </w:tcBorders>
          </w:tcPr>
          <w:p>
            <w:pPr>
              <w:jc w:val="center"/>
              <w:spacing w:after="0"/>
              <w:rPr>
                <w:sz w:val="20"/>
                <w:szCs w:val="20"/>
                <w:color w:val="auto"/>
              </w:rPr>
            </w:pPr>
            <w:r>
              <w:rPr>
                <w:rFonts w:ascii="Times New Roman" w:cs="Times New Roman" w:eastAsia="Times New Roman" w:hAnsi="Times New Roman"/>
                <w:sz w:val="20"/>
                <w:szCs w:val="20"/>
                <w:color w:val="231F20"/>
                <w:w w:val="99"/>
              </w:rPr>
              <w:t>5</w:t>
            </w:r>
          </w:p>
        </w:tc>
        <w:tc>
          <w:tcPr>
            <w:tcW w:w="1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60" w:type="dxa"/>
            <w:vAlign w:val="bottom"/>
            <w:tcBorders>
              <w:bottom w:val="single" w:sz="8" w:color="231F20"/>
            </w:tcBorders>
          </w:tcPr>
          <w:p>
            <w:pPr>
              <w:spacing w:after="0"/>
              <w:rPr>
                <w:sz w:val="24"/>
                <w:szCs w:val="24"/>
                <w:color w:val="auto"/>
              </w:rPr>
            </w:pPr>
          </w:p>
        </w:tc>
        <w:tc>
          <w:tcPr>
            <w:tcW w:w="60" w:type="dxa"/>
            <w:vAlign w:val="bottom"/>
            <w:tcBorders>
              <w:bottom w:val="single" w:sz="8" w:color="CFEBF4"/>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FEBF4"/>
            </w:tcBorders>
            <w:shd w:val="clear" w:color="auto" w:fill="CFEBF4"/>
          </w:tcPr>
          <w:p>
            <w:pPr>
              <w:spacing w:after="0"/>
              <w:rPr>
                <w:sz w:val="24"/>
                <w:szCs w:val="24"/>
                <w:color w:val="auto"/>
              </w:rPr>
            </w:pPr>
          </w:p>
        </w:tc>
        <w:tc>
          <w:tcPr>
            <w:tcW w:w="2000" w:type="dxa"/>
            <w:vAlign w:val="bottom"/>
            <w:tcBorders>
              <w:bottom w:val="single" w:sz="8" w:color="CFEBF4"/>
            </w:tcBorders>
            <w:shd w:val="clear" w:color="auto" w:fill="CFEBF4"/>
          </w:tcPr>
          <w:p>
            <w:pPr>
              <w:spacing w:after="0"/>
              <w:rPr>
                <w:sz w:val="24"/>
                <w:szCs w:val="24"/>
                <w:color w:val="auto"/>
              </w:rPr>
            </w:pPr>
          </w:p>
        </w:tc>
        <w:tc>
          <w:tcPr>
            <w:tcW w:w="112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2,358.3</w:t>
            </w:r>
          </w:p>
        </w:tc>
        <w:tc>
          <w:tcPr>
            <w:tcW w:w="60" w:type="dxa"/>
            <w:vAlign w:val="bottom"/>
            <w:tcBorders>
              <w:bottom w:val="single" w:sz="8" w:color="231F20"/>
            </w:tcBorders>
            <w:shd w:val="clear" w:color="auto" w:fill="CFEBF4"/>
          </w:tcPr>
          <w:p>
            <w:pPr>
              <w:spacing w:after="0"/>
              <w:rPr>
                <w:sz w:val="24"/>
                <w:szCs w:val="24"/>
                <w:color w:val="auto"/>
              </w:rPr>
            </w:pPr>
          </w:p>
        </w:tc>
        <w:tc>
          <w:tcPr>
            <w:tcW w:w="6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jc w:val="right"/>
              <w:ind w:right="75"/>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(589.1)</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tcBorders>
              <w:bottom w:val="single" w:sz="8" w:color="231F20"/>
            </w:tcBorders>
            <w:gridSpan w:val="4"/>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1,769.2</w:t>
            </w:r>
          </w:p>
        </w:tc>
        <w:tc>
          <w:tcPr>
            <w:tcW w:w="8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tcBorders>
              <w:bottom w:val="single" w:sz="8" w:color="231F20"/>
            </w:tcBorders>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2,352.8</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gridSpan w:val="3"/>
            <w:shd w:val="clear" w:color="auto" w:fill="CFEBF4"/>
          </w:tcPr>
          <w:p>
            <w:pPr>
              <w:jc w:val="right"/>
              <w:ind w:right="20"/>
              <w:spacing w:after="0"/>
              <w:rPr>
                <w:sz w:val="20"/>
                <w:szCs w:val="20"/>
                <w:color w:val="auto"/>
              </w:rPr>
            </w:pPr>
            <w:r>
              <w:rPr>
                <w:rFonts w:ascii="Times New Roman" w:cs="Times New Roman" w:eastAsia="Times New Roman" w:hAnsi="Times New Roman"/>
                <w:sz w:val="20"/>
                <w:szCs w:val="20"/>
                <w:color w:val="231F20"/>
              </w:rPr>
              <w:t>(516.9)</w:t>
            </w:r>
          </w:p>
        </w:tc>
        <w:tc>
          <w:tcPr>
            <w:tcW w:w="8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1,835.9</w:t>
            </w:r>
          </w:p>
        </w:tc>
        <w:tc>
          <w:tcPr>
            <w:tcW w:w="20" w:type="dxa"/>
            <w:vAlign w:val="bottom"/>
            <w:tcBorders>
              <w:bottom w:val="single" w:sz="8" w:color="231F20"/>
            </w:tcBorders>
            <w:shd w:val="clear" w:color="auto" w:fill="CFEBF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-3352165</wp:posOffset>
            </wp:positionV>
            <wp:extent cx="2501900" cy="5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7">
                      <a:extLst>
                        <a:ext uri="{28A0092B-C50C-407E-A947-70E740481C1C}"/>
                      </a:extLst>
                    </a:blip>
                    <a:srcRect/>
                    <a:stretch>
                      <a:fillRect/>
                    </a:stretch>
                  </pic:blipFill>
                  <pic:spPr bwMode="auto">
                    <a:xfrm>
                      <a:off x="0" y="0"/>
                      <a:ext cx="2501900" cy="5016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-3164205</wp:posOffset>
            </wp:positionV>
            <wp:extent cx="2501900"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8">
                      <a:extLst>
                        <a:ext uri="{28A0092B-C50C-407E-A947-70E740481C1C}"/>
                      </a:extLst>
                    </a:blip>
                    <a:srcRect/>
                    <a:stretch>
                      <a:fillRect/>
                    </a:stretch>
                  </pic:blipFill>
                  <pic:spPr bwMode="auto">
                    <a:xfrm>
                      <a:off x="0" y="0"/>
                      <a:ext cx="2501900" cy="5016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-2788920</wp:posOffset>
            </wp:positionV>
            <wp:extent cx="2501900"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9">
                      <a:extLst>
                        <a:ext uri="{28A0092B-C50C-407E-A947-70E740481C1C}"/>
                      </a:extLst>
                    </a:blip>
                    <a:srcRect/>
                    <a:stretch>
                      <a:fillRect/>
                    </a:stretch>
                  </pic:blipFill>
                  <pic:spPr bwMode="auto">
                    <a:xfrm>
                      <a:off x="0" y="0"/>
                      <a:ext cx="2501900" cy="5016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-231140</wp:posOffset>
            </wp:positionV>
            <wp:extent cx="3740785"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0">
                      <a:extLst>
                        <a:ext uri="{28A0092B-C50C-407E-A947-70E740481C1C}"/>
                      </a:extLst>
                    </a:blip>
                    <a:srcRect/>
                    <a:stretch>
                      <a:fillRect/>
                    </a:stretch>
                  </pic:blipFill>
                  <pic:spPr bwMode="auto">
                    <a:xfrm>
                      <a:off x="0" y="0"/>
                      <a:ext cx="3740785" cy="5016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-55880</wp:posOffset>
            </wp:positionV>
            <wp:extent cx="4478655" cy="749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1">
                      <a:extLst>
                        <a:ext uri="{28A0092B-C50C-407E-A947-70E740481C1C}"/>
                      </a:extLst>
                    </a:blip>
                    <a:srcRect/>
                    <a:stretch>
                      <a:fillRect/>
                    </a:stretch>
                  </pic:blipFill>
                  <pic:spPr bwMode="auto">
                    <a:xfrm>
                      <a:off x="0" y="0"/>
                      <a:ext cx="4478655" cy="74930"/>
                    </a:xfrm>
                    <a:prstGeom prst="rect">
                      <a:avLst/>
                    </a:prstGeom>
                    <a:noFill/>
                  </pic:spPr>
                </pic:pic>
              </a:graphicData>
            </a:graphic>
          </wp:anchor>
        </w:drawing>
      </w:r>
    </w:p>
    <w:p>
      <w:pPr>
        <w:spacing w:after="0" w:line="21" w:lineRule="exact"/>
        <w:rPr>
          <w:sz w:val="20"/>
          <w:szCs w:val="20"/>
          <w:color w:val="auto"/>
        </w:rPr>
      </w:pPr>
    </w:p>
    <w:p>
      <w:pPr>
        <w:ind w:left="280" w:hanging="273"/>
        <w:spacing w:after="0"/>
        <w:tabs>
          <w:tab w:leader="none" w:pos="280" w:val="left"/>
        </w:tabs>
        <w:numPr>
          <w:ilvl w:val="0"/>
          <w:numId w:val="25"/>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Excludes the original cost and related accumulated amortization of fully-amortized intangible assets.</w:t>
      </w:r>
    </w:p>
    <w:p>
      <w:pPr>
        <w:spacing w:after="0" w:line="93"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Amortization expense related to intangible assets totaled $89.1 million, $86.1 million and $88.6 million for the years ended December 31, 2025, 2024 and 2023, respectively.</w:t>
      </w:r>
    </w:p>
    <w:p>
      <w:pPr>
        <w:spacing w:after="0" w:line="64"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remaining estimated amortization expense for intangible assets for the next five years and thereafter:</w:t>
      </w:r>
    </w:p>
    <w:p>
      <w:pPr>
        <w:spacing w:after="0" w:line="109" w:lineRule="exact"/>
        <w:rPr>
          <w:sz w:val="20"/>
          <w:szCs w:val="20"/>
          <w:color w:val="auto"/>
        </w:rPr>
      </w:pPr>
    </w:p>
    <w:tbl>
      <w:tblPr>
        <w:tblLayout w:type="fixed"/>
        <w:tblInd w:w="1560" w:type="dxa"/>
        <w:tblCellMar>
          <w:top w:w="0" w:type="dxa"/>
          <w:left w:w="0" w:type="dxa"/>
          <w:bottom w:w="0" w:type="dxa"/>
          <w:right w:w="0" w:type="dxa"/>
        </w:tblCellMar>
      </w:tblPr>
      <w:tr>
        <w:trPr>
          <w:trHeight w:val="241"/>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For the year ending December 31,</w:t>
            </w:r>
          </w:p>
        </w:tc>
        <w:tc>
          <w:tcPr>
            <w:tcW w:w="200" w:type="dxa"/>
            <w:vAlign w:val="bottom"/>
          </w:tcPr>
          <w:p>
            <w:pPr>
              <w:spacing w:after="0"/>
              <w:rPr>
                <w:sz w:val="20"/>
                <w:szCs w:val="20"/>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302"/>
        </w:trPr>
        <w:tc>
          <w:tcPr>
            <w:tcW w:w="57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2026</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86.2</w:t>
            </w:r>
          </w:p>
        </w:tc>
      </w:tr>
      <w:tr>
        <w:trPr>
          <w:trHeight w:val="290"/>
        </w:trPr>
        <w:tc>
          <w:tcPr>
            <w:tcW w:w="5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83.3</w:t>
            </w:r>
          </w:p>
        </w:tc>
      </w:tr>
      <w:tr>
        <w:trPr>
          <w:trHeight w:val="301"/>
        </w:trPr>
        <w:tc>
          <w:tcPr>
            <w:tcW w:w="57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2028</w:t>
            </w: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81.6</w:t>
            </w:r>
          </w:p>
        </w:tc>
      </w:tr>
      <w:tr>
        <w:trPr>
          <w:trHeight w:val="290"/>
        </w:trPr>
        <w:tc>
          <w:tcPr>
            <w:tcW w:w="5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2029</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80.5</w:t>
            </w:r>
          </w:p>
        </w:tc>
      </w:tr>
      <w:tr>
        <w:trPr>
          <w:trHeight w:val="301"/>
        </w:trPr>
        <w:tc>
          <w:tcPr>
            <w:tcW w:w="57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2030</w:t>
            </w: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74.4</w:t>
            </w:r>
          </w:p>
        </w:tc>
      </w:tr>
      <w:tr>
        <w:trPr>
          <w:trHeight w:val="285"/>
        </w:trPr>
        <w:tc>
          <w:tcPr>
            <w:tcW w:w="572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Thereafter</w:t>
            </w:r>
          </w:p>
        </w:tc>
        <w:tc>
          <w:tcPr>
            <w:tcW w:w="2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571.6</w:t>
            </w:r>
          </w:p>
        </w:tc>
      </w:tr>
      <w:tr>
        <w:trPr>
          <w:trHeight w:val="295"/>
        </w:trPr>
        <w:tc>
          <w:tcPr>
            <w:tcW w:w="5720" w:type="dxa"/>
            <w:vAlign w:val="bottom"/>
            <w:tcBorders>
              <w:bottom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Total</w:t>
            </w:r>
          </w:p>
        </w:tc>
        <w:tc>
          <w:tcPr>
            <w:tcW w:w="2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977.6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4613910</wp:posOffset>
                </wp:positionH>
                <wp:positionV relativeFrom="paragraph">
                  <wp:posOffset>-212725</wp:posOffset>
                </wp:positionV>
                <wp:extent cx="12700" cy="1333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CFEBF4"/>
                        </a:solidFill>
                      </wps:spPr>
                      <wps:bodyPr/>
                    </wps:wsp>
                  </a:graphicData>
                </a:graphic>
              </wp:anchor>
            </w:drawing>
          </mc:Choice>
          <mc:Fallback>
            <w:pict>
              <v:rect id="Shape 115" o:spid="_x0000_s1140" style="position:absolute;margin-left:363.3pt;margin-top:-16.7499pt;width: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4595495</wp:posOffset>
            </wp:positionH>
            <wp:positionV relativeFrom="paragraph">
              <wp:posOffset>-55880</wp:posOffset>
            </wp:positionV>
            <wp:extent cx="866140" cy="74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2">
                      <a:extLst>
                        <a:ext uri="{28A0092B-C50C-407E-A947-70E740481C1C}"/>
                      </a:extLst>
                    </a:blip>
                    <a:srcRect/>
                    <a:stretch>
                      <a:fillRect/>
                    </a:stretch>
                  </pic:blipFill>
                  <pic:spPr bwMode="auto">
                    <a:xfrm>
                      <a:off x="0" y="0"/>
                      <a:ext cx="866140" cy="74930"/>
                    </a:xfrm>
                    <a:prstGeom prst="rect">
                      <a:avLst/>
                    </a:prstGeom>
                    <a:noFill/>
                  </pic:spPr>
                </pic:pic>
              </a:graphicData>
            </a:graphic>
          </wp:anchor>
        </w:drawing>
      </w:r>
    </w:p>
    <w:p>
      <w:pPr>
        <w:spacing w:after="0" w:line="165"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Company performed its annual impairment tests of goodwill and indefinite-lived intangible assets during the fourth quarter of 2025 by assessing qualitative factors to determine whether it was more likely than not that the fair values of its reporting units and indefinite-lived intangible assets were less than their respective carrying amounts. As a result of this assessment, the Company determined that it was more likely than not that the fair values of its reporting units and indefinite-lived intangible assets continued to exceed their respective carrying amounts and, therefore, a quantitative impairment test was not necessary.</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120"/>
          </w:cols>
          <w:pgMar w:left="880" w:top="285" w:right="88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PROPERTY, BUILDINGS AND EQUIPMENT</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components of property, buildings and equipment:</w:t>
      </w:r>
    </w:p>
    <w:p>
      <w:pPr>
        <w:spacing w:after="0" w:line="169"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340" w:type="dxa"/>
            <w:vAlign w:val="bottom"/>
            <w:tcBorders>
              <w:bottom w:val="single" w:sz="8" w:color="231F20"/>
            </w:tcBorders>
            <w:gridSpan w:val="4"/>
          </w:tcPr>
          <w:p>
            <w:pPr>
              <w:jc w:val="right"/>
              <w:ind w:right="502"/>
              <w:spacing w:after="0"/>
              <w:rPr>
                <w:sz w:val="20"/>
                <w:szCs w:val="20"/>
                <w:color w:val="auto"/>
              </w:rPr>
            </w:pPr>
            <w:r>
              <w:rPr>
                <w:rFonts w:ascii="Times New Roman" w:cs="Times New Roman" w:eastAsia="Times New Roman" w:hAnsi="Times New Roman"/>
                <w:sz w:val="18"/>
                <w:szCs w:val="18"/>
                <w:b w:val="1"/>
                <w:bCs w:val="1"/>
                <w:color w:val="231F20"/>
              </w:rPr>
              <w:t>As of December 31,</w:t>
            </w:r>
          </w:p>
        </w:tc>
      </w:tr>
      <w:tr>
        <w:trPr>
          <w:trHeight w:val="231"/>
        </w:trPr>
        <w:tc>
          <w:tcPr>
            <w:tcW w:w="474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33"/>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880" w:type="dxa"/>
            <w:vAlign w:val="bottom"/>
          </w:tcPr>
          <w:p>
            <w:pPr>
              <w:spacing w:after="0"/>
              <w:rPr>
                <w:sz w:val="20"/>
                <w:szCs w:val="20"/>
                <w:color w:val="auto"/>
              </w:rPr>
            </w:pPr>
          </w:p>
        </w:tc>
      </w:tr>
      <w:tr>
        <w:trPr>
          <w:trHeight w:val="303"/>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Buildings and leasehold improvements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270.8</w:t>
            </w:r>
          </w:p>
        </w:tc>
        <w:tc>
          <w:tcPr>
            <w:tcW w:w="480" w:type="dxa"/>
            <w:vAlign w:val="bottom"/>
            <w:gridSpan w:val="2"/>
            <w:shd w:val="clear" w:color="auto" w:fill="CFEBF4"/>
          </w:tcPr>
          <w:p>
            <w:pPr>
              <w:jc w:val="right"/>
              <w:ind w:right="161"/>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246.9</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Furniture, fixtures and equipment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404.4</w:t>
            </w:r>
          </w:p>
        </w:tc>
      </w:tr>
      <w:tr>
        <w:trPr>
          <w:trHeight w:val="291"/>
        </w:trPr>
        <w:tc>
          <w:tcPr>
            <w:tcW w:w="47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Software costs</w:t>
            </w: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360.5</w:t>
            </w:r>
          </w:p>
        </w:tc>
        <w:tc>
          <w:tcPr>
            <w:tcW w:w="6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spacing w:after="0"/>
              <w:rPr>
                <w:sz w:val="24"/>
                <w:szCs w:val="24"/>
                <w:color w:val="auto"/>
              </w:rPr>
            </w:pP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316.5</w:t>
            </w:r>
          </w:p>
        </w:tc>
      </w:tr>
      <w:tr>
        <w:trPr>
          <w:trHeight w:val="280"/>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967.8</w:t>
            </w:r>
          </w:p>
        </w:tc>
      </w:tr>
      <w:tr>
        <w:trPr>
          <w:trHeight w:val="291"/>
        </w:trPr>
        <w:tc>
          <w:tcPr>
            <w:tcW w:w="47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Accumulated depreciation and amortization</w:t>
            </w: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(626.1)</w:t>
            </w:r>
          </w:p>
        </w:tc>
        <w:tc>
          <w:tcPr>
            <w:tcW w:w="6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spacing w:after="0"/>
              <w:rPr>
                <w:sz w:val="24"/>
                <w:szCs w:val="24"/>
                <w:color w:val="auto"/>
              </w:rPr>
            </w:pP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(554.1)</w:t>
            </w:r>
          </w:p>
        </w:tc>
      </w:tr>
      <w:tr>
        <w:trPr>
          <w:trHeight w:val="280"/>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413.7</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Land</w:t>
            </w:r>
          </w:p>
        </w:tc>
        <w:tc>
          <w:tcPr>
            <w:tcW w:w="32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29.7</w:t>
            </w:r>
          </w:p>
        </w:tc>
        <w:tc>
          <w:tcPr>
            <w:tcW w:w="60" w:type="dxa"/>
            <w:vAlign w:val="bottom"/>
            <w:shd w:val="clear" w:color="auto" w:fill="CFEBF4"/>
          </w:tcPr>
          <w:p>
            <w:pPr>
              <w:spacing w:after="0"/>
              <w:rPr>
                <w:sz w:val="24"/>
                <w:szCs w:val="24"/>
                <w:color w:val="auto"/>
              </w:rPr>
            </w:pPr>
          </w:p>
        </w:tc>
        <w:tc>
          <w:tcPr>
            <w:tcW w:w="42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25.3</w:t>
            </w:r>
          </w:p>
        </w:tc>
      </w:tr>
      <w:tr>
        <w:trPr>
          <w:trHeight w:val="285"/>
        </w:trPr>
        <w:tc>
          <w:tcPr>
            <w:tcW w:w="474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Construction in progress</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Borders>
              <w:bottom w:val="single" w:sz="8" w:color="CFEBF4"/>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w:t>
            </w:r>
          </w:p>
        </w:tc>
      </w:tr>
      <w:tr>
        <w:trPr>
          <w:trHeight w:val="295"/>
        </w:trPr>
        <w:tc>
          <w:tcPr>
            <w:tcW w:w="474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Property, buildings and equipment, net</w:t>
            </w:r>
          </w:p>
        </w:tc>
        <w:tc>
          <w:tcPr>
            <w:tcW w:w="320" w:type="dxa"/>
            <w:vAlign w:val="bottom"/>
            <w:tcBorders>
              <w:bottom w:val="single" w:sz="8" w:color="231F20"/>
            </w:tcBorders>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466.8</w:t>
            </w:r>
          </w:p>
        </w:tc>
        <w:tc>
          <w:tcPr>
            <w:tcW w:w="6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jc w:val="right"/>
              <w:ind w:right="161"/>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-1169035</wp:posOffset>
            </wp:positionV>
            <wp:extent cx="888365" cy="50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3">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-793750</wp:posOffset>
            </wp:positionV>
            <wp:extent cx="888365" cy="50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4">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-231140</wp:posOffset>
            </wp:positionV>
            <wp:extent cx="888365" cy="50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5">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-55880</wp:posOffset>
            </wp:positionV>
            <wp:extent cx="1729740" cy="749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6">
                      <a:extLst>
                        <a:ext uri="{28A0092B-C50C-407E-A947-70E740481C1C}"/>
                      </a:extLst>
                    </a:blip>
                    <a:srcRect/>
                    <a:stretch>
                      <a:fillRect/>
                    </a:stretch>
                  </pic:blipFill>
                  <pic:spPr bwMode="auto">
                    <a:xfrm>
                      <a:off x="0" y="0"/>
                      <a:ext cx="1729740" cy="74930"/>
                    </a:xfrm>
                    <a:prstGeom prst="rect">
                      <a:avLst/>
                    </a:prstGeom>
                    <a:noFill/>
                  </pic:spPr>
                </pic:pic>
              </a:graphicData>
            </a:graphic>
          </wp:anchor>
        </w:drawing>
      </w:r>
    </w:p>
    <w:p>
      <w:pPr>
        <w:spacing w:after="0" w:line="10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Depreciation expense was $83.9 million, $66.8 million and $56.3 million, and capitalized software amortization was $24.6 million, $30.3 million and $36.4 million, in 2025, 2024 and 2023, respectively. As of December 31, 2025 and 2024, unamortized software costs were $71.0 million and $88.9 million, respectively. Furniture, fixtures and equipment include finance leases of $111.8 million and $85.4 million and related accumulated depreciation of $43.4 million and $27.6 million as of December 31,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8. LEASES</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Wesco leases substantially all of its real estate, as well as automobiles, trucks, information technology hardware, and other equipment under lease arrangements classified as operating and finance.</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supplemental balance sheet information related to leases for the periods presented:</w:t>
      </w:r>
    </w:p>
    <w:p>
      <w:pPr>
        <w:spacing w:after="0" w:line="2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231F20"/>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19685</wp:posOffset>
            </wp:positionV>
            <wp:extent cx="2476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7">
                      <a:extLst>
                        <a:ext uri="{28A0092B-C50C-407E-A947-70E740481C1C}"/>
                      </a:extLst>
                    </a:blip>
                    <a:srcRect/>
                    <a:stretch>
                      <a:fillRect/>
                    </a:stretch>
                  </pic:blipFill>
                  <pic:spPr bwMode="auto">
                    <a:xfrm>
                      <a:off x="0" y="0"/>
                      <a:ext cx="24765" cy="12700"/>
                    </a:xfrm>
                    <a:prstGeom prst="rect">
                      <a:avLst/>
                    </a:prstGeom>
                    <a:noFill/>
                  </pic:spPr>
                </pic:pic>
              </a:graphicData>
            </a:graphic>
          </wp:anchor>
        </w:drawing>
      </w:r>
    </w:p>
    <w:p>
      <w:pPr>
        <w:spacing w:after="0" w:line="69"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8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Operating Leases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1"/>
        </w:trPr>
        <w:tc>
          <w:tcPr>
            <w:tcW w:w="44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Operating lease assets</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888.3</w:t>
            </w:r>
          </w:p>
        </w:tc>
        <w:tc>
          <w:tcPr>
            <w:tcW w:w="380" w:type="dxa"/>
            <w:vAlign w:val="bottom"/>
            <w:gridSpan w:val="2"/>
            <w:shd w:val="clear" w:color="auto" w:fill="CFEBF4"/>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735.1</w:t>
            </w:r>
          </w:p>
        </w:tc>
      </w:tr>
      <w:tr>
        <w:trPr>
          <w:trHeight w:val="296"/>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6"/>
        </w:trPr>
        <w:tc>
          <w:tcPr>
            <w:tcW w:w="44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Current operating lease liabilities</w:t>
            </w:r>
            <w:r>
              <w:rPr>
                <w:rFonts w:ascii="Times New Roman" w:cs="Times New Roman" w:eastAsia="Times New Roman" w:hAnsi="Times New Roman"/>
                <w:sz w:val="25"/>
                <w:szCs w:val="25"/>
                <w:color w:val="231F20"/>
                <w:vertAlign w:val="superscript"/>
              </w:rPr>
              <w:t>(1)</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198.9</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169.5</w:t>
            </w:r>
          </w:p>
        </w:tc>
      </w:tr>
      <w:tr>
        <w:trPr>
          <w:trHeight w:val="285"/>
        </w:trPr>
        <w:tc>
          <w:tcPr>
            <w:tcW w:w="444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Noncurrent operating lease liabilities</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752.2</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614.8</w:t>
            </w:r>
          </w:p>
        </w:tc>
      </w:tr>
      <w:tr>
        <w:trPr>
          <w:trHeight w:val="286"/>
        </w:trPr>
        <w:tc>
          <w:tcPr>
            <w:tcW w:w="444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Total operating lease liabilities</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951.1</w:t>
            </w:r>
          </w:p>
        </w:tc>
        <w:tc>
          <w:tcPr>
            <w:tcW w:w="380" w:type="dxa"/>
            <w:vAlign w:val="bottom"/>
            <w:gridSpan w:val="2"/>
            <w:shd w:val="clear" w:color="auto" w:fill="CFEBF4"/>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784.3</w:t>
            </w:r>
          </w:p>
        </w:tc>
      </w:tr>
      <w:tr>
        <w:trPr>
          <w:trHeight w:val="296"/>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6"/>
        </w:trPr>
        <w:tc>
          <w:tcPr>
            <w:tcW w:w="44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b w:val="1"/>
                <w:bCs w:val="1"/>
                <w:color w:val="231F20"/>
              </w:rPr>
              <w:t>Finance Leases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r>
      <w:tr>
        <w:trPr>
          <w:trHeight w:val="296"/>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Finance lease assets, net</w:t>
            </w:r>
            <w:r>
              <w:rPr>
                <w:rFonts w:ascii="Times New Roman" w:cs="Times New Roman" w:eastAsia="Times New Roman" w:hAnsi="Times New Roman"/>
                <w:sz w:val="25"/>
                <w:szCs w:val="25"/>
                <w:color w:val="231F20"/>
                <w:vertAlign w:val="superscript"/>
              </w:rPr>
              <w:t>(1)</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57.8</w:t>
            </w:r>
          </w:p>
        </w:tc>
      </w:tr>
      <w:tr>
        <w:trPr>
          <w:trHeight w:val="296"/>
        </w:trPr>
        <w:tc>
          <w:tcPr>
            <w:tcW w:w="444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r>
      <w:tr>
        <w:trPr>
          <w:trHeight w:val="296"/>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Current finance lease liabilities</w:t>
            </w:r>
            <w:r>
              <w:rPr>
                <w:rFonts w:ascii="Times New Roman" w:cs="Times New Roman" w:eastAsia="Times New Roman" w:hAnsi="Times New Roman"/>
                <w:sz w:val="25"/>
                <w:szCs w:val="25"/>
                <w:color w:val="231F20"/>
                <w:vertAlign w:val="superscript"/>
              </w:rPr>
              <w:t>(1)</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w:t>
            </w:r>
          </w:p>
        </w:tc>
      </w:tr>
      <w:tr>
        <w:trPr>
          <w:trHeight w:val="286"/>
        </w:trPr>
        <w:tc>
          <w:tcPr>
            <w:tcW w:w="4440" w:type="dxa"/>
            <w:vAlign w:val="bottom"/>
            <w:tcBorders>
              <w:bottom w:val="single" w:sz="8" w:color="CFEBF4"/>
            </w:tcBorders>
            <w:shd w:val="clear" w:color="auto" w:fill="CFEBF4"/>
          </w:tcPr>
          <w:p>
            <w:pPr>
              <w:ind w:left="40"/>
              <w:spacing w:after="0" w:line="286" w:lineRule="exact"/>
              <w:rPr>
                <w:sz w:val="20"/>
                <w:szCs w:val="20"/>
                <w:color w:val="auto"/>
              </w:rPr>
            </w:pPr>
            <w:r>
              <w:rPr>
                <w:rFonts w:ascii="Times New Roman" w:cs="Times New Roman" w:eastAsia="Times New Roman" w:hAnsi="Times New Roman"/>
                <w:sz w:val="20"/>
                <w:szCs w:val="20"/>
                <w:color w:val="231F20"/>
              </w:rPr>
              <w:t>Noncurrent finance lease liabilities</w:t>
            </w:r>
            <w:r>
              <w:rPr>
                <w:rFonts w:ascii="Times New Roman" w:cs="Times New Roman" w:eastAsia="Times New Roman" w:hAnsi="Times New Roman"/>
                <w:sz w:val="25"/>
                <w:szCs w:val="25"/>
                <w:color w:val="231F20"/>
                <w:vertAlign w:val="superscript"/>
              </w:rPr>
              <w:t>(1)</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47.9</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42.2</w:t>
            </w:r>
          </w:p>
        </w:tc>
      </w:tr>
      <w:tr>
        <w:trPr>
          <w:trHeight w:val="256"/>
        </w:trPr>
        <w:tc>
          <w:tcPr>
            <w:tcW w:w="444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Total finance lease liabilities</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57.3</w:t>
            </w:r>
          </w:p>
        </w:tc>
      </w:tr>
      <w:tr>
        <w:trPr>
          <w:trHeight w:val="20"/>
        </w:trPr>
        <w:tc>
          <w:tcPr>
            <w:tcW w:w="444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-1544320</wp:posOffset>
            </wp:positionV>
            <wp:extent cx="888365"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8">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-231140</wp:posOffset>
            </wp:positionV>
            <wp:extent cx="88836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9">
                      <a:extLst>
                        <a:ext uri="{28A0092B-C50C-407E-A947-70E740481C1C}"/>
                      </a:extLst>
                    </a:blip>
                    <a:srcRect/>
                    <a:stretch>
                      <a:fillRect/>
                    </a:stretch>
                  </pic:blipFill>
                  <pic:spPr bwMode="auto">
                    <a:xfrm>
                      <a:off x="0" y="0"/>
                      <a:ext cx="888365" cy="50165"/>
                    </a:xfrm>
                    <a:prstGeom prst="rect">
                      <a:avLst/>
                    </a:prstGeom>
                    <a:noFill/>
                  </pic:spPr>
                </pic:pic>
              </a:graphicData>
            </a:graphic>
          </wp:anchor>
        </w:drawing>
      </w:r>
    </w:p>
    <w:p>
      <w:pPr>
        <w:spacing w:after="0" w:line="54" w:lineRule="exact"/>
        <w:rPr>
          <w:sz w:val="20"/>
          <w:szCs w:val="20"/>
          <w:color w:val="auto"/>
        </w:rPr>
      </w:pPr>
    </w:p>
    <w:p>
      <w:pPr>
        <w:jc w:val="both"/>
        <w:ind w:left="540" w:hanging="267"/>
        <w:spacing w:after="0" w:line="232" w:lineRule="auto"/>
        <w:tabs>
          <w:tab w:leader="none" w:pos="540" w:val="left"/>
        </w:tabs>
        <w:numPr>
          <w:ilvl w:val="0"/>
          <w:numId w:val="26"/>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Current operating lease liabilities, finance lease assets, net, current finance lease liabilities and noncurrent finance lease liabilities are recorded as components of other current liabilities, property, buildings and equipment, net, short-term debt and current portion of long-term debt, and long-term debt, respectively, in the Consolidated Balance Sheets.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120"/>
          </w:cols>
          <w:pgMar w:left="880" w:top="285" w:right="88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Company’s total lease cost for the periods presented:</w:t>
      </w:r>
    </w:p>
    <w:p>
      <w:pPr>
        <w:spacing w:after="0" w:line="199"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78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920" w:type="dxa"/>
            <w:vAlign w:val="bottom"/>
            <w:tcBorders>
              <w:bottom w:val="single" w:sz="8" w:color="231F20"/>
            </w:tcBorders>
          </w:tcPr>
          <w:p>
            <w:pPr>
              <w:spacing w:after="0"/>
              <w:rPr>
                <w:sz w:val="20"/>
                <w:szCs w:val="20"/>
                <w:color w:val="auto"/>
              </w:rPr>
            </w:pPr>
          </w:p>
        </w:tc>
      </w:tr>
      <w:tr>
        <w:trPr>
          <w:trHeight w:val="261"/>
        </w:trPr>
        <w:tc>
          <w:tcPr>
            <w:tcW w:w="472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Borders>
              <w:bottom w:val="single" w:sz="8" w:color="CFEBF4"/>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47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Operating lease cost</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237.1</w:t>
            </w:r>
          </w:p>
        </w:tc>
        <w:tc>
          <w:tcPr>
            <w:tcW w:w="380" w:type="dxa"/>
            <w:vAlign w:val="bottom"/>
            <w:gridSpan w:val="2"/>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223.6</w:t>
            </w:r>
          </w:p>
        </w:tc>
        <w:tc>
          <w:tcPr>
            <w:tcW w:w="440" w:type="dxa"/>
            <w:vAlign w:val="bottom"/>
            <w:gridSpan w:val="2"/>
            <w:shd w:val="clear" w:color="auto" w:fill="CFEBF4"/>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197.0</w:t>
            </w:r>
          </w:p>
        </w:tc>
      </w:tr>
      <w:tr>
        <w:trPr>
          <w:trHeight w:val="290"/>
        </w:trPr>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Variable lease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53.2</w:t>
            </w:r>
          </w:p>
        </w:tc>
      </w:tr>
      <w:tr>
        <w:trPr>
          <w:trHeight w:val="301"/>
        </w:trPr>
        <w:tc>
          <w:tcPr>
            <w:tcW w:w="47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Short-term lease cost</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80" w:type="dxa"/>
            <w:vAlign w:val="bottom"/>
            <w:shd w:val="clear" w:color="auto" w:fill="CFEBF4"/>
          </w:tcPr>
          <w:p>
            <w:pPr>
              <w:spacing w:after="0"/>
              <w:rPr>
                <w:sz w:val="24"/>
                <w:szCs w:val="24"/>
                <w:color w:val="auto"/>
              </w:rPr>
            </w:pPr>
          </w:p>
        </w:tc>
        <w:tc>
          <w:tcPr>
            <w:tcW w:w="360" w:type="dxa"/>
            <w:vAlign w:val="bottom"/>
            <w:shd w:val="clear" w:color="auto" w:fill="CFEBF4"/>
          </w:tcPr>
          <w:p>
            <w:pPr>
              <w:spacing w:after="0"/>
              <w:rPr>
                <w:sz w:val="24"/>
                <w:szCs w:val="24"/>
                <w:color w:val="auto"/>
              </w:rPr>
            </w:pP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85"/>
        </w:trPr>
        <w:tc>
          <w:tcPr>
            <w:tcW w:w="472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Amortization of finance lease assets</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15.4</w:t>
            </w:r>
          </w:p>
        </w:tc>
        <w:tc>
          <w:tcPr>
            <w:tcW w:w="80" w:type="dxa"/>
            <w:vAlign w:val="bottom"/>
            <w:tcBorders>
              <w:bottom w:val="single" w:sz="8" w:color="CFEBF4"/>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95"/>
        </w:trPr>
        <w:tc>
          <w:tcPr>
            <w:tcW w:w="4720" w:type="dxa"/>
            <w:vAlign w:val="bottom"/>
            <w:tcBorders>
              <w:bottom w:val="single" w:sz="8" w:color="CFEBF4"/>
            </w:tcBorders>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Total lease cost</w:t>
            </w:r>
          </w:p>
        </w:tc>
        <w:tc>
          <w:tcPr>
            <w:tcW w:w="300" w:type="dxa"/>
            <w:vAlign w:val="bottom"/>
            <w:tcBorders>
              <w:bottom w:val="single" w:sz="8" w:color="231F20"/>
            </w:tcBorders>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327.2</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306.2</w:t>
            </w:r>
          </w:p>
        </w:tc>
        <w:tc>
          <w:tcPr>
            <w:tcW w:w="80" w:type="dxa"/>
            <w:vAlign w:val="bottom"/>
            <w:tcBorders>
              <w:bottom w:val="single" w:sz="8" w:color="CFEBF4"/>
            </w:tcBorders>
            <w:shd w:val="clear" w:color="auto" w:fill="CFEBF4"/>
          </w:tcPr>
          <w:p>
            <w:pPr>
              <w:spacing w:after="0"/>
              <w:rPr>
                <w:sz w:val="24"/>
                <w:szCs w:val="24"/>
                <w:color w:val="auto"/>
              </w:rPr>
            </w:pPr>
          </w:p>
        </w:tc>
        <w:tc>
          <w:tcPr>
            <w:tcW w:w="360" w:type="dxa"/>
            <w:vAlign w:val="bottom"/>
            <w:tcBorders>
              <w:bottom w:val="single" w:sz="8" w:color="231F20"/>
            </w:tcBorders>
            <w:shd w:val="clear" w:color="auto" w:fill="CFEBF4"/>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-981710</wp:posOffset>
            </wp:positionV>
            <wp:extent cx="2592705"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0">
                      <a:extLst>
                        <a:ext uri="{28A0092B-C50C-407E-A947-70E740481C1C}"/>
                      </a:extLst>
                    </a:blip>
                    <a:srcRect/>
                    <a:stretch>
                      <a:fillRect/>
                    </a:stretch>
                  </pic:blipFill>
                  <pic:spPr bwMode="auto">
                    <a:xfrm>
                      <a:off x="0" y="0"/>
                      <a:ext cx="2592705" cy="5016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-231140</wp:posOffset>
            </wp:positionV>
            <wp:extent cx="175133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1">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-55880</wp:posOffset>
            </wp:positionV>
            <wp:extent cx="2592705" cy="749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2">
                      <a:extLst>
                        <a:ext uri="{28A0092B-C50C-407E-A947-70E740481C1C}"/>
                      </a:extLst>
                    </a:blip>
                    <a:srcRect/>
                    <a:stretch>
                      <a:fillRect/>
                    </a:stretch>
                  </pic:blipFill>
                  <pic:spPr bwMode="auto">
                    <a:xfrm>
                      <a:off x="0" y="0"/>
                      <a:ext cx="2592705" cy="74930"/>
                    </a:xfrm>
                    <a:prstGeom prst="rect">
                      <a:avLst/>
                    </a:prstGeom>
                    <a:noFill/>
                  </pic:spPr>
                </pic:pic>
              </a:graphicData>
            </a:graphic>
          </wp:anchor>
        </w:drawing>
      </w:r>
    </w:p>
    <w:p>
      <w:pPr>
        <w:spacing w:after="0" w:line="10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Operating lease cost, variable lease cost, and short-term lease cost are recorded as a component of selling, general and administrative expenses. Amortization of finance lease assets is recorded as a component of depreciation and amortization. For the years ended December 31, 2025, 2024 and 2023, interest on finance lease assets was not material. Variable lease cost consists of the non-lease components described in Note 2, “Accounting Policies”, as well as taxes and insurance for Wesco’s leased real estate.</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supplemental cash flow information related to leases for the periods presented:</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780" w:type="dxa"/>
            <w:vAlign w:val="bottom"/>
            <w:tcBorders>
              <w:bottom w:val="single" w:sz="8" w:color="231F20"/>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900" w:type="dxa"/>
            <w:vAlign w:val="bottom"/>
            <w:tcBorders>
              <w:bottom w:val="single" w:sz="8" w:color="231F20"/>
            </w:tcBorders>
          </w:tcPr>
          <w:p>
            <w:pPr>
              <w:spacing w:after="0"/>
              <w:rPr>
                <w:sz w:val="20"/>
                <w:szCs w:val="20"/>
                <w:color w:val="auto"/>
              </w:rPr>
            </w:pPr>
          </w:p>
        </w:tc>
      </w:tr>
      <w:tr>
        <w:trPr>
          <w:trHeight w:val="276"/>
        </w:trPr>
        <w:tc>
          <w:tcPr>
            <w:tcW w:w="47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2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36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Borders>
              <w:bottom w:val="single" w:sz="8" w:color="CFEBF4"/>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Operating cash flows from operating leases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223.9</w:t>
            </w:r>
          </w:p>
        </w:tc>
        <w:tc>
          <w:tcPr>
            <w:tcW w:w="380" w:type="dxa"/>
            <w:vAlign w:val="bottom"/>
            <w:gridSpan w:val="2"/>
            <w:shd w:val="clear" w:color="auto" w:fill="CFEBF4"/>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212.7</w:t>
            </w:r>
          </w:p>
        </w:tc>
        <w:tc>
          <w:tcPr>
            <w:tcW w:w="460" w:type="dxa"/>
            <w:vAlign w:val="bottom"/>
            <w:gridSpan w:val="2"/>
            <w:shd w:val="clear" w:color="auto" w:fill="CFEBF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174.5</w:t>
            </w:r>
          </w:p>
        </w:tc>
      </w:tr>
      <w:tr>
        <w:trPr>
          <w:trHeight w:val="275"/>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Financing cash flows from finance leases</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w:t>
            </w:r>
          </w:p>
        </w:tc>
      </w:tr>
      <w:tr>
        <w:trPr>
          <w:trHeight w:val="316"/>
        </w:trPr>
        <w:tc>
          <w:tcPr>
            <w:tcW w:w="472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80" w:type="dxa"/>
            <w:vAlign w:val="bottom"/>
            <w:shd w:val="clear" w:color="auto" w:fill="CFEBF4"/>
          </w:tcPr>
          <w:p>
            <w:pPr>
              <w:spacing w:after="0"/>
              <w:rPr>
                <w:sz w:val="24"/>
                <w:szCs w:val="24"/>
                <w:color w:val="auto"/>
              </w:rPr>
            </w:pPr>
          </w:p>
        </w:tc>
        <w:tc>
          <w:tcPr>
            <w:tcW w:w="900" w:type="dxa"/>
            <w:vAlign w:val="bottom"/>
            <w:shd w:val="clear" w:color="auto" w:fill="CFEBF4"/>
          </w:tcPr>
          <w:p>
            <w:pPr>
              <w:spacing w:after="0"/>
              <w:rPr>
                <w:sz w:val="24"/>
                <w:szCs w:val="24"/>
                <w:color w:val="auto"/>
              </w:rPr>
            </w:pPr>
          </w:p>
        </w:tc>
      </w:tr>
      <w:tr>
        <w:trPr>
          <w:trHeight w:val="219"/>
        </w:trPr>
        <w:tc>
          <w:tcPr>
            <w:tcW w:w="4720" w:type="dxa"/>
            <w:vAlign w:val="bottom"/>
          </w:tcPr>
          <w:p>
            <w:pPr>
              <w:ind w:left="40"/>
              <w:spacing w:after="0" w:line="219" w:lineRule="exact"/>
              <w:rPr>
                <w:sz w:val="20"/>
                <w:szCs w:val="20"/>
                <w:color w:val="auto"/>
              </w:rPr>
            </w:pPr>
            <w:r>
              <w:rPr>
                <w:rFonts w:ascii="Times New Roman" w:cs="Times New Roman" w:eastAsia="Times New Roman" w:hAnsi="Times New Roman"/>
                <w:sz w:val="20"/>
                <w:szCs w:val="20"/>
                <w:color w:val="231F20"/>
              </w:rPr>
              <w:t>Leased assets obtained in exchange for new lease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3"/>
        </w:trPr>
        <w:tc>
          <w:tcPr>
            <w:tcW w:w="4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liabilities: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6"/>
        </w:trPr>
        <w:tc>
          <w:tcPr>
            <w:tcW w:w="4720" w:type="dxa"/>
            <w:vAlign w:val="bottom"/>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Operating leases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343.1</w:t>
            </w:r>
          </w:p>
        </w:tc>
        <w:tc>
          <w:tcPr>
            <w:tcW w:w="380" w:type="dxa"/>
            <w:vAlign w:val="bottom"/>
            <w:gridSpan w:val="2"/>
            <w:shd w:val="clear" w:color="auto" w:fill="CFEBF4"/>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205.5</w:t>
            </w:r>
          </w:p>
        </w:tc>
        <w:tc>
          <w:tcPr>
            <w:tcW w:w="460" w:type="dxa"/>
            <w:vAlign w:val="bottom"/>
            <w:gridSpan w:val="2"/>
            <w:shd w:val="clear" w:color="auto" w:fill="CFEBF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296.9</w:t>
            </w:r>
          </w:p>
        </w:tc>
      </w:tr>
      <w:tr>
        <w:trPr>
          <w:trHeight w:val="269"/>
        </w:trPr>
        <w:tc>
          <w:tcPr>
            <w:tcW w:w="47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Finance leases</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-1245870</wp:posOffset>
            </wp:positionV>
            <wp:extent cx="259270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3">
                      <a:extLst>
                        <a:ext uri="{28A0092B-C50C-407E-A947-70E740481C1C}"/>
                      </a:extLst>
                    </a:blip>
                    <a:srcRect/>
                    <a:stretch>
                      <a:fillRect/>
                    </a:stretch>
                  </pic:blipFill>
                  <pic:spPr bwMode="auto">
                    <a:xfrm>
                      <a:off x="0" y="0"/>
                      <a:ext cx="2592705" cy="50165"/>
                    </a:xfrm>
                    <a:prstGeom prst="rect">
                      <a:avLst/>
                    </a:prstGeom>
                    <a:noFill/>
                  </pic:spPr>
                </pic:pic>
              </a:graphicData>
            </a:graphic>
          </wp:anchor>
        </w:drawing>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For the years ended December 31, 2025, 2024 and 2023 operating cash flows from finance leases were not material.</w:t>
      </w:r>
    </w:p>
    <w:p>
      <w:pPr>
        <w:spacing w:after="0" w:line="125"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weighted-average information associated with the measurement of our remaining lease liabilities for the periods presented:</w:t>
      </w:r>
    </w:p>
    <w:p>
      <w:pPr>
        <w:spacing w:after="0" w:line="232"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640" w:type="dxa"/>
            <w:vAlign w:val="bottom"/>
            <w:tcBorders>
              <w:bottom w:val="single" w:sz="8" w:color="231F20"/>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231F20"/>
              </w:rPr>
              <w:t>As of December 31,</w:t>
            </w:r>
          </w:p>
        </w:tc>
      </w:tr>
      <w:tr>
        <w:trPr>
          <w:trHeight w:val="276"/>
        </w:trPr>
        <w:tc>
          <w:tcPr>
            <w:tcW w:w="44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2024</w:t>
            </w:r>
          </w:p>
        </w:tc>
      </w:tr>
      <w:tr>
        <w:trPr>
          <w:trHeight w:val="28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Weighted-average remaining lease term (in years)</w:t>
            </w:r>
          </w:p>
        </w:tc>
        <w:tc>
          <w:tcPr>
            <w:tcW w:w="128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top w:val="single" w:sz="8" w:color="231F20"/>
            </w:tcBorders>
          </w:tcPr>
          <w:p>
            <w:pPr>
              <w:spacing w:after="0"/>
              <w:rPr>
                <w:sz w:val="24"/>
                <w:szCs w:val="24"/>
                <w:color w:val="auto"/>
              </w:rPr>
            </w:pPr>
          </w:p>
        </w:tc>
      </w:tr>
      <w:tr>
        <w:trPr>
          <w:trHeight w:val="301"/>
        </w:trPr>
        <w:tc>
          <w:tcPr>
            <w:tcW w:w="44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Operating leases</w:t>
            </w:r>
          </w:p>
        </w:tc>
        <w:tc>
          <w:tcPr>
            <w:tcW w:w="128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6</w:t>
            </w:r>
          </w:p>
        </w:tc>
        <w:tc>
          <w:tcPr>
            <w:tcW w:w="1360" w:type="dxa"/>
            <w:vAlign w:val="bottom"/>
            <w:gridSpan w:val="2"/>
            <w:shd w:val="clear" w:color="auto" w:fill="CFEBF4"/>
          </w:tcPr>
          <w:p>
            <w:pPr>
              <w:jc w:val="center"/>
              <w:ind w:left="3"/>
              <w:spacing w:after="0"/>
              <w:rPr>
                <w:sz w:val="20"/>
                <w:szCs w:val="20"/>
                <w:color w:val="auto"/>
              </w:rPr>
            </w:pPr>
            <w:r>
              <w:rPr>
                <w:rFonts w:ascii="Times New Roman" w:cs="Times New Roman" w:eastAsia="Times New Roman" w:hAnsi="Times New Roman"/>
                <w:sz w:val="20"/>
                <w:szCs w:val="20"/>
                <w:color w:val="231F20"/>
                <w:w w:val="99"/>
              </w:rPr>
              <w:t>6</w:t>
            </w:r>
          </w:p>
        </w:tc>
      </w:tr>
      <w:tr>
        <w:trPr>
          <w:trHeight w:val="29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Finance leases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w:t>
            </w:r>
          </w:p>
        </w:tc>
        <w:tc>
          <w:tcPr>
            <w:tcW w:w="1360" w:type="dxa"/>
            <w:vAlign w:val="bottom"/>
            <w:gridSpan w:val="2"/>
          </w:tcPr>
          <w:p>
            <w:pPr>
              <w:jc w:val="center"/>
              <w:ind w:left="3"/>
              <w:spacing w:after="0"/>
              <w:rPr>
                <w:sz w:val="20"/>
                <w:szCs w:val="20"/>
                <w:color w:val="auto"/>
              </w:rPr>
            </w:pPr>
            <w:r>
              <w:rPr>
                <w:rFonts w:ascii="Times New Roman" w:cs="Times New Roman" w:eastAsia="Times New Roman" w:hAnsi="Times New Roman"/>
                <w:sz w:val="20"/>
                <w:szCs w:val="20"/>
                <w:color w:val="231F20"/>
                <w:w w:val="99"/>
              </w:rPr>
              <w:t>5</w:t>
            </w:r>
          </w:p>
        </w:tc>
      </w:tr>
      <w:tr>
        <w:trPr>
          <w:trHeight w:val="301"/>
        </w:trPr>
        <w:tc>
          <w:tcPr>
            <w:tcW w:w="4440" w:type="dxa"/>
            <w:vAlign w:val="bottom"/>
            <w:shd w:val="clear" w:color="auto" w:fill="CFEBF4"/>
          </w:tcPr>
          <w:p>
            <w:pPr>
              <w:spacing w:after="0"/>
              <w:rPr>
                <w:sz w:val="24"/>
                <w:szCs w:val="24"/>
                <w:color w:val="auto"/>
              </w:rPr>
            </w:pPr>
          </w:p>
        </w:tc>
        <w:tc>
          <w:tcPr>
            <w:tcW w:w="12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280" w:type="dxa"/>
            <w:vAlign w:val="bottom"/>
            <w:shd w:val="clear" w:color="auto" w:fill="CFEBF4"/>
          </w:tcPr>
          <w:p>
            <w:pPr>
              <w:spacing w:after="0"/>
              <w:rPr>
                <w:sz w:val="24"/>
                <w:szCs w:val="24"/>
                <w:color w:val="auto"/>
              </w:rPr>
            </w:pPr>
          </w:p>
        </w:tc>
      </w:tr>
      <w:tr>
        <w:trPr>
          <w:trHeight w:val="29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Weighted-average discount rate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1"/>
        </w:trPr>
        <w:tc>
          <w:tcPr>
            <w:tcW w:w="44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Operating leases</w:t>
            </w:r>
          </w:p>
        </w:tc>
        <w:tc>
          <w:tcPr>
            <w:tcW w:w="1280" w:type="dxa"/>
            <w:vAlign w:val="bottom"/>
            <w:shd w:val="clear" w:color="auto" w:fill="CFEBF4"/>
          </w:tcPr>
          <w:p>
            <w:pPr>
              <w:jc w:val="right"/>
              <w:ind w:right="325"/>
              <w:spacing w:after="0"/>
              <w:rPr>
                <w:sz w:val="20"/>
                <w:szCs w:val="20"/>
                <w:color w:val="auto"/>
              </w:rPr>
            </w:pPr>
            <w:r>
              <w:rPr>
                <w:rFonts w:ascii="Times New Roman" w:cs="Times New Roman" w:eastAsia="Times New Roman" w:hAnsi="Times New Roman"/>
                <w:sz w:val="20"/>
                <w:szCs w:val="20"/>
                <w:color w:val="231F20"/>
              </w:rPr>
              <w:t>5.0%</w:t>
            </w:r>
          </w:p>
        </w:tc>
        <w:tc>
          <w:tcPr>
            <w:tcW w:w="1360" w:type="dxa"/>
            <w:vAlign w:val="bottom"/>
            <w:gridSpan w:val="2"/>
            <w:shd w:val="clear" w:color="auto" w:fill="CFEBF4"/>
          </w:tcPr>
          <w:p>
            <w:pPr>
              <w:jc w:val="right"/>
              <w:ind w:right="420"/>
              <w:spacing w:after="0"/>
              <w:rPr>
                <w:sz w:val="20"/>
                <w:szCs w:val="20"/>
                <w:color w:val="auto"/>
              </w:rPr>
            </w:pPr>
            <w:r>
              <w:rPr>
                <w:rFonts w:ascii="Times New Roman" w:cs="Times New Roman" w:eastAsia="Times New Roman" w:hAnsi="Times New Roman"/>
                <w:sz w:val="20"/>
                <w:szCs w:val="20"/>
                <w:color w:val="231F20"/>
              </w:rPr>
              <w:t>4.7%</w:t>
            </w:r>
          </w:p>
        </w:tc>
      </w:tr>
      <w:tr>
        <w:trPr>
          <w:trHeight w:val="284"/>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Finance leases</w:t>
            </w:r>
          </w:p>
        </w:tc>
        <w:tc>
          <w:tcPr>
            <w:tcW w:w="128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231F20"/>
              </w:rPr>
              <w:t>5.1%</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4.9%</w:t>
            </w:r>
          </w:p>
        </w:tc>
      </w:tr>
    </w:tbl>
    <w:p>
      <w:pPr>
        <w:spacing w:after="0" w:line="200" w:lineRule="exact"/>
        <w:rPr>
          <w:sz w:val="20"/>
          <w:szCs w:val="20"/>
          <w:color w:val="auto"/>
        </w:rPr>
      </w:pP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120"/>
          </w:cols>
          <w:pgMar w:left="880" w:top="285" w:right="88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maturities of the Company’s lease liabilities and reconciles the respective undiscounted payments to the lease liabilities in the Consolidated Balance Sheet as of December 31, 2025:</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580" w:type="dxa"/>
            <w:vAlign w:val="bottom"/>
            <w:tcBorders>
              <w:bottom w:val="single" w:sz="8" w:color="231F20"/>
            </w:tcBorders>
            <w:gridSpan w:val="2"/>
          </w:tcPr>
          <w:p>
            <w:pPr>
              <w:jc w:val="right"/>
              <w:ind w:right="23"/>
              <w:spacing w:after="0"/>
              <w:rPr>
                <w:sz w:val="20"/>
                <w:szCs w:val="20"/>
                <w:color w:val="auto"/>
              </w:rPr>
            </w:pPr>
            <w:r>
              <w:rPr>
                <w:rFonts w:ascii="Times New Roman" w:cs="Times New Roman" w:eastAsia="Times New Roman" w:hAnsi="Times New Roman"/>
                <w:sz w:val="18"/>
                <w:szCs w:val="18"/>
                <w:b w:val="1"/>
                <w:bCs w:val="1"/>
                <w:color w:val="231F20"/>
              </w:rPr>
              <w:t>Operating Leases</w:t>
            </w:r>
          </w:p>
        </w:tc>
        <w:tc>
          <w:tcPr>
            <w:tcW w:w="10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0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231F20"/>
              </w:rPr>
              <w:t>Finance Leases</w:t>
            </w:r>
          </w:p>
        </w:tc>
      </w:tr>
      <w:tr>
        <w:trPr>
          <w:trHeight w:val="234"/>
        </w:trPr>
        <w:tc>
          <w:tcPr>
            <w:tcW w:w="4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40" w:type="dxa"/>
            <w:vAlign w:val="bottom"/>
            <w:gridSpan w:val="4"/>
          </w:tcPr>
          <w:p>
            <w:pPr>
              <w:jc w:val="right"/>
              <w:ind w:right="1122"/>
              <w:spacing w:after="0"/>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303"/>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2026</w:t>
            </w:r>
          </w:p>
        </w:tc>
        <w:tc>
          <w:tcPr>
            <w:tcW w:w="520" w:type="dxa"/>
            <w:vAlign w:val="bottom"/>
            <w:shd w:val="clear" w:color="auto" w:fill="CFEBF4"/>
          </w:tcPr>
          <w:p>
            <w:pPr>
              <w:jc w:val="right"/>
              <w:ind w:right="285"/>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243.4</w:t>
            </w:r>
          </w:p>
        </w:tc>
        <w:tc>
          <w:tcPr>
            <w:tcW w:w="2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22.3</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2027</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2028</w:t>
            </w:r>
          </w:p>
        </w:tc>
        <w:tc>
          <w:tcPr>
            <w:tcW w:w="520" w:type="dxa"/>
            <w:vAlign w:val="bottom"/>
            <w:shd w:val="clear" w:color="auto" w:fill="CFEBF4"/>
          </w:tcPr>
          <w:p>
            <w:pPr>
              <w:spacing w:after="0"/>
              <w:rPr>
                <w:sz w:val="24"/>
                <w:szCs w:val="24"/>
                <w:color w:val="auto"/>
              </w:rPr>
            </w:pP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177.8</w:t>
            </w:r>
          </w:p>
        </w:tc>
        <w:tc>
          <w:tcPr>
            <w:tcW w:w="10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4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15.4</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2029</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2030</w:t>
            </w:r>
          </w:p>
        </w:tc>
        <w:tc>
          <w:tcPr>
            <w:tcW w:w="520" w:type="dxa"/>
            <w:vAlign w:val="bottom"/>
            <w:shd w:val="clear" w:color="auto" w:fill="CFEBF4"/>
          </w:tcPr>
          <w:p>
            <w:pPr>
              <w:spacing w:after="0"/>
              <w:rPr>
                <w:sz w:val="24"/>
                <w:szCs w:val="24"/>
                <w:color w:val="auto"/>
              </w:rPr>
            </w:pP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107.3</w:t>
            </w:r>
          </w:p>
        </w:tc>
        <w:tc>
          <w:tcPr>
            <w:tcW w:w="10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4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5.3</w:t>
            </w:r>
          </w:p>
        </w:tc>
      </w:tr>
      <w:tr>
        <w:trPr>
          <w:trHeight w:val="285"/>
        </w:trPr>
        <w:tc>
          <w:tcPr>
            <w:tcW w:w="474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Thereafter</w:t>
            </w:r>
          </w:p>
        </w:tc>
        <w:tc>
          <w:tcPr>
            <w:tcW w:w="5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215.6</w:t>
            </w:r>
          </w:p>
        </w:tc>
        <w:tc>
          <w:tcPr>
            <w:tcW w:w="10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w:t>
            </w:r>
          </w:p>
        </w:tc>
      </w:tr>
      <w:tr>
        <w:trPr>
          <w:trHeight w:val="286"/>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Total undiscounted lease payments</w:t>
            </w:r>
          </w:p>
        </w:tc>
        <w:tc>
          <w:tcPr>
            <w:tcW w:w="520" w:type="dxa"/>
            <w:vAlign w:val="bottom"/>
            <w:shd w:val="clear" w:color="auto" w:fill="CFEBF4"/>
          </w:tcPr>
          <w:p>
            <w:pPr>
              <w:spacing w:after="0"/>
              <w:rPr>
                <w:sz w:val="24"/>
                <w:szCs w:val="24"/>
                <w:color w:val="auto"/>
              </w:rPr>
            </w:pP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1,101.1</w:t>
            </w:r>
          </w:p>
        </w:tc>
        <w:tc>
          <w:tcPr>
            <w:tcW w:w="10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4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74.3</w:t>
            </w:r>
          </w:p>
        </w:tc>
      </w:tr>
      <w:tr>
        <w:trPr>
          <w:trHeight w:val="285"/>
        </w:trPr>
        <w:tc>
          <w:tcPr>
            <w:tcW w:w="4740" w:type="dxa"/>
            <w:vAlign w:val="bottom"/>
            <w:tcBorders>
              <w:bottom w:val="single" w:sz="8" w:color="CFEBF4"/>
            </w:tcBorders>
          </w:tcPr>
          <w:p>
            <w:pPr>
              <w:ind w:left="180"/>
              <w:spacing w:after="0"/>
              <w:rPr>
                <w:sz w:val="20"/>
                <w:szCs w:val="20"/>
                <w:color w:val="auto"/>
              </w:rPr>
            </w:pPr>
            <w:r>
              <w:rPr>
                <w:rFonts w:ascii="Times New Roman" w:cs="Times New Roman" w:eastAsia="Times New Roman" w:hAnsi="Times New Roman"/>
                <w:sz w:val="20"/>
                <w:szCs w:val="20"/>
                <w:color w:val="231F20"/>
              </w:rPr>
              <w:t>Less: imputed interest</w:t>
            </w:r>
          </w:p>
        </w:tc>
        <w:tc>
          <w:tcPr>
            <w:tcW w:w="5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10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w:t>
            </w:r>
          </w:p>
        </w:tc>
      </w:tr>
      <w:tr>
        <w:trPr>
          <w:trHeight w:val="295"/>
        </w:trPr>
        <w:tc>
          <w:tcPr>
            <w:tcW w:w="47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Total lease liabilities</w:t>
            </w:r>
          </w:p>
        </w:tc>
        <w:tc>
          <w:tcPr>
            <w:tcW w:w="520" w:type="dxa"/>
            <w:vAlign w:val="bottom"/>
            <w:tcBorders>
              <w:bottom w:val="single" w:sz="8" w:color="231F20"/>
            </w:tcBorders>
            <w:shd w:val="clear" w:color="auto" w:fill="CFEBF4"/>
          </w:tcPr>
          <w:p>
            <w:pPr>
              <w:jc w:val="right"/>
              <w:ind w:right="285"/>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951.1</w:t>
            </w:r>
          </w:p>
        </w:tc>
        <w:tc>
          <w:tcPr>
            <w:tcW w:w="10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-606425</wp:posOffset>
            </wp:positionV>
            <wp:extent cx="1094740"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4">
                      <a:extLst>
                        <a:ext uri="{28A0092B-C50C-407E-A947-70E740481C1C}"/>
                      </a:extLst>
                    </a:blip>
                    <a:srcRect/>
                    <a:stretch>
                      <a:fillRect/>
                    </a:stretch>
                  </pic:blipFill>
                  <pic:spPr bwMode="auto">
                    <a:xfrm>
                      <a:off x="0" y="0"/>
                      <a:ext cx="1094740" cy="5016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-231140</wp:posOffset>
            </wp:positionV>
            <wp:extent cx="1094740"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5">
                      <a:extLst>
                        <a:ext uri="{28A0092B-C50C-407E-A947-70E740481C1C}"/>
                      </a:extLst>
                    </a:blip>
                    <a:srcRect/>
                    <a:stretch>
                      <a:fillRect/>
                    </a:stretch>
                  </pic:blipFill>
                  <pic:spPr bwMode="auto">
                    <a:xfrm>
                      <a:off x="0" y="0"/>
                      <a:ext cx="1094740" cy="5016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-55880</wp:posOffset>
            </wp:positionV>
            <wp:extent cx="2123440" cy="749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6">
                      <a:extLst>
                        <a:ext uri="{28A0092B-C50C-407E-A947-70E740481C1C}"/>
                      </a:extLst>
                    </a:blip>
                    <a:srcRect/>
                    <a:stretch>
                      <a:fillRect/>
                    </a:stretch>
                  </pic:blipFill>
                  <pic:spPr bwMode="auto">
                    <a:xfrm>
                      <a:off x="0" y="0"/>
                      <a:ext cx="2123440" cy="74930"/>
                    </a:xfrm>
                    <a:prstGeom prst="rect">
                      <a:avLst/>
                    </a:prstGeom>
                    <a:noFill/>
                  </pic:spPr>
                </pic:pic>
              </a:graphicData>
            </a:graphic>
          </wp:anchor>
        </w:drawing>
      </w:r>
    </w:p>
    <w:p>
      <w:pPr>
        <w:spacing w:after="0" w:line="185"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Operating lease payments include $25.9 million related to options to extend real estate lease terms that are reasonably certain of being exercised. As of December 31, 2025, the Company has additional leases related to facilities that have not yet commenced totaling $35.4 million. These operating leases, which are not recorded in the Consolidated Balance Sheet as of December 31, 2025, will commence in 2026 with lease terms of 2 to 10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DEBT</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Wesco’s outstanding indebtedness: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340" w:type="dxa"/>
            <w:vAlign w:val="bottom"/>
            <w:tcBorders>
              <w:bottom w:val="single" w:sz="8" w:color="231F20"/>
            </w:tcBorders>
            <w:gridSpan w:val="4"/>
          </w:tcPr>
          <w:p>
            <w:pPr>
              <w:jc w:val="right"/>
              <w:ind w:right="482"/>
              <w:spacing w:after="0"/>
              <w:rPr>
                <w:sz w:val="20"/>
                <w:szCs w:val="20"/>
                <w:color w:val="auto"/>
              </w:rPr>
            </w:pPr>
            <w:r>
              <w:rPr>
                <w:rFonts w:ascii="Times New Roman" w:cs="Times New Roman" w:eastAsia="Times New Roman" w:hAnsi="Times New Roman"/>
                <w:sz w:val="18"/>
                <w:szCs w:val="18"/>
                <w:b w:val="1"/>
                <w:bCs w:val="1"/>
                <w:color w:val="231F20"/>
              </w:rPr>
              <w:t>As of December 31,</w:t>
            </w: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460" w:type="dxa"/>
            <w:vAlign w:val="bottom"/>
            <w:gridSpan w:val="2"/>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International lines of credit</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500" w:type="dxa"/>
            <w:vAlign w:val="bottom"/>
            <w:gridSpan w:val="2"/>
            <w:shd w:val="clear" w:color="auto" w:fill="CFEBF4"/>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0" w:type="dxa"/>
            <w:vAlign w:val="bottom"/>
          </w:tcPr>
          <w:p>
            <w:pPr>
              <w:spacing w:after="0"/>
              <w:rPr>
                <w:sz w:val="1"/>
                <w:szCs w:val="1"/>
                <w:color w:val="auto"/>
              </w:rPr>
            </w:pPr>
          </w:p>
        </w:tc>
      </w:tr>
      <w:tr>
        <w:trPr>
          <w:trHeight w:val="290"/>
        </w:trPr>
        <w:tc>
          <w:tcPr>
            <w:tcW w:w="74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Accounts Receivable Securitization Facility</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1,450.0</w:t>
            </w:r>
          </w:p>
        </w:tc>
        <w:tc>
          <w:tcPr>
            <w:tcW w:w="0" w:type="dxa"/>
            <w:vAlign w:val="bottom"/>
          </w:tcPr>
          <w:p>
            <w:pPr>
              <w:spacing w:after="0"/>
              <w:rPr>
                <w:sz w:val="1"/>
                <w:szCs w:val="1"/>
                <w:color w:val="auto"/>
              </w:rPr>
            </w:pPr>
          </w:p>
        </w:tc>
      </w:tr>
      <w:tr>
        <w:trPr>
          <w:trHeight w:val="301"/>
        </w:trPr>
        <w:tc>
          <w:tcPr>
            <w:tcW w:w="7460" w:type="dxa"/>
            <w:vAlign w:val="bottom"/>
            <w:gridSpan w:val="2"/>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Revolving Credit Facility</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581.5</w:t>
            </w:r>
          </w:p>
        </w:tc>
        <w:tc>
          <w:tcPr>
            <w:tcW w:w="80" w:type="dxa"/>
            <w:vAlign w:val="bottom"/>
            <w:shd w:val="clear" w:color="auto" w:fill="CFEBF4"/>
          </w:tcPr>
          <w:p>
            <w:pPr>
              <w:spacing w:after="0"/>
              <w:rPr>
                <w:sz w:val="24"/>
                <w:szCs w:val="24"/>
                <w:color w:val="auto"/>
              </w:rPr>
            </w:pPr>
          </w:p>
        </w:tc>
        <w:tc>
          <w:tcPr>
            <w:tcW w:w="42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525.0</w:t>
            </w:r>
          </w:p>
        </w:tc>
        <w:tc>
          <w:tcPr>
            <w:tcW w:w="0" w:type="dxa"/>
            <w:vAlign w:val="bottom"/>
          </w:tcPr>
          <w:p>
            <w:pPr>
              <w:spacing w:after="0"/>
              <w:rPr>
                <w:sz w:val="1"/>
                <w:szCs w:val="1"/>
                <w:color w:val="auto"/>
              </w:rPr>
            </w:pPr>
          </w:p>
        </w:tc>
      </w:tr>
      <w:tr>
        <w:trPr>
          <w:trHeight w:val="290"/>
        </w:trPr>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6.000%</w:t>
            </w: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Anixter Senior Notes due 2025</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195"/>
        </w:trPr>
        <w:tc>
          <w:tcPr>
            <w:tcW w:w="700" w:type="dxa"/>
            <w:vAlign w:val="bottom"/>
            <w:shd w:val="clear" w:color="auto" w:fill="CFEBF4"/>
          </w:tcPr>
          <w:p>
            <w:pPr>
              <w:ind w:left="60"/>
              <w:spacing w:after="0" w:line="195" w:lineRule="exact"/>
              <w:rPr>
                <w:sz w:val="20"/>
                <w:szCs w:val="20"/>
                <w:color w:val="auto"/>
              </w:rPr>
            </w:pPr>
            <w:r>
              <w:rPr>
                <w:rFonts w:ascii="Times New Roman" w:cs="Times New Roman" w:eastAsia="Times New Roman" w:hAnsi="Times New Roman"/>
                <w:sz w:val="20"/>
                <w:szCs w:val="20"/>
                <w:color w:val="231F20"/>
              </w:rPr>
              <w:t>7.250%</w:t>
            </w:r>
          </w:p>
        </w:tc>
        <w:tc>
          <w:tcPr>
            <w:tcW w:w="6760" w:type="dxa"/>
            <w:vAlign w:val="bottom"/>
            <w:shd w:val="clear" w:color="auto" w:fill="CFEBF4"/>
          </w:tcPr>
          <w:p>
            <w:pPr>
              <w:ind w:left="20"/>
              <w:spacing w:after="0" w:line="195" w:lineRule="exact"/>
              <w:rPr>
                <w:sz w:val="20"/>
                <w:szCs w:val="20"/>
                <w:color w:val="auto"/>
              </w:rPr>
            </w:pPr>
            <w:r>
              <w:rPr>
                <w:rFonts w:ascii="Times New Roman" w:cs="Times New Roman" w:eastAsia="Times New Roman" w:hAnsi="Times New Roman"/>
                <w:sz w:val="20"/>
                <w:szCs w:val="20"/>
                <w:color w:val="231F20"/>
              </w:rPr>
              <w:t>Senior Notes due 2028, less debt discount of $3.1 and $4.4 in 2025 and 2024,</w:t>
            </w:r>
          </w:p>
        </w:tc>
        <w:tc>
          <w:tcPr>
            <w:tcW w:w="300" w:type="dxa"/>
            <w:vAlign w:val="bottom"/>
            <w:shd w:val="clear" w:color="auto" w:fill="CFEBF4"/>
          </w:tcPr>
          <w:p>
            <w:pPr>
              <w:spacing w:after="0"/>
              <w:rPr>
                <w:sz w:val="16"/>
                <w:szCs w:val="16"/>
                <w:color w:val="auto"/>
              </w:rPr>
            </w:pPr>
          </w:p>
        </w:tc>
        <w:tc>
          <w:tcPr>
            <w:tcW w:w="9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1,321.9</w:t>
            </w:r>
          </w:p>
        </w:tc>
        <w:tc>
          <w:tcPr>
            <w:tcW w:w="80" w:type="dxa"/>
            <w:vAlign w:val="bottom"/>
            <w:shd w:val="clear" w:color="auto" w:fill="CFEBF4"/>
          </w:tcPr>
          <w:p>
            <w:pPr>
              <w:spacing w:after="0"/>
              <w:rPr>
                <w:sz w:val="16"/>
                <w:szCs w:val="16"/>
                <w:color w:val="auto"/>
              </w:rPr>
            </w:pPr>
          </w:p>
        </w:tc>
        <w:tc>
          <w:tcPr>
            <w:tcW w:w="420" w:type="dxa"/>
            <w:vAlign w:val="bottom"/>
            <w:shd w:val="clear" w:color="auto" w:fill="CFEBF4"/>
          </w:tcPr>
          <w:p>
            <w:pPr>
              <w:spacing w:after="0"/>
              <w:rPr>
                <w:sz w:val="16"/>
                <w:szCs w:val="16"/>
                <w:color w:val="auto"/>
              </w:rPr>
            </w:pPr>
          </w:p>
        </w:tc>
        <w:tc>
          <w:tcPr>
            <w:tcW w:w="8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1,320.6</w:t>
            </w:r>
          </w:p>
        </w:tc>
        <w:tc>
          <w:tcPr>
            <w:tcW w:w="0" w:type="dxa"/>
            <w:vAlign w:val="bottom"/>
          </w:tcPr>
          <w:p>
            <w:pPr>
              <w:spacing w:after="0"/>
              <w:rPr>
                <w:sz w:val="1"/>
                <w:szCs w:val="1"/>
                <w:color w:val="auto"/>
              </w:rPr>
            </w:pPr>
          </w:p>
        </w:tc>
      </w:tr>
      <w:tr>
        <w:trPr>
          <w:trHeight w:val="269"/>
        </w:trPr>
        <w:tc>
          <w:tcPr>
            <w:tcW w:w="7460" w:type="dxa"/>
            <w:vAlign w:val="bottom"/>
            <w:gridSpan w:val="2"/>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respectively</w:t>
            </w:r>
          </w:p>
        </w:tc>
        <w:tc>
          <w:tcPr>
            <w:tcW w:w="300" w:type="dxa"/>
            <w:vAlign w:val="bottom"/>
            <w:shd w:val="clear" w:color="auto" w:fill="CFEBF4"/>
          </w:tcPr>
          <w:p>
            <w:pPr>
              <w:spacing w:after="0"/>
              <w:rPr>
                <w:sz w:val="23"/>
                <w:szCs w:val="23"/>
                <w:color w:val="auto"/>
              </w:rPr>
            </w:pPr>
          </w:p>
        </w:tc>
        <w:tc>
          <w:tcPr>
            <w:tcW w:w="98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420" w:type="dxa"/>
            <w:vAlign w:val="bottom"/>
            <w:shd w:val="clear" w:color="auto" w:fill="CFEBF4"/>
          </w:tcPr>
          <w:p>
            <w:pPr>
              <w:spacing w:after="0"/>
              <w:rPr>
                <w:sz w:val="23"/>
                <w:szCs w:val="23"/>
                <w:color w:val="auto"/>
              </w:rPr>
            </w:pPr>
          </w:p>
        </w:tc>
        <w:tc>
          <w:tcPr>
            <w:tcW w:w="86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6.375%</w:t>
            </w: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Senior Notes due 2029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900.0</w:t>
            </w:r>
          </w:p>
        </w:tc>
        <w:tc>
          <w:tcPr>
            <w:tcW w:w="0" w:type="dxa"/>
            <w:vAlign w:val="bottom"/>
          </w:tcPr>
          <w:p>
            <w:pPr>
              <w:spacing w:after="0"/>
              <w:rPr>
                <w:sz w:val="1"/>
                <w:szCs w:val="1"/>
                <w:color w:val="auto"/>
              </w:rPr>
            </w:pPr>
          </w:p>
        </w:tc>
      </w:tr>
      <w:tr>
        <w:trPr>
          <w:trHeight w:val="301"/>
        </w:trPr>
        <w:tc>
          <w:tcPr>
            <w:tcW w:w="7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6.625%</w:t>
            </w:r>
          </w:p>
        </w:tc>
        <w:tc>
          <w:tcPr>
            <w:tcW w:w="6760" w:type="dxa"/>
            <w:vAlign w:val="bottom"/>
            <w:shd w:val="clear" w:color="auto" w:fill="CFEBF4"/>
          </w:tcPr>
          <w:p>
            <w:pPr>
              <w:ind w:left="20"/>
              <w:spacing w:after="0"/>
              <w:rPr>
                <w:sz w:val="20"/>
                <w:szCs w:val="20"/>
                <w:color w:val="auto"/>
              </w:rPr>
            </w:pPr>
            <w:r>
              <w:rPr>
                <w:rFonts w:ascii="Times New Roman" w:cs="Times New Roman" w:eastAsia="Times New Roman" w:hAnsi="Times New Roman"/>
                <w:sz w:val="20"/>
                <w:szCs w:val="20"/>
                <w:color w:val="231F20"/>
              </w:rPr>
              <w:t>Senior Notes due 2032</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850.0</w:t>
            </w:r>
          </w:p>
        </w:tc>
        <w:tc>
          <w:tcPr>
            <w:tcW w:w="80" w:type="dxa"/>
            <w:vAlign w:val="bottom"/>
            <w:shd w:val="clear" w:color="auto" w:fill="CFEBF4"/>
          </w:tcPr>
          <w:p>
            <w:pPr>
              <w:spacing w:after="0"/>
              <w:rPr>
                <w:sz w:val="24"/>
                <w:szCs w:val="24"/>
                <w:color w:val="auto"/>
              </w:rPr>
            </w:pPr>
          </w:p>
        </w:tc>
        <w:tc>
          <w:tcPr>
            <w:tcW w:w="42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850.0</w:t>
            </w:r>
          </w:p>
        </w:tc>
        <w:tc>
          <w:tcPr>
            <w:tcW w:w="0" w:type="dxa"/>
            <w:vAlign w:val="bottom"/>
          </w:tcPr>
          <w:p>
            <w:pPr>
              <w:spacing w:after="0"/>
              <w:rPr>
                <w:sz w:val="1"/>
                <w:szCs w:val="1"/>
                <w:color w:val="auto"/>
              </w:rPr>
            </w:pPr>
          </w:p>
        </w:tc>
      </w:tr>
      <w:tr>
        <w:trPr>
          <w:trHeight w:val="290"/>
        </w:trPr>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6.375%</w:t>
            </w: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Senior Notes due 2033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1"/>
        </w:trPr>
        <w:tc>
          <w:tcPr>
            <w:tcW w:w="7460" w:type="dxa"/>
            <w:vAlign w:val="bottom"/>
            <w:tcBorders>
              <w:bottom w:val="single" w:sz="8" w:color="CFEBF4"/>
            </w:tcBorders>
            <w:gridSpan w:val="2"/>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Finance lease obligations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67.3</w:t>
            </w:r>
          </w:p>
        </w:tc>
        <w:tc>
          <w:tcPr>
            <w:tcW w:w="8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57.3</w:t>
            </w:r>
          </w:p>
        </w:tc>
        <w:tc>
          <w:tcPr>
            <w:tcW w:w="0" w:type="dxa"/>
            <w:vAlign w:val="bottom"/>
          </w:tcPr>
          <w:p>
            <w:pPr>
              <w:spacing w:after="0"/>
              <w:rPr>
                <w:sz w:val="1"/>
                <w:szCs w:val="1"/>
                <w:color w:val="auto"/>
              </w:rPr>
            </w:pPr>
          </w:p>
        </w:tc>
      </w:tr>
      <w:tr>
        <w:trPr>
          <w:trHeight w:val="2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Total debt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5,826.3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5,107.7</w:t>
            </w:r>
          </w:p>
        </w:tc>
        <w:tc>
          <w:tcPr>
            <w:tcW w:w="0" w:type="dxa"/>
            <w:vAlign w:val="bottom"/>
          </w:tcPr>
          <w:p>
            <w:pPr>
              <w:spacing w:after="0"/>
              <w:rPr>
                <w:sz w:val="1"/>
                <w:szCs w:val="1"/>
                <w:color w:val="auto"/>
              </w:rPr>
            </w:pPr>
          </w:p>
        </w:tc>
      </w:tr>
      <w:tr>
        <w:trPr>
          <w:trHeight w:val="301"/>
        </w:trPr>
        <w:tc>
          <w:tcPr>
            <w:tcW w:w="7460" w:type="dxa"/>
            <w:vAlign w:val="bottom"/>
            <w:gridSpan w:val="2"/>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Plus: Fair value adjustments to the Anixter Senior Notes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42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90"/>
        </w:trPr>
        <w:tc>
          <w:tcPr>
            <w:tcW w:w="74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Less: Unamortized debt issuance costs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(42.8)</w:t>
            </w:r>
          </w:p>
        </w:tc>
        <w:tc>
          <w:tcPr>
            <w:tcW w:w="0" w:type="dxa"/>
            <w:vAlign w:val="bottom"/>
          </w:tcPr>
          <w:p>
            <w:pPr>
              <w:spacing w:after="0"/>
              <w:rPr>
                <w:sz w:val="1"/>
                <w:szCs w:val="1"/>
                <w:color w:val="auto"/>
              </w:rPr>
            </w:pPr>
          </w:p>
        </w:tc>
      </w:tr>
      <w:tr>
        <w:trPr>
          <w:trHeight w:val="291"/>
        </w:trPr>
        <w:tc>
          <w:tcPr>
            <w:tcW w:w="7460" w:type="dxa"/>
            <w:vAlign w:val="bottom"/>
            <w:tcBorders>
              <w:bottom w:val="single" w:sz="8" w:color="CFEBF4"/>
            </w:tcBorders>
            <w:gridSpan w:val="2"/>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Less: Short-term debt and current portion of long-term debt</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80" w:type="dxa"/>
            <w:vAlign w:val="bottom"/>
            <w:tcBorders>
              <w:bottom w:val="single" w:sz="8" w:color="CFEBF4"/>
            </w:tcBorders>
            <w:shd w:val="clear" w:color="auto" w:fill="CFEBF4"/>
          </w:tcPr>
          <w:p>
            <w:pPr>
              <w:spacing w:after="0"/>
              <w:rPr>
                <w:sz w:val="24"/>
                <w:szCs w:val="24"/>
                <w:color w:val="auto"/>
              </w:rPr>
            </w:pPr>
          </w:p>
        </w:tc>
        <w:tc>
          <w:tcPr>
            <w:tcW w:w="42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(19.5)</w:t>
            </w:r>
          </w:p>
        </w:tc>
        <w:tc>
          <w:tcPr>
            <w:tcW w:w="0" w:type="dxa"/>
            <w:vAlign w:val="bottom"/>
          </w:tcPr>
          <w:p>
            <w:pPr>
              <w:spacing w:after="0"/>
              <w:rPr>
                <w:sz w:val="1"/>
                <w:szCs w:val="1"/>
                <w:color w:val="auto"/>
              </w:rPr>
            </w:pPr>
          </w:p>
        </w:tc>
      </w:tr>
      <w:tr>
        <w:trPr>
          <w:trHeight w:val="256"/>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Total long-term debt</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5,756.4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5,045.5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-981710</wp:posOffset>
            </wp:positionV>
            <wp:extent cx="888365"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7">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-231140</wp:posOffset>
            </wp:positionV>
            <wp:extent cx="888365"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8">
                      <a:extLst>
                        <a:ext uri="{28A0092B-C50C-407E-A947-70E740481C1C}"/>
                      </a:extLst>
                    </a:blip>
                    <a:srcRect/>
                    <a:stretch>
                      <a:fillRect/>
                    </a:stretch>
                  </pic:blipFill>
                  <pic:spPr bwMode="auto">
                    <a:xfrm>
                      <a:off x="0" y="0"/>
                      <a:ext cx="888365" cy="5016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International Lines of Credit</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Certain foreign subsidiaries of Wesco have entered into uncommitted lines of credit, some of which are overdraft facilities, to support local operations. The maximum borrowing limit varies by facility and ranges between $1.0 million and $12.0 million. The international lines of credit generally are renewable on an annual basis and certain facilities are fully and unconditionally guaranteed by Wesco Distribution, Inc. (“Wesco Distribution”). Accordingly, certain borrowings under these lines directly reduce availability under the Company’s revolving credit facility. The applicable interest rate for borrowings under these lines of credit varies by country and is governed by the applicable loan agreement. The weighted average interest rate for borrowings on these facilities was 4.19% and 1.75% at December 31, 2025 and 2024, respectively.</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120"/>
          </w:cols>
          <w:pgMar w:left="880" w:top="285" w:right="88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Accounts Receivable Securitization Facility</w:t>
      </w:r>
    </w:p>
    <w:p>
      <w:pPr>
        <w:spacing w:after="0" w:line="12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Wesco Distribution has an accounts receivable securitization facility (the “Receivables Facility”) pursuant to the terms and conditions of a Fifth Amended and Restated Receivables Purchase Agreement (the “Receivables Purchase Agreement”), by and among WESCO Receivables Corp. (“Wesco Receivables”), Wesco Distribution, the various purchaser groups from time to time party thereto and PNC Bank, National Association, as Administrator, dated as of June 22, 2020. The Receivables Purchase Agreement amended and restated the receivables purchase agreement entered into on September 24, 2015 (the “Prior Receivables Purchase Agreement”). Borrowings under the Receivables Facility funded by certain lenders through such lenders’ issuance of commercial paper bear interest at the applicable commercial paper rate. Otherwise, borrowings bear interest at the option of the borrower, either at the 30-day Secured Overnight Financing Rate-based (“SOFR”) rate or the daily resetting SOFR rate, plus applicable spreads.</w:t>
      </w:r>
    </w:p>
    <w:p>
      <w:pPr>
        <w:spacing w:after="0" w:line="90"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As of December 31, 2025, the Receivables Facility has a purchase limit of $1,550 million, with the opportunity to exercise an accordion feature that permits increases in the purchase limit up to an aggregate commitment of $1,850 million, subject to customary conditions, and a maturity date of February 28, 2028. The Receivables Facility has a weighted average interest rate spread of 1.05% and a commitment fee of 0.45%.</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As of December 31, 2025 and 2024, accounts receivable eligible for securitization totaled $2,310.1 million and $1,976.3 million, respectively. The Consolidated Balance Sheets as of December 31, 2025 and 2024 include $1,300.0 million and $1,450.0 million, respectively, of senior undivided interests in accounts receivable balances sold to third parties, as well as borrowings for equal amounts. At December 31, 2025, the interest rate for this facility was approximately 4.98%.</w:t>
      </w:r>
    </w:p>
    <w:p>
      <w:pPr>
        <w:spacing w:after="0" w:line="83"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9"/>
          <w:szCs w:val="19"/>
          <w:color w:val="231F20"/>
        </w:rPr>
        <w:t>Under the Receivables Facility, Wesco Distribution sells, on a continuous basis, an undivided interest in all domestic accounts receivable to Wesco Receivables, a wholly-owned special purpose entity (the “SPE”). The SPE sells, without recourse, a senior undivided interest in the receivables to financial institutions for cash while maintaining a subordinated undivided interest in the receivables, in the form of overcollateralization. Since Wesco maintains control of the transferred receivables, the transfers do not qualify for “sale” treatment. As a result, the transferred receivables remain on the Company’s balance sheet, and Wesco recognizes the related secured borrowing. Wesco has agreed to continue servicing the receivables for the third-party conduits and financial institutions at market rates; accordingly, no servicing asset or liability has been recorded.</w:t>
      </w:r>
    </w:p>
    <w:p>
      <w:pPr>
        <w:spacing w:after="0" w:line="7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On February 28, 2025, Wesco Distribution amended its Receivables Facility pursuant to the terms and conditions of a Ninth Amendment to Fifth Amended and Restated Receivables Purchase Agreement (the “Ninth Receivables Amendment”), by and among WESCO Receivables Corp., Wesco Distribution, the various purchasers and purchaser agents party thereto and PNC Bank, National Association, as administrator. The Ninth Receivables Amendment modified the receivables purchase agreement originally entered into on June 22, 2020. The Ninth Receivables Amendment, among other things, extended the scheduled termination date of the Receivables Facility to February 28, 2028, and removed the credit spread adjustment applicable to term SOFR investments. No other material terms were changed.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Revolving Credit Facility</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Wesco, Wesco Distribution and certain other subsidiaries of Wesco entered into a revolving credit facility (the “Revolving Credit Facility”) as a replacement of Wesco Distribution’s revolving credit facility entered into on September 26, 2019, pursuant to the terms and conditions of a Fourth Amended and Restated Credit Agreement, dated as of June 22, 2020 (the “Revolving Credit Agreement”), among Wesco Distribution, the other U.S. borrowers party thereto (collectively, the “U.S. Borrowers”), WESCO Distribution Canada LP (“Wesco Canada”), the other Canadian borrowers party thereto (collectively, the “Canadian Borrowers”), Wesco, the lenders party thereto and Barclays Bank PLC, as the administrative agent.</w:t>
      </w:r>
    </w:p>
    <w:p>
      <w:pPr>
        <w:spacing w:after="0" w:line="8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As of December 31, 2025, the Revolving Credit Facility has revolving commitments of $1,725 million, a letter of credit sub-facility of up to $200 million, an accordion feature allowing Wesco Distribution to request increases to the borrowing commitments under the Revolving Credit Facility of up to $500 million in the aggregate, subject to customary conditions, and a sub-facility for loans denominated in Canadian dollars of $625 million. The Revolving Credit Facility has a maturity date of February 28, 2030, and permits the Company to declare and pay an aggregate amount of common stock dividends of up to $125 million per year or higher under certain conditions. The applicable interest rate for borrowings under the Revolving Credit Facility, as amended, includes interest rate spreads based on available borrowing capacity that range from 1.25% to 1.50% for SOFR-based borrowings and from 0.25% to 0.50% for prime rate-based borrowings. At December 31, 2025, the weighted average interest rate for this facility was approximately 4.36%.</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120"/>
          </w:cols>
          <w:pgMar w:left="880" w:top="285" w:right="88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310"/>
        <w:spacing w:after="0" w:line="251" w:lineRule="auto"/>
        <w:rPr>
          <w:sz w:val="20"/>
          <w:szCs w:val="20"/>
          <w:color w:val="auto"/>
        </w:rPr>
      </w:pPr>
      <w:r>
        <w:rPr>
          <w:rFonts w:ascii="Times New Roman" w:cs="Times New Roman" w:eastAsia="Times New Roman" w:hAnsi="Times New Roman"/>
          <w:sz w:val="20"/>
          <w:szCs w:val="20"/>
          <w:color w:val="231F20"/>
        </w:rPr>
        <w:t>During 2025, Wesco borrowed $5,103.7 million under the Revolving Credit Facility and made repayments in the aggregate amount of $5,048.9 million. During 2024, aggregate borrowings and repayments under the Revolving Credit Facility were $3,411.0 million and $3,839.0 million, respectively. Wesco had $1,107.9 million available under the Revolving Credit Facility at December 31, 2025, after giving effect to outstanding letters of credit and certain borrowings under the Company’s international lines of credit, as compared to $1,170.4 million available under the Revolving Credit Facility at December 31, 2024, after giving effect to outstanding letters of credit and certain borrowings under the Company’s international lines of credit.</w:t>
      </w:r>
    </w:p>
    <w:p>
      <w:pPr>
        <w:spacing w:after="0" w:line="89" w:lineRule="exact"/>
        <w:rPr>
          <w:sz w:val="20"/>
          <w:szCs w:val="20"/>
          <w:color w:val="auto"/>
        </w:rPr>
      </w:pPr>
    </w:p>
    <w:p>
      <w:pPr>
        <w:jc w:val="both"/>
        <w:ind w:firstLine="266"/>
        <w:spacing w:after="0" w:line="264" w:lineRule="auto"/>
        <w:rPr>
          <w:sz w:val="20"/>
          <w:szCs w:val="20"/>
          <w:color w:val="auto"/>
        </w:rPr>
      </w:pPr>
      <w:r>
        <w:rPr>
          <w:rFonts w:ascii="Times New Roman" w:cs="Times New Roman" w:eastAsia="Times New Roman" w:hAnsi="Times New Roman"/>
          <w:sz w:val="19"/>
          <w:szCs w:val="19"/>
          <w:color w:val="231F20"/>
        </w:rPr>
        <w:t>On February 28, 2025, Wesco Distribution amended its Revolving Credit Facility pursuant to the terms and conditions of the Seventh Amendment to Fourth Amended and Restated Credit Agreement (the “Seventh Revolver Amendment”), by and among Wesco Distribution, the other U.S. borrowers party thereto, WESCO Distribution Canada LP, the other Canadian borrowers party thereto, Wesco, the lenders party thereto and Barclays Bank PLC, as administrative agent. The Seventh Revolver Amendment amended the revolving credit agreement originally entered into on June 22, 2020, to, among other things,</w:t>
      </w:r>
    </w:p>
    <w:p>
      <w:pPr>
        <w:spacing w:after="0" w:line="2" w:lineRule="exact"/>
        <w:rPr>
          <w:sz w:val="20"/>
          <w:szCs w:val="20"/>
          <w:color w:val="auto"/>
        </w:rPr>
      </w:pPr>
    </w:p>
    <w:p>
      <w:pPr>
        <w:jc w:val="both"/>
        <w:ind w:firstLine="7"/>
        <w:spacing w:after="0" w:line="248" w:lineRule="auto"/>
        <w:tabs>
          <w:tab w:leader="none" w:pos="239"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extend the maturity date of the Revolving Credit Facility to February 28, 2030, (ii) increase the capacity to request increases in the revolving commitments under the Revolving Credit Facility from $450 million to $500 million, (iii) increase certain negative covenant baskets, and (iv) remove the credit spread adjustment applicable to term SOFR and daily simple SOFR loans. No other material terms were changed.</w:t>
      </w:r>
    </w:p>
    <w:p>
      <w:pPr>
        <w:spacing w:after="0" w:line="9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The obligations of Wesco Distribution and the other U.S. Borrowers under the Revolving Credit Facility have been guaranteed by Wesco and certain of Wesco Distribution’s subsidiaries (including certain subsidiaries of Anixter). The obligations of Wesco Canada and the other Canadian Borrowers under the Revolving Credit Facility (including certain subsidiaries of Anixter) have been guaranteed by certain subsidiaries of Wesco Canada and the other Canadian Borrowers. The Revolving Credit Facility is secured by (i) substantially all assets of Wesco Distribution, the other U.S. Borrowers and certain of Wesco Distribution’s subsidiaries (including certain subsidiaries of Anixter), other than, among other things, real property and accounts receivable sold or intended to be sold pursuant to the Receivables Facility, and (ii) substantially all assets of Wesco Canada, the other Canadian Borrowers and certain of Wesco Canada’s subsidiaries, other than, among other things, real property, in each case, subject to customary exceptions and limitations.</w:t>
      </w:r>
    </w:p>
    <w:p>
      <w:pPr>
        <w:spacing w:after="0" w:line="90"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Revolving Credit Agreement requires compliance with conditions that must be satisfied prior to any borrowing as well as ongoing compliance with certain customary affirmative and negative covenants. The Revolving Credit Agreement contains customary events of default. Upon the occurrence and during the continuance of an event of default, the commitments of the lenders may be terminated, and all outstanding obligations of the loan parties under the Revolving Credit Facility may be declared immediately due and payable.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5.500% Senior Notes due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6.000% Senior Notes due 2025</w:t>
      </w:r>
    </w:p>
    <w:p>
      <w:pPr>
        <w:spacing w:after="0" w:line="103"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On April 30, 2020, in connection with the merger with Anixter, Wesco Distribution commenced offers to purchase for cash (each, a “Wesco Tender Offer” and, together the “Wesco Tender Offers”) any and all of Anixter Inc.’s outstanding (i) $350.0 million aggregate principal amount of 5.500% Senior Notes due 2023 (the “Anixter 2023 Senior Notes”) and (ii) $250.0 million aggregate principal amount of 6.000% Senior Notes due 2025 (the “Anixter 2025 Senior Notes” and, together with the Anixter 2023 Senior Notes, the “Anixter Senior Notes”). The Anixter 2023 Senior Notes matured on March 1, 2023, on which date Wesco Distribution repaid the $58.6 million aggregate principal amount of its Anixter 2023 Senior Notes plus accrued interest up to, but not including, the maturity date. The repayment was funded with borrowings under the Company’s Revolving Credit Facility and had no impact on the Company’s results of operations. The Anixter 2025 Senior Notes matured on December 1, 2025, on which date Wesco Distribution repaid the $4.2 million aggregate principle amount of its Anixter 2025 Senior Notes plus accrued interest up to, but not including, the maturity date. The repayment was funded with available cash and had no impact on the Company's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7.125% Senior Notes due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7.250% Senior Notes due 2028</w:t>
      </w:r>
    </w:p>
    <w:p>
      <w:pPr>
        <w:spacing w:after="0" w:line="10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On June 12, 2020, Wesco Distribution issued $1,500 million aggregate principal amount of 7.125% Senior Notes due 2025 (the “2025 Notes”) and $1,325 million aggregate principal amount of 7.250% Senior Notes due 2028 (the “2028 Notes” and, together with the 2025 Notes, the “2025 and 2028 Notes”). The 2025 Notes were issued at a price of 100% of the aggregate principal amount. The 2028 Notes were issued at a price of 99.244% of the aggregate principal amount. Wesco incurred costs related to the issuance of the 2025 Notes and 2028 Notes totaling $33.1 million and $29.3 million, respectively, which were recorded as a reduction to the carrying value of the debt and are being amortized over the respective lives of the notes.</w:t>
      </w:r>
    </w:p>
    <w:p>
      <w:pPr>
        <w:sectPr>
          <w:pgSz w:w="11880" w:h="15480" w:orient="portrait"/>
          <w:cols w:equalWidth="0" w:num="1">
            <w:col w:w="10120"/>
          </w:cols>
          <w:pgMar w:left="880" w:top="28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120"/>
          </w:cols>
          <w:pgMar w:left="880" w:top="284" w:right="88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2025 and 2028 Notes were issued pursuant to, and are governed by, an indenture (the “2025 and 2028 Notes Indenture”), dated as of June 12, 2020, between the Company, Wesco Distribution and U.S. Bank National Association, as trustee (the “Trustee”). The 2025 and 2028 Notes and related guarantees were issued in a private transaction exempt from the Securities Act of 1933, as amended (the “Securities Act”) and have not been, and will not be, registered under the Securities Act and may not be offered or sold in the U.S. absent registration or an applicable exemption from, or in a transaction not subject to the registration requirements of the Securities Act and other applicable securities laws.</w:t>
      </w:r>
    </w:p>
    <w:p>
      <w:pPr>
        <w:spacing w:after="0" w:line="8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The Company used the net proceeds from the issuance of the 2025 and 2028 Notes, together with borrowings under its Revolving Credit Facility and Receivables Facility and existing cash on hand, to finance the merger with Anixter and the other transactions contemplated by the Agreement and Plan of Merger dated January 10, 2020 (the “Merger Agreement”). The use of proceeds included (i) paying the cash portion of the consideration to stockholders of Anixter, (ii) refinancing certain existing indebtedness of Anixter contemplated by the Merger Agreement, including financing the satisfaction and discharge, defeasance, redemption or other repayment in full of the 5.125% Senior Notes due 2021 of Anixter Inc., a wholly-owned subsidiary of Anixter, and financing payments in connection with the Anixter Consent Solicitations and Wesco Tender Offers, as described above, (iii) refinancing other indebtedness of the Company, and (iv) paying fees, costs and expenses in connection with the foregoing.</w:t>
      </w:r>
    </w:p>
    <w:p>
      <w:pPr>
        <w:spacing w:after="0" w:line="90"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2025 Notes were unsecured and unsubordinated obligations of Wesco Distribution and were guaranteed on an unsecured, unsubordinated basis by the Company and Anixter Inc. The 2025 Notes had a stated interest rate of 7.125% per annum, payable semi-annually in arrears on June 15 and December 15 of each year. The 2025 Notes had a maturity date of June 15, 2025 and were redeemable in whole or in part at a redemption price equal to 101.781% of the principal amount between June 15, 2023 and June 14, 2024 or 100% of the principal amount on and after June 15, 2024.</w:t>
      </w:r>
    </w:p>
    <w:p>
      <w:pPr>
        <w:spacing w:after="0" w:line="8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2028 Notes are unsecured and unsubordinated obligations of Wesco Distribution and are guaranteed on an unsecured, unsubordinated basis by the Company and Anixter Inc. The 2028 Notes accrue interest at a rate of 7.250% per annum, payable semi-annually in arrears on June 15 and December 15 of each year. The 2028 Notes will mature on June 15, 2028. Between June 15, 2025 and June 14, 2026, Wesco Distribution may redeem all or a part of the 2028 Notes at a redemption price equal to 101.208% of the principal amount. On and after June 15, 2026, Wesco Distribution may redeem all or a part of the 2028 Notes at a redemption price equal to 100% of the principal amount.</w:t>
      </w:r>
    </w:p>
    <w:p>
      <w:pPr>
        <w:spacing w:after="0" w:line="8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On June 17, 2024, Wesco Distribution redeemed the $1,500 million aggregate principal amount of the 2025 Notes at a redemption price equal to 100% of the principal amount plus accrued interest up to, but not including, June 15, 2024. The redemption of the 2025 Notes was funded through the issuance of the 6.375% Senior Notes due 2029 (the “2029 Notes”) and the 6.625% Senior Notes due 2032 (the “2032 Notes” and, together with the 2029 Notes, the “2029 and 2032 Notes”) as described below. The Company recognized a non-cash loss of $6.8 million from the redemption of the 2025 Notes resulting from the write-off of unamortized debt issuance costs, which is recorded as a component of interest expense, net in the Consolidated Statement of Income and Comprehensive Income for the year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6.375% Senior Notes due 2029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6.625% Senior Notes due 2032</w:t>
      </w:r>
    </w:p>
    <w:p>
      <w:pPr>
        <w:spacing w:after="0" w:line="10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On March 7, 2024, Wesco Distribution issued $900 million aggregate principal amount of 6.375% Senior Notes due 2029 and $850 million aggregate principal amount of 6.625% Senior Notes due 2032. The 2029 and 2032 Notes were issued at a price of 100% of the aggregate principal amount. Wesco incurred costs related to the issuance of the 2029 Notes and 2032 Notes totaling $11.3 million and $10.6 million, respectively, which were recorded as a reduction to the carrying value of the debt and are being amortized over the respective lives of the notes.</w:t>
      </w:r>
    </w:p>
    <w:p>
      <w:pPr>
        <w:spacing w:after="0" w:line="8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2029 and 2032 Notes were issued pursuant to, and are governed by, an indenture (the “2029 and 2032 Notes Indenture”), dated as of March 7, 2024, among Wesco Distribution, the Company, Anixter Inc., and U.S. Bank Trust Company, National Association, as trustee (the “Trustee”). The 2029 and 2032 Notes and related guarantees were issued in a private transaction exempt from the Securities Act. The Company used the net proceeds from the issuance of the 2029 and 2032 Notes to redeem the 2025 Notes on June 17, 2024 and for other corporate purposes.</w:t>
      </w:r>
    </w:p>
    <w:p>
      <w:pPr>
        <w:spacing w:after="0" w:line="88"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2029 and 2032 Notes are unsecured and unsubordinated obligations of Wesco Distribution and are guaranteed on an unsecured, unsubordinated basis by the Company and Anixter Inc. The 2029 Notes accrue interest at a rate of 6.375% per annum, payable semi-annually in arrears on March 15 and September 15 of each year. The 2029 Notes will mature on March 15, 2029. The 2032 Notes accrue interest at a rate of 6.625% per annum, payable semi-annually in arrears on March 15 and September 15 of each year. The 2032 Notes will mature on March 15, 2032.</w:t>
      </w:r>
    </w:p>
    <w:p>
      <w:pPr>
        <w:sectPr>
          <w:pgSz w:w="11880" w:h="15480" w:orient="portrait"/>
          <w:cols w:equalWidth="0" w:num="1">
            <w:col w:w="10120"/>
          </w:cols>
          <w:pgMar w:left="880" w:top="28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120"/>
          </w:cols>
          <w:pgMar w:left="880" w:top="284" w:right="880" w:bottom="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Wesco Distribution may redeem all or a part of the 2029 Notes at any time prior to March 15, 2026 by paying a “make-whole” premium plus accrued and unpaid interest, if any, to but excluding the redemption date. In addition, at any time prior to March 15, 2026, Wesco Distribution may redeem up to 35% of the original aggregate principal amount of the 2029 Notes with the net cash proceeds from certain equity offerings. At any time between March 15, 2026 and March 14, 2027, Wesco Distribution may redeem all or a part of the 2029 Notes at a redemption price equal to 103.188% of the principal amount. Between March 15, 2027 and March 14, 2028, Wesco Distribution may redeem all or a part of the 2029 Notes at a redemption price equal to 101.594% of the principal amount. On and after March 15, 2028, Wesco Distribution may redeem all or a part of the 2029 Notes at a redemption price equal to 100% of the principal amount.</w:t>
      </w:r>
    </w:p>
    <w:p>
      <w:pPr>
        <w:spacing w:after="0" w:line="93"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Wesco Distribution may redeem all or a part of the 2032 Notes at any time prior to March 15, 2027 by paying a “make-whole” premium plus accrued and unpaid interest, if any, to but excluding the redemption date. In addition, at any time prior to March 15, 2027, Wesco Distribution may redeem up to 35% of the original aggregate principal amount of the 2032 Notes with the net cash proceeds from certain equity offerings. At any time between March 15, 2027 and March 14, 2028, Wesco Distribution may redeem all or a part of the 2032 Notes at a redemption price equal to 103.313% of the principal amount. Between March 15, 2028 and March 14, 2029, Wesco Distribution may redeem all or a part of the 2032 Notes at a redemption price equal to 101.657% of the principal amount. On and after March 15, 2029, Wesco Distribution may redeem all or a part of the 2032 Notes at a redemption price equal to 100% of the principal amount.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6.375% Senior Notes due 2033</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On March 6, 2025, Wesco Distribution issued $800 million aggregate principal amount of 6.375% Senior Notes due 2033 (the “2033 Notes”). The 2033 Notes were issued at a price of 100% of the aggregate principal amount thereof. Wesco incurred costs related to the issuance of the 2033 Notes totaling $10.3 million, which were recorded as a reduction to the carrying value of the debt and are amortized over the life of the notes.</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2033 Notes were issued pursuant to, and are governed by, an indenture (the “2033 Notes Indenture”), dated as of March 6, 2025, among Wesco Distribution, the Company, Anixter Inc., and U.S. Bank Trust Company, National Association, as trustee (the “Trustee”). The 2033 Notes and related guarantees were issued in a private transaction exempt from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8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Company used the net proceeds from the issuance of the 2033 Notes to redeem all of the Company’s outstanding 10.625% Series A Fixed-Rate Reset Cumulative Perpetual Preferred Stock (the “Series A Preferred Stock”) and all of the related depositary shares representing fractional interests in the Series A Preferred Stock in June 2025 and to repay a portion of the amounts outstanding under the Revolving Credit Facility.</w:t>
      </w:r>
    </w:p>
    <w:p>
      <w:pPr>
        <w:spacing w:after="0" w:line="83" w:lineRule="exact"/>
        <w:rPr>
          <w:sz w:val="20"/>
          <w:szCs w:val="20"/>
          <w:color w:val="auto"/>
        </w:rPr>
      </w:pPr>
    </w:p>
    <w:p>
      <w:pPr>
        <w:jc w:val="both"/>
        <w:ind w:firstLine="266"/>
        <w:spacing w:after="0" w:line="281" w:lineRule="auto"/>
        <w:rPr>
          <w:sz w:val="20"/>
          <w:szCs w:val="20"/>
          <w:color w:val="auto"/>
        </w:rPr>
      </w:pPr>
      <w:r>
        <w:rPr>
          <w:rFonts w:ascii="Times New Roman" w:cs="Times New Roman" w:eastAsia="Times New Roman" w:hAnsi="Times New Roman"/>
          <w:sz w:val="19"/>
          <w:szCs w:val="19"/>
          <w:color w:val="231F20"/>
        </w:rPr>
        <w:t>The 2033 Notes are unsecured and unsubordinated obligations of Wesco Distribution and are guaranteed on an unsecured, unsubordinated basis by the Company and Anixter Inc. The 2033 Notes accrue interest at a rate of 6.375% per annum, payable semi-annually in arrears on March 15 and September 15 of each year. The 2033 Notes will mature on March 15, 2033.</w:t>
      </w:r>
    </w:p>
    <w:p>
      <w:pPr>
        <w:spacing w:after="0" w:line="60"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Wesco Distribution may redeem all or a part of the 2033 Notes at any time prior to March 15, 2028 by paying a “make-whole” premium plus accrued and unpaid interest, if any, to but excluding the redemption date. In addition, any time prior to March 15, 2028, Wesco Distribution may redeem up to 35% of the original aggregate principal amount of the 2033 Notes with the net cash proceeds from certain equity offerings. At any time between March 15, 2028 and March 14, 2029, Wesco Distribution may redeem all or a part of the 2033 Notes at a redemption price equal to 103.188% of the principal amount. Between March 15, 2029 and March 14, 2030, Wesco Distribution may redeem all or a part of the 2033 Notes at a redemption price equal to 101.594% of the principal amount. On and after March 15, 2030, Wesco Distribution may redeem all or a part of the 2033 Notes at a redemption price equal to 100% of the principal amount.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Debt Issuance Costs</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Wesco capitalizes certain costs associated with the issuance of debt and such costs are amortized over the term of the respective debt instrument on a straight-line basis. Debt issuance costs are presented in the Consolidated Balance Sheets as a direct reduction to the carrying amount of the related debt liability. Upon prepayment of debt, the Company accelerates the recognition of an appropriate amount of the costs as refinancing or extinguishment of debt. As of December 31, 2025 and 2024, unamortized debt issuance costs of $44.9 million and $42.8 million were recorded in the Consolidated Balance Sheets, respectively.</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120"/>
          </w:cols>
          <w:pgMar w:left="880" w:top="285" w:right="88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Covenant Compliance</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Wesco’s credit agreements contain various restrictive covenants that, among other things, impose limitations on:</w:t>
      </w:r>
    </w:p>
    <w:p>
      <w:pPr>
        <w:spacing w:after="0" w:line="28" w:lineRule="exact"/>
        <w:rPr>
          <w:sz w:val="20"/>
          <w:szCs w:val="20"/>
          <w:color w:val="auto"/>
        </w:rPr>
      </w:pPr>
    </w:p>
    <w:p>
      <w:pPr>
        <w:jc w:val="both"/>
        <w:ind w:firstLine="7"/>
        <w:spacing w:after="0" w:line="248" w:lineRule="auto"/>
        <w:tabs>
          <w:tab w:leader="none" w:pos="259"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dividend payments or certain other restricted payments or investments; (ii) the incurrence of additional indebtedness and guarantees; (iii) creation of liens; (iv) mergers, consolidation or sales of substantially all of Wesco’s assets; (v) certain transactions among affiliates; (vi) payments by certain subsidiaries to Wesco, and (vii) capital expenditures. In addition, the Revolving Credit Facility and the Receivables Facility require Wesco to meet certain fixed charge coverage tests depending on availability or liquidity, respectively.</w:t>
      </w:r>
    </w:p>
    <w:p>
      <w:pPr>
        <w:spacing w:after="0" w:line="91"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2025 and 2028 Notes Indenture, the 2029 and 2032 Notes Indenture and the 2033 Notes Indenture (collectively, the “Indentures”) contain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2028 Notes, the 2029 and 2032 Notes, or the 2033 Notes receiving investment grade credit ratings.</w:t>
      </w:r>
    </w:p>
    <w:p>
      <w:pPr>
        <w:spacing w:after="0" w:line="88" w:lineRule="exact"/>
        <w:rPr>
          <w:sz w:val="20"/>
          <w:szCs w:val="20"/>
          <w:color w:val="auto"/>
        </w:rPr>
      </w:pPr>
    </w:p>
    <w:p>
      <w:pPr>
        <w:jc w:val="both"/>
        <w:ind w:firstLine="266"/>
        <w:spacing w:after="0" w:line="270" w:lineRule="auto"/>
        <w:rPr>
          <w:sz w:val="20"/>
          <w:szCs w:val="20"/>
          <w:color w:val="auto"/>
        </w:rPr>
      </w:pPr>
      <w:r>
        <w:rPr>
          <w:rFonts w:ascii="Times New Roman" w:cs="Times New Roman" w:eastAsia="Times New Roman" w:hAnsi="Times New Roman"/>
          <w:sz w:val="19"/>
          <w:szCs w:val="19"/>
          <w:color w:val="231F20"/>
        </w:rPr>
        <w:t>The Indentures contain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Indentures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pacing w:after="0" w:line="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Wesco was in compliance with all financial covenants contained in its debt agreements as of December 31, 2025.</w:t>
      </w:r>
    </w:p>
    <w:p>
      <w:pPr>
        <w:spacing w:after="0" w:line="125"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aggregate principal repayment requirements for all indebtedness for the next five years and thereafter, as of December 31, 2025:</w:t>
      </w:r>
    </w:p>
    <w:p>
      <w:pPr>
        <w:spacing w:after="0" w:line="133"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w w:val="99"/>
              </w:rPr>
              <w:t>(In millions)</w:t>
            </w:r>
          </w:p>
        </w:tc>
      </w:tr>
      <w:tr>
        <w:trPr>
          <w:trHeight w:val="303"/>
        </w:trPr>
        <w:tc>
          <w:tcPr>
            <w:tcW w:w="5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25.0</w:t>
            </w:r>
          </w:p>
        </w:tc>
      </w:tr>
      <w:tr>
        <w:trPr>
          <w:trHeight w:val="290"/>
        </w:trPr>
        <w:tc>
          <w:tcPr>
            <w:tcW w:w="5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w:t>
            </w:r>
          </w:p>
        </w:tc>
      </w:tr>
      <w:tr>
        <w:trPr>
          <w:trHeight w:val="301"/>
        </w:trPr>
        <w:tc>
          <w:tcPr>
            <w:tcW w:w="5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2,639.5</w:t>
            </w:r>
          </w:p>
        </w:tc>
      </w:tr>
      <w:tr>
        <w:trPr>
          <w:trHeight w:val="290"/>
        </w:trPr>
        <w:tc>
          <w:tcPr>
            <w:tcW w:w="5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2029</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910.3</w:t>
            </w:r>
          </w:p>
        </w:tc>
      </w:tr>
      <w:tr>
        <w:trPr>
          <w:trHeight w:val="301"/>
        </w:trPr>
        <w:tc>
          <w:tcPr>
            <w:tcW w:w="5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2030</w:t>
            </w: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586.9</w:t>
            </w:r>
          </w:p>
        </w:tc>
      </w:tr>
      <w:tr>
        <w:trPr>
          <w:trHeight w:val="285"/>
        </w:trPr>
        <w:tc>
          <w:tcPr>
            <w:tcW w:w="57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Thereafter</w:t>
            </w:r>
          </w:p>
        </w:tc>
        <w:tc>
          <w:tcPr>
            <w:tcW w:w="2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1,652.1</w:t>
            </w:r>
          </w:p>
        </w:tc>
      </w:tr>
      <w:tr>
        <w:trPr>
          <w:trHeight w:val="286"/>
        </w:trPr>
        <w:tc>
          <w:tcPr>
            <w:tcW w:w="572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Total payments on debt</w:t>
            </w: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5,829.4</w:t>
            </w:r>
          </w:p>
        </w:tc>
      </w:tr>
      <w:tr>
        <w:trPr>
          <w:trHeight w:val="285"/>
        </w:trPr>
        <w:tc>
          <w:tcPr>
            <w:tcW w:w="57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Debt discount</w:t>
            </w:r>
          </w:p>
        </w:tc>
        <w:tc>
          <w:tcPr>
            <w:tcW w:w="2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w:t>
            </w:r>
          </w:p>
        </w:tc>
      </w:tr>
      <w:tr>
        <w:trPr>
          <w:trHeight w:val="295"/>
        </w:trPr>
        <w:tc>
          <w:tcPr>
            <w:tcW w:w="5720" w:type="dxa"/>
            <w:vAlign w:val="bottom"/>
            <w:tcBorders>
              <w:bottom w:val="single" w:sz="8" w:color="CFEBF4"/>
            </w:tcBorders>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Total debt</w:t>
            </w:r>
          </w:p>
        </w:tc>
        <w:tc>
          <w:tcPr>
            <w:tcW w:w="2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5,826.3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4618355</wp:posOffset>
                </wp:positionH>
                <wp:positionV relativeFrom="paragraph">
                  <wp:posOffset>-588010</wp:posOffset>
                </wp:positionV>
                <wp:extent cx="12700" cy="1333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CFEBF4"/>
                        </a:solidFill>
                      </wps:spPr>
                      <wps:bodyPr/>
                    </wps:wsp>
                  </a:graphicData>
                </a:graphic>
              </wp:anchor>
            </w:drawing>
          </mc:Choice>
          <mc:Fallback>
            <w:pict>
              <v:rect id="Shape 133" o:spid="_x0000_s1158" style="position:absolute;margin-left:363.65pt;margin-top:-46.2999pt;width: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4618355</wp:posOffset>
                </wp:positionH>
                <wp:positionV relativeFrom="paragraph">
                  <wp:posOffset>-212725</wp:posOffset>
                </wp:positionV>
                <wp:extent cx="12700" cy="1333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CFEBF4"/>
                        </a:solidFill>
                      </wps:spPr>
                      <wps:bodyPr/>
                    </wps:wsp>
                  </a:graphicData>
                </a:graphic>
              </wp:anchor>
            </w:drawing>
          </mc:Choice>
          <mc:Fallback>
            <w:pict>
              <v:rect id="Shape 134" o:spid="_x0000_s1159" style="position:absolute;margin-left:363.65pt;margin-top:-16.7499pt;width: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4612640</wp:posOffset>
            </wp:positionH>
            <wp:positionV relativeFrom="paragraph">
              <wp:posOffset>-43180</wp:posOffset>
            </wp:positionV>
            <wp:extent cx="842010"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9">
                      <a:extLst>
                        <a:ext uri="{28A0092B-C50C-407E-A947-70E740481C1C}"/>
                      </a:extLst>
                    </a:blip>
                    <a:srcRect/>
                    <a:stretch>
                      <a:fillRect/>
                    </a:stretch>
                  </pic:blipFill>
                  <pic:spPr bwMode="auto">
                    <a:xfrm>
                      <a:off x="0" y="0"/>
                      <a:ext cx="842010" cy="5080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STOCKHOLDERS'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Preferred Stock</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There are 20 million shares of preferred stock authorized at a par value of $0.01 per share; there are no shares issued or outstanding. The Company’s Board of Directors has the authority, without further action by the stockholders, to issue all authorized preferred shares in one or more series and to fix the number of shares, designations, voting powers, preferences, optional and other special rights and the restrictions or qualifications thereof. The rights, preferences, privileges and powers of each series of preferred stock may differ with respect to dividend rates, liquidation values, voting rights, conversion rights, redemption provisions and other matters.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Series A Preferred Stock</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Company’s Board of Directors authorized 25,000 shares of Series A Preferred Stock, with a liquidation preference of $25,000 per whole preferred share and a par value of $0.01 per share. Depositary shares, each representing a 1/1,000th interest in a share of Series A Preferred Stock, were registered under the Securities Act. The Company had issued 21,611,534 depositary shares, representing an interest in approximately 21,612 shares of Series A Preferred Stock.</w:t>
      </w:r>
    </w:p>
    <w:p>
      <w:pPr>
        <w:spacing w:after="0" w:line="83" w:lineRule="exact"/>
        <w:rPr>
          <w:sz w:val="20"/>
          <w:szCs w:val="20"/>
          <w:color w:val="auto"/>
        </w:rPr>
      </w:pPr>
    </w:p>
    <w:p>
      <w:pPr>
        <w:jc w:val="both"/>
        <w:ind w:firstLine="266"/>
        <w:spacing w:after="0" w:line="302" w:lineRule="auto"/>
        <w:rPr>
          <w:sz w:val="20"/>
          <w:szCs w:val="20"/>
          <w:color w:val="auto"/>
        </w:rPr>
      </w:pPr>
      <w:r>
        <w:rPr>
          <w:rFonts w:ascii="Times New Roman" w:cs="Times New Roman" w:eastAsia="Times New Roman" w:hAnsi="Times New Roman"/>
          <w:sz w:val="19"/>
          <w:szCs w:val="19"/>
          <w:color w:val="231F20"/>
        </w:rPr>
        <w:t>Holders of shares of the Series A Preferred Stock were entitled to receive, when, as and if declared by the Company’s Board of Directors, cumulative cash dividends at an initial rate of 10.625% per annum of the $25,000 liquidation preference per share.</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120"/>
          </w:cols>
          <w:pgMar w:left="880" w:top="285" w:right="88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Holders of the Series A Preferred Stock had limited voting rights, including the right to elect two directors to the Board of Directors of the Company in the event dividends on the Series A Preferred Stock remain unpaid for the equivalent of six or more full quarterly dividend periods.</w:t>
      </w:r>
    </w:p>
    <w:p>
      <w:pPr>
        <w:spacing w:after="0" w:line="77"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Holders of the Series A Preferred Stock were not entitled to convert or exchange their shares of Series A Preferred stock into shares of any of Wesco’s other classes or series of stock or into any other security of Wesco (other than upon a change of control involving the issuance of additional shares of common stock or other change of control transaction, in each case, approved by holders of common stock).</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Series A Preferred Stock had no stated maturity and was not subject to any sinking fund, retirement fund or purchase fund or any other obligation of Wesco to redeem, repurchase or retire the Series A Preferred Stock. As of June 22, 2025, Wesco redeemed all outstanding shares of its Series A Preferred Stock, as described further below under “Series A Preferred Stock Redemption.” There are no shares outstanding as of December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Common Stock</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There are 210 million shares of common stock and 20 million shares of Class B common stock authorized at a par value of $0.01 per share. The Class B common stock is identical to the common stock, except for voting and conversion rights. The holders of Class B common stock have no voting rights. With certain exceptions, Class B common stock may be converted, at the option of the holder, into the same number of shares of common stock.</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Certain of the Company’s credit agreements place limits on the Company’s ability to declare or pay dividends and repurchase common stock. These restrictions are based on availability, as defined in the respective credit agreements, as well as Wesco’s compliance with certain fixed charge coverage tests. At December 31, 2025 and 2024, no dividends had been declared that remained unpaid and, therefore, no retained earnings were reserved for dividend payments.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Treasury Stock</w:t>
      </w:r>
    </w:p>
    <w:p>
      <w:pPr>
        <w:spacing w:after="0" w:line="12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Common stock purchased for treasury is recorded at cost. At the date of subsequent reissue, the treasury stock account is reduced by the cost of such stock, with cost determined on a weighted-average basis.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Share Repurchases</w:t>
      </w:r>
    </w:p>
    <w:p>
      <w:pPr>
        <w:spacing w:after="0" w:line="12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On May 31, 2022, the Company’s Board of Directors adopted a resolution authorizing the repurchase of up to $1 billion of the Company’s common stock and Series A Preferred Stock. The share repurchase authorization has no expiration date and may be modified, suspended, or terminated at any time without prior notice.</w:t>
      </w:r>
    </w:p>
    <w:p>
      <w:pPr>
        <w:spacing w:after="0" w:line="77"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During the year ended December 31, 2025, the Company entered into spot repurchase transactions through brokers to purchase 419,570 shares of its common stock in the open market for cash totaling $75.2 million, including excise taxes. Wesco funded the repurchases with available cash and borrowings under its accounts receivable securitization and revolving credit facilities. During the year ended December 31, 2024, the Company entered into spot repurchase transactions through a broker to purchase 2,424,488 shares of its common stock totaling $428.8 million. Wesco funded the repurchases with available cash and borrowings under its accounts receivable securitization and revolving credit facilities. During the year ended December 31, 2023, the Company entered into spot repurchase transactions through a broker to purchase 504,335 shares of its common stock in the open market for cash totaling $75.0 million. Wesco funded the repurchases with available cash and borrowings under its revolving credit facility. These repurchases were made within the limits described above.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Series A Preferred Stock Redemption</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On February 13, 2025, the Company's Board of Directors adopted a resolution authorizing the redemption of all outstanding shares of the Company's Series A Preferred Stock. As this authorization was separate from the May 31, 2022 share purchase authorization noted above, the redemption of Series A Preferred Stock did not impact the approximate dollar value of shares that may be repurchased under the earlier 2022 authorization.</w:t>
      </w:r>
    </w:p>
    <w:p>
      <w:pPr>
        <w:spacing w:after="0" w:line="8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As of June 22, 2025, the Company redeemed all 21,612 outstanding shares of its Series A Preferred Stock, and the related depositary shares, each representing 1/1,000th of one share of Series A Preferred Stock, at a redemption price of $25,000 per share, for a total payment of $540.3 million. The Company recognized a $32.9 million gain from the redemption as income attributable to common stockholders. As described in Note 9, “Debt”, Wesco funded the redemption with the net proceeds from the March 2025 issuance of the 2033 Notes.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120"/>
          </w:cols>
          <w:pgMar w:left="880" w:top="285" w:right="88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Dividends</w:t>
      </w:r>
    </w:p>
    <w:p>
      <w:pPr>
        <w:spacing w:after="0" w:line="12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Company’s dividends on common stock are declared at the discretion of the Board of Directors. During the years ended December 31, 2025, 2024 and 2023, the Board of Directors declared and the Company paid quarterly cash dividends totaling $88.4 million, $81.5 million and $76.6 million, respectively, to common stockholders.</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231F20"/>
        </w:rPr>
        <w:t>The following table is a summary of cash dividends declared and paid on the Company’s common stock for the year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1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Date Declared</w:t>
            </w:r>
          </w:p>
        </w:tc>
        <w:tc>
          <w:tcPr>
            <w:tcW w:w="1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Record Date</w:t>
            </w:r>
          </w:p>
        </w:tc>
        <w:tc>
          <w:tcPr>
            <w:tcW w:w="1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Payment Date</w:t>
            </w:r>
          </w:p>
        </w:tc>
        <w:tc>
          <w:tcPr>
            <w:tcW w:w="22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7"/>
              </w:rPr>
              <w:t>Amount per Share</w:t>
            </w:r>
          </w:p>
        </w:tc>
        <w:tc>
          <w:tcPr>
            <w:tcW w:w="20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Dividend Payment</w:t>
            </w:r>
          </w:p>
        </w:tc>
      </w:tr>
      <w:tr>
        <w:trPr>
          <w:trHeight w:val="271"/>
        </w:trPr>
        <w:tc>
          <w:tcPr>
            <w:tcW w:w="17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February 27, 2025</w:t>
            </w:r>
          </w:p>
        </w:tc>
        <w:tc>
          <w:tcPr>
            <w:tcW w:w="18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March 14, 2025</w:t>
            </w:r>
          </w:p>
        </w:tc>
        <w:tc>
          <w:tcPr>
            <w:tcW w:w="18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March 31, 2025</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CFEBF4"/>
          </w:tcPr>
          <w:p>
            <w:pPr>
              <w:jc w:val="right"/>
              <w:ind w:right="3"/>
              <w:spacing w:after="0"/>
              <w:rPr>
                <w:sz w:val="20"/>
                <w:szCs w:val="20"/>
                <w:color w:val="auto"/>
              </w:rPr>
            </w:pPr>
            <w:r>
              <w:rPr>
                <w:rFonts w:ascii="Times New Roman" w:cs="Times New Roman" w:eastAsia="Times New Roman" w:hAnsi="Times New Roman"/>
                <w:sz w:val="20"/>
                <w:szCs w:val="20"/>
                <w:color w:val="231F20"/>
              </w:rPr>
              <w:t>0.454</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22.1 million</w:t>
            </w:r>
          </w:p>
        </w:tc>
      </w:tr>
      <w:tr>
        <w:trPr>
          <w:trHeight w:val="275"/>
        </w:trPr>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May 29, 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13, 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30, 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0.454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22.1 million</w:t>
            </w:r>
          </w:p>
        </w:tc>
      </w:tr>
      <w:tr>
        <w:trPr>
          <w:trHeight w:val="287"/>
        </w:trPr>
        <w:tc>
          <w:tcPr>
            <w:tcW w:w="17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August 28, 2025</w:t>
            </w:r>
          </w:p>
        </w:tc>
        <w:tc>
          <w:tcPr>
            <w:tcW w:w="18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8"/>
              </w:rPr>
              <w:t>September 12, 2025</w:t>
            </w:r>
          </w:p>
        </w:tc>
        <w:tc>
          <w:tcPr>
            <w:tcW w:w="18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September 30, 2025</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CFEBF4"/>
          </w:tcPr>
          <w:p>
            <w:pPr>
              <w:jc w:val="right"/>
              <w:ind w:right="3"/>
              <w:spacing w:after="0"/>
              <w:rPr>
                <w:sz w:val="20"/>
                <w:szCs w:val="20"/>
                <w:color w:val="auto"/>
              </w:rPr>
            </w:pPr>
            <w:r>
              <w:rPr>
                <w:rFonts w:ascii="Times New Roman" w:cs="Times New Roman" w:eastAsia="Times New Roman" w:hAnsi="Times New Roman"/>
                <w:sz w:val="20"/>
                <w:szCs w:val="20"/>
                <w:color w:val="231F20"/>
              </w:rPr>
              <w:t>0.454</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22.1 million</w:t>
            </w:r>
          </w:p>
        </w:tc>
      </w:tr>
      <w:tr>
        <w:trPr>
          <w:trHeight w:val="298"/>
        </w:trPr>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December 1, 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December 12, 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 31, 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0.454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ind w:left="620"/>
              <w:spacing w:after="0"/>
              <w:rPr>
                <w:sz w:val="20"/>
                <w:szCs w:val="20"/>
                <w:color w:val="auto"/>
              </w:rPr>
            </w:pPr>
            <w:r>
              <w:rPr>
                <w:rFonts w:ascii="Times New Roman" w:cs="Times New Roman" w:eastAsia="Times New Roman" w:hAnsi="Times New Roman"/>
                <w:sz w:val="20"/>
                <w:szCs w:val="20"/>
                <w:color w:val="231F20"/>
                <w:w w:val="98"/>
              </w:rPr>
              <w:t>22.1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-736600</wp:posOffset>
            </wp:positionV>
            <wp:extent cx="579564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0">
                      <a:extLst>
                        <a:ext uri="{28A0092B-C50C-407E-A947-70E740481C1C}"/>
                      </a:extLst>
                    </a:blip>
                    <a:srcRect/>
                    <a:stretch>
                      <a:fillRect/>
                    </a:stretch>
                  </pic:blipFill>
                  <pic:spPr bwMode="auto">
                    <a:xfrm>
                      <a:off x="0" y="0"/>
                      <a:ext cx="579564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327660</wp:posOffset>
                </wp:positionH>
                <wp:positionV relativeFrom="paragraph">
                  <wp:posOffset>-723900</wp:posOffset>
                </wp:positionV>
                <wp:extent cx="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CFEBF4"/>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57pt" to="25.8pt,-57pt" o:allowincell="f" strokecolor="#CFEBF4" strokeweight="0pt"/>
            </w:pict>
          </mc:Fallback>
        </mc:AlternateConten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231F20"/>
        </w:rPr>
        <w:t>The following table is a summary of cash dividends declared and paid on the Company’s common stock for the year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2024:</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1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Date Declared</w:t>
            </w:r>
          </w:p>
        </w:tc>
        <w:tc>
          <w:tcPr>
            <w:tcW w:w="1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Record Date</w:t>
            </w:r>
          </w:p>
        </w:tc>
        <w:tc>
          <w:tcPr>
            <w:tcW w:w="1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Payment Date</w:t>
            </w:r>
          </w:p>
        </w:tc>
        <w:tc>
          <w:tcPr>
            <w:tcW w:w="22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7"/>
              </w:rPr>
              <w:t>Amount per Share</w:t>
            </w:r>
          </w:p>
        </w:tc>
        <w:tc>
          <w:tcPr>
            <w:tcW w:w="20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Dividend Payment</w:t>
            </w:r>
          </w:p>
        </w:tc>
      </w:tr>
      <w:tr>
        <w:trPr>
          <w:trHeight w:val="271"/>
        </w:trPr>
        <w:tc>
          <w:tcPr>
            <w:tcW w:w="17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February 29, 2024</w:t>
            </w:r>
          </w:p>
        </w:tc>
        <w:tc>
          <w:tcPr>
            <w:tcW w:w="18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March 15, 2024</w:t>
            </w:r>
          </w:p>
        </w:tc>
        <w:tc>
          <w:tcPr>
            <w:tcW w:w="18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March 29, 2024</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CFEBF4"/>
          </w:tcPr>
          <w:p>
            <w:pPr>
              <w:jc w:val="right"/>
              <w:ind w:right="3"/>
              <w:spacing w:after="0"/>
              <w:rPr>
                <w:sz w:val="20"/>
                <w:szCs w:val="20"/>
                <w:color w:val="auto"/>
              </w:rPr>
            </w:pPr>
            <w:r>
              <w:rPr>
                <w:rFonts w:ascii="Times New Roman" w:cs="Times New Roman" w:eastAsia="Times New Roman" w:hAnsi="Times New Roman"/>
                <w:sz w:val="20"/>
                <w:szCs w:val="20"/>
                <w:color w:val="231F20"/>
              </w:rPr>
              <w:t>0.413</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20.9 million</w:t>
            </w:r>
          </w:p>
        </w:tc>
      </w:tr>
      <w:tr>
        <w:trPr>
          <w:trHeight w:val="275"/>
        </w:trPr>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May 30, 2024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14, 2024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28,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0.413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20.3 million</w:t>
            </w:r>
          </w:p>
        </w:tc>
      </w:tr>
      <w:tr>
        <w:trPr>
          <w:trHeight w:val="287"/>
        </w:trPr>
        <w:tc>
          <w:tcPr>
            <w:tcW w:w="17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August 29, 2024</w:t>
            </w:r>
          </w:p>
        </w:tc>
        <w:tc>
          <w:tcPr>
            <w:tcW w:w="18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8"/>
              </w:rPr>
              <w:t>September 13, 2024</w:t>
            </w:r>
          </w:p>
        </w:tc>
        <w:tc>
          <w:tcPr>
            <w:tcW w:w="18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September 30, 2024</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CFEBF4"/>
          </w:tcPr>
          <w:p>
            <w:pPr>
              <w:jc w:val="right"/>
              <w:ind w:right="3"/>
              <w:spacing w:after="0"/>
              <w:rPr>
                <w:sz w:val="20"/>
                <w:szCs w:val="20"/>
                <w:color w:val="auto"/>
              </w:rPr>
            </w:pPr>
            <w:r>
              <w:rPr>
                <w:rFonts w:ascii="Times New Roman" w:cs="Times New Roman" w:eastAsia="Times New Roman" w:hAnsi="Times New Roman"/>
                <w:sz w:val="20"/>
                <w:szCs w:val="20"/>
                <w:color w:val="231F20"/>
              </w:rPr>
              <w:t>0.413</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20.2 million</w:t>
            </w:r>
          </w:p>
        </w:tc>
      </w:tr>
      <w:tr>
        <w:trPr>
          <w:trHeight w:val="298"/>
        </w:trPr>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December 2, 2024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December 13, 2024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 31,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0.413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ind w:left="620"/>
              <w:spacing w:after="0"/>
              <w:rPr>
                <w:sz w:val="20"/>
                <w:szCs w:val="20"/>
                <w:color w:val="auto"/>
              </w:rPr>
            </w:pPr>
            <w:r>
              <w:rPr>
                <w:rFonts w:ascii="Times New Roman" w:cs="Times New Roman" w:eastAsia="Times New Roman" w:hAnsi="Times New Roman"/>
                <w:sz w:val="20"/>
                <w:szCs w:val="20"/>
                <w:color w:val="231F20"/>
                <w:w w:val="98"/>
              </w:rPr>
              <w:t>20.1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-748665</wp:posOffset>
            </wp:positionV>
            <wp:extent cx="5820410"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1">
                      <a:extLst>
                        <a:ext uri="{28A0092B-C50C-407E-A947-70E740481C1C}"/>
                      </a:extLst>
                    </a:blip>
                    <a:srcRect/>
                    <a:stretch>
                      <a:fillRect/>
                    </a:stretch>
                  </pic:blipFill>
                  <pic:spPr bwMode="auto">
                    <a:xfrm>
                      <a:off x="0" y="0"/>
                      <a:ext cx="582041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327660</wp:posOffset>
                </wp:positionH>
                <wp:positionV relativeFrom="paragraph">
                  <wp:posOffset>-723900</wp:posOffset>
                </wp:positionV>
                <wp:extent cx="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CFEBF4"/>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57pt" to="25.8pt,-57pt" o:allowincell="f" strokecolor="#CFEBF4" strokeweight="0pt"/>
            </w:pict>
          </mc:Fallback>
        </mc:AlternateConten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231F20"/>
        </w:rPr>
        <w:t>The following table is a summary of cash dividends declared and paid on the Company’s common stock for the year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2023:</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1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Date Declared</w:t>
            </w:r>
          </w:p>
        </w:tc>
        <w:tc>
          <w:tcPr>
            <w:tcW w:w="1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Record Date</w:t>
            </w:r>
          </w:p>
        </w:tc>
        <w:tc>
          <w:tcPr>
            <w:tcW w:w="1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Payment Date</w:t>
            </w:r>
          </w:p>
        </w:tc>
        <w:tc>
          <w:tcPr>
            <w:tcW w:w="22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7"/>
              </w:rPr>
              <w:t>Amount per Share</w:t>
            </w:r>
          </w:p>
        </w:tc>
        <w:tc>
          <w:tcPr>
            <w:tcW w:w="20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Dividend Payment</w:t>
            </w:r>
          </w:p>
        </w:tc>
      </w:tr>
      <w:tr>
        <w:trPr>
          <w:trHeight w:val="271"/>
        </w:trPr>
        <w:tc>
          <w:tcPr>
            <w:tcW w:w="178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8"/>
              </w:rPr>
              <w:t>March 3, 2023</w:t>
            </w:r>
          </w:p>
        </w:tc>
        <w:tc>
          <w:tcPr>
            <w:tcW w:w="184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March 15, 2023</w:t>
            </w:r>
          </w:p>
        </w:tc>
        <w:tc>
          <w:tcPr>
            <w:tcW w:w="18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March 31, 2023</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CFEBF4"/>
          </w:tcPr>
          <w:p>
            <w:pPr>
              <w:jc w:val="right"/>
              <w:ind w:right="3"/>
              <w:spacing w:after="0"/>
              <w:rPr>
                <w:sz w:val="20"/>
                <w:szCs w:val="20"/>
                <w:color w:val="auto"/>
              </w:rPr>
            </w:pPr>
            <w:r>
              <w:rPr>
                <w:rFonts w:ascii="Times New Roman" w:cs="Times New Roman" w:eastAsia="Times New Roman" w:hAnsi="Times New Roman"/>
                <w:sz w:val="20"/>
                <w:szCs w:val="20"/>
                <w:color w:val="231F20"/>
              </w:rPr>
              <w:t>0.375</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ind w:left="620"/>
              <w:spacing w:after="0"/>
              <w:rPr>
                <w:sz w:val="20"/>
                <w:szCs w:val="20"/>
                <w:color w:val="auto"/>
              </w:rPr>
            </w:pPr>
            <w:r>
              <w:rPr>
                <w:rFonts w:ascii="Times New Roman" w:cs="Times New Roman" w:eastAsia="Times New Roman" w:hAnsi="Times New Roman"/>
                <w:sz w:val="20"/>
                <w:szCs w:val="20"/>
                <w:color w:val="231F20"/>
                <w:w w:val="98"/>
              </w:rPr>
              <w:t>19.2 million</w:t>
            </w:r>
          </w:p>
        </w:tc>
      </w:tr>
      <w:tr>
        <w:trPr>
          <w:trHeight w:val="275"/>
        </w:trPr>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1, 2023</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15, 2023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30,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0.375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19.2 million</w:t>
            </w:r>
          </w:p>
        </w:tc>
      </w:tr>
      <w:tr>
        <w:trPr>
          <w:trHeight w:val="287"/>
        </w:trPr>
        <w:tc>
          <w:tcPr>
            <w:tcW w:w="178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7"/>
              </w:rPr>
              <w:t>August 31, 2023</w:t>
            </w:r>
          </w:p>
        </w:tc>
        <w:tc>
          <w:tcPr>
            <w:tcW w:w="184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8"/>
              </w:rPr>
              <w:t>September 15, 2023</w:t>
            </w:r>
          </w:p>
        </w:tc>
        <w:tc>
          <w:tcPr>
            <w:tcW w:w="182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September 29, 2023</w:t>
            </w:r>
          </w:p>
        </w:tc>
        <w:tc>
          <w:tcPr>
            <w:tcW w:w="2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CFEBF4"/>
          </w:tcPr>
          <w:p>
            <w:pPr>
              <w:jc w:val="right"/>
              <w:ind w:right="3"/>
              <w:spacing w:after="0"/>
              <w:rPr>
                <w:sz w:val="20"/>
                <w:szCs w:val="20"/>
                <w:color w:val="auto"/>
              </w:rPr>
            </w:pPr>
            <w:r>
              <w:rPr>
                <w:rFonts w:ascii="Times New Roman" w:cs="Times New Roman" w:eastAsia="Times New Roman" w:hAnsi="Times New Roman"/>
                <w:sz w:val="20"/>
                <w:szCs w:val="20"/>
                <w:color w:val="231F20"/>
              </w:rPr>
              <w:t>0.375</w:t>
            </w:r>
          </w:p>
        </w:tc>
        <w:tc>
          <w:tcPr>
            <w:tcW w:w="2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shd w:val="clear" w:color="auto" w:fill="CFEBF4"/>
          </w:tcPr>
          <w:p>
            <w:pPr>
              <w:ind w:left="600"/>
              <w:spacing w:after="0"/>
              <w:rPr>
                <w:sz w:val="20"/>
                <w:szCs w:val="20"/>
                <w:color w:val="auto"/>
              </w:rPr>
            </w:pPr>
            <w:r>
              <w:rPr>
                <w:rFonts w:ascii="Times New Roman" w:cs="Times New Roman" w:eastAsia="Times New Roman" w:hAnsi="Times New Roman"/>
                <w:sz w:val="20"/>
                <w:szCs w:val="20"/>
                <w:color w:val="231F20"/>
              </w:rPr>
              <w:t>19.1 million</w:t>
            </w:r>
          </w:p>
        </w:tc>
      </w:tr>
      <w:tr>
        <w:trPr>
          <w:trHeight w:val="298"/>
        </w:trPr>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November 30, 2023</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December 15, 2023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 29,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0.375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ind w:left="620"/>
              <w:spacing w:after="0"/>
              <w:rPr>
                <w:sz w:val="20"/>
                <w:szCs w:val="20"/>
                <w:color w:val="auto"/>
              </w:rPr>
            </w:pPr>
            <w:r>
              <w:rPr>
                <w:rFonts w:ascii="Times New Roman" w:cs="Times New Roman" w:eastAsia="Times New Roman" w:hAnsi="Times New Roman"/>
                <w:sz w:val="20"/>
                <w:szCs w:val="20"/>
                <w:color w:val="231F20"/>
                <w:w w:val="98"/>
              </w:rPr>
              <w:t>19.1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-748665</wp:posOffset>
            </wp:positionV>
            <wp:extent cx="5820410"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2">
                      <a:extLst>
                        <a:ext uri="{28A0092B-C50C-407E-A947-70E740481C1C}"/>
                      </a:extLst>
                    </a:blip>
                    <a:srcRect/>
                    <a:stretch>
                      <a:fillRect/>
                    </a:stretch>
                  </pic:blipFill>
                  <pic:spPr bwMode="auto">
                    <a:xfrm>
                      <a:off x="0" y="0"/>
                      <a:ext cx="582041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327660</wp:posOffset>
                </wp:positionH>
                <wp:positionV relativeFrom="paragraph">
                  <wp:posOffset>-723900</wp:posOffset>
                </wp:positionV>
                <wp:extent cx="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CFEBF4"/>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57pt" to="25.8pt,-57pt" o:allowincell="f" strokecolor="#CFEBF4" strokeweight="0pt"/>
            </w:pict>
          </mc:Fallback>
        </mc:AlternateContent>
      </w:r>
    </w:p>
    <w:p>
      <w:pPr>
        <w:spacing w:after="0" w:line="14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2025, the Company's Board of Directors declared and the Company paid cash dividends relating to its Series A Preferred Stock totaling $27.3 million. As a result of the redemption, for the second quarter of 2025, the dividend rate per depositary share was prorated to $0.598, compared to the dividend rate of $0.664 for the first quarter of 2025. During the years ended December 31, 2024 and 2023, the Company’s Board of Directors declared and the Company paid quarterly cash dividends of $0.664 per depositary share relating to its Series A Preferred Stock totaling $57.4 million each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INCOME TAXES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components of income before income taxes by jurisdiction: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780" w:type="dxa"/>
            <w:vAlign w:val="bottom"/>
            <w:tcBorders>
              <w:bottom w:val="single" w:sz="8" w:color="231F20"/>
            </w:tcBorders>
            <w:gridSpan w:val="6"/>
          </w:tcPr>
          <w:p>
            <w:pPr>
              <w:jc w:val="center"/>
              <w:ind w:left="525"/>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920" w:type="dxa"/>
            <w:vAlign w:val="bottom"/>
            <w:tcBorders>
              <w:bottom w:val="single" w:sz="8" w:color="231F20"/>
            </w:tcBorders>
          </w:tcPr>
          <w:p>
            <w:pPr>
              <w:spacing w:after="0"/>
              <w:rPr>
                <w:sz w:val="20"/>
                <w:szCs w:val="20"/>
                <w:color w:val="auto"/>
              </w:rPr>
            </w:pPr>
          </w:p>
        </w:tc>
      </w:tr>
      <w:tr>
        <w:trPr>
          <w:trHeight w:val="231"/>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33"/>
        </w:trPr>
        <w:tc>
          <w:tcPr>
            <w:tcW w:w="6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231F20"/>
                <w:w w:val="99"/>
              </w:rPr>
              <w:t>(In millions)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03"/>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United States</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625.2</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713.7</w:t>
            </w:r>
          </w:p>
        </w:tc>
        <w:tc>
          <w:tcPr>
            <w:tcW w:w="440" w:type="dxa"/>
            <w:vAlign w:val="bottom"/>
            <w:gridSpan w:val="2"/>
            <w:shd w:val="clear" w:color="auto" w:fill="CFEBF4"/>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739.4</w:t>
            </w:r>
          </w:p>
        </w:tc>
      </w:tr>
      <w:tr>
        <w:trPr>
          <w:trHeight w:val="285"/>
        </w:trPr>
        <w:tc>
          <w:tcPr>
            <w:tcW w:w="610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Foreign</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230.7</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237.3</w:t>
            </w:r>
          </w:p>
        </w:tc>
        <w:tc>
          <w:tcPr>
            <w:tcW w:w="80" w:type="dxa"/>
            <w:vAlign w:val="bottom"/>
            <w:tcBorders>
              <w:bottom w:val="single" w:sz="8" w:color="CFEBF4"/>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252.6</w:t>
            </w:r>
          </w:p>
        </w:tc>
      </w:tr>
      <w:tr>
        <w:trPr>
          <w:trHeight w:val="295"/>
        </w:trPr>
        <w:tc>
          <w:tcPr>
            <w:tcW w:w="610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300" w:type="dxa"/>
            <w:vAlign w:val="bottom"/>
            <w:tcBorders>
              <w:bottom w:val="single" w:sz="8" w:color="231F20"/>
            </w:tcBorders>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855.9</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951.0</w:t>
            </w:r>
          </w:p>
        </w:tc>
        <w:tc>
          <w:tcPr>
            <w:tcW w:w="80" w:type="dxa"/>
            <w:vAlign w:val="bottom"/>
            <w:tcBorders>
              <w:bottom w:val="single" w:sz="8" w:color="CFEBF4"/>
            </w:tcBorders>
            <w:shd w:val="clear" w:color="auto" w:fill="CFEBF4"/>
          </w:tcPr>
          <w:p>
            <w:pPr>
              <w:spacing w:after="0"/>
              <w:rPr>
                <w:sz w:val="24"/>
                <w:szCs w:val="24"/>
                <w:color w:val="auto"/>
              </w:rPr>
            </w:pPr>
          </w:p>
        </w:tc>
        <w:tc>
          <w:tcPr>
            <w:tcW w:w="360" w:type="dxa"/>
            <w:vAlign w:val="bottom"/>
            <w:tcBorders>
              <w:bottom w:val="single" w:sz="8" w:color="231F20"/>
            </w:tcBorders>
            <w:shd w:val="clear" w:color="auto" w:fill="CFEBF4"/>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-231140</wp:posOffset>
            </wp:positionV>
            <wp:extent cx="1751330"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3">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-55880</wp:posOffset>
            </wp:positionV>
            <wp:extent cx="2592705" cy="74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4">
                      <a:extLst>
                        <a:ext uri="{28A0092B-C50C-407E-A947-70E740481C1C}"/>
                      </a:extLst>
                    </a:blip>
                    <a:srcRect/>
                    <a:stretch>
                      <a:fillRect/>
                    </a:stretch>
                  </pic:blipFill>
                  <pic:spPr bwMode="auto">
                    <a:xfrm>
                      <a:off x="0" y="0"/>
                      <a:ext cx="2592705" cy="74930"/>
                    </a:xfrm>
                    <a:prstGeom prst="rect">
                      <a:avLst/>
                    </a:prstGeom>
                    <a:noFill/>
                  </pic:spPr>
                </pic:pic>
              </a:graphicData>
            </a:graphic>
          </wp:anchor>
        </w:drawing>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120"/>
          </w:cols>
          <w:pgMar w:left="880" w:top="285" w:right="88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components of the provision for income taxes: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780" w:type="dxa"/>
            <w:vAlign w:val="bottom"/>
            <w:tcBorders>
              <w:bottom w:val="single" w:sz="8" w:color="231F20"/>
            </w:tcBorders>
            <w:gridSpan w:val="6"/>
          </w:tcPr>
          <w:p>
            <w:pPr>
              <w:jc w:val="center"/>
              <w:ind w:left="523"/>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920" w:type="dxa"/>
            <w:vAlign w:val="bottom"/>
            <w:tcBorders>
              <w:bottom w:val="single" w:sz="8" w:color="231F20"/>
            </w:tcBorders>
          </w:tcPr>
          <w:p>
            <w:pPr>
              <w:spacing w:after="0"/>
              <w:rPr>
                <w:sz w:val="20"/>
                <w:szCs w:val="20"/>
                <w:color w:val="auto"/>
              </w:rPr>
            </w:pPr>
          </w:p>
        </w:tc>
      </w:tr>
      <w:tr>
        <w:trPr>
          <w:trHeight w:val="231"/>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26"/>
        </w:trPr>
        <w:tc>
          <w:tcPr>
            <w:tcW w:w="6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231F20"/>
                <w:w w:val="99"/>
              </w:rPr>
              <w:t>(In millions)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0"/>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Current income taxes: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1"/>
        </w:trPr>
        <w:tc>
          <w:tcPr>
            <w:tcW w:w="610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U.S. federal</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85.8</w:t>
            </w:r>
          </w:p>
        </w:tc>
        <w:tc>
          <w:tcPr>
            <w:tcW w:w="260" w:type="dxa"/>
            <w:vAlign w:val="bottom"/>
            <w:gridSpan w:val="2"/>
            <w:shd w:val="clear" w:color="auto" w:fill="CFEBF4"/>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150.2</w:t>
            </w:r>
          </w:p>
        </w:tc>
        <w:tc>
          <w:tcPr>
            <w:tcW w:w="440" w:type="dxa"/>
            <w:vAlign w:val="bottom"/>
            <w:gridSpan w:val="2"/>
            <w:shd w:val="clear" w:color="auto" w:fill="CFEBF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124.8</w:t>
            </w:r>
          </w:p>
        </w:tc>
      </w:tr>
      <w:tr>
        <w:trPr>
          <w:trHeight w:val="290"/>
        </w:trPr>
        <w:tc>
          <w:tcPr>
            <w:tcW w:w="6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w:t>
            </w:r>
          </w:p>
        </w:tc>
      </w:tr>
      <w:tr>
        <w:trPr>
          <w:trHeight w:val="291"/>
        </w:trPr>
        <w:tc>
          <w:tcPr>
            <w:tcW w:w="610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81.6</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11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79.8</w:t>
            </w:r>
          </w:p>
        </w:tc>
        <w:tc>
          <w:tcPr>
            <w:tcW w:w="80" w:type="dxa"/>
            <w:vAlign w:val="bottom"/>
            <w:tcBorders>
              <w:bottom w:val="single" w:sz="8" w:color="CFEBF4"/>
            </w:tcBorders>
            <w:shd w:val="clear" w:color="auto" w:fill="CFEBF4"/>
          </w:tcPr>
          <w:p>
            <w:pPr>
              <w:spacing w:after="0"/>
              <w:rPr>
                <w:sz w:val="24"/>
                <w:szCs w:val="24"/>
                <w:color w:val="auto"/>
              </w:rPr>
            </w:pPr>
          </w:p>
        </w:tc>
        <w:tc>
          <w:tcPr>
            <w:tcW w:w="360" w:type="dxa"/>
            <w:vAlign w:val="bottom"/>
            <w:tcBorders>
              <w:bottom w:val="single" w:sz="8" w:color="231F20"/>
            </w:tcBorders>
            <w:shd w:val="clear" w:color="auto" w:fill="CFEBF4"/>
          </w:tcPr>
          <w:p>
            <w:pPr>
              <w:spacing w:after="0"/>
              <w:rPr>
                <w:sz w:val="24"/>
                <w:szCs w:val="24"/>
                <w:color w:val="auto"/>
              </w:rPr>
            </w:pPr>
          </w:p>
        </w:tc>
        <w:tc>
          <w:tcPr>
            <w:tcW w:w="9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74.4</w:t>
            </w:r>
          </w:p>
        </w:tc>
      </w:tr>
      <w:tr>
        <w:trPr>
          <w:trHeight w:val="280"/>
        </w:trPr>
        <w:tc>
          <w:tcPr>
            <w:tcW w:w="610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Total current income taxes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233.8</w:t>
            </w:r>
          </w:p>
        </w:tc>
      </w:tr>
      <w:tr>
        <w:trPr>
          <w:trHeight w:val="301"/>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Deferred income taxes:</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60" w:type="dxa"/>
            <w:vAlign w:val="bottom"/>
            <w:shd w:val="clear" w:color="auto" w:fill="CFEBF4"/>
          </w:tcPr>
          <w:p>
            <w:pPr>
              <w:spacing w:after="0"/>
              <w:rPr>
                <w:sz w:val="24"/>
                <w:szCs w:val="24"/>
                <w:color w:val="auto"/>
              </w:rPr>
            </w:pPr>
          </w:p>
        </w:tc>
        <w:tc>
          <w:tcPr>
            <w:tcW w:w="920" w:type="dxa"/>
            <w:vAlign w:val="bottom"/>
            <w:shd w:val="clear" w:color="auto" w:fill="CFEBF4"/>
          </w:tcPr>
          <w:p>
            <w:pPr>
              <w:spacing w:after="0"/>
              <w:rPr>
                <w:sz w:val="24"/>
                <w:szCs w:val="24"/>
                <w:color w:val="auto"/>
              </w:rPr>
            </w:pPr>
          </w:p>
        </w:tc>
      </w:tr>
      <w:tr>
        <w:trPr>
          <w:trHeight w:val="290"/>
        </w:trPr>
        <w:tc>
          <w:tcPr>
            <w:tcW w:w="6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federal</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301"/>
        </w:trPr>
        <w:tc>
          <w:tcPr>
            <w:tcW w:w="610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30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80" w:type="dxa"/>
            <w:vAlign w:val="bottom"/>
            <w:shd w:val="clear" w:color="auto" w:fill="CFEBF4"/>
          </w:tcPr>
          <w:p>
            <w:pPr>
              <w:spacing w:after="0"/>
              <w:rPr>
                <w:sz w:val="24"/>
                <w:szCs w:val="24"/>
                <w:color w:val="auto"/>
              </w:rPr>
            </w:pPr>
          </w:p>
        </w:tc>
        <w:tc>
          <w:tcPr>
            <w:tcW w:w="360" w:type="dxa"/>
            <w:vAlign w:val="bottom"/>
            <w:shd w:val="clear" w:color="auto" w:fill="CFEBF4"/>
          </w:tcPr>
          <w:p>
            <w:pPr>
              <w:spacing w:after="0"/>
              <w:rPr>
                <w:sz w:val="24"/>
                <w:szCs w:val="24"/>
                <w:color w:val="auto"/>
              </w:rPr>
            </w:pP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2.7</w:t>
            </w:r>
          </w:p>
        </w:tc>
      </w:tr>
      <w:tr>
        <w:trPr>
          <w:trHeight w:val="285"/>
        </w:trPr>
        <w:tc>
          <w:tcPr>
            <w:tcW w:w="6100" w:type="dxa"/>
            <w:vAlign w:val="bottom"/>
            <w:tcBorders>
              <w:bottom w:val="single" w:sz="8" w:color="CFEBF4"/>
            </w:tcBorders>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80" w:type="dxa"/>
            <w:vAlign w:val="bottom"/>
            <w:tcBorders>
              <w:bottom w:val="single" w:sz="8" w:color="CFEBF4"/>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w:t>
            </w:r>
          </w:p>
        </w:tc>
      </w:tr>
      <w:tr>
        <w:trPr>
          <w:trHeight w:val="276"/>
        </w:trPr>
        <w:tc>
          <w:tcPr>
            <w:tcW w:w="6100" w:type="dxa"/>
            <w:vAlign w:val="bottom"/>
            <w:tcBorders>
              <w:bottom w:val="single" w:sz="8" w:color="CFEBF4"/>
            </w:tcBorders>
            <w:shd w:val="clear" w:color="auto" w:fill="CFEBF4"/>
          </w:tcPr>
          <w:p>
            <w:pPr>
              <w:ind w:left="420"/>
              <w:spacing w:after="0"/>
              <w:rPr>
                <w:sz w:val="20"/>
                <w:szCs w:val="20"/>
                <w:color w:val="auto"/>
              </w:rPr>
            </w:pPr>
            <w:r>
              <w:rPr>
                <w:rFonts w:ascii="Times New Roman" w:cs="Times New Roman" w:eastAsia="Times New Roman" w:hAnsi="Times New Roman"/>
                <w:sz w:val="20"/>
                <w:szCs w:val="20"/>
                <w:color w:val="231F20"/>
              </w:rPr>
              <w:t>Total deferred income taxes</w:t>
            </w:r>
          </w:p>
        </w:tc>
        <w:tc>
          <w:tcPr>
            <w:tcW w:w="300" w:type="dxa"/>
            <w:vAlign w:val="bottom"/>
            <w:tcBorders>
              <w:bottom w:val="single" w:sz="8" w:color="231F20"/>
            </w:tcBorders>
            <w:shd w:val="clear" w:color="auto" w:fill="CFEBF4"/>
          </w:tcPr>
          <w:p>
            <w:pPr>
              <w:spacing w:after="0"/>
              <w:rPr>
                <w:sz w:val="23"/>
                <w:szCs w:val="23"/>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80" w:type="dxa"/>
            <w:vAlign w:val="bottom"/>
            <w:tcBorders>
              <w:bottom w:val="single" w:sz="8" w:color="CFEBF4"/>
            </w:tcBorders>
            <w:shd w:val="clear" w:color="auto" w:fill="CFEBF4"/>
          </w:tcPr>
          <w:p>
            <w:pPr>
              <w:spacing w:after="0"/>
              <w:rPr>
                <w:sz w:val="23"/>
                <w:szCs w:val="23"/>
                <w:color w:val="auto"/>
              </w:rPr>
            </w:pPr>
          </w:p>
        </w:tc>
        <w:tc>
          <w:tcPr>
            <w:tcW w:w="180" w:type="dxa"/>
            <w:vAlign w:val="bottom"/>
            <w:tcBorders>
              <w:bottom w:val="single" w:sz="8" w:color="231F20"/>
            </w:tcBorders>
            <w:shd w:val="clear" w:color="auto" w:fill="CFEBF4"/>
          </w:tcPr>
          <w:p>
            <w:pPr>
              <w:spacing w:after="0"/>
              <w:rPr>
                <w:sz w:val="23"/>
                <w:szCs w:val="23"/>
                <w:color w:val="auto"/>
              </w:rPr>
            </w:pPr>
          </w:p>
        </w:tc>
        <w:tc>
          <w:tcPr>
            <w:tcW w:w="11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(39.9)</w:t>
            </w:r>
          </w:p>
        </w:tc>
        <w:tc>
          <w:tcPr>
            <w:tcW w:w="80" w:type="dxa"/>
            <w:vAlign w:val="bottom"/>
            <w:tcBorders>
              <w:bottom w:val="single" w:sz="8" w:color="CFEBF4"/>
            </w:tcBorders>
            <w:shd w:val="clear" w:color="auto" w:fill="CFEBF4"/>
          </w:tcPr>
          <w:p>
            <w:pPr>
              <w:spacing w:after="0"/>
              <w:rPr>
                <w:sz w:val="23"/>
                <w:szCs w:val="23"/>
                <w:color w:val="auto"/>
              </w:rPr>
            </w:pPr>
          </w:p>
        </w:tc>
        <w:tc>
          <w:tcPr>
            <w:tcW w:w="360" w:type="dxa"/>
            <w:vAlign w:val="bottom"/>
            <w:tcBorders>
              <w:bottom w:val="single" w:sz="8" w:color="231F20"/>
            </w:tcBorders>
            <w:shd w:val="clear" w:color="auto" w:fill="CFEBF4"/>
          </w:tcPr>
          <w:p>
            <w:pPr>
              <w:spacing w:after="0"/>
              <w:rPr>
                <w:sz w:val="23"/>
                <w:szCs w:val="23"/>
                <w:color w:val="auto"/>
              </w:rPr>
            </w:pPr>
          </w:p>
        </w:tc>
        <w:tc>
          <w:tcPr>
            <w:tcW w:w="9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(7.9)</w:t>
            </w:r>
          </w:p>
        </w:tc>
      </w:tr>
      <w:tr>
        <w:trPr>
          <w:trHeight w:val="256"/>
        </w:trPr>
        <w:tc>
          <w:tcPr>
            <w:tcW w:w="61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225.9</w:t>
            </w:r>
          </w:p>
        </w:tc>
      </w:tr>
      <w:tr>
        <w:trPr>
          <w:trHeight w:val="20"/>
        </w:trPr>
        <w:tc>
          <w:tcPr>
            <w:tcW w:w="610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-1356995</wp:posOffset>
            </wp:positionV>
            <wp:extent cx="1751330" cy="50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5">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-418465</wp:posOffset>
            </wp:positionV>
            <wp:extent cx="1751330"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6">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-231140</wp:posOffset>
            </wp:positionV>
            <wp:extent cx="1751330"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7">
                      <a:extLst>
                        <a:ext uri="{28A0092B-C50C-407E-A947-70E740481C1C}"/>
                      </a:extLst>
                    </a:blip>
                    <a:srcRect/>
                    <a:stretch>
                      <a:fillRect/>
                    </a:stretch>
                  </pic:blipFill>
                  <pic:spPr bwMode="auto">
                    <a:xfrm>
                      <a:off x="0" y="0"/>
                      <a:ext cx="1751330" cy="50165"/>
                    </a:xfrm>
                    <a:prstGeom prst="rect">
                      <a:avLst/>
                    </a:prstGeom>
                    <a:noFill/>
                  </pic:spPr>
                </pic:pic>
              </a:graphicData>
            </a:graphic>
          </wp:anchor>
        </w:drawing>
      </w:r>
    </w:p>
    <w:p>
      <w:pPr>
        <w:spacing w:after="0" w:line="165"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reconciliation of the tax provision at the U.S. federal statutory income tax rate to income tax expense and the effective tax rate for the year ended December 31, 2025:</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64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Year Ended December 31, 2025</w:t>
            </w:r>
          </w:p>
        </w:tc>
      </w:tr>
      <w:tr>
        <w:trPr>
          <w:trHeight w:val="211"/>
        </w:trPr>
        <w:tc>
          <w:tcPr>
            <w:tcW w:w="6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3"/>
          </w:tcPr>
          <w:p>
            <w:pPr>
              <w:jc w:val="center"/>
              <w:ind w:left="203"/>
              <w:spacing w:after="0"/>
              <w:rPr>
                <w:sz w:val="20"/>
                <w:szCs w:val="20"/>
                <w:color w:val="auto"/>
              </w:rPr>
            </w:pPr>
            <w:r>
              <w:rPr>
                <w:rFonts w:ascii="Times New Roman" w:cs="Times New Roman" w:eastAsia="Times New Roman" w:hAnsi="Times New Roman"/>
                <w:sz w:val="16"/>
                <w:szCs w:val="16"/>
                <w:b w:val="1"/>
                <w:bCs w:val="1"/>
                <w:color w:val="231F20"/>
                <w:w w:val="97"/>
              </w:rPr>
              <w:t>(In millions)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34"/>
        </w:trPr>
        <w:tc>
          <w:tcPr>
            <w:tcW w:w="6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51"/>
        </w:trPr>
        <w:tc>
          <w:tcPr>
            <w:tcW w:w="60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U.S. federal statutory tax rate</w:t>
            </w:r>
          </w:p>
        </w:tc>
        <w:tc>
          <w:tcPr>
            <w:tcW w:w="460" w:type="dxa"/>
            <w:vAlign w:val="bottom"/>
            <w:shd w:val="clear" w:color="auto" w:fill="CFEBF4"/>
          </w:tcPr>
          <w:p>
            <w:pPr>
              <w:jc w:val="right"/>
              <w:ind w:right="205"/>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179.7</w:t>
            </w: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1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83"/>
              </w:rPr>
              <w:t>%</w:t>
            </w:r>
          </w:p>
        </w:tc>
      </w:tr>
      <w:tr>
        <w:trPr>
          <w:trHeight w:val="236"/>
        </w:trPr>
        <w:tc>
          <w:tcPr>
            <w:tcW w:w="6080" w:type="dxa"/>
            <w:vAlign w:val="bottom"/>
          </w:tcPr>
          <w:p>
            <w:pPr>
              <w:ind w:left="180"/>
              <w:spacing w:after="0" w:line="236" w:lineRule="exact"/>
              <w:rPr>
                <w:sz w:val="20"/>
                <w:szCs w:val="20"/>
                <w:color w:val="auto"/>
              </w:rPr>
            </w:pPr>
            <w:r>
              <w:rPr>
                <w:rFonts w:ascii="Times New Roman" w:cs="Times New Roman" w:eastAsia="Times New Roman" w:hAnsi="Times New Roman"/>
                <w:sz w:val="20"/>
                <w:szCs w:val="20"/>
                <w:color w:val="231F20"/>
              </w:rPr>
              <w:t>State and local income taxes, net of federal income tax effect</w:t>
            </w:r>
            <w:r>
              <w:rPr>
                <w:rFonts w:ascii="Times New Roman" w:cs="Times New Roman" w:eastAsia="Times New Roman" w:hAnsi="Times New Roman"/>
                <w:sz w:val="25"/>
                <w:szCs w:val="25"/>
                <w:color w:val="231F20"/>
                <w:vertAlign w:val="superscript"/>
              </w:rPr>
              <w:t>(1)</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180" w:type="dxa"/>
            <w:vAlign w:val="bottom"/>
          </w:tcPr>
          <w:p>
            <w:pPr>
              <w:spacing w:after="0"/>
              <w:rPr>
                <w:sz w:val="20"/>
                <w:szCs w:val="20"/>
                <w:color w:val="auto"/>
              </w:rPr>
            </w:pPr>
          </w:p>
        </w:tc>
      </w:tr>
      <w:tr>
        <w:trPr>
          <w:trHeight w:val="251"/>
        </w:trPr>
        <w:tc>
          <w:tcPr>
            <w:tcW w:w="60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Foreign tax effects:</w:t>
            </w:r>
          </w:p>
        </w:tc>
        <w:tc>
          <w:tcPr>
            <w:tcW w:w="460" w:type="dxa"/>
            <w:vAlign w:val="bottom"/>
            <w:shd w:val="clear" w:color="auto" w:fill="CFEBF4"/>
          </w:tcPr>
          <w:p>
            <w:pPr>
              <w:spacing w:after="0"/>
              <w:rPr>
                <w:sz w:val="21"/>
                <w:szCs w:val="21"/>
                <w:color w:val="auto"/>
              </w:rPr>
            </w:pPr>
          </w:p>
        </w:tc>
        <w:tc>
          <w:tcPr>
            <w:tcW w:w="840" w:type="dxa"/>
            <w:vAlign w:val="bottom"/>
            <w:shd w:val="clear" w:color="auto" w:fill="CFEBF4"/>
          </w:tcPr>
          <w:p>
            <w:pPr>
              <w:spacing w:after="0"/>
              <w:rPr>
                <w:sz w:val="21"/>
                <w:szCs w:val="21"/>
                <w:color w:val="auto"/>
              </w:rPr>
            </w:pP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spacing w:after="0"/>
              <w:rPr>
                <w:sz w:val="21"/>
                <w:szCs w:val="21"/>
                <w:color w:val="auto"/>
              </w:rPr>
            </w:pPr>
          </w:p>
        </w:tc>
        <w:tc>
          <w:tcPr>
            <w:tcW w:w="180" w:type="dxa"/>
            <w:vAlign w:val="bottom"/>
            <w:shd w:val="clear" w:color="auto" w:fill="CFEBF4"/>
          </w:tcPr>
          <w:p>
            <w:pPr>
              <w:spacing w:after="0"/>
              <w:rPr>
                <w:sz w:val="21"/>
                <w:szCs w:val="21"/>
                <w:color w:val="auto"/>
              </w:rPr>
            </w:pPr>
          </w:p>
        </w:tc>
      </w:tr>
      <w:tr>
        <w:trPr>
          <w:trHeight w:val="251"/>
        </w:trPr>
        <w:tc>
          <w:tcPr>
            <w:tcW w:w="608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Canada:</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1"/>
        </w:trPr>
        <w:tc>
          <w:tcPr>
            <w:tcW w:w="608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20"/>
                <w:szCs w:val="20"/>
                <w:color w:val="231F20"/>
              </w:rPr>
              <w:t>Provincial income taxes</w:t>
            </w:r>
          </w:p>
        </w:tc>
        <w:tc>
          <w:tcPr>
            <w:tcW w:w="460" w:type="dxa"/>
            <w:vAlign w:val="bottom"/>
            <w:shd w:val="clear" w:color="auto" w:fill="CFEBF4"/>
          </w:tcPr>
          <w:p>
            <w:pPr>
              <w:spacing w:after="0"/>
              <w:rPr>
                <w:sz w:val="21"/>
                <w:szCs w:val="21"/>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180" w:type="dxa"/>
            <w:vAlign w:val="bottom"/>
            <w:shd w:val="clear" w:color="auto" w:fill="CFEBF4"/>
          </w:tcPr>
          <w:p>
            <w:pPr>
              <w:spacing w:after="0"/>
              <w:rPr>
                <w:sz w:val="21"/>
                <w:szCs w:val="21"/>
                <w:color w:val="auto"/>
              </w:rPr>
            </w:pPr>
          </w:p>
        </w:tc>
      </w:tr>
      <w:tr>
        <w:trPr>
          <w:trHeight w:val="251"/>
        </w:trPr>
        <w:tc>
          <w:tcPr>
            <w:tcW w:w="608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Statutory tax rate difference between Canada and United States</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80" w:type="dxa"/>
            <w:vAlign w:val="bottom"/>
          </w:tcPr>
          <w:p>
            <w:pPr>
              <w:spacing w:after="0"/>
              <w:rPr>
                <w:sz w:val="21"/>
                <w:szCs w:val="21"/>
                <w:color w:val="auto"/>
              </w:rPr>
            </w:pPr>
          </w:p>
        </w:tc>
      </w:tr>
      <w:tr>
        <w:trPr>
          <w:trHeight w:val="251"/>
        </w:trPr>
        <w:tc>
          <w:tcPr>
            <w:tcW w:w="608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20"/>
                <w:szCs w:val="20"/>
                <w:color w:val="231F20"/>
              </w:rPr>
              <w:t>Other</w:t>
            </w:r>
          </w:p>
        </w:tc>
        <w:tc>
          <w:tcPr>
            <w:tcW w:w="460" w:type="dxa"/>
            <w:vAlign w:val="bottom"/>
            <w:shd w:val="clear" w:color="auto" w:fill="CFEBF4"/>
          </w:tcPr>
          <w:p>
            <w:pPr>
              <w:spacing w:after="0"/>
              <w:rPr>
                <w:sz w:val="21"/>
                <w:szCs w:val="21"/>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80" w:type="dxa"/>
            <w:vAlign w:val="bottom"/>
            <w:shd w:val="clear" w:color="auto" w:fill="CFEBF4"/>
          </w:tcPr>
          <w:p>
            <w:pPr>
              <w:spacing w:after="0"/>
              <w:rPr>
                <w:sz w:val="21"/>
                <w:szCs w:val="21"/>
                <w:color w:val="auto"/>
              </w:rPr>
            </w:pPr>
          </w:p>
        </w:tc>
      </w:tr>
      <w:tr>
        <w:trPr>
          <w:trHeight w:val="251"/>
        </w:trPr>
        <w:tc>
          <w:tcPr>
            <w:tcW w:w="608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Ireland</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80" w:type="dxa"/>
            <w:vAlign w:val="bottom"/>
          </w:tcPr>
          <w:p>
            <w:pPr>
              <w:spacing w:after="0"/>
              <w:rPr>
                <w:sz w:val="21"/>
                <w:szCs w:val="21"/>
                <w:color w:val="auto"/>
              </w:rPr>
            </w:pPr>
          </w:p>
        </w:tc>
      </w:tr>
      <w:tr>
        <w:trPr>
          <w:trHeight w:val="251"/>
        </w:trPr>
        <w:tc>
          <w:tcPr>
            <w:tcW w:w="6080" w:type="dxa"/>
            <w:vAlign w:val="bottom"/>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Other foreign jurisdictions</w:t>
            </w:r>
          </w:p>
        </w:tc>
        <w:tc>
          <w:tcPr>
            <w:tcW w:w="460" w:type="dxa"/>
            <w:vAlign w:val="bottom"/>
            <w:shd w:val="clear" w:color="auto" w:fill="CFEBF4"/>
          </w:tcPr>
          <w:p>
            <w:pPr>
              <w:spacing w:after="0"/>
              <w:rPr>
                <w:sz w:val="21"/>
                <w:szCs w:val="21"/>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17.2</w:t>
            </w: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80" w:type="dxa"/>
            <w:vAlign w:val="bottom"/>
            <w:shd w:val="clear" w:color="auto" w:fill="CFEBF4"/>
          </w:tcPr>
          <w:p>
            <w:pPr>
              <w:spacing w:after="0"/>
              <w:rPr>
                <w:sz w:val="21"/>
                <w:szCs w:val="21"/>
                <w:color w:val="auto"/>
              </w:rPr>
            </w:pPr>
          </w:p>
        </w:tc>
      </w:tr>
      <w:tr>
        <w:trPr>
          <w:trHeight w:val="251"/>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Effect of cross-border tax laws: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6"/>
        </w:trPr>
        <w:tc>
          <w:tcPr>
            <w:tcW w:w="6080" w:type="dxa"/>
            <w:vAlign w:val="bottom"/>
            <w:shd w:val="clear" w:color="auto" w:fill="CFEBF4"/>
          </w:tcPr>
          <w:p>
            <w:pPr>
              <w:ind w:left="400"/>
              <w:spacing w:after="0"/>
              <w:rPr>
                <w:sz w:val="20"/>
                <w:szCs w:val="20"/>
                <w:color w:val="auto"/>
              </w:rPr>
            </w:pPr>
            <w:r>
              <w:rPr>
                <w:rFonts w:ascii="Times New Roman" w:cs="Times New Roman" w:eastAsia="Times New Roman" w:hAnsi="Times New Roman"/>
                <w:sz w:val="20"/>
                <w:szCs w:val="20"/>
                <w:color w:val="231F20"/>
              </w:rPr>
              <w:t>Foreign-derived intangible income</w:t>
            </w:r>
          </w:p>
        </w:tc>
        <w:tc>
          <w:tcPr>
            <w:tcW w:w="460" w:type="dxa"/>
            <w:vAlign w:val="bottom"/>
            <w:shd w:val="clear" w:color="auto" w:fill="CFEBF4"/>
          </w:tcPr>
          <w:p>
            <w:pPr>
              <w:spacing w:after="0"/>
              <w:rPr>
                <w:sz w:val="20"/>
                <w:szCs w:val="20"/>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60" w:type="dxa"/>
            <w:vAlign w:val="bottom"/>
            <w:shd w:val="clear" w:color="auto" w:fill="CFEBF4"/>
          </w:tcPr>
          <w:p>
            <w:pPr>
              <w:spacing w:after="0"/>
              <w:rPr>
                <w:sz w:val="20"/>
                <w:szCs w:val="20"/>
                <w:color w:val="auto"/>
              </w:rPr>
            </w:pPr>
          </w:p>
        </w:tc>
        <w:tc>
          <w:tcPr>
            <w:tcW w:w="540" w:type="dxa"/>
            <w:vAlign w:val="bottom"/>
            <w:shd w:val="clear" w:color="auto" w:fill="CFEBF4"/>
          </w:tcPr>
          <w:p>
            <w:pPr>
              <w:spacing w:after="0"/>
              <w:rPr>
                <w:sz w:val="20"/>
                <w:szCs w:val="20"/>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80" w:type="dxa"/>
            <w:vAlign w:val="bottom"/>
            <w:shd w:val="clear" w:color="auto" w:fill="CFEBF4"/>
          </w:tcPr>
          <w:p>
            <w:pPr>
              <w:spacing w:after="0"/>
              <w:rPr>
                <w:sz w:val="20"/>
                <w:szCs w:val="20"/>
                <w:color w:val="auto"/>
              </w:rPr>
            </w:pPr>
          </w:p>
        </w:tc>
      </w:tr>
      <w:tr>
        <w:trPr>
          <w:trHeight w:val="236"/>
        </w:trPr>
        <w:tc>
          <w:tcPr>
            <w:tcW w:w="60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Global intangible low-taxed income</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80" w:type="dxa"/>
            <w:vAlign w:val="bottom"/>
          </w:tcPr>
          <w:p>
            <w:pPr>
              <w:spacing w:after="0"/>
              <w:rPr>
                <w:sz w:val="20"/>
                <w:szCs w:val="20"/>
                <w:color w:val="auto"/>
              </w:rPr>
            </w:pPr>
          </w:p>
        </w:tc>
      </w:tr>
      <w:tr>
        <w:trPr>
          <w:trHeight w:val="236"/>
        </w:trPr>
        <w:tc>
          <w:tcPr>
            <w:tcW w:w="6080" w:type="dxa"/>
            <w:vAlign w:val="bottom"/>
            <w:shd w:val="clear" w:color="auto" w:fill="CFEBF4"/>
          </w:tcPr>
          <w:p>
            <w:pPr>
              <w:ind w:left="400"/>
              <w:spacing w:after="0"/>
              <w:rPr>
                <w:sz w:val="20"/>
                <w:szCs w:val="20"/>
                <w:color w:val="auto"/>
              </w:rPr>
            </w:pPr>
            <w:r>
              <w:rPr>
                <w:rFonts w:ascii="Times New Roman" w:cs="Times New Roman" w:eastAsia="Times New Roman" w:hAnsi="Times New Roman"/>
                <w:sz w:val="20"/>
                <w:szCs w:val="20"/>
                <w:color w:val="231F20"/>
              </w:rPr>
              <w:t>Other</w:t>
            </w:r>
          </w:p>
        </w:tc>
        <w:tc>
          <w:tcPr>
            <w:tcW w:w="460" w:type="dxa"/>
            <w:vAlign w:val="bottom"/>
            <w:shd w:val="clear" w:color="auto" w:fill="CFEBF4"/>
          </w:tcPr>
          <w:p>
            <w:pPr>
              <w:spacing w:after="0"/>
              <w:rPr>
                <w:sz w:val="20"/>
                <w:szCs w:val="20"/>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shd w:val="clear" w:color="auto" w:fill="CFEBF4"/>
          </w:tcPr>
          <w:p>
            <w:pPr>
              <w:spacing w:after="0"/>
              <w:rPr>
                <w:sz w:val="20"/>
                <w:szCs w:val="20"/>
                <w:color w:val="auto"/>
              </w:rPr>
            </w:pPr>
          </w:p>
        </w:tc>
        <w:tc>
          <w:tcPr>
            <w:tcW w:w="540" w:type="dxa"/>
            <w:vAlign w:val="bottom"/>
            <w:shd w:val="clear" w:color="auto" w:fill="CFEBF4"/>
          </w:tcPr>
          <w:p>
            <w:pPr>
              <w:spacing w:after="0"/>
              <w:rPr>
                <w:sz w:val="20"/>
                <w:szCs w:val="20"/>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180" w:type="dxa"/>
            <w:vAlign w:val="bottom"/>
            <w:shd w:val="clear" w:color="auto" w:fill="CFEBF4"/>
          </w:tcPr>
          <w:p>
            <w:pPr>
              <w:spacing w:after="0"/>
              <w:rPr>
                <w:sz w:val="20"/>
                <w:szCs w:val="20"/>
                <w:color w:val="auto"/>
              </w:rPr>
            </w:pPr>
          </w:p>
        </w:tc>
      </w:tr>
      <w:tr>
        <w:trPr>
          <w:trHeight w:val="251"/>
        </w:trPr>
        <w:tc>
          <w:tcPr>
            <w:tcW w:w="60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Tax credits: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6"/>
        </w:trPr>
        <w:tc>
          <w:tcPr>
            <w:tcW w:w="6080" w:type="dxa"/>
            <w:vAlign w:val="bottom"/>
            <w:shd w:val="clear" w:color="auto" w:fill="CFEBF4"/>
          </w:tcPr>
          <w:p>
            <w:pPr>
              <w:ind w:left="400"/>
              <w:spacing w:after="0"/>
              <w:rPr>
                <w:sz w:val="20"/>
                <w:szCs w:val="20"/>
                <w:color w:val="auto"/>
              </w:rPr>
            </w:pPr>
            <w:r>
              <w:rPr>
                <w:rFonts w:ascii="Times New Roman" w:cs="Times New Roman" w:eastAsia="Times New Roman" w:hAnsi="Times New Roman"/>
                <w:sz w:val="20"/>
                <w:szCs w:val="20"/>
                <w:color w:val="231F20"/>
              </w:rPr>
              <w:t>Foreign tax credits</w:t>
            </w:r>
          </w:p>
        </w:tc>
        <w:tc>
          <w:tcPr>
            <w:tcW w:w="460" w:type="dxa"/>
            <w:vAlign w:val="bottom"/>
            <w:shd w:val="clear" w:color="auto" w:fill="CFEBF4"/>
          </w:tcPr>
          <w:p>
            <w:pPr>
              <w:spacing w:after="0"/>
              <w:rPr>
                <w:sz w:val="20"/>
                <w:szCs w:val="20"/>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(32.4)</w:t>
            </w:r>
          </w:p>
        </w:tc>
        <w:tc>
          <w:tcPr>
            <w:tcW w:w="60" w:type="dxa"/>
            <w:vAlign w:val="bottom"/>
            <w:shd w:val="clear" w:color="auto" w:fill="CFEBF4"/>
          </w:tcPr>
          <w:p>
            <w:pPr>
              <w:spacing w:after="0"/>
              <w:rPr>
                <w:sz w:val="20"/>
                <w:szCs w:val="20"/>
                <w:color w:val="auto"/>
              </w:rPr>
            </w:pPr>
          </w:p>
        </w:tc>
        <w:tc>
          <w:tcPr>
            <w:tcW w:w="540" w:type="dxa"/>
            <w:vAlign w:val="bottom"/>
            <w:shd w:val="clear" w:color="auto" w:fill="CFEBF4"/>
          </w:tcPr>
          <w:p>
            <w:pPr>
              <w:spacing w:after="0"/>
              <w:rPr>
                <w:sz w:val="20"/>
                <w:szCs w:val="20"/>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80" w:type="dxa"/>
            <w:vAlign w:val="bottom"/>
            <w:shd w:val="clear" w:color="auto" w:fill="CFEBF4"/>
          </w:tcPr>
          <w:p>
            <w:pPr>
              <w:spacing w:after="0"/>
              <w:rPr>
                <w:sz w:val="20"/>
                <w:szCs w:val="20"/>
                <w:color w:val="auto"/>
              </w:rPr>
            </w:pPr>
          </w:p>
        </w:tc>
      </w:tr>
      <w:tr>
        <w:trPr>
          <w:trHeight w:val="236"/>
        </w:trPr>
        <w:tc>
          <w:tcPr>
            <w:tcW w:w="60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80" w:type="dxa"/>
            <w:vAlign w:val="bottom"/>
          </w:tcPr>
          <w:p>
            <w:pPr>
              <w:spacing w:after="0"/>
              <w:rPr>
                <w:sz w:val="20"/>
                <w:szCs w:val="20"/>
                <w:color w:val="auto"/>
              </w:rPr>
            </w:pPr>
          </w:p>
        </w:tc>
      </w:tr>
      <w:tr>
        <w:trPr>
          <w:trHeight w:val="251"/>
        </w:trPr>
        <w:tc>
          <w:tcPr>
            <w:tcW w:w="60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Changes in valuation allowances</w:t>
            </w:r>
          </w:p>
        </w:tc>
        <w:tc>
          <w:tcPr>
            <w:tcW w:w="460" w:type="dxa"/>
            <w:vAlign w:val="bottom"/>
            <w:shd w:val="clear" w:color="auto" w:fill="CFEBF4"/>
          </w:tcPr>
          <w:p>
            <w:pPr>
              <w:spacing w:after="0"/>
              <w:rPr>
                <w:sz w:val="21"/>
                <w:szCs w:val="21"/>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180" w:type="dxa"/>
            <w:vAlign w:val="bottom"/>
            <w:shd w:val="clear" w:color="auto" w:fill="CFEBF4"/>
          </w:tcPr>
          <w:p>
            <w:pPr>
              <w:spacing w:after="0"/>
              <w:rPr>
                <w:sz w:val="21"/>
                <w:szCs w:val="21"/>
                <w:color w:val="auto"/>
              </w:rPr>
            </w:pPr>
          </w:p>
        </w:tc>
      </w:tr>
      <w:tr>
        <w:trPr>
          <w:trHeight w:val="251"/>
        </w:trPr>
        <w:tc>
          <w:tcPr>
            <w:tcW w:w="6080" w:type="dxa"/>
            <w:vAlign w:val="bottom"/>
          </w:tcPr>
          <w:p>
            <w:pPr>
              <w:ind w:left="180"/>
              <w:spacing w:after="0" w:line="251" w:lineRule="exact"/>
              <w:rPr>
                <w:sz w:val="20"/>
                <w:szCs w:val="20"/>
                <w:color w:val="auto"/>
              </w:rPr>
            </w:pPr>
            <w:r>
              <w:rPr>
                <w:rFonts w:ascii="Times New Roman" w:cs="Times New Roman" w:eastAsia="Times New Roman" w:hAnsi="Times New Roman"/>
                <w:sz w:val="20"/>
                <w:szCs w:val="20"/>
                <w:color w:val="231F20"/>
              </w:rPr>
              <w:t>Nontaxable or nondeductible items</w:t>
            </w:r>
            <w:r>
              <w:rPr>
                <w:rFonts w:ascii="Times New Roman" w:cs="Times New Roman" w:eastAsia="Times New Roman" w:hAnsi="Times New Roman"/>
                <w:sz w:val="25"/>
                <w:szCs w:val="25"/>
                <w:color w:val="231F20"/>
                <w:vertAlign w:val="superscript"/>
              </w:rPr>
              <w:t>(2)</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80" w:type="dxa"/>
            <w:vAlign w:val="bottom"/>
          </w:tcPr>
          <w:p>
            <w:pPr>
              <w:spacing w:after="0"/>
              <w:rPr>
                <w:sz w:val="21"/>
                <w:szCs w:val="21"/>
                <w:color w:val="auto"/>
              </w:rPr>
            </w:pPr>
          </w:p>
        </w:tc>
      </w:tr>
      <w:tr>
        <w:trPr>
          <w:trHeight w:val="251"/>
        </w:trPr>
        <w:tc>
          <w:tcPr>
            <w:tcW w:w="60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Changes in unrecognized tax benefits</w:t>
            </w:r>
          </w:p>
        </w:tc>
        <w:tc>
          <w:tcPr>
            <w:tcW w:w="460" w:type="dxa"/>
            <w:vAlign w:val="bottom"/>
            <w:shd w:val="clear" w:color="auto" w:fill="CFEBF4"/>
          </w:tcPr>
          <w:p>
            <w:pPr>
              <w:spacing w:after="0"/>
              <w:rPr>
                <w:sz w:val="21"/>
                <w:szCs w:val="21"/>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60" w:type="dxa"/>
            <w:vAlign w:val="bottom"/>
            <w:shd w:val="clear" w:color="auto" w:fill="CFEBF4"/>
          </w:tcPr>
          <w:p>
            <w:pPr>
              <w:spacing w:after="0"/>
              <w:rPr>
                <w:sz w:val="21"/>
                <w:szCs w:val="21"/>
                <w:color w:val="auto"/>
              </w:rPr>
            </w:pPr>
          </w:p>
        </w:tc>
        <w:tc>
          <w:tcPr>
            <w:tcW w:w="540" w:type="dxa"/>
            <w:vAlign w:val="bottom"/>
            <w:shd w:val="clear" w:color="auto" w:fill="CFEBF4"/>
          </w:tcPr>
          <w:p>
            <w:pPr>
              <w:spacing w:after="0"/>
              <w:rPr>
                <w:sz w:val="21"/>
                <w:szCs w:val="21"/>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180" w:type="dxa"/>
            <w:vAlign w:val="bottom"/>
            <w:shd w:val="clear" w:color="auto" w:fill="CFEBF4"/>
          </w:tcPr>
          <w:p>
            <w:pPr>
              <w:spacing w:after="0"/>
              <w:rPr>
                <w:sz w:val="21"/>
                <w:szCs w:val="21"/>
                <w:color w:val="auto"/>
              </w:rPr>
            </w:pPr>
          </w:p>
        </w:tc>
      </w:tr>
      <w:tr>
        <w:trPr>
          <w:trHeight w:val="227"/>
        </w:trPr>
        <w:tc>
          <w:tcPr>
            <w:tcW w:w="6080" w:type="dxa"/>
            <w:vAlign w:val="bottom"/>
            <w:tcBorders>
              <w:bottom w:val="single" w:sz="8" w:color="CFEBF4"/>
            </w:tcBorders>
          </w:tcPr>
          <w:p>
            <w:pPr>
              <w:ind w:left="180"/>
              <w:spacing w:after="0" w:line="227" w:lineRule="exact"/>
              <w:rPr>
                <w:sz w:val="20"/>
                <w:szCs w:val="20"/>
                <w:color w:val="auto"/>
              </w:rPr>
            </w:pPr>
            <w:r>
              <w:rPr>
                <w:rFonts w:ascii="Times New Roman" w:cs="Times New Roman" w:eastAsia="Times New Roman" w:hAnsi="Times New Roman"/>
                <w:sz w:val="20"/>
                <w:szCs w:val="20"/>
                <w:color w:val="231F20"/>
              </w:rPr>
              <w:t>Other</w:t>
            </w:r>
          </w:p>
        </w:tc>
        <w:tc>
          <w:tcPr>
            <w:tcW w:w="46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1.0</w:t>
            </w:r>
          </w:p>
        </w:tc>
        <w:tc>
          <w:tcPr>
            <w:tcW w:w="60" w:type="dxa"/>
            <w:vAlign w:val="bottom"/>
            <w:tcBorders>
              <w:bottom w:val="single" w:sz="8" w:color="CFEBF4"/>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560" w:type="dxa"/>
            <w:vAlign w:val="bottom"/>
            <w:tcBorders>
              <w:bottom w:val="single" w:sz="8" w:color="231F20"/>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0.2</w:t>
            </w:r>
          </w:p>
        </w:tc>
        <w:tc>
          <w:tcPr>
            <w:tcW w:w="180" w:type="dxa"/>
            <w:vAlign w:val="bottom"/>
            <w:tcBorders>
              <w:bottom w:val="single" w:sz="8" w:color="231F20"/>
            </w:tcBorders>
          </w:tcPr>
          <w:p>
            <w:pPr>
              <w:spacing w:after="0"/>
              <w:rPr>
                <w:sz w:val="19"/>
                <w:szCs w:val="19"/>
                <w:color w:val="auto"/>
              </w:rPr>
            </w:pPr>
          </w:p>
        </w:tc>
      </w:tr>
      <w:tr>
        <w:trPr>
          <w:trHeight w:val="265"/>
        </w:trPr>
        <w:tc>
          <w:tcPr>
            <w:tcW w:w="6080" w:type="dxa"/>
            <w:vAlign w:val="bottom"/>
            <w:tcBorders>
              <w:bottom w:val="single" w:sz="8" w:color="CFEBF4"/>
            </w:tcBorders>
            <w:shd w:val="clear" w:color="auto" w:fill="CFEBF4"/>
          </w:tcPr>
          <w:p>
            <w:pPr>
              <w:ind w:left="60"/>
              <w:spacing w:after="0" w:line="227" w:lineRule="exact"/>
              <w:rPr>
                <w:sz w:val="20"/>
                <w:szCs w:val="20"/>
                <w:color w:val="auto"/>
              </w:rPr>
            </w:pPr>
            <w:r>
              <w:rPr>
                <w:rFonts w:ascii="Times New Roman" w:cs="Times New Roman" w:eastAsia="Times New Roman" w:hAnsi="Times New Roman"/>
                <w:sz w:val="20"/>
                <w:szCs w:val="20"/>
                <w:color w:val="231F20"/>
              </w:rPr>
              <w:t>Provision for income taxes and effective tax rate</w:t>
            </w:r>
          </w:p>
        </w:tc>
        <w:tc>
          <w:tcPr>
            <w:tcW w:w="460" w:type="dxa"/>
            <w:vAlign w:val="bottom"/>
            <w:tcBorders>
              <w:bottom w:val="single" w:sz="8" w:color="231F20"/>
            </w:tcBorders>
            <w:shd w:val="clear" w:color="auto" w:fill="CFEBF4"/>
          </w:tcPr>
          <w:p>
            <w:pPr>
              <w:jc w:val="right"/>
              <w:ind w:right="205"/>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shd w:val="clear" w:color="auto" w:fill="CFEBF4"/>
          </w:tcPr>
          <w:p>
            <w:pPr>
              <w:jc w:val="right"/>
              <w:spacing w:after="0" w:line="227" w:lineRule="exact"/>
              <w:rPr>
                <w:sz w:val="20"/>
                <w:szCs w:val="20"/>
                <w:color w:val="auto"/>
              </w:rPr>
            </w:pPr>
            <w:r>
              <w:rPr>
                <w:rFonts w:ascii="Times New Roman" w:cs="Times New Roman" w:eastAsia="Times New Roman" w:hAnsi="Times New Roman"/>
                <w:sz w:val="20"/>
                <w:szCs w:val="20"/>
                <w:color w:val="231F20"/>
              </w:rPr>
              <w:t>213.4</w:t>
            </w:r>
          </w:p>
        </w:tc>
        <w:tc>
          <w:tcPr>
            <w:tcW w:w="60" w:type="dxa"/>
            <w:vAlign w:val="bottom"/>
            <w:tcBorders>
              <w:bottom w:val="single" w:sz="8" w:color="CFEBF4"/>
            </w:tcBorders>
            <w:shd w:val="clear" w:color="auto" w:fill="CFEBF4"/>
          </w:tcPr>
          <w:p>
            <w:pPr>
              <w:spacing w:after="0"/>
              <w:rPr>
                <w:sz w:val="23"/>
                <w:szCs w:val="23"/>
                <w:color w:val="auto"/>
              </w:rPr>
            </w:pPr>
          </w:p>
        </w:tc>
        <w:tc>
          <w:tcPr>
            <w:tcW w:w="540" w:type="dxa"/>
            <w:vAlign w:val="bottom"/>
            <w:tcBorders>
              <w:bottom w:val="single" w:sz="8" w:color="231F20"/>
            </w:tcBorders>
            <w:shd w:val="clear" w:color="auto" w:fill="CFEBF4"/>
          </w:tcPr>
          <w:p>
            <w:pPr>
              <w:spacing w:after="0"/>
              <w:rPr>
                <w:sz w:val="23"/>
                <w:szCs w:val="23"/>
                <w:color w:val="auto"/>
              </w:rPr>
            </w:pPr>
          </w:p>
        </w:tc>
        <w:tc>
          <w:tcPr>
            <w:tcW w:w="560" w:type="dxa"/>
            <w:vAlign w:val="bottom"/>
            <w:tcBorders>
              <w:bottom w:val="single" w:sz="8" w:color="231F20"/>
            </w:tcBorders>
            <w:shd w:val="clear" w:color="auto" w:fill="CFEBF4"/>
          </w:tcPr>
          <w:p>
            <w:pPr>
              <w:jc w:val="right"/>
              <w:spacing w:after="0" w:line="227" w:lineRule="exact"/>
              <w:rPr>
                <w:sz w:val="20"/>
                <w:szCs w:val="20"/>
                <w:color w:val="auto"/>
              </w:rPr>
            </w:pPr>
            <w:r>
              <w:rPr>
                <w:rFonts w:ascii="Times New Roman" w:cs="Times New Roman" w:eastAsia="Times New Roman" w:hAnsi="Times New Roman"/>
                <w:sz w:val="20"/>
                <w:szCs w:val="20"/>
                <w:color w:val="231F20"/>
              </w:rPr>
              <w:t>24.9</w:t>
            </w:r>
          </w:p>
        </w:tc>
        <w:tc>
          <w:tcPr>
            <w:tcW w:w="180" w:type="dxa"/>
            <w:vAlign w:val="bottom"/>
            <w:tcBorders>
              <w:bottom w:val="single" w:sz="8" w:color="231F20"/>
            </w:tcBorders>
            <w:shd w:val="clear" w:color="auto" w:fill="CFEBF4"/>
          </w:tcPr>
          <w:p>
            <w:pPr>
              <w:jc w:val="right"/>
              <w:spacing w:after="0" w:line="227" w:lineRule="exact"/>
              <w:rPr>
                <w:sz w:val="20"/>
                <w:szCs w:val="20"/>
                <w:color w:val="auto"/>
              </w:rPr>
            </w:pPr>
            <w:r>
              <w:rPr>
                <w:rFonts w:ascii="Times New Roman" w:cs="Times New Roman" w:eastAsia="Times New Roman" w:hAnsi="Times New Roman"/>
                <w:sz w:val="20"/>
                <w:szCs w:val="20"/>
                <w:color w:val="231F20"/>
                <w:w w:val="8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-212090</wp:posOffset>
            </wp:positionV>
            <wp:extent cx="878840"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8">
                      <a:extLst>
                        <a:ext uri="{28A0092B-C50C-407E-A947-70E740481C1C}"/>
                      </a:extLst>
                    </a:blip>
                    <a:srcRect/>
                    <a:stretch>
                      <a:fillRect/>
                    </a:stretch>
                  </pic:blipFill>
                  <pic:spPr bwMode="auto">
                    <a:xfrm>
                      <a:off x="0" y="0"/>
                      <a:ext cx="878840" cy="5016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-55880</wp:posOffset>
            </wp:positionV>
            <wp:extent cx="1720215" cy="74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9">
                      <a:extLst>
                        <a:ext uri="{28A0092B-C50C-407E-A947-70E740481C1C}"/>
                      </a:extLst>
                    </a:blip>
                    <a:srcRect/>
                    <a:stretch>
                      <a:fillRect/>
                    </a:stretch>
                  </pic:blipFill>
                  <pic:spPr bwMode="auto">
                    <a:xfrm>
                      <a:off x="0" y="0"/>
                      <a:ext cx="1720215" cy="74930"/>
                    </a:xfrm>
                    <a:prstGeom prst="rect">
                      <a:avLst/>
                    </a:prstGeom>
                    <a:noFill/>
                  </pic:spPr>
                </pic:pic>
              </a:graphicData>
            </a:graphic>
          </wp:anchor>
        </w:drawing>
      </w:r>
    </w:p>
    <w:p>
      <w:pPr>
        <w:spacing w:after="0" w:line="53" w:lineRule="exact"/>
        <w:rPr>
          <w:sz w:val="20"/>
          <w:szCs w:val="20"/>
          <w:color w:val="auto"/>
        </w:rPr>
      </w:pPr>
    </w:p>
    <w:p>
      <w:pPr>
        <w:ind w:left="280" w:hanging="273"/>
        <w:spacing w:after="0" w:line="226" w:lineRule="auto"/>
        <w:tabs>
          <w:tab w:leader="none" w:pos="268" w:val="left"/>
        </w:tabs>
        <w:numPr>
          <w:ilvl w:val="0"/>
          <w:numId w:val="2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State taxes in California, Pennsylvania, Oregon, Virginia, Florida, New York State, and Georgia made up the majority (greater than 50 percent) of the tax effect in this category.</w:t>
      </w:r>
    </w:p>
    <w:p>
      <w:pPr>
        <w:spacing w:after="0" w:line="38" w:lineRule="exact"/>
        <w:rPr>
          <w:rFonts w:ascii="Times New Roman" w:cs="Times New Roman" w:eastAsia="Times New Roman" w:hAnsi="Times New Roman"/>
          <w:sz w:val="23"/>
          <w:szCs w:val="23"/>
          <w:color w:val="231F20"/>
          <w:vertAlign w:val="superscript"/>
        </w:rPr>
      </w:pPr>
    </w:p>
    <w:p>
      <w:pPr>
        <w:ind w:left="280" w:hanging="273"/>
        <w:spacing w:after="0" w:line="233" w:lineRule="auto"/>
        <w:tabs>
          <w:tab w:leader="none" w:pos="186" w:val="left"/>
        </w:tabs>
        <w:numPr>
          <w:ilvl w:val="0"/>
          <w:numId w:val="2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 xml:space="preserve">The Nontaxable or Nondeductible Items category includes the tax impact of share-based payments under ASC 718, </w:t>
      </w:r>
      <w:r>
        <w:rPr>
          <w:rFonts w:ascii="Times New Roman" w:cs="Times New Roman" w:eastAsia="Times New Roman" w:hAnsi="Times New Roman"/>
          <w:sz w:val="18"/>
          <w:szCs w:val="18"/>
          <w:i w:val="1"/>
          <w:iCs w:val="1"/>
          <w:color w:val="231F20"/>
        </w:rPr>
        <w:t>Compensation—Stock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Compensation, </w:t>
      </w:r>
      <w:r>
        <w:rPr>
          <w:rFonts w:ascii="Times New Roman" w:cs="Times New Roman" w:eastAsia="Times New Roman" w:hAnsi="Times New Roman"/>
          <w:sz w:val="18"/>
          <w:szCs w:val="18"/>
          <w:color w:val="231F20"/>
        </w:rPr>
        <w:t>and non-deductible executive compensation under IRC Section 162(m). The net tax impact of these items for the year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ended December 31, 2025 was a $2.6 million reduction in income tax expense (a 0.3% reduction in effective tax rate).</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120"/>
          </w:cols>
          <w:pgMar w:left="880" w:top="285" w:right="880" w:bottom="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right="120"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reconciliation between the U.S. federal statutory income tax rate and the effective tax rate for the years ended December 31, 2024 and 2023, prior to the adoption of ASU 2023-09:</w:t>
      </w:r>
    </w:p>
    <w:p>
      <w:pPr>
        <w:spacing w:after="0" w:line="50"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640" w:type="dxa"/>
            <w:vAlign w:val="bottom"/>
            <w:tcBorders>
              <w:bottom w:val="single" w:sz="8" w:color="231F20"/>
            </w:tcBorders>
            <w:gridSpan w:val="4"/>
          </w:tcPr>
          <w:p>
            <w:pPr>
              <w:jc w:val="right"/>
              <w:ind w:right="225"/>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r>
      <w:tr>
        <w:trPr>
          <w:trHeight w:val="231"/>
        </w:trPr>
        <w:tc>
          <w:tcPr>
            <w:tcW w:w="6080" w:type="dxa"/>
            <w:vAlign w:val="bottom"/>
            <w:tcBorders>
              <w:bottom w:val="single" w:sz="8" w:color="CFEBF4"/>
            </w:tcBorders>
          </w:tcPr>
          <w:p>
            <w:pPr>
              <w:spacing w:after="0"/>
              <w:rPr>
                <w:sz w:val="20"/>
                <w:szCs w:val="20"/>
                <w:color w:val="auto"/>
              </w:rPr>
            </w:pPr>
          </w:p>
        </w:tc>
        <w:tc>
          <w:tcPr>
            <w:tcW w:w="110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80" w:type="dxa"/>
            <w:vAlign w:val="bottom"/>
            <w:tcBorders>
              <w:bottom w:val="single" w:sz="8" w:color="231F20"/>
            </w:tcBorders>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280" w:type="dxa"/>
            <w:vAlign w:val="bottom"/>
            <w:tcBorders>
              <w:bottom w:val="single" w:sz="8" w:color="231F20"/>
            </w:tcBorders>
          </w:tcPr>
          <w:p>
            <w:pPr>
              <w:jc w:val="right"/>
              <w:ind w:right="365"/>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5"/>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U.S. federal statutory rate</w:t>
            </w: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1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5"/>
              </w:rPr>
              <w:t>%</w:t>
            </w:r>
          </w:p>
        </w:tc>
        <w:tc>
          <w:tcPr>
            <w:tcW w:w="13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21.0 %</w:t>
            </w:r>
          </w:p>
        </w:tc>
      </w:tr>
      <w:tr>
        <w:trPr>
          <w:trHeight w:val="290"/>
        </w:trPr>
        <w:tc>
          <w:tcPr>
            <w:tcW w:w="6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State income taxes, net of federal income tax benefit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180" w:type="dxa"/>
            <w:vAlign w:val="bottom"/>
          </w:tcPr>
          <w:p>
            <w:pPr>
              <w:spacing w:after="0"/>
              <w:rPr>
                <w:sz w:val="24"/>
                <w:szCs w:val="24"/>
                <w:color w:val="auto"/>
              </w:rPr>
            </w:pPr>
          </w:p>
        </w:tc>
        <w:tc>
          <w:tcPr>
            <w:tcW w:w="136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231F20"/>
              </w:rPr>
              <w:t>3.0</w:t>
            </w:r>
          </w:p>
        </w:tc>
      </w:tr>
      <w:tr>
        <w:trPr>
          <w:trHeight w:val="301"/>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Tax effect of intercompany financing</w:t>
            </w: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80" w:type="dxa"/>
            <w:vAlign w:val="bottom"/>
            <w:shd w:val="clear" w:color="auto" w:fill="CFEBF4"/>
          </w:tcPr>
          <w:p>
            <w:pPr>
              <w:spacing w:after="0"/>
              <w:rPr>
                <w:sz w:val="24"/>
                <w:szCs w:val="24"/>
                <w:color w:val="auto"/>
              </w:rPr>
            </w:pPr>
          </w:p>
        </w:tc>
        <w:tc>
          <w:tcPr>
            <w:tcW w:w="1360" w:type="dxa"/>
            <w:vAlign w:val="bottom"/>
            <w:gridSpan w:val="2"/>
            <w:shd w:val="clear" w:color="auto" w:fill="CFEBF4"/>
          </w:tcPr>
          <w:p>
            <w:pPr>
              <w:jc w:val="right"/>
              <w:ind w:right="85"/>
              <w:spacing w:after="0"/>
              <w:rPr>
                <w:sz w:val="20"/>
                <w:szCs w:val="20"/>
                <w:color w:val="auto"/>
              </w:rPr>
            </w:pPr>
            <w:r>
              <w:rPr>
                <w:rFonts w:ascii="Times New Roman" w:cs="Times New Roman" w:eastAsia="Times New Roman" w:hAnsi="Times New Roman"/>
                <w:sz w:val="20"/>
                <w:szCs w:val="20"/>
                <w:color w:val="231F20"/>
              </w:rPr>
              <w:t>(0.9)</w:t>
            </w:r>
          </w:p>
        </w:tc>
      </w:tr>
      <w:tr>
        <w:trPr>
          <w:trHeight w:val="290"/>
        </w:trPr>
        <w:tc>
          <w:tcPr>
            <w:tcW w:w="6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80" w:type="dxa"/>
            <w:vAlign w:val="bottom"/>
          </w:tcPr>
          <w:p>
            <w:pPr>
              <w:spacing w:after="0"/>
              <w:rPr>
                <w:sz w:val="24"/>
                <w:szCs w:val="24"/>
                <w:color w:val="auto"/>
              </w:rPr>
            </w:pPr>
          </w:p>
        </w:tc>
        <w:tc>
          <w:tcPr>
            <w:tcW w:w="136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231F20"/>
              </w:rPr>
              <w:t>(0.9)</w:t>
            </w:r>
          </w:p>
        </w:tc>
      </w:tr>
      <w:tr>
        <w:trPr>
          <w:trHeight w:val="301"/>
        </w:trPr>
        <w:tc>
          <w:tcPr>
            <w:tcW w:w="60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Tax effect of foreign income</w:t>
            </w: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80" w:type="dxa"/>
            <w:vAlign w:val="bottom"/>
            <w:shd w:val="clear" w:color="auto" w:fill="CFEBF4"/>
          </w:tcPr>
          <w:p>
            <w:pPr>
              <w:spacing w:after="0"/>
              <w:rPr>
                <w:sz w:val="24"/>
                <w:szCs w:val="24"/>
                <w:color w:val="auto"/>
              </w:rPr>
            </w:pPr>
          </w:p>
        </w:tc>
        <w:tc>
          <w:tcPr>
            <w:tcW w:w="1360" w:type="dxa"/>
            <w:vAlign w:val="bottom"/>
            <w:gridSpan w:val="2"/>
            <w:shd w:val="clear" w:color="auto" w:fill="CFEBF4"/>
          </w:tcPr>
          <w:p>
            <w:pPr>
              <w:jc w:val="right"/>
              <w:ind w:right="145"/>
              <w:spacing w:after="0"/>
              <w:rPr>
                <w:sz w:val="20"/>
                <w:szCs w:val="20"/>
                <w:color w:val="auto"/>
              </w:rPr>
            </w:pPr>
            <w:r>
              <w:rPr>
                <w:rFonts w:ascii="Times New Roman" w:cs="Times New Roman" w:eastAsia="Times New Roman" w:hAnsi="Times New Roman"/>
                <w:sz w:val="20"/>
                <w:szCs w:val="20"/>
                <w:color w:val="231F20"/>
              </w:rPr>
              <w:t>1.1</w:t>
            </w:r>
          </w:p>
        </w:tc>
      </w:tr>
      <w:tr>
        <w:trPr>
          <w:trHeight w:val="285"/>
        </w:trPr>
        <w:tc>
          <w:tcPr>
            <w:tcW w:w="608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80" w:type="dxa"/>
            <w:vAlign w:val="bottom"/>
            <w:tcBorders>
              <w:bottom w:val="single" w:sz="8" w:color="231F20"/>
            </w:tcBorders>
          </w:tcPr>
          <w:p>
            <w:pPr>
              <w:spacing w:after="0"/>
              <w:rPr>
                <w:sz w:val="24"/>
                <w:szCs w:val="24"/>
                <w:color w:val="auto"/>
              </w:rPr>
            </w:pPr>
          </w:p>
        </w:tc>
        <w:tc>
          <w:tcPr>
            <w:tcW w:w="80" w:type="dxa"/>
            <w:vAlign w:val="bottom"/>
            <w:tcBorders>
              <w:bottom w:val="single" w:sz="8" w:color="CFEBF4"/>
            </w:tcBorders>
          </w:tcPr>
          <w:p>
            <w:pPr>
              <w:spacing w:after="0"/>
              <w:rPr>
                <w:sz w:val="24"/>
                <w:szCs w:val="24"/>
                <w:color w:val="auto"/>
              </w:rPr>
            </w:pPr>
          </w:p>
        </w:tc>
        <w:tc>
          <w:tcPr>
            <w:tcW w:w="1280" w:type="dxa"/>
            <w:vAlign w:val="bottom"/>
            <w:tcBorders>
              <w:bottom w:val="single" w:sz="8" w:color="231F20"/>
            </w:tcBorders>
          </w:tcPr>
          <w:p>
            <w:pPr>
              <w:jc w:val="right"/>
              <w:ind w:right="85"/>
              <w:spacing w:after="0"/>
              <w:rPr>
                <w:sz w:val="20"/>
                <w:szCs w:val="20"/>
                <w:color w:val="auto"/>
              </w:rPr>
            </w:pPr>
            <w:r>
              <w:rPr>
                <w:rFonts w:ascii="Times New Roman" w:cs="Times New Roman" w:eastAsia="Times New Roman" w:hAnsi="Times New Roman"/>
                <w:sz w:val="20"/>
                <w:szCs w:val="20"/>
                <w:color w:val="231F20"/>
              </w:rPr>
              <w:t>(0.5)</w:t>
            </w:r>
          </w:p>
        </w:tc>
      </w:tr>
      <w:tr>
        <w:trPr>
          <w:trHeight w:val="295"/>
        </w:trPr>
        <w:tc>
          <w:tcPr>
            <w:tcW w:w="60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Effective tax rate</w:t>
            </w:r>
          </w:p>
        </w:tc>
        <w:tc>
          <w:tcPr>
            <w:tcW w:w="1280" w:type="dxa"/>
            <w:vAlign w:val="bottom"/>
            <w:tcBorders>
              <w:bottom w:val="single" w:sz="8" w:color="231F20"/>
            </w:tcBorders>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24.4 %</w:t>
            </w:r>
          </w:p>
        </w:tc>
        <w:tc>
          <w:tcPr>
            <w:tcW w:w="80" w:type="dxa"/>
            <w:vAlign w:val="bottom"/>
            <w:tcBorders>
              <w:bottom w:val="single" w:sz="8" w:color="CFEBF4"/>
            </w:tcBorders>
            <w:shd w:val="clear" w:color="auto" w:fill="CFEBF4"/>
          </w:tcPr>
          <w:p>
            <w:pPr>
              <w:spacing w:after="0"/>
              <w:rPr>
                <w:sz w:val="24"/>
                <w:szCs w:val="24"/>
                <w:color w:val="auto"/>
              </w:rPr>
            </w:pPr>
          </w:p>
        </w:tc>
        <w:tc>
          <w:tcPr>
            <w:tcW w:w="12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-1356995</wp:posOffset>
            </wp:positionV>
            <wp:extent cx="1729740"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0">
                      <a:extLst>
                        <a:ext uri="{28A0092B-C50C-407E-A947-70E740481C1C}"/>
                      </a:extLst>
                    </a:blip>
                    <a:srcRect/>
                    <a:stretch>
                      <a:fillRect/>
                    </a:stretch>
                  </pic:blipFill>
                  <pic:spPr bwMode="auto">
                    <a:xfrm>
                      <a:off x="0" y="0"/>
                      <a:ext cx="1729740" cy="5016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-231140</wp:posOffset>
            </wp:positionV>
            <wp:extent cx="888365" cy="501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1">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-55880</wp:posOffset>
            </wp:positionV>
            <wp:extent cx="1729740" cy="749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2">
                      <a:extLst>
                        <a:ext uri="{28A0092B-C50C-407E-A947-70E740481C1C}"/>
                      </a:extLst>
                    </a:blip>
                    <a:srcRect/>
                    <a:stretch>
                      <a:fillRect/>
                    </a:stretch>
                  </pic:blipFill>
                  <pic:spPr bwMode="auto">
                    <a:xfrm>
                      <a:off x="0" y="0"/>
                      <a:ext cx="1729740" cy="74930"/>
                    </a:xfrm>
                    <a:prstGeom prst="rect">
                      <a:avLst/>
                    </a:prstGeom>
                    <a:noFill/>
                  </pic:spPr>
                </pic:pic>
              </a:graphicData>
            </a:graphic>
          </wp:anchor>
        </w:drawing>
      </w:r>
    </w:p>
    <w:p>
      <w:pPr>
        <w:spacing w:after="0" w:line="165"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the components of income taxes paid (net of refunds received) by jurisdiction for the year ended December 31, 2025:</w:t>
      </w:r>
    </w:p>
    <w:p>
      <w:pPr>
        <w:sectPr>
          <w:pgSz w:w="11880" w:h="15480" w:orient="portrait"/>
          <w:cols w:equalWidth="0" w:num="1">
            <w:col w:w="10120"/>
          </w:cols>
          <w:pgMar w:left="880" w:top="285" w:right="880" w:bottom="0" w:gutter="0" w:footer="0" w:header="0"/>
        </w:sectPr>
      </w:pPr>
    </w:p>
    <w:p>
      <w:pPr>
        <w:spacing w:after="0" w:line="3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231F20"/>
        </w:rPr>
        <w:t>U.S. federal</w:t>
      </w:r>
      <w:r>
        <w:rPr>
          <w:rFonts w:ascii="Times New Roman" w:cs="Times New Roman" w:eastAsia="Times New Roman" w:hAnsi="Times New Roman"/>
          <w:sz w:val="25"/>
          <w:szCs w:val="25"/>
          <w:color w:val="231F20"/>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871855</wp:posOffset>
                </wp:positionH>
                <wp:positionV relativeFrom="paragraph">
                  <wp:posOffset>-175895</wp:posOffset>
                </wp:positionV>
                <wp:extent cx="4681855" cy="17716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1855" cy="177165"/>
                        </a:xfrm>
                        <a:prstGeom prst="rect">
                          <a:avLst/>
                        </a:prstGeom>
                        <a:solidFill>
                          <a:srgbClr val="CFEBF4"/>
                        </a:solidFill>
                      </wps:spPr>
                      <wps:bodyPr/>
                    </wps:wsp>
                  </a:graphicData>
                </a:graphic>
              </wp:anchor>
            </w:drawing>
          </mc:Choice>
          <mc:Fallback>
            <w:pict>
              <v:rect id="Shape 152" o:spid="_x0000_s1177" style="position:absolute;margin-left:68.65pt;margin-top:-13.8499pt;width:368.6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ind w:left="1420"/>
        <w:spacing w:after="0"/>
        <w:rPr>
          <w:sz w:val="20"/>
          <w:szCs w:val="20"/>
          <w:color w:val="auto"/>
        </w:rPr>
      </w:pPr>
      <w:r>
        <w:rPr>
          <w:rFonts w:ascii="Times New Roman" w:cs="Times New Roman" w:eastAsia="Times New Roman" w:hAnsi="Times New Roman"/>
          <w:sz w:val="20"/>
          <w:szCs w:val="20"/>
          <w:color w:val="231F20"/>
        </w:rPr>
        <w:t>U.S. state and local:</w:t>
      </w:r>
    </w:p>
    <w:p>
      <w:pPr>
        <w:spacing w:after="0" w:line="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231F20"/>
        </w:rPr>
        <w:t>U.S. state and local - other</w:t>
      </w:r>
      <w:r>
        <w:rPr>
          <w:rFonts w:ascii="Times New Roman" w:cs="Times New Roman" w:eastAsia="Times New Roman" w:hAnsi="Times New Roman"/>
          <w:sz w:val="25"/>
          <w:szCs w:val="25"/>
          <w:color w:val="231F2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-175895</wp:posOffset>
            </wp:positionV>
            <wp:extent cx="4681855" cy="1847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3">
                      <a:extLst>
                        <a:ext uri="{28A0092B-C50C-407E-A947-70E740481C1C}"/>
                      </a:extLst>
                    </a:blip>
                    <a:srcRect/>
                    <a:stretch>
                      <a:fillRect/>
                    </a:stretch>
                  </pic:blipFill>
                  <pic:spPr bwMode="auto">
                    <a:xfrm>
                      <a:off x="0" y="0"/>
                      <a:ext cx="4681855" cy="184785"/>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20"/>
          <w:szCs w:val="20"/>
          <w:color w:val="231F20"/>
        </w:rPr>
        <w:t>Total U.S. state and local</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231F20"/>
        </w:rPr>
        <w:t>Foreign: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871855</wp:posOffset>
                </wp:positionH>
                <wp:positionV relativeFrom="paragraph">
                  <wp:posOffset>-139700</wp:posOffset>
                </wp:positionV>
                <wp:extent cx="4681855" cy="1778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1855" cy="177800"/>
                        </a:xfrm>
                        <a:prstGeom prst="rect">
                          <a:avLst/>
                        </a:prstGeom>
                        <a:solidFill>
                          <a:srgbClr val="CFEBF4"/>
                        </a:solidFill>
                      </wps:spPr>
                      <wps:bodyPr/>
                    </wps:wsp>
                  </a:graphicData>
                </a:graphic>
              </wp:anchor>
            </w:drawing>
          </mc:Choice>
          <mc:Fallback>
            <w:pict>
              <v:rect id="Shape 154" o:spid="_x0000_s1179" style="position:absolute;margin-left:68.65pt;margin-top:-11pt;width:368.6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231F20"/>
        </w:rPr>
        <w:t>Canada - federal</w:t>
      </w:r>
    </w:p>
    <w:p>
      <w:pPr>
        <w:spacing w:after="0" w:line="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231F20"/>
        </w:rPr>
        <w:t>Foreign - other</w:t>
      </w:r>
      <w:r>
        <w:rPr>
          <w:rFonts w:ascii="Times New Roman" w:cs="Times New Roman" w:eastAsia="Times New Roman" w:hAnsi="Times New Roman"/>
          <w:sz w:val="25"/>
          <w:szCs w:val="25"/>
          <w:color w:val="231F2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-175895</wp:posOffset>
            </wp:positionV>
            <wp:extent cx="4681855" cy="1847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4">
                      <a:extLst>
                        <a:ext uri="{28A0092B-C50C-407E-A947-70E740481C1C}"/>
                      </a:extLst>
                    </a:blip>
                    <a:srcRect/>
                    <a:stretch>
                      <a:fillRect/>
                    </a:stretch>
                  </pic:blipFill>
                  <pic:spPr bwMode="auto">
                    <a:xfrm>
                      <a:off x="0" y="0"/>
                      <a:ext cx="4681855" cy="184785"/>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20"/>
          <w:szCs w:val="20"/>
          <w:color w:val="231F20"/>
        </w:rPr>
        <w:t>Total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17780</wp:posOffset>
            </wp:positionV>
            <wp:extent cx="4707255" cy="2222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5">
                      <a:extLst>
                        <a:ext uri="{28A0092B-C50C-407E-A947-70E740481C1C}"/>
                      </a:extLst>
                    </a:blip>
                    <a:srcRect/>
                    <a:stretch>
                      <a:fillRect/>
                    </a:stretch>
                  </pic:blipFill>
                  <pic:spPr bwMode="auto">
                    <a:xfrm>
                      <a:off x="0" y="0"/>
                      <a:ext cx="4707255" cy="222250"/>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31F20"/>
        </w:rPr>
        <w:t>Income taxes paid (net of refunds received)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231F20"/>
        </w:rPr>
        <w:t>(In millions)</w:t>
      </w:r>
    </w:p>
    <w:p>
      <w:pPr>
        <w:spacing w:after="0" w:line="5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113.6</w:t>
      </w:r>
    </w:p>
    <w:p>
      <w:pPr>
        <w:spacing w:after="0" w:line="3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231F20"/>
        </w:rPr>
        <w:t>37.4</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231F20"/>
        </w:rPr>
        <w:t>37.4</w:t>
      </w:r>
    </w:p>
    <w:p>
      <w:pPr>
        <w:spacing w:after="0" w:line="3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231F20"/>
        </w:rPr>
        <w:t>25.6</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231F20"/>
        </w:rPr>
        <w:t>61.2</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231F20"/>
        </w:rPr>
        <w:t>86.8</w:t>
      </w:r>
    </w:p>
    <w:p>
      <w:pPr>
        <w:spacing w:after="0" w:line="6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237.8</w:t>
      </w:r>
    </w:p>
    <w:p>
      <w:pPr>
        <w:spacing w:after="0" w:line="133" w:lineRule="exact"/>
        <w:rPr>
          <w:sz w:val="20"/>
          <w:szCs w:val="20"/>
          <w:color w:val="auto"/>
        </w:rPr>
      </w:pPr>
    </w:p>
    <w:p>
      <w:pPr>
        <w:sectPr>
          <w:pgSz w:w="11880" w:h="15480" w:orient="portrait"/>
          <w:cols w:equalWidth="0" w:num="2">
            <w:col w:w="6800" w:space="720"/>
            <w:col w:w="2600"/>
          </w:cols>
          <w:pgMar w:left="880" w:top="285" w:right="880" w:bottom="0" w:gutter="0" w:footer="0" w:header="0"/>
          <w:type w:val="continuous"/>
        </w:sectPr>
      </w:pPr>
    </w:p>
    <w:p>
      <w:pPr>
        <w:ind w:left="180" w:hanging="173"/>
        <w:spacing w:after="0"/>
        <w:tabs>
          <w:tab w:leader="none" w:pos="180" w:val="left"/>
        </w:tabs>
        <w:numPr>
          <w:ilvl w:val="0"/>
          <w:numId w:val="30"/>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U.S. federal income taxes paid (net of refunds received) includes amounts to purchase transferable clean energy tax credits.</w:t>
      </w:r>
    </w:p>
    <w:p>
      <w:pPr>
        <w:spacing w:after="0" w:line="59" w:lineRule="exact"/>
        <w:rPr>
          <w:rFonts w:ascii="Times New Roman" w:cs="Times New Roman" w:eastAsia="Times New Roman" w:hAnsi="Times New Roman"/>
          <w:sz w:val="22"/>
          <w:szCs w:val="22"/>
          <w:color w:val="231F20"/>
          <w:vertAlign w:val="superscript"/>
        </w:rPr>
      </w:pPr>
    </w:p>
    <w:p>
      <w:pPr>
        <w:ind w:left="280" w:hanging="273"/>
        <w:spacing w:after="0" w:line="216" w:lineRule="auto"/>
        <w:tabs>
          <w:tab w:leader="none" w:pos="214" w:val="left"/>
        </w:tabs>
        <w:numPr>
          <w:ilvl w:val="0"/>
          <w:numId w:val="3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amount of income taxes paid (net of refunds received) to respective individual jurisdiction(s) during the year do not meet the 5% disaggregation threshold.</w:t>
      </w:r>
    </w:p>
    <w:p>
      <w:pPr>
        <w:spacing w:after="0" w:line="93"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During the year ended December 31, 2025, the Company purchased $95.2 million of transferable clean energy tax credits. The Company used $91.1 million of these tax credits to reduce its 2024 U.S. federal income tax liability and $4.1 million to reduce its 2025 U.S. federal income tax liability.</w:t>
      </w:r>
    </w:p>
    <w:p>
      <w:pPr>
        <w:spacing w:after="0" w:line="77"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The One Big Beautiful Bill Act (“OBBBA”), enacted into law on July 4, 2025, introduced significant changes to the U.S. federal income tax laws. The OBBBA made permanent certain expiring provisions of the TCJA and modified other provisions of the TCJA, as well as the Inflation Reduction Act of 2022 (the “IRA”). These changes included the permanent extension of 100% “bonus” depreciation for certain property, the permanent restoration of the tax-basis EBITDA-based limitation on the deductibility of business interest expense subject to certain modifications to the computation of tax-basis EBITDA, and the immediate expensing of qualified domestic research and development expenses. The OBBBA also made permanent, with certain modifications, certain TCJA provisions concerning the current taxation of income from international operations. The OBBBA contained various effective dates with certain provisions becoming effective in 2025 and others in 2026 and beyond. The Company has reflected the estimated impact of the OBBBA on current and deferred income taxes in its Consolidated Balance Sheets.</w:t>
      </w:r>
    </w:p>
    <w:p>
      <w:pPr>
        <w:spacing w:after="0" w:line="96"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corporate alternative minimum tax (“CAMT”) was enacted as part of the IRA. The CAMT imposes a minimum tax of 15% on the adjusted financial statement income (“AFSI”) of “applicable corporations” (i.e., those with average annual AFSI over a three-year period in excess of $1 billion). CAMT is effective for tax years beginning after December 31, 2022. The Company currently expects to be treated as an applicable corporation for the year ended December 31, 2025. However, the Company does not expect to incur any CAMT liability in 2025. Consequently, no additional tax provision has been recorded. The Company was not an applicable corporation subject to CAMT for the years ended December 31, 2024 and 2023.</w:t>
      </w:r>
    </w:p>
    <w:p>
      <w:pPr>
        <w:spacing w:after="0" w:line="88" w:lineRule="exact"/>
        <w:rPr>
          <w:sz w:val="20"/>
          <w:szCs w:val="20"/>
          <w:color w:val="auto"/>
        </w:rPr>
      </w:pPr>
    </w:p>
    <w:p>
      <w:pPr>
        <w:jc w:val="both"/>
        <w:ind w:firstLine="266"/>
        <w:spacing w:after="0" w:line="273" w:lineRule="auto"/>
        <w:rPr>
          <w:sz w:val="20"/>
          <w:szCs w:val="20"/>
          <w:color w:val="auto"/>
        </w:rPr>
      </w:pPr>
      <w:r>
        <w:rPr>
          <w:rFonts w:ascii="Times New Roman" w:cs="Times New Roman" w:eastAsia="Times New Roman" w:hAnsi="Times New Roman"/>
          <w:sz w:val="19"/>
          <w:szCs w:val="19"/>
          <w:color w:val="231F20"/>
        </w:rPr>
        <w:t>The undistributed earnings of the Company’s foreign subsidiaries amounted to approximately $2,109.2 million as of December 31, 2025. Most of these earnings have been taxed in the U.S. under either the one-time transition tax or the GILTI tax regime imposed by the TCJA. Wesco has elected to pay the transition tax in installments over an eight-year period ending in 2026. As of December 31, 2025, the Company’s remaining liability for the transition tax was $13.7 million, which is recorded</w:t>
      </w:r>
    </w:p>
    <w:p>
      <w:pPr>
        <w:sectPr>
          <w:pgSz w:w="11880" w:h="15480" w:orient="portrait"/>
          <w:cols w:equalWidth="0" w:num="1">
            <w:col w:w="10120"/>
          </w:cols>
          <w:pgMar w:left="880" w:top="285" w:right="88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120"/>
          </w:cols>
          <w:pgMar w:left="880" w:top="285" w:right="88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231F20"/>
        </w:rPr>
        <w:t>as a component of other current liabilities in the Consolidated Balance Sheet. The Company continues to assert that the remaining undistributed earnings of its foreign subsidiaries are indefinitely reinvested. The distribution of earnings by Wesco’s foreign subsidiaries in the form of dividends, or otherwise, may be subject to additional taxation. The Company estimates that additional taxes of approximately $116.6 million would be payable upon the remittance of all previously undistributed foreign earnings as of December 31, 2025, based upon the laws in effect on that date. The Company believes that it is able to maintain sufficient liquidity for its domestic operations and commitments without repatriating cash from Wesco’s foreign subsidiaries.</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deferred tax assets and liabilities: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2440" w:type="dxa"/>
            <w:vAlign w:val="bottom"/>
            <w:tcBorders>
              <w:bottom w:val="single" w:sz="8" w:color="231F20"/>
            </w:tcBorders>
            <w:gridSpan w:val="4"/>
          </w:tcPr>
          <w:p>
            <w:pPr>
              <w:jc w:val="right"/>
              <w:ind w:right="483"/>
              <w:spacing w:after="0"/>
              <w:rPr>
                <w:sz w:val="20"/>
                <w:szCs w:val="20"/>
                <w:color w:val="auto"/>
              </w:rPr>
            </w:pPr>
            <w:r>
              <w:rPr>
                <w:rFonts w:ascii="Times New Roman" w:cs="Times New Roman" w:eastAsia="Times New Roman" w:hAnsi="Times New Roman"/>
                <w:sz w:val="18"/>
                <w:szCs w:val="18"/>
                <w:b w:val="1"/>
                <w:bCs w:val="1"/>
                <w:color w:val="231F20"/>
              </w:rPr>
              <w:t>As of December 31,</w:t>
            </w:r>
          </w:p>
        </w:tc>
        <w:tc>
          <w:tcPr>
            <w:tcW w:w="8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spacing w:after="0"/>
              <w:rPr>
                <w:sz w:val="20"/>
                <w:szCs w:val="20"/>
                <w:color w:val="auto"/>
              </w:rPr>
            </w:pPr>
          </w:p>
        </w:tc>
      </w:tr>
      <w:tr>
        <w:trPr>
          <w:trHeight w:val="232"/>
        </w:trPr>
        <w:tc>
          <w:tcPr>
            <w:tcW w:w="474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08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80" w:type="dxa"/>
            <w:vAlign w:val="bottom"/>
            <w:tcBorders>
              <w:bottom w:val="single" w:sz="8" w:color="231F20"/>
            </w:tcBorders>
          </w:tcPr>
          <w:p>
            <w:pPr>
              <w:spacing w:after="0"/>
              <w:rPr>
                <w:sz w:val="20"/>
                <w:szCs w:val="20"/>
                <w:color w:val="auto"/>
              </w:rPr>
            </w:pPr>
          </w:p>
        </w:tc>
      </w:tr>
      <w:tr>
        <w:trPr>
          <w:trHeight w:val="226"/>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6"/>
        </w:trPr>
        <w:tc>
          <w:tcPr>
            <w:tcW w:w="4740" w:type="dxa"/>
            <w:vAlign w:val="bottom"/>
            <w:tcBorders>
              <w:bottom w:val="single" w:sz="8" w:color="CFEBF4"/>
            </w:tcBorders>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80" w:type="dxa"/>
            <w:vAlign w:val="bottom"/>
            <w:tcBorders>
              <w:bottom w:val="single" w:sz="8" w:color="CFEBF4"/>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ind w:right="164"/>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80" w:type="dxa"/>
            <w:vAlign w:val="bottom"/>
            <w:tcBorders>
              <w:bottom w:val="single" w:sz="8" w:color="CFEBF4"/>
            </w:tcBorders>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w w:val="99"/>
              </w:rPr>
              <w:t>Assets</w:t>
            </w:r>
          </w:p>
        </w:tc>
        <w:tc>
          <w:tcPr>
            <w:tcW w:w="80" w:type="dxa"/>
            <w:vAlign w:val="bottom"/>
            <w:tcBorders>
              <w:bottom w:val="single" w:sz="8" w:color="CFEBF4"/>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8"/>
                <w:szCs w:val="18"/>
                <w:b w:val="1"/>
                <w:bCs w:val="1"/>
                <w:color w:val="231F20"/>
              </w:rPr>
              <w:t>Liabilities</w:t>
            </w:r>
          </w:p>
        </w:tc>
      </w:tr>
      <w:tr>
        <w:trPr>
          <w:trHeight w:val="286"/>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Accounts receivable</w:t>
            </w:r>
          </w:p>
        </w:tc>
        <w:tc>
          <w:tcPr>
            <w:tcW w:w="28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23.6</w:t>
            </w:r>
          </w:p>
        </w:tc>
        <w:tc>
          <w:tcPr>
            <w:tcW w:w="280" w:type="dxa"/>
            <w:vAlign w:val="bottom"/>
            <w:gridSpan w:val="2"/>
            <w:shd w:val="clear" w:color="auto" w:fill="CFEBF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gridSpan w:val="2"/>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280" w:type="dxa"/>
            <w:vAlign w:val="bottom"/>
            <w:gridSpan w:val="2"/>
            <w:shd w:val="clear" w:color="auto" w:fill="CFEBF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Inventories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Depreciation of property, buildings and equipment</w:t>
            </w:r>
          </w:p>
        </w:tc>
        <w:tc>
          <w:tcPr>
            <w:tcW w:w="280" w:type="dxa"/>
            <w:vAlign w:val="bottom"/>
            <w:shd w:val="clear" w:color="auto" w:fill="CFEBF4"/>
          </w:tcPr>
          <w:p>
            <w:pPr>
              <w:spacing w:after="0"/>
              <w:rPr>
                <w:sz w:val="24"/>
                <w:szCs w:val="24"/>
                <w:color w:val="auto"/>
              </w:rPr>
            </w:pP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80" w:type="dxa"/>
            <w:vAlign w:val="bottom"/>
            <w:shd w:val="clear" w:color="auto" w:fill="CFEBF4"/>
          </w:tcPr>
          <w:p>
            <w:pPr>
              <w:spacing w:after="0"/>
              <w:rPr>
                <w:sz w:val="24"/>
                <w:szCs w:val="24"/>
                <w:color w:val="auto"/>
              </w:rPr>
            </w:pPr>
          </w:p>
        </w:tc>
        <w:tc>
          <w:tcPr>
            <w:tcW w:w="3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20.9</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Operating leases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200.3</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Amortization of intangible assets</w:t>
            </w:r>
          </w:p>
        </w:tc>
        <w:tc>
          <w:tcPr>
            <w:tcW w:w="280" w:type="dxa"/>
            <w:vAlign w:val="bottom"/>
            <w:shd w:val="clear" w:color="auto" w:fill="CFEBF4"/>
          </w:tcPr>
          <w:p>
            <w:pPr>
              <w:spacing w:after="0"/>
              <w:rPr>
                <w:sz w:val="24"/>
                <w:szCs w:val="24"/>
                <w:color w:val="auto"/>
              </w:rPr>
            </w:pP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540.2</w:t>
            </w:r>
          </w:p>
        </w:tc>
        <w:tc>
          <w:tcPr>
            <w:tcW w:w="80" w:type="dxa"/>
            <w:vAlign w:val="bottom"/>
            <w:shd w:val="clear" w:color="auto" w:fill="CFEBF4"/>
          </w:tcPr>
          <w:p>
            <w:pPr>
              <w:spacing w:after="0"/>
              <w:rPr>
                <w:sz w:val="24"/>
                <w:szCs w:val="24"/>
                <w:color w:val="auto"/>
              </w:rPr>
            </w:pPr>
          </w:p>
        </w:tc>
        <w:tc>
          <w:tcPr>
            <w:tcW w:w="3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545.9</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Employee benefits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280" w:type="dxa"/>
            <w:vAlign w:val="bottom"/>
            <w:shd w:val="clear" w:color="auto" w:fill="CFEBF4"/>
          </w:tcPr>
          <w:p>
            <w:pPr>
              <w:spacing w:after="0"/>
              <w:rPr>
                <w:sz w:val="24"/>
                <w:szCs w:val="24"/>
                <w:color w:val="auto"/>
              </w:rPr>
            </w:pP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3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Disallowed business interest expense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1"/>
        </w:trPr>
        <w:tc>
          <w:tcPr>
            <w:tcW w:w="47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Loss carryforwards</w:t>
            </w:r>
          </w:p>
        </w:tc>
        <w:tc>
          <w:tcPr>
            <w:tcW w:w="280" w:type="dxa"/>
            <w:vAlign w:val="bottom"/>
            <w:shd w:val="clear" w:color="auto" w:fill="CFEBF4"/>
          </w:tcPr>
          <w:p>
            <w:pPr>
              <w:spacing w:after="0"/>
              <w:rPr>
                <w:sz w:val="24"/>
                <w:szCs w:val="24"/>
                <w:color w:val="auto"/>
              </w:rPr>
            </w:pP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3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35.6</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10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0"/>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Foreign tax credit carryforwards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91"/>
        </w:trPr>
        <w:tc>
          <w:tcPr>
            <w:tcW w:w="47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Other</w:t>
            </w:r>
          </w:p>
        </w:tc>
        <w:tc>
          <w:tcPr>
            <w:tcW w:w="28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8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spacing w:after="0"/>
              <w:rPr>
                <w:sz w:val="24"/>
                <w:szCs w:val="24"/>
                <w:color w:val="auto"/>
              </w:rPr>
            </w:pPr>
          </w:p>
        </w:tc>
        <w:tc>
          <w:tcPr>
            <w:tcW w:w="10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33.2</w:t>
            </w:r>
          </w:p>
        </w:tc>
        <w:tc>
          <w:tcPr>
            <w:tcW w:w="8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spacing w:after="0"/>
              <w:rPr>
                <w:sz w:val="24"/>
                <w:szCs w:val="24"/>
                <w:color w:val="auto"/>
              </w:rPr>
            </w:pPr>
          </w:p>
        </w:tc>
        <w:tc>
          <w:tcPr>
            <w:tcW w:w="10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8.4</w:t>
            </w:r>
          </w:p>
        </w:tc>
      </w:tr>
      <w:tr>
        <w:trPr>
          <w:trHeight w:val="280"/>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income taxes before valuation allowance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775.5</w:t>
            </w:r>
          </w:p>
        </w:tc>
      </w:tr>
      <w:tr>
        <w:trPr>
          <w:trHeight w:val="291"/>
        </w:trPr>
        <w:tc>
          <w:tcPr>
            <w:tcW w:w="474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Valuation allowance</w:t>
            </w:r>
          </w:p>
        </w:tc>
        <w:tc>
          <w:tcPr>
            <w:tcW w:w="280" w:type="dxa"/>
            <w:vAlign w:val="bottom"/>
            <w:tcBorders>
              <w:bottom w:val="single" w:sz="8" w:color="231F20"/>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(47.9)</w:t>
            </w:r>
          </w:p>
        </w:tc>
        <w:tc>
          <w:tcPr>
            <w:tcW w:w="8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spacing w:after="0"/>
              <w:rPr>
                <w:sz w:val="24"/>
                <w:szCs w:val="24"/>
                <w:color w:val="auto"/>
              </w:rPr>
            </w:pPr>
          </w:p>
        </w:tc>
        <w:tc>
          <w:tcPr>
            <w:tcW w:w="10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8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spacing w:after="0"/>
              <w:rPr>
                <w:sz w:val="24"/>
                <w:szCs w:val="24"/>
                <w:color w:val="auto"/>
              </w:rPr>
            </w:pPr>
          </w:p>
        </w:tc>
        <w:tc>
          <w:tcPr>
            <w:tcW w:w="10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6"/>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deferred income taxes</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420.7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802.2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401.8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775.5</w:t>
            </w: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-2670175</wp:posOffset>
            </wp:positionV>
            <wp:extent cx="3456305" cy="50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6">
                      <a:extLst>
                        <a:ext uri="{28A0092B-C50C-407E-A947-70E740481C1C}"/>
                      </a:extLst>
                    </a:blip>
                    <a:srcRect/>
                    <a:stretch>
                      <a:fillRect/>
                    </a:stretch>
                  </pic:blipFill>
                  <pic:spPr bwMode="auto">
                    <a:xfrm>
                      <a:off x="0" y="0"/>
                      <a:ext cx="3456305" cy="5016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-606425</wp:posOffset>
            </wp:positionV>
            <wp:extent cx="2614930" cy="501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7">
                      <a:extLst>
                        <a:ext uri="{28A0092B-C50C-407E-A947-70E740481C1C}"/>
                      </a:extLst>
                    </a:blip>
                    <a:srcRect/>
                    <a:stretch>
                      <a:fillRect/>
                    </a:stretch>
                  </pic:blipFill>
                  <pic:spPr bwMode="auto">
                    <a:xfrm>
                      <a:off x="0" y="0"/>
                      <a:ext cx="2614930" cy="5016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-231140</wp:posOffset>
            </wp:positionV>
            <wp:extent cx="2614930"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8">
                      <a:extLst>
                        <a:ext uri="{28A0092B-C50C-407E-A947-70E740481C1C}"/>
                      </a:extLst>
                    </a:blip>
                    <a:srcRect/>
                    <a:stretch>
                      <a:fillRect/>
                    </a:stretch>
                  </pic:blipFill>
                  <pic:spPr bwMode="auto">
                    <a:xfrm>
                      <a:off x="0" y="0"/>
                      <a:ext cx="2614930" cy="50165"/>
                    </a:xfrm>
                    <a:prstGeom prst="rect">
                      <a:avLst/>
                    </a:prstGeom>
                    <a:noFill/>
                  </pic:spPr>
                </pic:pic>
              </a:graphicData>
            </a:graphic>
          </wp:anchor>
        </w:drawing>
      </w:r>
    </w:p>
    <w:p>
      <w:pPr>
        <w:spacing w:after="0" w:line="106"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Wesco had deferred tax assets of $37.3 million and $31.7 million as of December 31, 2025 and 2024, respectively, related to foreign loss carryforwards. These loss carryforwards expire beginning in 2026 through 2043, while some may be carried forward indefinitely. The Company has determined that certain foreign loss carryforwards will not be realized before they expire. Accordingly, the Company has recorded a valuation allowance of $21.4 million and $19.5 million against deferred tax assets related to certain foreign loss carryforwards as of December 31, 2025 and 2024, respectively. Additionally, these foreign jurisdictions had deferred tax assets of $9.5 million and $6.6 million as of December 31, 2025 and 2024, respectively, related to other future deductible temporary differences. The Company has recorded a full valuation allowance against these amounts as of December 31, 2025 and 2024, respectively.</w:t>
      </w:r>
    </w:p>
    <w:p>
      <w:pPr>
        <w:spacing w:after="0" w:line="93" w:lineRule="exact"/>
        <w:rPr>
          <w:sz w:val="20"/>
          <w:szCs w:val="20"/>
          <w:color w:val="auto"/>
        </w:rPr>
      </w:pPr>
    </w:p>
    <w:p>
      <w:pPr>
        <w:jc w:val="both"/>
        <w:ind w:firstLine="266"/>
        <w:spacing w:after="0" w:line="270" w:lineRule="auto"/>
        <w:rPr>
          <w:sz w:val="20"/>
          <w:szCs w:val="20"/>
          <w:color w:val="auto"/>
        </w:rPr>
      </w:pPr>
      <w:r>
        <w:rPr>
          <w:rFonts w:ascii="Times New Roman" w:cs="Times New Roman" w:eastAsia="Times New Roman" w:hAnsi="Times New Roman"/>
          <w:sz w:val="19"/>
          <w:szCs w:val="19"/>
          <w:color w:val="231F20"/>
        </w:rPr>
        <w:t>As of December 31, 2025 and 2024, Wesco had deferred tax assets of $4.1 million and $3.9 million, respectively, related to state net operating loss carryforwards. These net operating loss carryforwards expire beginning in 2026 through 2044, while some may be carried forward indefinitely. The Company has determined that certain state net operating loss carryforwards will not be realized. Accordingly, the Company has recorded a valuation allowance of $4.1 million and $0.9 million against deferred tax assets related to certain state net operating loss carryforwards as of December 31, 2025 and 2024, respectively.</w:t>
      </w:r>
    </w:p>
    <w:p>
      <w:pPr>
        <w:spacing w:after="0" w:line="71"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As of December 31, 2025 and 2024, Wesco had deferred tax assets of $3.7 million and $4.8 million, respectively, in certain foreign and state jurisdictions related to disallowed business interest expense. The carryforward period for disallowed business interest expense is indefinite. The Company has determined that disallowed business interest expense carryforwards for certain jurisdictions will not be realized. Accordingly, the Company has recorded a valuation allowance of $2.0 million and $0.8 million against deferred tax assets related to disallowed business interest expense carryforwards in these jurisdictions as of December 31, 2025 and 2024, respectively.</w:t>
      </w:r>
    </w:p>
    <w:p>
      <w:pPr>
        <w:spacing w:after="0" w:line="88" w:lineRule="exact"/>
        <w:rPr>
          <w:sz w:val="20"/>
          <w:szCs w:val="20"/>
          <w:color w:val="auto"/>
        </w:rPr>
      </w:pPr>
    </w:p>
    <w:p>
      <w:pPr>
        <w:jc w:val="both"/>
        <w:ind w:firstLine="266"/>
        <w:spacing w:after="0" w:line="268" w:lineRule="auto"/>
        <w:rPr>
          <w:sz w:val="20"/>
          <w:szCs w:val="20"/>
          <w:color w:val="auto"/>
        </w:rPr>
      </w:pPr>
      <w:r>
        <w:rPr>
          <w:rFonts w:ascii="Times New Roman" w:cs="Times New Roman" w:eastAsia="Times New Roman" w:hAnsi="Times New Roman"/>
          <w:sz w:val="19"/>
          <w:szCs w:val="19"/>
          <w:color w:val="231F20"/>
        </w:rPr>
        <w:t>As of December 31, 2025 and 2024, Wesco had deferred tax assets of $29.9 million and $41.0 million, respectively, related to foreign tax credit carryforwards. The foreign tax credit carryforwards expire beginning in 2026 through 2035. The Company has determined that certain foreign tax credit carryforwards will not be realized before they expire. Accordingly, the Company has recorded a valuation allowance of $11.0 million and $4.8 million against these deferred tax assets as of December 31, 2025 and 2024, respectively. Wesco’s ability to realize its deferred tax assets related to foreign tax credit carryforwards may be impacted by U.S. tax legislation, our ability to generate sufficient foreign source taxable income, and tax planning strategies</w:t>
      </w:r>
    </w:p>
    <w:p>
      <w:pPr>
        <w:sectPr>
          <w:pgSz w:w="11880" w:h="15480" w:orient="portrait"/>
          <w:cols w:equalWidth="0" w:num="1">
            <w:col w:w="10120"/>
          </w:cols>
          <w:pgMar w:left="880" w:top="285" w:right="880" w:bottom="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120"/>
          </w:cols>
          <w:pgMar w:left="880" w:top="285" w:right="88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231F20"/>
        </w:rPr>
        <w:t>that the Company may implement. The impact of these items, if any, on Wesco’s assessment of the realizability of these deferred tax assets will be recorded as a discrete item in the period in which the Company’s assessment changes.</w:t>
      </w:r>
    </w:p>
    <w:p>
      <w:pPr>
        <w:spacing w:after="0" w:line="123"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Company is under examination by tax authorities in various jurisdictions and remains subject to examination until the applicable statutes of limitation expire. The statutes of limitation for the material jurisdictions in which the Company files income tax returns remain open as follows:</w:t>
      </w:r>
    </w:p>
    <w:p>
      <w:pPr>
        <w:spacing w:after="0" w:line="118" w:lineRule="exact"/>
        <w:rPr>
          <w:sz w:val="20"/>
          <w:szCs w:val="20"/>
          <w:color w:val="auto"/>
        </w:rPr>
      </w:pPr>
    </w:p>
    <w:tbl>
      <w:tblPr>
        <w:tblLayout w:type="fixed"/>
        <w:tblInd w:w="1760" w:type="dxa"/>
        <w:tblCellMar>
          <w:top w:w="0" w:type="dxa"/>
          <w:left w:w="0" w:type="dxa"/>
          <w:bottom w:w="0" w:type="dxa"/>
          <w:right w:w="0" w:type="dxa"/>
        </w:tblCellMar>
      </w:tblPr>
      <w:tr>
        <w:trPr>
          <w:trHeight w:val="281"/>
        </w:trPr>
        <w:tc>
          <w:tcPr>
            <w:tcW w:w="34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U.S. — federal</w:t>
            </w:r>
          </w:p>
        </w:tc>
        <w:tc>
          <w:tcPr>
            <w:tcW w:w="3120" w:type="dxa"/>
            <w:vAlign w:val="bottom"/>
            <w:shd w:val="clear" w:color="auto" w:fill="CFEBF4"/>
          </w:tcPr>
          <w:p>
            <w:pPr>
              <w:ind w:left="1660"/>
              <w:spacing w:after="0"/>
              <w:rPr>
                <w:sz w:val="20"/>
                <w:szCs w:val="20"/>
                <w:color w:val="auto"/>
              </w:rPr>
            </w:pPr>
            <w:r>
              <w:rPr>
                <w:rFonts w:ascii="Times New Roman" w:cs="Times New Roman" w:eastAsia="Times New Roman" w:hAnsi="Times New Roman"/>
                <w:sz w:val="20"/>
                <w:szCs w:val="20"/>
                <w:color w:val="231F20"/>
              </w:rPr>
              <w:t>2022 and forward</w:t>
            </w: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U.S. — material states</w:t>
            </w:r>
          </w:p>
        </w:tc>
        <w:tc>
          <w:tcPr>
            <w:tcW w:w="3120" w:type="dxa"/>
            <w:vAlign w:val="bottom"/>
          </w:tcPr>
          <w:p>
            <w:pPr>
              <w:ind w:left="1660"/>
              <w:spacing w:after="0"/>
              <w:rPr>
                <w:sz w:val="20"/>
                <w:szCs w:val="20"/>
                <w:color w:val="auto"/>
              </w:rPr>
            </w:pPr>
            <w:r>
              <w:rPr>
                <w:rFonts w:ascii="Times New Roman" w:cs="Times New Roman" w:eastAsia="Times New Roman" w:hAnsi="Times New Roman"/>
                <w:sz w:val="20"/>
                <w:szCs w:val="20"/>
                <w:color w:val="231F20"/>
              </w:rPr>
              <w:t>2021 and forward</w:t>
            </w:r>
          </w:p>
        </w:tc>
      </w:tr>
      <w:tr>
        <w:trPr>
          <w:trHeight w:val="23"/>
        </w:trPr>
        <w:tc>
          <w:tcPr>
            <w:tcW w:w="34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61"/>
        </w:trPr>
        <w:tc>
          <w:tcPr>
            <w:tcW w:w="34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Canada</w:t>
            </w:r>
          </w:p>
        </w:tc>
        <w:tc>
          <w:tcPr>
            <w:tcW w:w="3120" w:type="dxa"/>
            <w:vAlign w:val="bottom"/>
            <w:tcBorders>
              <w:bottom w:val="single" w:sz="8" w:color="CFEBF4"/>
            </w:tcBorders>
            <w:shd w:val="clear" w:color="auto" w:fill="CFEBF4"/>
          </w:tcPr>
          <w:p>
            <w:pPr>
              <w:ind w:left="1660"/>
              <w:spacing w:after="0"/>
              <w:rPr>
                <w:sz w:val="20"/>
                <w:szCs w:val="20"/>
                <w:color w:val="auto"/>
              </w:rPr>
            </w:pPr>
            <w:r>
              <w:rPr>
                <w:rFonts w:ascii="Times New Roman" w:cs="Times New Roman" w:eastAsia="Times New Roman" w:hAnsi="Times New Roman"/>
                <w:sz w:val="20"/>
                <w:szCs w:val="20"/>
                <w:color w:val="231F20"/>
              </w:rPr>
              <w:t>2012 and forward</w:t>
            </w: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U.K.</w:t>
            </w:r>
          </w:p>
        </w:tc>
        <w:tc>
          <w:tcPr>
            <w:tcW w:w="3120" w:type="dxa"/>
            <w:vAlign w:val="bottom"/>
          </w:tcPr>
          <w:p>
            <w:pPr>
              <w:ind w:left="1660"/>
              <w:spacing w:after="0"/>
              <w:rPr>
                <w:sz w:val="20"/>
                <w:szCs w:val="20"/>
                <w:color w:val="auto"/>
              </w:rPr>
            </w:pPr>
            <w:r>
              <w:rPr>
                <w:rFonts w:ascii="Times New Roman" w:cs="Times New Roman" w:eastAsia="Times New Roman" w:hAnsi="Times New Roman"/>
                <w:sz w:val="20"/>
                <w:szCs w:val="20"/>
                <w:color w:val="231F20"/>
              </w:rPr>
              <w:t>2020 and forward</w:t>
            </w:r>
          </w:p>
        </w:tc>
      </w:tr>
      <w:tr>
        <w:trPr>
          <w:trHeight w:val="23"/>
        </w:trPr>
        <w:tc>
          <w:tcPr>
            <w:tcW w:w="34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61"/>
        </w:trPr>
        <w:tc>
          <w:tcPr>
            <w:tcW w:w="348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Australia</w:t>
            </w:r>
          </w:p>
        </w:tc>
        <w:tc>
          <w:tcPr>
            <w:tcW w:w="3120" w:type="dxa"/>
            <w:vAlign w:val="bottom"/>
            <w:tcBorders>
              <w:bottom w:val="single" w:sz="8" w:color="CFEBF4"/>
            </w:tcBorders>
            <w:shd w:val="clear" w:color="auto" w:fill="CFEBF4"/>
          </w:tcPr>
          <w:p>
            <w:pPr>
              <w:ind w:left="1660"/>
              <w:spacing w:after="0"/>
              <w:rPr>
                <w:sz w:val="20"/>
                <w:szCs w:val="20"/>
                <w:color w:val="auto"/>
              </w:rPr>
            </w:pPr>
            <w:r>
              <w:rPr>
                <w:rFonts w:ascii="Times New Roman" w:cs="Times New Roman" w:eastAsia="Times New Roman" w:hAnsi="Times New Roman"/>
                <w:sz w:val="20"/>
                <w:szCs w:val="20"/>
                <w:color w:val="231F20"/>
              </w:rPr>
              <w:t>2018 and forward</w:t>
            </w: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Ireland</w:t>
            </w:r>
          </w:p>
        </w:tc>
        <w:tc>
          <w:tcPr>
            <w:tcW w:w="3120" w:type="dxa"/>
            <w:vAlign w:val="bottom"/>
          </w:tcPr>
          <w:p>
            <w:pPr>
              <w:ind w:left="1660"/>
              <w:spacing w:after="0"/>
              <w:rPr>
                <w:sz w:val="20"/>
                <w:szCs w:val="20"/>
                <w:color w:val="auto"/>
              </w:rPr>
            </w:pPr>
            <w:r>
              <w:rPr>
                <w:rFonts w:ascii="Times New Roman" w:cs="Times New Roman" w:eastAsia="Times New Roman" w:hAnsi="Times New Roman"/>
                <w:sz w:val="20"/>
                <w:szCs w:val="20"/>
                <w:color w:val="231F20"/>
              </w:rPr>
              <w:t>2021 and forward</w:t>
            </w:r>
          </w:p>
        </w:tc>
      </w:tr>
    </w:tbl>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reconciliation of gross unrecognized tax benefits: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As of December 31,</w:t>
            </w:r>
          </w:p>
        </w:tc>
        <w:tc>
          <w:tcPr>
            <w:tcW w:w="2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r>
      <w:tr>
        <w:trPr>
          <w:trHeight w:val="231"/>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33"/>
        </w:trPr>
        <w:tc>
          <w:tcPr>
            <w:tcW w:w="6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9"/>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3"/>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Beginning balance January 1</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131.2</w:t>
            </w:r>
          </w:p>
        </w:tc>
        <w:tc>
          <w:tcPr>
            <w:tcW w:w="28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121.3</w:t>
            </w:r>
          </w:p>
        </w:tc>
        <w:tc>
          <w:tcPr>
            <w:tcW w:w="80" w:type="dxa"/>
            <w:vAlign w:val="bottom"/>
            <w:shd w:val="clear" w:color="auto" w:fill="CFEBF4"/>
          </w:tcPr>
          <w:p>
            <w:pPr>
              <w:spacing w:after="0"/>
              <w:rPr>
                <w:sz w:val="24"/>
                <w:szCs w:val="24"/>
                <w:color w:val="auto"/>
              </w:rPr>
            </w:pPr>
          </w:p>
        </w:tc>
        <w:tc>
          <w:tcPr>
            <w:tcW w:w="20" w:type="dxa"/>
            <w:vAlign w:val="bottom"/>
            <w:shd w:val="clear" w:color="auto" w:fill="CFEBF4"/>
          </w:tcPr>
          <w:p>
            <w:pPr>
              <w:spacing w:after="0"/>
              <w:rPr>
                <w:sz w:val="24"/>
                <w:szCs w:val="24"/>
                <w:color w:val="auto"/>
              </w:rPr>
            </w:pPr>
          </w:p>
        </w:tc>
        <w:tc>
          <w:tcPr>
            <w:tcW w:w="28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w w:val="99"/>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109.3</w:t>
            </w:r>
          </w:p>
        </w:tc>
      </w:tr>
      <w:tr>
        <w:trPr>
          <w:trHeight w:val="290"/>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Additions for current year tax positions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w:t>
            </w:r>
          </w:p>
        </w:tc>
      </w:tr>
      <w:tr>
        <w:trPr>
          <w:trHeight w:val="301"/>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Additions for prior year tax positions</w:t>
            </w:r>
          </w:p>
        </w:tc>
        <w:tc>
          <w:tcPr>
            <w:tcW w:w="30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2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80" w:type="dxa"/>
            <w:vAlign w:val="bottom"/>
            <w:shd w:val="clear" w:color="auto" w:fill="CFEBF4"/>
          </w:tcPr>
          <w:p>
            <w:pPr>
              <w:spacing w:after="0"/>
              <w:rPr>
                <w:sz w:val="24"/>
                <w:szCs w:val="24"/>
                <w:color w:val="auto"/>
              </w:rPr>
            </w:pPr>
          </w:p>
        </w:tc>
        <w:tc>
          <w:tcPr>
            <w:tcW w:w="2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6.6</w:t>
            </w:r>
          </w:p>
        </w:tc>
      </w:tr>
      <w:tr>
        <w:trPr>
          <w:trHeight w:val="290"/>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Additions for acquired tax positions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w:t>
            </w:r>
          </w:p>
        </w:tc>
      </w:tr>
      <w:tr>
        <w:trPr>
          <w:trHeight w:val="301"/>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Reductions for prior year tax positions</w:t>
            </w:r>
          </w:p>
        </w:tc>
        <w:tc>
          <w:tcPr>
            <w:tcW w:w="30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2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80" w:type="dxa"/>
            <w:vAlign w:val="bottom"/>
            <w:shd w:val="clear" w:color="auto" w:fill="CFEBF4"/>
          </w:tcPr>
          <w:p>
            <w:pPr>
              <w:spacing w:after="0"/>
              <w:rPr>
                <w:sz w:val="24"/>
                <w:szCs w:val="24"/>
                <w:color w:val="auto"/>
              </w:rPr>
            </w:pPr>
          </w:p>
        </w:tc>
        <w:tc>
          <w:tcPr>
            <w:tcW w:w="2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(6.7)</w:t>
            </w:r>
          </w:p>
        </w:tc>
      </w:tr>
      <w:tr>
        <w:trPr>
          <w:trHeight w:val="290"/>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Settlements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301"/>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Lapse in statute of limitations</w:t>
            </w:r>
          </w:p>
        </w:tc>
        <w:tc>
          <w:tcPr>
            <w:tcW w:w="30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2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80" w:type="dxa"/>
            <w:vAlign w:val="bottom"/>
            <w:shd w:val="clear" w:color="auto" w:fill="CFEBF4"/>
          </w:tcPr>
          <w:p>
            <w:pPr>
              <w:spacing w:after="0"/>
              <w:rPr>
                <w:sz w:val="24"/>
                <w:szCs w:val="24"/>
                <w:color w:val="auto"/>
              </w:rPr>
            </w:pPr>
          </w:p>
        </w:tc>
        <w:tc>
          <w:tcPr>
            <w:tcW w:w="2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(15.8)</w:t>
            </w:r>
          </w:p>
        </w:tc>
      </w:tr>
      <w:tr>
        <w:trPr>
          <w:trHeight w:val="285"/>
        </w:trPr>
        <w:tc>
          <w:tcPr>
            <w:tcW w:w="610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Foreign currency exchange rate changes</w:t>
            </w:r>
          </w:p>
        </w:tc>
        <w:tc>
          <w:tcPr>
            <w:tcW w:w="30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80" w:type="dxa"/>
            <w:vAlign w:val="bottom"/>
            <w:tcBorders>
              <w:bottom w:val="single" w:sz="8" w:color="CFEBF4"/>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0.3</w:t>
            </w:r>
          </w:p>
        </w:tc>
      </w:tr>
      <w:tr>
        <w:trPr>
          <w:trHeight w:val="295"/>
        </w:trPr>
        <w:tc>
          <w:tcPr>
            <w:tcW w:w="610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Ending balance December 31</w:t>
            </w:r>
          </w:p>
        </w:tc>
        <w:tc>
          <w:tcPr>
            <w:tcW w:w="300" w:type="dxa"/>
            <w:vAlign w:val="bottom"/>
            <w:tcBorders>
              <w:bottom w:val="single" w:sz="8" w:color="231F20"/>
            </w:tcBorders>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138.1</w:t>
            </w:r>
          </w:p>
        </w:tc>
        <w:tc>
          <w:tcPr>
            <w:tcW w:w="2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131.2</w:t>
            </w:r>
          </w:p>
        </w:tc>
        <w:tc>
          <w:tcPr>
            <w:tcW w:w="80" w:type="dxa"/>
            <w:vAlign w:val="bottom"/>
            <w:tcBorders>
              <w:bottom w:val="single" w:sz="8" w:color="CFEBF4"/>
            </w:tcBorders>
            <w:shd w:val="clear" w:color="auto" w:fill="CFEBF4"/>
          </w:tcPr>
          <w:p>
            <w:pPr>
              <w:spacing w:after="0"/>
              <w:rPr>
                <w:sz w:val="24"/>
                <w:szCs w:val="24"/>
                <w:color w:val="auto"/>
              </w:rPr>
            </w:pPr>
          </w:p>
        </w:tc>
        <w:tc>
          <w:tcPr>
            <w:tcW w:w="20" w:type="dxa"/>
            <w:vAlign w:val="bottom"/>
            <w:tcBorders>
              <w:bottom w:val="single" w:sz="8" w:color="231F20"/>
            </w:tcBorders>
            <w:shd w:val="clear" w:color="auto" w:fill="CFEBF4"/>
          </w:tcPr>
          <w:p>
            <w:pPr>
              <w:spacing w:after="0"/>
              <w:rPr>
                <w:sz w:val="24"/>
                <w:szCs w:val="24"/>
                <w:color w:val="auto"/>
              </w:rPr>
            </w:pPr>
          </w:p>
        </w:tc>
        <w:tc>
          <w:tcPr>
            <w:tcW w:w="280" w:type="dxa"/>
            <w:vAlign w:val="bottom"/>
            <w:tcBorders>
              <w:bottom w:val="single" w:sz="8" w:color="231F20"/>
            </w:tcBorders>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w w:val="99"/>
              </w:rPr>
              <w:t>$</w:t>
            </w: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-231140</wp:posOffset>
            </wp:positionV>
            <wp:extent cx="1751330" cy="501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9">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-55880</wp:posOffset>
            </wp:positionV>
            <wp:extent cx="2592705" cy="749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0">
                      <a:extLst>
                        <a:ext uri="{28A0092B-C50C-407E-A947-70E740481C1C}"/>
                      </a:extLst>
                    </a:blip>
                    <a:srcRect/>
                    <a:stretch>
                      <a:fillRect/>
                    </a:stretch>
                  </pic:blipFill>
                  <pic:spPr bwMode="auto">
                    <a:xfrm>
                      <a:off x="0" y="0"/>
                      <a:ext cx="2592705" cy="74930"/>
                    </a:xfrm>
                    <a:prstGeom prst="rect">
                      <a:avLst/>
                    </a:prstGeom>
                    <a:noFill/>
                  </pic:spPr>
                </pic:pic>
              </a:graphicData>
            </a:graphic>
          </wp:anchor>
        </w:drawing>
      </w:r>
    </w:p>
    <w:p>
      <w:pPr>
        <w:spacing w:after="0" w:line="106"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amount of unrecognized tax benefits that would affect the effective tax rate if recognized in the consolidated financial statements for the years ended December 31, 2025, 2024 and 2023 were $25.9 million, $36.8 million, and $40.1 million, respectively.</w:t>
      </w:r>
    </w:p>
    <w:p>
      <w:pPr>
        <w:spacing w:after="0" w:line="77"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The Company classifies interest related to unrecognized tax benefits as a component of interest expense, net in the Consolidated Statements of Income and Comprehensive Income. The Company recognized net interest expense on unrecognized tax benefits of $10.7 million for the year ended December 31, 2025. The Company recognized net interest income on unrecognized tax benefits of $1.6 million and $1.1 million for the years ended December 31, 2024 and 2023, respectively. As of December 31, 2025 and 2024, Wesco had a liability of $23.1 million and $7.7 million, respectively, for interest expense related to unrecognized tax benefits. The Company classifies penalties related to unrecognized tax benefits as part of income tax expense. Penalties recorded in income tax expense for the years ended December 31, 2025, 2024 and 2023 were immaterial. As of December 31, 2025 and 2024, Wesco had a liability of $4.2 million and $3.7 million, respectively, for penalties related to unrecognized tax benefits.</w:t>
      </w:r>
    </w:p>
    <w:p>
      <w:pPr>
        <w:spacing w:after="0" w:line="90"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In October 2021, one of the Company’s Mexican affiliates received a tax assessment from the Mexican tax authorities in the amount of approximately $26.0 million related to its 2012 income tax return. This amount, updated for adjustments required under Mexican law, was approximately $33.4 million as of December 31, 2025. The Company believes the assessment is without merit and has filed an annulment lawsuit in the Mexican Federal Court of Administrative Justice. The Company expects to prevail in this litigation and, accordingly, has not recognized a liability for this assessment in its consolidated financial statements.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120"/>
          </w:cols>
          <w:pgMar w:left="880" w:top="285" w:right="88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In July 2022, one of the Company’s Canadian affiliates received tax assessments from the Canada Revenue Agency (“CRA”) totaling approximately $11.0 million, including tax and interest, related to its 2012 through 2014 income tax returns. The Company’s Canadian affiliate subsequently received a related penalty assessment of approximately $2.7 million in May 2023. The assessments totaled approximately $20.3 million in the aggregate, including additional interest updated through December 31, 2025. The Company believes these assessments are without merit and has appealed to the Tax Court of Canada. The Company expects to prevail in the courts and, therefore, has not recognized a liability for these assessments in its consolidated financial statements. The CRA continues to audit the 2015 through 2019 tax years of Wesco’s Canadian affiliates and the Company expects to eventually receive similar assessments for these tax years.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EARNINGS PER SHARE</w:t>
      </w:r>
    </w:p>
    <w:p>
      <w:pPr>
        <w:spacing w:after="0" w:line="132"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details of basic and diluted earnings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78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9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33"/>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 except per share data)</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1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income attributable to WESCO International, Inc.</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640.2</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717.6</w:t>
            </w:r>
          </w:p>
        </w:tc>
        <w:tc>
          <w:tcPr>
            <w:tcW w:w="440" w:type="dxa"/>
            <w:vAlign w:val="bottom"/>
            <w:gridSpan w:val="2"/>
            <w:shd w:val="clear" w:color="auto" w:fill="CFEBF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765.5</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Plus: Gain on redemption of Series A Preferred Stock</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6"/>
        </w:trPr>
        <w:tc>
          <w:tcPr>
            <w:tcW w:w="610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Less: Preferred stock dividends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80" w:type="dxa"/>
            <w:vAlign w:val="bottom"/>
            <w:tcBorders>
              <w:bottom w:val="single" w:sz="8" w:color="CFEBF4"/>
            </w:tcBorders>
            <w:shd w:val="clear" w:color="auto" w:fill="CFEBF4"/>
          </w:tcPr>
          <w:p>
            <w:pPr>
              <w:spacing w:after="0"/>
              <w:rPr>
                <w:sz w:val="24"/>
                <w:szCs w:val="24"/>
                <w:color w:val="auto"/>
              </w:rPr>
            </w:pPr>
          </w:p>
        </w:tc>
        <w:tc>
          <w:tcPr>
            <w:tcW w:w="360" w:type="dxa"/>
            <w:vAlign w:val="bottom"/>
            <w:tcBorders>
              <w:bottom w:val="single" w:sz="8" w:color="231F20"/>
            </w:tcBorders>
            <w:shd w:val="clear" w:color="auto" w:fill="CFEBF4"/>
          </w:tcPr>
          <w:p>
            <w:pPr>
              <w:spacing w:after="0"/>
              <w:rPr>
                <w:sz w:val="24"/>
                <w:szCs w:val="24"/>
                <w:color w:val="auto"/>
              </w:rPr>
            </w:pPr>
          </w:p>
        </w:tc>
        <w:tc>
          <w:tcPr>
            <w:tcW w:w="9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0" w:type="dxa"/>
            <w:vAlign w:val="bottom"/>
          </w:tcPr>
          <w:p>
            <w:pPr>
              <w:spacing w:after="0"/>
              <w:rPr>
                <w:sz w:val="1"/>
                <w:szCs w:val="1"/>
                <w:color w:val="auto"/>
              </w:rPr>
            </w:pPr>
          </w:p>
        </w:tc>
      </w:tr>
      <w:tr>
        <w:trPr>
          <w:trHeight w:val="261"/>
        </w:trPr>
        <w:tc>
          <w:tcPr>
            <w:tcW w:w="610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231F20"/>
              </w:rPr>
              <w:t>Net income attributable to common stockholders</w:t>
            </w:r>
          </w:p>
        </w:tc>
        <w:tc>
          <w:tcPr>
            <w:tcW w:w="300" w:type="dxa"/>
            <w:vAlign w:val="bottom"/>
          </w:tcPr>
          <w:p>
            <w:pPr>
              <w:jc w:val="right"/>
              <w:ind w:right="61"/>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645.8</w:t>
            </w:r>
          </w:p>
        </w:tc>
        <w:tc>
          <w:tcPr>
            <w:tcW w:w="380" w:type="dxa"/>
            <w:vAlign w:val="bottom"/>
            <w:gridSpan w:val="2"/>
          </w:tcPr>
          <w:p>
            <w:pPr>
              <w:jc w:val="right"/>
              <w:ind w:right="160"/>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660.2</w:t>
            </w:r>
          </w:p>
        </w:tc>
        <w:tc>
          <w:tcPr>
            <w:tcW w:w="440" w:type="dxa"/>
            <w:vAlign w:val="bottom"/>
            <w:gridSpan w:val="2"/>
          </w:tcPr>
          <w:p>
            <w:pPr>
              <w:jc w:val="right"/>
              <w:ind w:right="220"/>
              <w:spacing w:after="0" w:line="222" w:lineRule="exact"/>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rPr>
              <w:t>708.1</w:t>
            </w:r>
          </w:p>
        </w:tc>
        <w:tc>
          <w:tcPr>
            <w:tcW w:w="0" w:type="dxa"/>
            <w:vAlign w:val="bottom"/>
          </w:tcPr>
          <w:p>
            <w:pPr>
              <w:spacing w:after="0"/>
              <w:rPr>
                <w:sz w:val="1"/>
                <w:szCs w:val="1"/>
                <w:color w:val="auto"/>
              </w:rPr>
            </w:pPr>
          </w:p>
        </w:tc>
      </w:tr>
      <w:tr>
        <w:trPr>
          <w:trHeight w:val="189"/>
        </w:trPr>
        <w:tc>
          <w:tcPr>
            <w:tcW w:w="6100" w:type="dxa"/>
            <w:vAlign w:val="bottom"/>
            <w:tcBorders>
              <w:top w:val="single" w:sz="8" w:color="CFEBF4"/>
            </w:tcBorders>
            <w:shd w:val="clear" w:color="auto" w:fill="CFEBF4"/>
          </w:tcPr>
          <w:p>
            <w:pPr>
              <w:ind w:left="60"/>
              <w:spacing w:after="0" w:line="189" w:lineRule="exact"/>
              <w:rPr>
                <w:sz w:val="20"/>
                <w:szCs w:val="20"/>
                <w:color w:val="auto"/>
              </w:rPr>
            </w:pPr>
            <w:r>
              <w:rPr>
                <w:rFonts w:ascii="Times New Roman" w:cs="Times New Roman" w:eastAsia="Times New Roman" w:hAnsi="Times New Roman"/>
                <w:sz w:val="20"/>
                <w:szCs w:val="20"/>
                <w:color w:val="231F20"/>
              </w:rPr>
              <w:t>Weighted-average common shares outstanding used in computing basic</w:t>
            </w:r>
          </w:p>
        </w:tc>
        <w:tc>
          <w:tcPr>
            <w:tcW w:w="300" w:type="dxa"/>
            <w:vAlign w:val="bottom"/>
            <w:tcBorders>
              <w:top w:val="single" w:sz="8" w:color="231F20"/>
            </w:tcBorders>
            <w:shd w:val="clear" w:color="auto" w:fill="CFEBF4"/>
          </w:tcPr>
          <w:p>
            <w:pPr>
              <w:spacing w:after="0"/>
              <w:rPr>
                <w:sz w:val="16"/>
                <w:szCs w:val="16"/>
                <w:color w:val="auto"/>
              </w:rPr>
            </w:pPr>
          </w:p>
        </w:tc>
        <w:tc>
          <w:tcPr>
            <w:tcW w:w="980" w:type="dxa"/>
            <w:vAlign w:val="bottom"/>
            <w:tcBorders>
              <w:top w:val="single" w:sz="8" w:color="231F20"/>
            </w:tcBorders>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48.7</w:t>
            </w:r>
          </w:p>
        </w:tc>
        <w:tc>
          <w:tcPr>
            <w:tcW w:w="80" w:type="dxa"/>
            <w:vAlign w:val="bottom"/>
            <w:tcBorders>
              <w:top w:val="single" w:sz="8" w:color="CFEBF4"/>
            </w:tcBorders>
            <w:shd w:val="clear" w:color="auto" w:fill="CFEBF4"/>
          </w:tcPr>
          <w:p>
            <w:pPr>
              <w:spacing w:after="0"/>
              <w:rPr>
                <w:sz w:val="16"/>
                <w:szCs w:val="16"/>
                <w:color w:val="auto"/>
              </w:rPr>
            </w:pPr>
          </w:p>
        </w:tc>
        <w:tc>
          <w:tcPr>
            <w:tcW w:w="300" w:type="dxa"/>
            <w:vAlign w:val="bottom"/>
            <w:tcBorders>
              <w:top w:val="single" w:sz="8" w:color="231F20"/>
            </w:tcBorders>
            <w:shd w:val="clear" w:color="auto" w:fill="CFEBF4"/>
          </w:tcPr>
          <w:p>
            <w:pPr>
              <w:spacing w:after="0"/>
              <w:rPr>
                <w:sz w:val="16"/>
                <w:szCs w:val="16"/>
                <w:color w:val="auto"/>
              </w:rPr>
            </w:pPr>
          </w:p>
        </w:tc>
        <w:tc>
          <w:tcPr>
            <w:tcW w:w="980" w:type="dxa"/>
            <w:vAlign w:val="bottom"/>
            <w:tcBorders>
              <w:top w:val="single" w:sz="8" w:color="231F20"/>
            </w:tcBorders>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49.8</w:t>
            </w:r>
          </w:p>
        </w:tc>
        <w:tc>
          <w:tcPr>
            <w:tcW w:w="80" w:type="dxa"/>
            <w:vAlign w:val="bottom"/>
            <w:tcBorders>
              <w:top w:val="single" w:sz="8" w:color="CFEBF4"/>
            </w:tcBorders>
            <w:shd w:val="clear" w:color="auto" w:fill="CFEBF4"/>
          </w:tcPr>
          <w:p>
            <w:pPr>
              <w:spacing w:after="0"/>
              <w:rPr>
                <w:sz w:val="16"/>
                <w:szCs w:val="16"/>
                <w:color w:val="auto"/>
              </w:rPr>
            </w:pPr>
          </w:p>
        </w:tc>
        <w:tc>
          <w:tcPr>
            <w:tcW w:w="360" w:type="dxa"/>
            <w:vAlign w:val="bottom"/>
            <w:tcBorders>
              <w:top w:val="single" w:sz="8" w:color="231F20"/>
            </w:tcBorders>
            <w:shd w:val="clear" w:color="auto" w:fill="CFEBF4"/>
          </w:tcPr>
          <w:p>
            <w:pPr>
              <w:spacing w:after="0"/>
              <w:rPr>
                <w:sz w:val="16"/>
                <w:szCs w:val="16"/>
                <w:color w:val="auto"/>
              </w:rPr>
            </w:pPr>
          </w:p>
        </w:tc>
        <w:tc>
          <w:tcPr>
            <w:tcW w:w="920" w:type="dxa"/>
            <w:vAlign w:val="bottom"/>
            <w:tcBorders>
              <w:top w:val="single" w:sz="8" w:color="231F20"/>
            </w:tcBorders>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51.1</w:t>
            </w:r>
          </w:p>
        </w:tc>
        <w:tc>
          <w:tcPr>
            <w:tcW w:w="0" w:type="dxa"/>
            <w:vAlign w:val="bottom"/>
          </w:tcPr>
          <w:p>
            <w:pPr>
              <w:spacing w:after="0"/>
              <w:rPr>
                <w:sz w:val="1"/>
                <w:szCs w:val="1"/>
                <w:color w:val="auto"/>
              </w:rPr>
            </w:pPr>
          </w:p>
        </w:tc>
      </w:tr>
      <w:tr>
        <w:trPr>
          <w:trHeight w:val="269"/>
        </w:trPr>
        <w:tc>
          <w:tcPr>
            <w:tcW w:w="610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earnings per share</w:t>
            </w:r>
          </w:p>
        </w:tc>
        <w:tc>
          <w:tcPr>
            <w:tcW w:w="300" w:type="dxa"/>
            <w:vAlign w:val="bottom"/>
            <w:shd w:val="clear" w:color="auto" w:fill="CFEBF4"/>
          </w:tcPr>
          <w:p>
            <w:pPr>
              <w:spacing w:after="0"/>
              <w:rPr>
                <w:sz w:val="23"/>
                <w:szCs w:val="23"/>
                <w:color w:val="auto"/>
              </w:rPr>
            </w:pPr>
          </w:p>
        </w:tc>
        <w:tc>
          <w:tcPr>
            <w:tcW w:w="98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00" w:type="dxa"/>
            <w:vAlign w:val="bottom"/>
            <w:shd w:val="clear" w:color="auto" w:fill="CFEBF4"/>
          </w:tcPr>
          <w:p>
            <w:pPr>
              <w:spacing w:after="0"/>
              <w:rPr>
                <w:sz w:val="23"/>
                <w:szCs w:val="23"/>
                <w:color w:val="auto"/>
              </w:rPr>
            </w:pPr>
          </w:p>
        </w:tc>
        <w:tc>
          <w:tcPr>
            <w:tcW w:w="98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60" w:type="dxa"/>
            <w:vAlign w:val="bottom"/>
            <w:shd w:val="clear" w:color="auto" w:fill="CFEBF4"/>
          </w:tcPr>
          <w:p>
            <w:pPr>
              <w:spacing w:after="0"/>
              <w:rPr>
                <w:sz w:val="23"/>
                <w:szCs w:val="23"/>
                <w:color w:val="auto"/>
              </w:rPr>
            </w:pPr>
          </w:p>
        </w:tc>
        <w:tc>
          <w:tcPr>
            <w:tcW w:w="92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10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Common shares issuable upon exercise of dilutive equity awards</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8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80" w:type="dxa"/>
            <w:vAlign w:val="bottom"/>
            <w:tcBorders>
              <w:bottom w:val="single" w:sz="8" w:color="CFEBF4"/>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09"/>
        </w:trPr>
        <w:tc>
          <w:tcPr>
            <w:tcW w:w="6100" w:type="dxa"/>
            <w:vAlign w:val="bottom"/>
            <w:shd w:val="clear" w:color="auto" w:fill="CFEBF4"/>
          </w:tcPr>
          <w:p>
            <w:pPr>
              <w:ind w:left="60"/>
              <w:spacing w:after="0" w:line="208" w:lineRule="exact"/>
              <w:rPr>
                <w:sz w:val="20"/>
                <w:szCs w:val="20"/>
                <w:color w:val="auto"/>
              </w:rPr>
            </w:pPr>
            <w:r>
              <w:rPr>
                <w:rFonts w:ascii="Times New Roman" w:cs="Times New Roman" w:eastAsia="Times New Roman" w:hAnsi="Times New Roman"/>
                <w:sz w:val="20"/>
                <w:szCs w:val="20"/>
                <w:color w:val="231F20"/>
              </w:rPr>
              <w:t>Weighted-average common shares outstanding and common share</w:t>
            </w:r>
          </w:p>
        </w:tc>
        <w:tc>
          <w:tcPr>
            <w:tcW w:w="300" w:type="dxa"/>
            <w:vAlign w:val="bottom"/>
            <w:shd w:val="clear" w:color="auto" w:fill="CFEBF4"/>
          </w:tcPr>
          <w:p>
            <w:pPr>
              <w:spacing w:after="0"/>
              <w:rPr>
                <w:sz w:val="18"/>
                <w:szCs w:val="18"/>
                <w:color w:val="auto"/>
              </w:rPr>
            </w:pPr>
          </w:p>
        </w:tc>
        <w:tc>
          <w:tcPr>
            <w:tcW w:w="9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49.5</w:t>
            </w:r>
          </w:p>
        </w:tc>
        <w:tc>
          <w:tcPr>
            <w:tcW w:w="80" w:type="dxa"/>
            <w:vAlign w:val="bottom"/>
            <w:shd w:val="clear" w:color="auto" w:fill="CFEBF4"/>
          </w:tcPr>
          <w:p>
            <w:pPr>
              <w:spacing w:after="0"/>
              <w:rPr>
                <w:sz w:val="18"/>
                <w:szCs w:val="18"/>
                <w:color w:val="auto"/>
              </w:rPr>
            </w:pPr>
          </w:p>
        </w:tc>
        <w:tc>
          <w:tcPr>
            <w:tcW w:w="300" w:type="dxa"/>
            <w:vAlign w:val="bottom"/>
            <w:shd w:val="clear" w:color="auto" w:fill="CFEBF4"/>
          </w:tcPr>
          <w:p>
            <w:pPr>
              <w:spacing w:after="0"/>
              <w:rPr>
                <w:sz w:val="18"/>
                <w:szCs w:val="18"/>
                <w:color w:val="auto"/>
              </w:rPr>
            </w:pPr>
          </w:p>
        </w:tc>
        <w:tc>
          <w:tcPr>
            <w:tcW w:w="9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50.6</w:t>
            </w:r>
          </w:p>
        </w:tc>
        <w:tc>
          <w:tcPr>
            <w:tcW w:w="80" w:type="dxa"/>
            <w:vAlign w:val="bottom"/>
            <w:shd w:val="clear" w:color="auto" w:fill="CFEBF4"/>
          </w:tcPr>
          <w:p>
            <w:pPr>
              <w:spacing w:after="0"/>
              <w:rPr>
                <w:sz w:val="18"/>
                <w:szCs w:val="18"/>
                <w:color w:val="auto"/>
              </w:rPr>
            </w:pPr>
          </w:p>
        </w:tc>
        <w:tc>
          <w:tcPr>
            <w:tcW w:w="360" w:type="dxa"/>
            <w:vAlign w:val="bottom"/>
            <w:shd w:val="clear" w:color="auto" w:fill="CFEBF4"/>
          </w:tcPr>
          <w:p>
            <w:pPr>
              <w:spacing w:after="0"/>
              <w:rPr>
                <w:sz w:val="18"/>
                <w:szCs w:val="18"/>
                <w:color w:val="auto"/>
              </w:rPr>
            </w:pPr>
          </w:p>
        </w:tc>
        <w:tc>
          <w:tcPr>
            <w:tcW w:w="92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0" w:type="dxa"/>
            <w:vAlign w:val="bottom"/>
          </w:tcPr>
          <w:p>
            <w:pPr>
              <w:spacing w:after="0"/>
              <w:rPr>
                <w:sz w:val="1"/>
                <w:szCs w:val="1"/>
                <w:color w:val="auto"/>
              </w:rPr>
            </w:pPr>
          </w:p>
        </w:tc>
      </w:tr>
      <w:tr>
        <w:trPr>
          <w:trHeight w:val="278"/>
        </w:trPr>
        <w:tc>
          <w:tcPr>
            <w:tcW w:w="6100" w:type="dxa"/>
            <w:vAlign w:val="bottom"/>
            <w:tcBorders>
              <w:bottom w:val="single" w:sz="8" w:color="CFEBF4"/>
            </w:tcBorders>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equivalents used in computing diluted earnings per share</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vMerge w:val="continue"/>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vMerge w:val="continue"/>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360" w:type="dxa"/>
            <w:vAlign w:val="bottom"/>
            <w:tcBorders>
              <w:bottom w:val="single" w:sz="8" w:color="231F20"/>
            </w:tcBorders>
            <w:shd w:val="clear" w:color="auto" w:fill="CFEBF4"/>
          </w:tcPr>
          <w:p>
            <w:pPr>
              <w:spacing w:after="0"/>
              <w:rPr>
                <w:sz w:val="24"/>
                <w:szCs w:val="24"/>
                <w:color w:val="auto"/>
              </w:rPr>
            </w:pPr>
          </w:p>
        </w:tc>
        <w:tc>
          <w:tcPr>
            <w:tcW w:w="920" w:type="dxa"/>
            <w:vAlign w:val="bottom"/>
            <w:tcBorders>
              <w:bottom w:val="single" w:sz="8" w:color="231F20"/>
            </w:tcBorders>
            <w:vMerge w:val="continue"/>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Earnings per share attributable to common stockholders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610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Basic</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13.26</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13.26</w:t>
            </w:r>
          </w:p>
        </w:tc>
        <w:tc>
          <w:tcPr>
            <w:tcW w:w="440" w:type="dxa"/>
            <w:vAlign w:val="bottom"/>
            <w:gridSpan w:val="2"/>
            <w:shd w:val="clear" w:color="auto" w:fill="CFEBF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13.86</w:t>
            </w:r>
          </w:p>
        </w:tc>
        <w:tc>
          <w:tcPr>
            <w:tcW w:w="0" w:type="dxa"/>
            <w:vAlign w:val="bottom"/>
          </w:tcPr>
          <w:p>
            <w:pPr>
              <w:spacing w:after="0"/>
              <w:rPr>
                <w:sz w:val="1"/>
                <w:szCs w:val="1"/>
                <w:color w:val="auto"/>
              </w:rPr>
            </w:pPr>
          </w:p>
        </w:tc>
      </w:tr>
      <w:tr>
        <w:trPr>
          <w:trHeight w:val="284"/>
        </w:trPr>
        <w:tc>
          <w:tcPr>
            <w:tcW w:w="6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-1565275</wp:posOffset>
            </wp:positionV>
            <wp:extent cx="1751330" cy="50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1">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-1399540</wp:posOffset>
            </wp:positionV>
            <wp:extent cx="2592705" cy="749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2">
                      <a:extLst>
                        <a:ext uri="{28A0092B-C50C-407E-A947-70E740481C1C}"/>
                      </a:extLst>
                    </a:blip>
                    <a:srcRect/>
                    <a:stretch>
                      <a:fillRect/>
                    </a:stretch>
                  </pic:blipFill>
                  <pic:spPr bwMode="auto">
                    <a:xfrm>
                      <a:off x="0" y="0"/>
                      <a:ext cx="2592705" cy="7493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-889635</wp:posOffset>
            </wp:positionV>
            <wp:extent cx="1751330" cy="501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3">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-579755</wp:posOffset>
            </wp:positionV>
            <wp:extent cx="1751330" cy="501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4">
                      <a:extLst>
                        <a:ext uri="{28A0092B-C50C-407E-A947-70E740481C1C}"/>
                      </a:extLst>
                    </a:blip>
                    <a:srcRect/>
                    <a:stretch>
                      <a:fillRect/>
                    </a:stretch>
                  </pic:blipFill>
                  <pic:spPr bwMode="auto">
                    <a:xfrm>
                      <a:off x="0" y="0"/>
                      <a:ext cx="1751330" cy="50165"/>
                    </a:xfrm>
                    <a:prstGeom prst="rect">
                      <a:avLst/>
                    </a:prstGeom>
                    <a:noFill/>
                  </pic:spPr>
                </pic:pic>
              </a:graphicData>
            </a:graphic>
          </wp:anchor>
        </w:drawing>
      </w:r>
    </w:p>
    <w:p>
      <w:pPr>
        <w:spacing w:after="0" w:line="207"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computation of diluted earnings per share attributable to common stockholders excludes stock-based awards that would have had an antidilutive effect on earnings per share. For the years ended December 31, 2025, 2024, and 2023, there were approximately 0.1 million, 0.2 million and 0.2 million antidilutive stock-based awards,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Defined Contribution Plans</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Wesco Distribution sponsors a defined contribution retirement savings plan for the majority of its U.S. employees and all of the non-union and eligible union U.S. employees of Anixter Inc. (the “WESCO Distribution, Inc. Retirement Savings Plan”), which provides employer matching contributions. Contributions are made in cash and employees have the option to transfer balances allocated to their accounts into any of the available investment options. The WESCO Distribution, Inc. Retirement Savings plan provides an employer matching contribution equal to 100% of a participant’s eligible elective deferrals up to 3% of the participant’s eligible compensation and 50% of the next 4% of eligible compensation.</w:t>
      </w:r>
    </w:p>
    <w:p>
      <w:pPr>
        <w:spacing w:after="0" w:line="8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WESCO Distribution Canada LP, a wholly-owned subsidiary of the Company, sponsors a defined contribution plan covering eligible unions, full-time employees of WESCO Distribution Canada LP and part-time employees meeting certain eligibility requirements, as well as certain employees of Anixter Canada Inc, Anixter Power Solutions Canada Inc, and EECOL Electric Corp (the “Wesco Canadian Defined Contribution Plan”). The Wesco Canadian Defined Contribution Plan provides a core employer contribution of 3% of a participant’s eligible compensation, plus a matching contribution equal to 50% of a participant’s elective contributions up to 4% of eligible compensation (for a maximum total employer contribution equal to 5%).</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120"/>
          </w:cols>
          <w:pgMar w:left="880" w:top="285" w:right="880" w:bottom="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Wesco incurred charges of $77.3 million, $74.4 million, and $73.4 million for the years ended December 31, 2025, 2024 and 2023, respectively, for all defined contribution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Defined Benefit Plans</w:t>
      </w:r>
    </w:p>
    <w:p>
      <w:pPr>
        <w:spacing w:after="0" w:line="12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Wesco sponsors a contributory defined benefit plan covering substantially all Canadian employees of EECOL Electric Corp., a wholly-owned subsidiary of the Company (the “EECOL Plan”). The EECOL Plan provides retirement benefits based on earnings and credited service, and participants contribute 2% of their earnings to the EECOL Plan. Participants become 100% vested after two years of continuous service or, if earlier, at the participant’s normal retirement age.</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Wesco also sponsors a Supplemental Executive Retirement Plan for certain executives of EECOL Electric Corp. (the “EECOL SERP”), which provides additional pension benefits based on earnings and credited service. Effective January 1, 2013, the EECOL SERP was closed to new participants and existing participants became 100% vested. Participants of the EECOL SERP now contribute 4% of their earnings to the EECOL Plan.</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Anixter Inc. sponsored the Anixter Inc. Pension Plan (the “Domestic Plan”), which was closed to entrants first hired or rehired on or after July 1, 2015, and sponsors various defined benefit pension plans covering employees of foreign subsidiaries in Canada and Europe (together with the EECOL Plan and the EECOL SERP, the “Foreign Plans”). The majority of the Company’s defined benefit pension plans are non-contributory, and with the exception of the U.S. and Canada, cover substantially all full-time employees in their respective countries. Retirement benefits are provided based on compensation as defined in each of the plan agreements.</w:t>
      </w:r>
    </w:p>
    <w:p>
      <w:pPr>
        <w:spacing w:after="0" w:line="8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Anixter Inc. Pension Plan was funded as required by the Employee Retirement Income Security Act of 1974 (“ERISA”) and the Internal Revenue Service. With the exception of the EECOL SERP, which is an unfunded plan, the Foreign Plans are funded as required by applicable foreign laws.</w:t>
      </w:r>
    </w:p>
    <w:p>
      <w:pPr>
        <w:spacing w:after="0" w:line="77"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During 2021, the Company adopted certain plan amendments to: (i) freeze the benefits provided under the Anixter Inc. Pension Plan effective December 31, 2021, (ii) close participation in the EECOL Plan effective December 31, 2021, and (iii) freeze the benefit accruals under the Pension Plan for Employees of Anixter Canada Inc., the EECOL Plan and the EECOL SERP effective December 31, 2023.</w:t>
      </w:r>
    </w:p>
    <w:p>
      <w:pPr>
        <w:spacing w:after="0" w:line="8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Company terminated the Anixter Inc. Pension Plan effective December 31, 2022. As the Anixter Inc. Pension Plan had previously been frozen, its termination did not result in any curtailment gain or loss for the years ended December 31, 2023 or 2022. The benefit obligation associated with this plan was partially settled during 2023 by making lump sum cash payments to participants totaling $110.9 million and the Company recognized settlement cost of $4.7 million.</w:t>
      </w:r>
    </w:p>
    <w:p>
      <w:pPr>
        <w:spacing w:after="0" w:line="83" w:lineRule="exact"/>
        <w:rPr>
          <w:sz w:val="20"/>
          <w:szCs w:val="20"/>
          <w:color w:val="auto"/>
        </w:rPr>
      </w:pPr>
    </w:p>
    <w:p>
      <w:pPr>
        <w:jc w:val="both"/>
        <w:ind w:firstLine="266"/>
        <w:spacing w:after="0" w:line="302" w:lineRule="auto"/>
        <w:rPr>
          <w:sz w:val="20"/>
          <w:szCs w:val="20"/>
          <w:color w:val="auto"/>
        </w:rPr>
      </w:pPr>
      <w:r>
        <w:rPr>
          <w:rFonts w:ascii="Times New Roman" w:cs="Times New Roman" w:eastAsia="Times New Roman" w:hAnsi="Times New Roman"/>
          <w:sz w:val="19"/>
          <w:szCs w:val="19"/>
          <w:color w:val="231F20"/>
        </w:rPr>
        <w:t>On February 12, 2024, the remaining benefit obligation of the Anixter Inc. Pension Plan was settled through the purchase of single premium annuity contracts for total cash of $138.8 million. The purchase was funded entirely by the assets of the plan.</w:t>
      </w:r>
    </w:p>
    <w:p>
      <w:pPr>
        <w:spacing w:after="0" w:line="41"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The final settlement of the Anixter Inc. Pension Plan triggered a remeasurement of the related plan benefit obligations and assets as of February 29, 2024. The net effect of the plan remeasurement was a reduction of $33.6 million to the net funded status of the plan, which represented an excess plan asset reversion, and was accounted for as a negative employer contribution. During the year ended December 31, 2024, the Company used $8.9 million of the excess pension plan assets to fund certain of the Company’s matching contributions to the defined contribution plan in the U.S. During the fourth quarter of 2024, the remaining assets of $24.6 million were transferred to the Company in cash, $13.5 million of which was used to fund employer contributions to the defined benefit plan in the U.K. Additionally, the Company incurred excise taxes of $4.9 million resulting from the excess plan asset reversion, which were recorded as a component of selling, general and administrative expenses in the Consolidated Statement of Income and Comprehensive Income during the year ended December 31, 2024 and were included in other current liabilities in the Consolidated Balance Sheet as of December 31, 2024.</w:t>
      </w:r>
    </w:p>
    <w:p>
      <w:pPr>
        <w:spacing w:after="0" w:line="96"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During the year ended December 31, 2024, the Company recognized settlement costs of $2.5 million to recognize unrealized losses previously reported as a component of other comprehensive income (loss) related to the benefit obligation of the Anixter Inc. Pension Plan.</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120"/>
          </w:cols>
          <w:pgMar w:left="880" w:top="285" w:right="88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presents the changes in benefit obligations, plan assets and funded status for the defined benefit plans: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900" w:type="dxa"/>
            <w:vAlign w:val="bottom"/>
            <w:tcBorders>
              <w:bottom w:val="single" w:sz="8" w:color="231F20"/>
            </w:tcBorders>
            <w:gridSpan w:val="4"/>
          </w:tcPr>
          <w:p>
            <w:pPr>
              <w:jc w:val="right"/>
              <w:ind w:right="422"/>
              <w:spacing w:after="0"/>
              <w:rPr>
                <w:sz w:val="20"/>
                <w:szCs w:val="20"/>
                <w:color w:val="auto"/>
              </w:rPr>
            </w:pPr>
            <w:r>
              <w:rPr>
                <w:rFonts w:ascii="Times New Roman" w:cs="Times New Roman" w:eastAsia="Times New Roman" w:hAnsi="Times New Roman"/>
                <w:sz w:val="18"/>
                <w:szCs w:val="18"/>
                <w:b w:val="1"/>
                <w:bCs w:val="1"/>
                <w:color w:val="231F20"/>
              </w:rPr>
              <w:t>Domestic Plan</w:t>
            </w: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900" w:type="dxa"/>
            <w:vAlign w:val="bottom"/>
            <w:tcBorders>
              <w:bottom w:val="single" w:sz="8" w:color="231F20"/>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231F20"/>
              </w:rPr>
              <w:t>Foreign Plans</w:t>
            </w: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8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4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0" w:type="dxa"/>
            <w:vAlign w:val="bottom"/>
          </w:tcPr>
          <w:p>
            <w:pPr>
              <w:spacing w:after="0"/>
              <w:rPr>
                <w:sz w:val="1"/>
                <w:szCs w:val="1"/>
                <w:color w:val="auto"/>
              </w:rPr>
            </w:pPr>
          </w:p>
        </w:tc>
      </w:tr>
      <w:tr>
        <w:trPr>
          <w:trHeight w:val="26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Change in Projected Benefit Obligation</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Beginning balance</w:t>
            </w:r>
          </w:p>
        </w:tc>
        <w:tc>
          <w:tcPr>
            <w:tcW w:w="26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147.5</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274.1</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309.1</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274.1</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456.6</w:t>
            </w: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Service cost</w:t>
            </w:r>
          </w:p>
        </w:tc>
        <w:tc>
          <w:tcPr>
            <w:tcW w:w="26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1.7</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Interest cost</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13.4</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13.1</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13.4</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14.2</w:t>
            </w: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Participant contributions</w:t>
            </w:r>
          </w:p>
        </w:tc>
        <w:tc>
          <w:tcPr>
            <w:tcW w:w="26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195"/>
        </w:trPr>
        <w:tc>
          <w:tcPr>
            <w:tcW w:w="3480" w:type="dxa"/>
            <w:vAlign w:val="bottom"/>
            <w:shd w:val="clear" w:color="auto" w:fill="CFEBF4"/>
          </w:tcPr>
          <w:p>
            <w:pPr>
              <w:ind w:left="60"/>
              <w:spacing w:after="0" w:line="195" w:lineRule="exact"/>
              <w:rPr>
                <w:sz w:val="20"/>
                <w:szCs w:val="20"/>
                <w:color w:val="auto"/>
              </w:rPr>
            </w:pPr>
            <w:r>
              <w:rPr>
                <w:rFonts w:ascii="Times New Roman" w:cs="Times New Roman" w:eastAsia="Times New Roman" w:hAnsi="Times New Roman"/>
                <w:sz w:val="20"/>
                <w:szCs w:val="20"/>
                <w:color w:val="231F20"/>
              </w:rPr>
              <w:t>Actuarial (gain) loss, including</w:t>
            </w:r>
          </w:p>
        </w:tc>
        <w:tc>
          <w:tcPr>
            <w:tcW w:w="260" w:type="dxa"/>
            <w:vAlign w:val="bottom"/>
            <w:shd w:val="clear" w:color="auto" w:fill="CFEBF4"/>
          </w:tcPr>
          <w:p>
            <w:pPr>
              <w:spacing w:after="0"/>
              <w:rPr>
                <w:sz w:val="16"/>
                <w:szCs w:val="16"/>
                <w:color w:val="auto"/>
              </w:rPr>
            </w:pPr>
          </w:p>
        </w:tc>
        <w:tc>
          <w:tcPr>
            <w:tcW w:w="800" w:type="dxa"/>
            <w:vAlign w:val="bottom"/>
            <w:vMerge w:val="restart"/>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16"/>
                <w:szCs w:val="16"/>
                <w:color w:val="auto"/>
              </w:rPr>
            </w:pPr>
          </w:p>
        </w:tc>
        <w:tc>
          <w:tcPr>
            <w:tcW w:w="240" w:type="dxa"/>
            <w:vAlign w:val="bottom"/>
            <w:shd w:val="clear" w:color="auto" w:fill="CFEBF4"/>
          </w:tcPr>
          <w:p>
            <w:pPr>
              <w:spacing w:after="0"/>
              <w:rPr>
                <w:sz w:val="16"/>
                <w:szCs w:val="16"/>
                <w:color w:val="auto"/>
              </w:rPr>
            </w:pPr>
          </w:p>
        </w:tc>
        <w:tc>
          <w:tcPr>
            <w:tcW w:w="800" w:type="dxa"/>
            <w:vAlign w:val="bottom"/>
            <w:vMerge w:val="restart"/>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vMerge w:val="restart"/>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(8.4)</w:t>
            </w:r>
          </w:p>
        </w:tc>
        <w:tc>
          <w:tcPr>
            <w:tcW w:w="60" w:type="dxa"/>
            <w:vAlign w:val="bottom"/>
            <w:shd w:val="clear" w:color="auto" w:fill="CFEBF4"/>
          </w:tcPr>
          <w:p>
            <w:pPr>
              <w:spacing w:after="0"/>
              <w:rPr>
                <w:sz w:val="16"/>
                <w:szCs w:val="16"/>
                <w:color w:val="auto"/>
              </w:rPr>
            </w:pPr>
          </w:p>
        </w:tc>
        <w:tc>
          <w:tcPr>
            <w:tcW w:w="240" w:type="dxa"/>
            <w:vAlign w:val="bottom"/>
            <w:shd w:val="clear" w:color="auto" w:fill="CFEBF4"/>
          </w:tcPr>
          <w:p>
            <w:pPr>
              <w:spacing w:after="0"/>
              <w:rPr>
                <w:sz w:val="16"/>
                <w:szCs w:val="16"/>
                <w:color w:val="auto"/>
              </w:rPr>
            </w:pPr>
          </w:p>
        </w:tc>
        <w:tc>
          <w:tcPr>
            <w:tcW w:w="800" w:type="dxa"/>
            <w:vAlign w:val="bottom"/>
            <w:vMerge w:val="restart"/>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(20.1)</w:t>
            </w:r>
          </w:p>
        </w:tc>
        <w:tc>
          <w:tcPr>
            <w:tcW w:w="6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vMerge w:val="restart"/>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(8.4)</w:t>
            </w:r>
          </w:p>
        </w:tc>
        <w:tc>
          <w:tcPr>
            <w:tcW w:w="4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vMerge w:val="restart"/>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(24.1)</w:t>
            </w:r>
          </w:p>
        </w:tc>
        <w:tc>
          <w:tcPr>
            <w:tcW w:w="0" w:type="dxa"/>
            <w:vAlign w:val="bottom"/>
          </w:tcPr>
          <w:p>
            <w:pPr>
              <w:spacing w:after="0"/>
              <w:rPr>
                <w:sz w:val="1"/>
                <w:szCs w:val="1"/>
                <w:color w:val="auto"/>
              </w:rPr>
            </w:pPr>
          </w:p>
        </w:tc>
      </w:tr>
      <w:tr>
        <w:trPr>
          <w:trHeight w:val="269"/>
        </w:trPr>
        <w:tc>
          <w:tcPr>
            <w:tcW w:w="348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assumption changes</w:t>
            </w:r>
          </w:p>
        </w:tc>
        <w:tc>
          <w:tcPr>
            <w:tcW w:w="260" w:type="dxa"/>
            <w:vAlign w:val="bottom"/>
            <w:shd w:val="clear" w:color="auto" w:fill="CFEBF4"/>
          </w:tcPr>
          <w:p>
            <w:pPr>
              <w:spacing w:after="0"/>
              <w:rPr>
                <w:sz w:val="23"/>
                <w:szCs w:val="23"/>
                <w:color w:val="auto"/>
              </w:rPr>
            </w:pPr>
          </w:p>
        </w:tc>
        <w:tc>
          <w:tcPr>
            <w:tcW w:w="80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40" w:type="dxa"/>
            <w:vAlign w:val="bottom"/>
            <w:shd w:val="clear" w:color="auto" w:fill="CFEBF4"/>
          </w:tcPr>
          <w:p>
            <w:pPr>
              <w:spacing w:after="0"/>
              <w:rPr>
                <w:sz w:val="23"/>
                <w:szCs w:val="23"/>
                <w:color w:val="auto"/>
              </w:rPr>
            </w:pPr>
          </w:p>
        </w:tc>
        <w:tc>
          <w:tcPr>
            <w:tcW w:w="80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40" w:type="dxa"/>
            <w:vAlign w:val="bottom"/>
            <w:shd w:val="clear" w:color="auto" w:fill="CFEBF4"/>
          </w:tcPr>
          <w:p>
            <w:pPr>
              <w:spacing w:after="0"/>
              <w:rPr>
                <w:sz w:val="23"/>
                <w:szCs w:val="23"/>
                <w:color w:val="auto"/>
              </w:rPr>
            </w:pPr>
          </w:p>
        </w:tc>
        <w:tc>
          <w:tcPr>
            <w:tcW w:w="80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vMerge w:val="continue"/>
            <w:shd w:val="clear" w:color="auto" w:fill="CFEBF4"/>
          </w:tcPr>
          <w:p>
            <w:pPr>
              <w:spacing w:after="0"/>
              <w:rPr>
                <w:sz w:val="23"/>
                <w:szCs w:val="23"/>
                <w:color w:val="auto"/>
              </w:rPr>
            </w:pPr>
          </w:p>
        </w:tc>
        <w:tc>
          <w:tcPr>
            <w:tcW w:w="4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Benefits paid from plan assets</w:t>
            </w:r>
          </w:p>
        </w:tc>
        <w:tc>
          <w:tcPr>
            <w:tcW w:w="26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(5.8)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(11.6)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(10.6)</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(17.4)</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Benefits paid from Company assets</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(0.3)</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(0.4)</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(0.3)</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Curtailment</w:t>
            </w:r>
          </w:p>
        </w:tc>
        <w:tc>
          <w:tcPr>
            <w:tcW w:w="26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(0.2)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(0.2)</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Settlement</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(138.8)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(139.6)</w:t>
            </w:r>
          </w:p>
        </w:tc>
        <w:tc>
          <w:tcPr>
            <w:tcW w:w="0" w:type="dxa"/>
            <w:vAlign w:val="bottom"/>
          </w:tcPr>
          <w:p>
            <w:pPr>
              <w:spacing w:after="0"/>
              <w:rPr>
                <w:sz w:val="1"/>
                <w:szCs w:val="1"/>
                <w:color w:val="auto"/>
              </w:rPr>
            </w:pPr>
          </w:p>
        </w:tc>
      </w:tr>
      <w:tr>
        <w:trPr>
          <w:trHeight w:val="271"/>
        </w:trPr>
        <w:tc>
          <w:tcPr>
            <w:tcW w:w="348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Foreign currency exchange rate changes</w:t>
            </w: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20"/>
                <w:szCs w:val="20"/>
                <w:color w:val="231F20"/>
              </w:rPr>
              <w:t>18.1</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(17.0)</w:t>
            </w:r>
          </w:p>
        </w:tc>
        <w:tc>
          <w:tcPr>
            <w:tcW w:w="60" w:type="dxa"/>
            <w:vAlign w:val="bottom"/>
            <w:tcBorders>
              <w:bottom w:val="single" w:sz="8" w:color="CFEBF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20"/>
                <w:szCs w:val="20"/>
                <w:color w:val="231F20"/>
              </w:rPr>
              <w:t>18.1</w:t>
            </w:r>
          </w:p>
        </w:tc>
        <w:tc>
          <w:tcPr>
            <w:tcW w:w="40" w:type="dxa"/>
            <w:vAlign w:val="bottom"/>
            <w:tcBorders>
              <w:bottom w:val="single" w:sz="8" w:color="CFEBF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20"/>
                <w:szCs w:val="20"/>
                <w:color w:val="231F20"/>
              </w:rPr>
              <w:t>(17.0)</w:t>
            </w:r>
          </w:p>
        </w:tc>
        <w:tc>
          <w:tcPr>
            <w:tcW w:w="0" w:type="dxa"/>
            <w:vAlign w:val="bottom"/>
          </w:tcPr>
          <w:p>
            <w:pPr>
              <w:spacing w:after="0"/>
              <w:rPr>
                <w:sz w:val="1"/>
                <w:szCs w:val="1"/>
                <w:color w:val="auto"/>
              </w:rPr>
            </w:pPr>
          </w:p>
        </w:tc>
      </w:tr>
      <w:tr>
        <w:trPr>
          <w:trHeight w:val="261"/>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Ending balance</w:t>
            </w:r>
          </w:p>
        </w:tc>
        <w:tc>
          <w:tcPr>
            <w:tcW w:w="26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288.0</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274.1</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288.0</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274.1</w:t>
            </w:r>
          </w:p>
        </w:tc>
        <w:tc>
          <w:tcPr>
            <w:tcW w:w="0" w:type="dxa"/>
            <w:vAlign w:val="bottom"/>
          </w:tcPr>
          <w:p>
            <w:pPr>
              <w:spacing w:after="0"/>
              <w:rPr>
                <w:sz w:val="1"/>
                <w:szCs w:val="1"/>
                <w:color w:val="auto"/>
              </w:rPr>
            </w:pPr>
          </w:p>
        </w:tc>
      </w:tr>
      <w:tr>
        <w:trPr>
          <w:trHeight w:val="271"/>
        </w:trPr>
        <w:tc>
          <w:tcPr>
            <w:tcW w:w="348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4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b w:val="1"/>
                <w:bCs w:val="1"/>
                <w:color w:val="231F20"/>
              </w:rPr>
              <w:t>Change in Plan Assets at Fair Value</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Beginning balance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178.1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294.5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295.7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294.5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473.8</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Actual return on plan assets</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8.3</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9.6</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8.3</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Participant contributions</w:t>
            </w:r>
          </w:p>
        </w:tc>
        <w:tc>
          <w:tcPr>
            <w:tcW w:w="26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Employer contributions (reversion)</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(33.6)</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9.5</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20.0</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9.5</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(13.6)</w:t>
            </w: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Benefits paid</w:t>
            </w:r>
          </w:p>
        </w:tc>
        <w:tc>
          <w:tcPr>
            <w:tcW w:w="26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(5.8)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(12.0)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(10.9)</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(17.8)</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Settlement</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(138.8)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(0.8)</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(139.6)</w:t>
            </w:r>
          </w:p>
        </w:tc>
        <w:tc>
          <w:tcPr>
            <w:tcW w:w="0" w:type="dxa"/>
            <w:vAlign w:val="bottom"/>
          </w:tcPr>
          <w:p>
            <w:pPr>
              <w:spacing w:after="0"/>
              <w:rPr>
                <w:sz w:val="1"/>
                <w:szCs w:val="1"/>
                <w:color w:val="auto"/>
              </w:rPr>
            </w:pPr>
          </w:p>
        </w:tc>
      </w:tr>
      <w:tr>
        <w:trPr>
          <w:trHeight w:val="189"/>
        </w:trPr>
        <w:tc>
          <w:tcPr>
            <w:tcW w:w="3480" w:type="dxa"/>
            <w:vAlign w:val="bottom"/>
          </w:tcPr>
          <w:p>
            <w:pPr>
              <w:ind w:left="60"/>
              <w:spacing w:after="0" w:line="189" w:lineRule="exact"/>
              <w:rPr>
                <w:sz w:val="20"/>
                <w:szCs w:val="20"/>
                <w:color w:val="auto"/>
              </w:rPr>
            </w:pPr>
            <w:r>
              <w:rPr>
                <w:rFonts w:ascii="Times New Roman" w:cs="Times New Roman" w:eastAsia="Times New Roman" w:hAnsi="Times New Roman"/>
                <w:sz w:val="20"/>
                <w:szCs w:val="20"/>
                <w:color w:val="231F20"/>
              </w:rPr>
              <w:t>Foreign currency exchange rate changes</w:t>
            </w:r>
          </w:p>
        </w:tc>
        <w:tc>
          <w:tcPr>
            <w:tcW w:w="26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19.5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(18.1)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19.5</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(15.2)</w:t>
            </w:r>
          </w:p>
        </w:tc>
        <w:tc>
          <w:tcPr>
            <w:tcW w:w="0" w:type="dxa"/>
            <w:vAlign w:val="bottom"/>
          </w:tcPr>
          <w:p>
            <w:pPr>
              <w:spacing w:after="0"/>
              <w:rPr>
                <w:sz w:val="1"/>
                <w:szCs w:val="1"/>
                <w:color w:val="auto"/>
              </w:rPr>
            </w:pPr>
          </w:p>
        </w:tc>
      </w:tr>
      <w:tr>
        <w:trPr>
          <w:trHeight w:val="259"/>
        </w:trPr>
        <w:tc>
          <w:tcPr>
            <w:tcW w:w="3480" w:type="dxa"/>
            <w:vAlign w:val="bottom"/>
            <w:tcBorders>
              <w:bottom w:val="single" w:sz="8" w:color="CFEBF4"/>
            </w:tcBorders>
          </w:tcPr>
          <w:p>
            <w:pPr>
              <w:ind w:left="240"/>
              <w:spacing w:after="0"/>
              <w:rPr>
                <w:sz w:val="20"/>
                <w:szCs w:val="20"/>
                <w:color w:val="auto"/>
              </w:rPr>
            </w:pPr>
            <w:r>
              <w:rPr>
                <w:rFonts w:ascii="Times New Roman" w:cs="Times New Roman" w:eastAsia="Times New Roman" w:hAnsi="Times New Roman"/>
                <w:sz w:val="20"/>
                <w:szCs w:val="20"/>
                <w:color w:val="231F20"/>
              </w:rPr>
              <w:t>and other</w:t>
            </w: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60" w:type="dxa"/>
            <w:vAlign w:val="bottom"/>
            <w:tcBorders>
              <w:bottom w:val="single" w:sz="8" w:color="CFEBF4"/>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60" w:type="dxa"/>
            <w:vAlign w:val="bottom"/>
            <w:tcBorders>
              <w:bottom w:val="single" w:sz="8" w:color="CFEBF4"/>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60" w:type="dxa"/>
            <w:vAlign w:val="bottom"/>
            <w:tcBorders>
              <w:bottom w:val="single" w:sz="8" w:color="CFEBF4"/>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60" w:type="dxa"/>
            <w:vAlign w:val="bottom"/>
            <w:tcBorders>
              <w:bottom w:val="single" w:sz="8" w:color="CFEBF4"/>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40" w:type="dxa"/>
            <w:vAlign w:val="bottom"/>
            <w:tcBorders>
              <w:bottom w:val="single" w:sz="8" w:color="CFEBF4"/>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Ending balance</w:t>
            </w:r>
          </w:p>
        </w:tc>
        <w:tc>
          <w:tcPr>
            <w:tcW w:w="26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320.9</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294.5</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320.9</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294.5</w:t>
            </w:r>
          </w:p>
        </w:tc>
        <w:tc>
          <w:tcPr>
            <w:tcW w:w="0" w:type="dxa"/>
            <w:vAlign w:val="bottom"/>
          </w:tcPr>
          <w:p>
            <w:pPr>
              <w:spacing w:after="0"/>
              <w:rPr>
                <w:sz w:val="1"/>
                <w:szCs w:val="1"/>
                <w:color w:val="auto"/>
              </w:rPr>
            </w:pPr>
          </w:p>
        </w:tc>
      </w:tr>
      <w:tr>
        <w:trPr>
          <w:trHeight w:val="271"/>
        </w:trPr>
        <w:tc>
          <w:tcPr>
            <w:tcW w:w="348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4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b w:val="1"/>
                <w:bCs w:val="1"/>
                <w:color w:val="231F20"/>
              </w:rPr>
              <w:t>Funded Status</w:t>
            </w:r>
          </w:p>
        </w:tc>
        <w:tc>
          <w:tcPr>
            <w:tcW w:w="26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32.9</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20.4</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32.9</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20.4</w:t>
            </w:r>
          </w:p>
        </w:tc>
        <w:tc>
          <w:tcPr>
            <w:tcW w:w="0" w:type="dxa"/>
            <w:vAlign w:val="bottom"/>
          </w:tcPr>
          <w:p>
            <w:pPr>
              <w:spacing w:after="0"/>
              <w:rPr>
                <w:sz w:val="1"/>
                <w:szCs w:val="1"/>
                <w:color w:val="auto"/>
              </w:rPr>
            </w:pPr>
          </w:p>
        </w:tc>
      </w:tr>
      <w:tr>
        <w:trPr>
          <w:trHeight w:val="271"/>
        </w:trPr>
        <w:tc>
          <w:tcPr>
            <w:tcW w:w="348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4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EBF4"/>
          </w:tcPr>
          <w:p>
            <w:pPr>
              <w:ind w:left="60"/>
              <w:spacing w:after="0" w:line="189" w:lineRule="exact"/>
              <w:rPr>
                <w:sz w:val="20"/>
                <w:szCs w:val="20"/>
                <w:color w:val="auto"/>
              </w:rPr>
            </w:pPr>
            <w:r>
              <w:rPr>
                <w:rFonts w:ascii="Times New Roman" w:cs="Times New Roman" w:eastAsia="Times New Roman" w:hAnsi="Times New Roman"/>
                <w:sz w:val="20"/>
                <w:szCs w:val="20"/>
                <w:b w:val="1"/>
                <w:bCs w:val="1"/>
                <w:color w:val="231F20"/>
              </w:rPr>
              <w:t>Amounts Recognized in the</w:t>
            </w: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4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4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4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48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4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4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4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Other assets</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37.2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37.2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30.8</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(0.3)</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(0.4)</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(0.3)</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71"/>
        </w:trPr>
        <w:tc>
          <w:tcPr>
            <w:tcW w:w="348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Other noncurrent liabilities</w:t>
            </w: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Borders>
              <w:bottom w:val="single" w:sz="8" w:color="CFEBF4"/>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(10.0)</w:t>
            </w:r>
          </w:p>
        </w:tc>
        <w:tc>
          <w:tcPr>
            <w:tcW w:w="60" w:type="dxa"/>
            <w:vAlign w:val="bottom"/>
            <w:tcBorders>
              <w:bottom w:val="single" w:sz="8" w:color="CFEBF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20"/>
                <w:szCs w:val="20"/>
                <w:color w:val="231F20"/>
              </w:rPr>
              <w:t>(4.0)</w:t>
            </w:r>
          </w:p>
        </w:tc>
        <w:tc>
          <w:tcPr>
            <w:tcW w:w="40" w:type="dxa"/>
            <w:vAlign w:val="bottom"/>
            <w:tcBorders>
              <w:bottom w:val="single" w:sz="8" w:color="CFEBF4"/>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61"/>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amount recognized</w:t>
            </w:r>
          </w:p>
        </w:tc>
        <w:tc>
          <w:tcPr>
            <w:tcW w:w="260" w:type="dxa"/>
            <w:vAlign w:val="bottom"/>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ind w:left="4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32.9</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20.4</w:t>
            </w:r>
          </w:p>
        </w:tc>
        <w:tc>
          <w:tcPr>
            <w:tcW w:w="32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32.9</w:t>
            </w:r>
          </w:p>
        </w:tc>
        <w:tc>
          <w:tcPr>
            <w:tcW w:w="300" w:type="dxa"/>
            <w:vAlign w:val="bottom"/>
            <w:gridSpan w:val="2"/>
            <w:shd w:val="clear" w:color="auto" w:fill="CFEBF4"/>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BF4"/>
          </w:tcPr>
          <w:p>
            <w:pPr>
              <w:jc w:val="right"/>
              <w:ind w:right="42"/>
              <w:spacing w:after="0"/>
              <w:rPr>
                <w:sz w:val="20"/>
                <w:szCs w:val="20"/>
                <w:color w:val="auto"/>
              </w:rPr>
            </w:pPr>
            <w:r>
              <w:rPr>
                <w:rFonts w:ascii="Times New Roman" w:cs="Times New Roman" w:eastAsia="Times New Roman" w:hAnsi="Times New Roman"/>
                <w:sz w:val="20"/>
                <w:szCs w:val="20"/>
                <w:color w:val="231F20"/>
              </w:rPr>
              <w:t>20.4</w:t>
            </w:r>
          </w:p>
        </w:tc>
        <w:tc>
          <w:tcPr>
            <w:tcW w:w="0" w:type="dxa"/>
            <w:vAlign w:val="bottom"/>
          </w:tcPr>
          <w:p>
            <w:pPr>
              <w:spacing w:after="0"/>
              <w:rPr>
                <w:sz w:val="1"/>
                <w:szCs w:val="1"/>
                <w:color w:val="auto"/>
              </w:rPr>
            </w:pPr>
          </w:p>
        </w:tc>
      </w:tr>
      <w:tr>
        <w:trPr>
          <w:trHeight w:val="271"/>
        </w:trPr>
        <w:tc>
          <w:tcPr>
            <w:tcW w:w="348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4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6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40" w:type="dxa"/>
            <w:vAlign w:val="bottom"/>
            <w:tcBorders>
              <w:top w:val="single" w:sz="8" w:color="CFEBF4"/>
            </w:tcBorders>
          </w:tcPr>
          <w:p>
            <w:pPr>
              <w:spacing w:after="0"/>
              <w:rPr>
                <w:sz w:val="23"/>
                <w:szCs w:val="23"/>
                <w:color w:val="auto"/>
              </w:rPr>
            </w:pPr>
          </w:p>
        </w:tc>
        <w:tc>
          <w:tcPr>
            <w:tcW w:w="26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EBF4"/>
          </w:tcPr>
          <w:p>
            <w:pPr>
              <w:ind w:left="60"/>
              <w:spacing w:after="0" w:line="189" w:lineRule="exact"/>
              <w:rPr>
                <w:sz w:val="20"/>
                <w:szCs w:val="20"/>
                <w:color w:val="auto"/>
              </w:rPr>
            </w:pPr>
            <w:r>
              <w:rPr>
                <w:rFonts w:ascii="Times New Roman" w:cs="Times New Roman" w:eastAsia="Times New Roman" w:hAnsi="Times New Roman"/>
                <w:sz w:val="20"/>
                <w:szCs w:val="20"/>
                <w:b w:val="1"/>
                <w:bCs w:val="1"/>
                <w:color w:val="231F20"/>
                <w:w w:val="99"/>
              </w:rPr>
              <w:t>Weighted Average Assumptions Used to</w:t>
            </w: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4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4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6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40" w:type="dxa"/>
            <w:vAlign w:val="bottom"/>
            <w:shd w:val="clear" w:color="auto" w:fill="CFEBF4"/>
          </w:tcPr>
          <w:p>
            <w:pPr>
              <w:spacing w:after="0"/>
              <w:rPr>
                <w:sz w:val="16"/>
                <w:szCs w:val="16"/>
                <w:color w:val="auto"/>
              </w:rPr>
            </w:pPr>
          </w:p>
        </w:tc>
        <w:tc>
          <w:tcPr>
            <w:tcW w:w="260" w:type="dxa"/>
            <w:vAlign w:val="bottom"/>
            <w:shd w:val="clear" w:color="auto" w:fill="CFEBF4"/>
          </w:tcPr>
          <w:p>
            <w:pPr>
              <w:spacing w:after="0"/>
              <w:rPr>
                <w:sz w:val="16"/>
                <w:szCs w:val="16"/>
                <w:color w:val="auto"/>
              </w:rPr>
            </w:pPr>
          </w:p>
        </w:tc>
        <w:tc>
          <w:tcPr>
            <w:tcW w:w="800" w:type="dxa"/>
            <w:vAlign w:val="bottom"/>
            <w:shd w:val="clear" w:color="auto" w:fill="CFEBF4"/>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48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b w:val="1"/>
                <w:bCs w:val="1"/>
                <w:color w:val="231F20"/>
              </w:rPr>
              <w:t>Determine Benefit Obligations</w:t>
            </w: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4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4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40" w:type="dxa"/>
            <w:vAlign w:val="bottom"/>
            <w:shd w:val="clear" w:color="auto" w:fill="CFEBF4"/>
          </w:tcPr>
          <w:p>
            <w:pPr>
              <w:spacing w:after="0"/>
              <w:rPr>
                <w:sz w:val="23"/>
                <w:szCs w:val="23"/>
                <w:color w:val="auto"/>
              </w:rPr>
            </w:pPr>
          </w:p>
        </w:tc>
        <w:tc>
          <w:tcPr>
            <w:tcW w:w="260" w:type="dxa"/>
            <w:vAlign w:val="bottom"/>
            <w:shd w:val="clear" w:color="auto" w:fill="CFEBF4"/>
          </w:tcPr>
          <w:p>
            <w:pPr>
              <w:spacing w:after="0"/>
              <w:rPr>
                <w:sz w:val="23"/>
                <w:szCs w:val="23"/>
                <w:color w:val="auto"/>
              </w:rPr>
            </w:pPr>
          </w:p>
        </w:tc>
        <w:tc>
          <w:tcPr>
            <w:tcW w:w="800" w:type="dxa"/>
            <w:vAlign w:val="bottom"/>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Discount rate</w:t>
            </w:r>
          </w:p>
        </w:tc>
        <w:tc>
          <w:tcPr>
            <w:tcW w:w="260" w:type="dxa"/>
            <w:vAlign w:val="bottom"/>
          </w:tcPr>
          <w:p>
            <w:pPr>
              <w:spacing w:after="0"/>
              <w:rPr>
                <w:sz w:val="23"/>
                <w:szCs w:val="23"/>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20"/>
                <w:szCs w:val="20"/>
                <w:color w:val="231F20"/>
                <w:w w:val="97"/>
              </w:rPr>
              <w:t>n/a</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5.0 %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0" w:type="dxa"/>
            <w:vAlign w:val="bottom"/>
          </w:tcPr>
          <w:p>
            <w:pPr>
              <w:spacing w:after="0"/>
              <w:rPr>
                <w:sz w:val="1"/>
                <w:szCs w:val="1"/>
                <w:color w:val="auto"/>
              </w:rPr>
            </w:pPr>
          </w:p>
        </w:tc>
      </w:tr>
      <w:tr>
        <w:trPr>
          <w:trHeight w:val="287"/>
        </w:trPr>
        <w:tc>
          <w:tcPr>
            <w:tcW w:w="34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Rate of compensation increase</w:t>
            </w: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540"/>
              <w:spacing w:after="0"/>
              <w:rPr>
                <w:sz w:val="20"/>
                <w:szCs w:val="20"/>
                <w:color w:val="auto"/>
              </w:rPr>
            </w:pPr>
            <w:r>
              <w:rPr>
                <w:rFonts w:ascii="Times New Roman" w:cs="Times New Roman" w:eastAsia="Times New Roman" w:hAnsi="Times New Roman"/>
                <w:sz w:val="20"/>
                <w:szCs w:val="20"/>
                <w:color w:val="231F20"/>
                <w:w w:val="97"/>
              </w:rPr>
              <w:t>n/a</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20"/>
                <w:szCs w:val="20"/>
                <w:color w:val="231F20"/>
              </w:rPr>
              <w:t>3.2 %</w:t>
            </w:r>
          </w:p>
        </w:tc>
        <w:tc>
          <w:tcPr>
            <w:tcW w:w="6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3.2 %</w:t>
            </w:r>
          </w:p>
        </w:tc>
        <w:tc>
          <w:tcPr>
            <w:tcW w:w="6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3.2 %</w:t>
            </w: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-4462145</wp:posOffset>
            </wp:positionV>
            <wp:extent cx="3543300" cy="501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5">
                      <a:extLst>
                        <a:ext uri="{28A0092B-C50C-407E-A947-70E740481C1C}"/>
                      </a:extLst>
                    </a:blip>
                    <a:srcRect/>
                    <a:stretch>
                      <a:fillRect/>
                    </a:stretch>
                  </pic:blipFill>
                  <pic:spPr bwMode="auto">
                    <a:xfrm>
                      <a:off x="0" y="0"/>
                      <a:ext cx="3543300" cy="5016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-4284345</wp:posOffset>
            </wp:positionV>
            <wp:extent cx="3543300" cy="501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6">
                      <a:extLst>
                        <a:ext uri="{28A0092B-C50C-407E-A947-70E740481C1C}"/>
                      </a:extLst>
                    </a:blip>
                    <a:srcRect/>
                    <a:stretch>
                      <a:fillRect/>
                    </a:stretch>
                  </pic:blipFill>
                  <pic:spPr bwMode="auto">
                    <a:xfrm>
                      <a:off x="0" y="0"/>
                      <a:ext cx="3543300" cy="5016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-2567305</wp:posOffset>
            </wp:positionV>
            <wp:extent cx="3543300" cy="501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7">
                      <a:extLst>
                        <a:ext uri="{28A0092B-C50C-407E-A947-70E740481C1C}"/>
                      </a:extLst>
                    </a:blip>
                    <a:srcRect/>
                    <a:stretch>
                      <a:fillRect/>
                    </a:stretch>
                  </pic:blipFill>
                  <pic:spPr bwMode="auto">
                    <a:xfrm>
                      <a:off x="0" y="0"/>
                      <a:ext cx="3543300" cy="5016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-2388870</wp:posOffset>
            </wp:positionV>
            <wp:extent cx="3543300" cy="501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8">
                      <a:extLst>
                        <a:ext uri="{28A0092B-C50C-407E-A947-70E740481C1C}"/>
                      </a:extLst>
                    </a:blip>
                    <a:srcRect/>
                    <a:stretch>
                      <a:fillRect/>
                    </a:stretch>
                  </pic:blipFill>
                  <pic:spPr bwMode="auto">
                    <a:xfrm>
                      <a:off x="0" y="0"/>
                      <a:ext cx="3543300" cy="5016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-2032635</wp:posOffset>
            </wp:positionV>
            <wp:extent cx="3543300" cy="50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9">
                      <a:extLst>
                        <a:ext uri="{28A0092B-C50C-407E-A947-70E740481C1C}"/>
                      </a:extLst>
                    </a:blip>
                    <a:srcRect/>
                    <a:stretch>
                      <a:fillRect/>
                    </a:stretch>
                  </pic:blipFill>
                  <pic:spPr bwMode="auto">
                    <a:xfrm>
                      <a:off x="0" y="0"/>
                      <a:ext cx="3543300" cy="5016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-1028700</wp:posOffset>
            </wp:positionV>
            <wp:extent cx="3543300" cy="501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0">
                      <a:extLst>
                        <a:ext uri="{28A0092B-C50C-407E-A947-70E740481C1C}"/>
                      </a:extLst>
                    </a:blip>
                    <a:srcRect/>
                    <a:stretch>
                      <a:fillRect/>
                    </a:stretch>
                  </pic:blipFill>
                  <pic:spPr bwMode="auto">
                    <a:xfrm>
                      <a:off x="0" y="0"/>
                      <a:ext cx="3543300" cy="5016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-850265</wp:posOffset>
            </wp:positionV>
            <wp:extent cx="3543300" cy="501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1">
                      <a:extLst>
                        <a:ext uri="{28A0092B-C50C-407E-A947-70E740481C1C}"/>
                      </a:extLst>
                    </a:blip>
                    <a:srcRect/>
                    <a:stretch>
                      <a:fillRect/>
                    </a:stretch>
                  </pic:blipFill>
                  <pic:spPr bwMode="auto">
                    <a:xfrm>
                      <a:off x="0" y="0"/>
                      <a:ext cx="3543300" cy="50165"/>
                    </a:xfrm>
                    <a:prstGeom prst="rect">
                      <a:avLst/>
                    </a:prstGeom>
                    <a:noFill/>
                  </pic:spPr>
                </pic:pic>
              </a:graphicData>
            </a:graphic>
          </wp:anchor>
        </w:drawing>
      </w:r>
    </w:p>
    <w:p>
      <w:pPr>
        <w:spacing w:after="0" w:line="13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measurement date for all plans is December 31st. Accordingly, at the end of each year, the Company determines the discount rate to measure the plan liabilities at their present value. The discount rate reflects the current rate at which the pension liabilities could effectively be settled at the measurement date. This rate was estimated at the end of 2025 and 2024 using a yield curve based on corporate bond data, which the Company concluded was consistent with observable market conditions and industry standards for developing spot rate curves.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120"/>
          </w:cols>
          <w:pgMar w:left="880" w:top="285" w:right="88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Company had four plans at December 31, 2025 and seven plans at December 31, 2024 for which the projected benefit obligation was in excess of the fair value of plan assets. For these plans, the aggregate projected benefit obligation was $6.5 million and $31.5 million, respectively, and the aggregate fair value of plan assets was $2.3 million and $21.1 million, respectively.</w:t>
      </w:r>
    </w:p>
    <w:p>
      <w:pPr>
        <w:spacing w:after="0" w:line="83"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At December 31, 2025, the Company had an accumulated benefit obligation of $283.7 million for the Foreign Plans. At December 31, 2024 the Company had no remaining accumulated benefit obligation for the Domestic Plan and an accumulated benefit obligation of $268.1 million for the Foreign Plans. The Company had four plans at December 31, 2025 and six plans at December 31, 2024 for which the accumulated benefit obligation was in excess of the fair value of plan assets. For these plans, the aggregate accumulated benefit obligation was $6.1 million and $15.3 million, respectively, and the aggregate fair value of plan assets was $2.3 million and $7.4 million, respectively.</w:t>
      </w:r>
    </w:p>
    <w:p>
      <w:pPr>
        <w:spacing w:after="0" w:line="8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tables set forth the components of net periodic pension cost (benefit) for the Company’s defined benefit plans: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660" w:type="dxa"/>
            <w:vAlign w:val="bottom"/>
            <w:tcBorders>
              <w:bottom w:val="single" w:sz="8" w:color="231F20"/>
            </w:tcBorders>
            <w:gridSpan w:val="6"/>
          </w:tcPr>
          <w:p>
            <w:pPr>
              <w:ind w:left="480"/>
              <w:spacing w:after="0"/>
              <w:rPr>
                <w:sz w:val="20"/>
                <w:szCs w:val="20"/>
                <w:color w:val="auto"/>
              </w:rPr>
            </w:pPr>
            <w:r>
              <w:rPr>
                <w:rFonts w:ascii="Times New Roman" w:cs="Times New Roman" w:eastAsia="Times New Roman" w:hAnsi="Times New Roman"/>
                <w:sz w:val="18"/>
                <w:szCs w:val="18"/>
                <w:b w:val="1"/>
                <w:bCs w:val="1"/>
                <w:color w:val="231F20"/>
              </w:rPr>
              <w:t>Domestic Plan</w:t>
            </w:r>
          </w:p>
        </w:tc>
        <w:tc>
          <w:tcPr>
            <w:tcW w:w="5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231F20"/>
                <w:w w:val="97"/>
              </w:rPr>
              <w:t>Foreign Plans</w:t>
            </w:r>
          </w:p>
        </w:tc>
        <w:tc>
          <w:tcPr>
            <w:tcW w:w="140" w:type="dxa"/>
            <w:vAlign w:val="bottom"/>
            <w:tcBorders>
              <w:bottom w:val="single" w:sz="8" w:color="231F20"/>
            </w:tcBorders>
          </w:tcPr>
          <w:p>
            <w:pPr>
              <w:spacing w:after="0"/>
              <w:rPr>
                <w:sz w:val="20"/>
                <w:szCs w:val="20"/>
                <w:color w:val="auto"/>
              </w:rPr>
            </w:pPr>
          </w:p>
        </w:tc>
        <w:tc>
          <w:tcPr>
            <w:tcW w:w="56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231F20"/>
                <w:w w:val="97"/>
              </w:rPr>
              <w:t>Total</w:t>
            </w:r>
          </w:p>
        </w:tc>
        <w:tc>
          <w:tcPr>
            <w:tcW w:w="8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8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ind w:right="104"/>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56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0" w:type="dxa"/>
            <w:vAlign w:val="bottom"/>
          </w:tcPr>
          <w:p>
            <w:pPr>
              <w:spacing w:after="0"/>
              <w:rPr>
                <w:sz w:val="1"/>
                <w:szCs w:val="1"/>
                <w:color w:val="auto"/>
              </w:rPr>
            </w:pPr>
          </w:p>
        </w:tc>
      </w:tr>
      <w:tr>
        <w:trPr>
          <w:trHeight w:val="179"/>
        </w:trPr>
        <w:tc>
          <w:tcPr>
            <w:tcW w:w="2560" w:type="dxa"/>
            <w:vAlign w:val="bottom"/>
          </w:tcPr>
          <w:p>
            <w:pPr>
              <w:ind w:left="40"/>
              <w:spacing w:after="0" w:line="179" w:lineRule="exact"/>
              <w:rPr>
                <w:sz w:val="20"/>
                <w:szCs w:val="20"/>
                <w:color w:val="auto"/>
              </w:rPr>
            </w:pPr>
            <w:r>
              <w:rPr>
                <w:rFonts w:ascii="Times New Roman" w:cs="Times New Roman" w:eastAsia="Times New Roman" w:hAnsi="Times New Roman"/>
                <w:sz w:val="20"/>
                <w:szCs w:val="20"/>
                <w:b w:val="1"/>
                <w:bCs w:val="1"/>
                <w:color w:val="231F20"/>
              </w:rPr>
              <w:t>Components of Net Periodic</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56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Pension Cost (Benefit)</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256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Service cost</w:t>
            </w:r>
          </w:p>
        </w:tc>
        <w:tc>
          <w:tcPr>
            <w:tcW w:w="1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8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2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90"/>
        </w:trPr>
        <w:tc>
          <w:tcPr>
            <w:tcW w:w="25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Interest cost</w:t>
            </w:r>
          </w:p>
        </w:tc>
        <w:tc>
          <w:tcPr>
            <w:tcW w:w="18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w:t>
            </w:r>
          </w:p>
        </w:tc>
        <w:tc>
          <w:tcPr>
            <w:tcW w:w="0" w:type="dxa"/>
            <w:vAlign w:val="bottom"/>
          </w:tcPr>
          <w:p>
            <w:pPr>
              <w:spacing w:after="0"/>
              <w:rPr>
                <w:sz w:val="1"/>
                <w:szCs w:val="1"/>
                <w:color w:val="auto"/>
              </w:rPr>
            </w:pPr>
          </w:p>
        </w:tc>
      </w:tr>
      <w:tr>
        <w:trPr>
          <w:trHeight w:val="301"/>
        </w:trPr>
        <w:tc>
          <w:tcPr>
            <w:tcW w:w="256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Expected return on plan assets</w:t>
            </w: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6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8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40" w:type="dxa"/>
            <w:vAlign w:val="bottom"/>
            <w:shd w:val="clear" w:color="auto" w:fill="CFEBF4"/>
          </w:tcPr>
          <w:p>
            <w:pPr>
              <w:spacing w:after="0"/>
              <w:rPr>
                <w:sz w:val="24"/>
                <w:szCs w:val="24"/>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(23.6)</w:t>
            </w:r>
          </w:p>
        </w:tc>
        <w:tc>
          <w:tcPr>
            <w:tcW w:w="0" w:type="dxa"/>
            <w:vAlign w:val="bottom"/>
          </w:tcPr>
          <w:p>
            <w:pPr>
              <w:spacing w:after="0"/>
              <w:rPr>
                <w:sz w:val="1"/>
                <w:szCs w:val="1"/>
                <w:color w:val="auto"/>
              </w:rPr>
            </w:pPr>
          </w:p>
        </w:tc>
      </w:tr>
      <w:tr>
        <w:trPr>
          <w:trHeight w:val="275"/>
        </w:trPr>
        <w:tc>
          <w:tcPr>
            <w:tcW w:w="25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Recognized actuarial loss</w:t>
            </w:r>
          </w:p>
        </w:tc>
        <w:tc>
          <w:tcPr>
            <w:tcW w:w="1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301"/>
        </w:trPr>
        <w:tc>
          <w:tcPr>
            <w:tcW w:w="256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Curtailment</w:t>
            </w: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40" w:type="dxa"/>
            <w:vAlign w:val="bottom"/>
            <w:shd w:val="clear" w:color="auto" w:fill="CFEBF4"/>
          </w:tcPr>
          <w:p>
            <w:pPr>
              <w:spacing w:after="0"/>
              <w:rPr>
                <w:sz w:val="24"/>
                <w:szCs w:val="24"/>
                <w:color w:val="auto"/>
              </w:rPr>
            </w:pPr>
          </w:p>
        </w:tc>
        <w:tc>
          <w:tcPr>
            <w:tcW w:w="5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5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256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Settlement</w:t>
            </w: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6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80" w:type="dxa"/>
            <w:vAlign w:val="bottom"/>
            <w:tcBorders>
              <w:bottom w:val="single" w:sz="8" w:color="CFEBF4"/>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179"/>
        </w:trPr>
        <w:tc>
          <w:tcPr>
            <w:tcW w:w="2560" w:type="dxa"/>
            <w:vAlign w:val="bottom"/>
            <w:shd w:val="clear" w:color="auto" w:fill="CFEBF4"/>
          </w:tcPr>
          <w:p>
            <w:pPr>
              <w:ind w:left="40"/>
              <w:spacing w:after="0" w:line="180" w:lineRule="exact"/>
              <w:rPr>
                <w:sz w:val="20"/>
                <w:szCs w:val="20"/>
                <w:color w:val="auto"/>
              </w:rPr>
            </w:pPr>
            <w:r>
              <w:rPr>
                <w:rFonts w:ascii="Times New Roman" w:cs="Times New Roman" w:eastAsia="Times New Roman" w:hAnsi="Times New Roman"/>
                <w:sz w:val="20"/>
                <w:szCs w:val="20"/>
                <w:color w:val="231F20"/>
              </w:rPr>
              <w:t>Net periodic pension cost</w:t>
            </w:r>
          </w:p>
        </w:tc>
        <w:tc>
          <w:tcPr>
            <w:tcW w:w="1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shd w:val="clear" w:color="auto" w:fill="CFEBF4"/>
          </w:tcPr>
          <w:p>
            <w:pPr>
              <w:ind w:left="3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vMerge w:val="restart"/>
            <w:shd w:val="clear" w:color="auto" w:fill="CFEBF4"/>
          </w:tcPr>
          <w:p>
            <w:pPr>
              <w:spacing w:after="0"/>
              <w:rPr>
                <w:sz w:val="15"/>
                <w:szCs w:val="15"/>
                <w:color w:val="auto"/>
              </w:rPr>
            </w:pPr>
          </w:p>
        </w:tc>
        <w:tc>
          <w:tcPr>
            <w:tcW w:w="1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80" w:type="dxa"/>
            <w:vAlign w:val="bottom"/>
            <w:vMerge w:val="restart"/>
            <w:shd w:val="clear" w:color="auto" w:fill="CFEBF4"/>
          </w:tcPr>
          <w:p>
            <w:pPr>
              <w:spacing w:after="0"/>
              <w:rPr>
                <w:sz w:val="15"/>
                <w:szCs w:val="15"/>
                <w:color w:val="auto"/>
              </w:rPr>
            </w:pPr>
          </w:p>
        </w:tc>
        <w:tc>
          <w:tcPr>
            <w:tcW w:w="1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60" w:type="dxa"/>
            <w:vAlign w:val="bottom"/>
            <w:vMerge w:val="restart"/>
            <w:shd w:val="clear" w:color="auto" w:fill="CFEBF4"/>
          </w:tcPr>
          <w:p>
            <w:pPr>
              <w:spacing w:after="0"/>
              <w:rPr>
                <w:sz w:val="15"/>
                <w:szCs w:val="15"/>
                <w:color w:val="auto"/>
              </w:rPr>
            </w:pPr>
          </w:p>
        </w:tc>
        <w:tc>
          <w:tcPr>
            <w:tcW w:w="1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vMerge w:val="restart"/>
            <w:shd w:val="clear" w:color="auto" w:fill="CFEBF4"/>
          </w:tcPr>
          <w:p>
            <w:pPr>
              <w:spacing w:after="0"/>
              <w:rPr>
                <w:sz w:val="15"/>
                <w:szCs w:val="15"/>
                <w:color w:val="auto"/>
              </w:rPr>
            </w:pPr>
          </w:p>
        </w:tc>
        <w:tc>
          <w:tcPr>
            <w:tcW w:w="1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shd w:val="clear" w:color="auto" w:fill="CFEBF4"/>
          </w:tcPr>
          <w:p>
            <w:pPr>
              <w:spacing w:after="0"/>
              <w:rPr>
                <w:sz w:val="15"/>
                <w:szCs w:val="15"/>
                <w:color w:val="auto"/>
              </w:rPr>
            </w:pPr>
          </w:p>
        </w:tc>
        <w:tc>
          <w:tcPr>
            <w:tcW w:w="40" w:type="dxa"/>
            <w:vAlign w:val="bottom"/>
            <w:shd w:val="clear" w:color="auto" w:fill="CFEBF4"/>
          </w:tcPr>
          <w:p>
            <w:pPr>
              <w:spacing w:after="0"/>
              <w:rPr>
                <w:sz w:val="15"/>
                <w:szCs w:val="15"/>
                <w:color w:val="auto"/>
              </w:rPr>
            </w:pPr>
          </w:p>
        </w:tc>
        <w:tc>
          <w:tcPr>
            <w:tcW w:w="1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80" w:type="dxa"/>
            <w:vAlign w:val="bottom"/>
            <w:vMerge w:val="restart"/>
            <w:shd w:val="clear" w:color="auto" w:fill="CFEBF4"/>
          </w:tcPr>
          <w:p>
            <w:pPr>
              <w:spacing w:after="0"/>
              <w:rPr>
                <w:sz w:val="15"/>
                <w:szCs w:val="15"/>
                <w:color w:val="auto"/>
              </w:rPr>
            </w:pPr>
          </w:p>
        </w:tc>
        <w:tc>
          <w:tcPr>
            <w:tcW w:w="1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vMerge w:val="restart"/>
            <w:shd w:val="clear" w:color="auto" w:fill="CFEBF4"/>
          </w:tcPr>
          <w:p>
            <w:pPr>
              <w:spacing w:after="0"/>
              <w:rPr>
                <w:sz w:val="15"/>
                <w:szCs w:val="15"/>
                <w:color w:val="auto"/>
              </w:rPr>
            </w:pPr>
          </w:p>
        </w:tc>
        <w:tc>
          <w:tcPr>
            <w:tcW w:w="1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80" w:type="dxa"/>
            <w:vAlign w:val="bottom"/>
            <w:vMerge w:val="restart"/>
            <w:shd w:val="clear" w:color="auto" w:fill="CFEBF4"/>
          </w:tcPr>
          <w:p>
            <w:pPr>
              <w:spacing w:after="0"/>
              <w:rPr>
                <w:sz w:val="15"/>
                <w:szCs w:val="15"/>
                <w:color w:val="auto"/>
              </w:rPr>
            </w:pPr>
          </w:p>
        </w:tc>
        <w:tc>
          <w:tcPr>
            <w:tcW w:w="1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259"/>
        </w:trPr>
        <w:tc>
          <w:tcPr>
            <w:tcW w:w="2560" w:type="dxa"/>
            <w:vAlign w:val="bottom"/>
            <w:tcBorders>
              <w:bottom w:val="single" w:sz="8" w:color="CFEBF4"/>
            </w:tcBorders>
            <w:shd w:val="clear" w:color="auto" w:fill="CFEBF4"/>
          </w:tcPr>
          <w:p>
            <w:pPr>
              <w:ind w:left="140"/>
              <w:spacing w:after="0"/>
              <w:rPr>
                <w:sz w:val="20"/>
                <w:szCs w:val="20"/>
                <w:color w:val="auto"/>
              </w:rPr>
            </w:pPr>
            <w:r>
              <w:rPr>
                <w:rFonts w:ascii="Times New Roman" w:cs="Times New Roman" w:eastAsia="Times New Roman" w:hAnsi="Times New Roman"/>
                <w:sz w:val="20"/>
                <w:szCs w:val="20"/>
                <w:color w:val="231F20"/>
              </w:rPr>
              <w:t>(benefit)</w:t>
            </w:r>
          </w:p>
        </w:tc>
        <w:tc>
          <w:tcPr>
            <w:tcW w:w="180" w:type="dxa"/>
            <w:vAlign w:val="bottom"/>
            <w:tcBorders>
              <w:bottom w:val="single" w:sz="8" w:color="231F20"/>
            </w:tcBorders>
            <w:vMerge w:val="continue"/>
            <w:shd w:val="clear" w:color="auto" w:fill="CFEBF4"/>
          </w:tcPr>
          <w:p>
            <w:pPr>
              <w:spacing w:after="0"/>
              <w:rPr>
                <w:sz w:val="22"/>
                <w:szCs w:val="22"/>
                <w:color w:val="auto"/>
              </w:rPr>
            </w:pPr>
          </w:p>
        </w:tc>
        <w:tc>
          <w:tcPr>
            <w:tcW w:w="58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vMerge w:val="continue"/>
            <w:shd w:val="clear" w:color="auto" w:fill="CFEBF4"/>
          </w:tcPr>
          <w:p>
            <w:pPr>
              <w:spacing w:after="0"/>
              <w:rPr>
                <w:sz w:val="22"/>
                <w:szCs w:val="22"/>
                <w:color w:val="auto"/>
              </w:rPr>
            </w:pPr>
          </w:p>
        </w:tc>
        <w:tc>
          <w:tcPr>
            <w:tcW w:w="160" w:type="dxa"/>
            <w:vAlign w:val="bottom"/>
            <w:tcBorders>
              <w:bottom w:val="single" w:sz="8" w:color="231F20"/>
            </w:tcBorders>
            <w:vMerge w:val="continue"/>
            <w:shd w:val="clear" w:color="auto" w:fill="CFEBF4"/>
          </w:tcPr>
          <w:p>
            <w:pPr>
              <w:spacing w:after="0"/>
              <w:rPr>
                <w:sz w:val="22"/>
                <w:szCs w:val="22"/>
                <w:color w:val="auto"/>
              </w:rPr>
            </w:pPr>
          </w:p>
        </w:tc>
        <w:tc>
          <w:tcPr>
            <w:tcW w:w="58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vMerge w:val="continue"/>
            <w:shd w:val="clear" w:color="auto" w:fill="CFEBF4"/>
          </w:tcPr>
          <w:p>
            <w:pPr>
              <w:spacing w:after="0"/>
              <w:rPr>
                <w:sz w:val="22"/>
                <w:szCs w:val="22"/>
                <w:color w:val="auto"/>
              </w:rPr>
            </w:pPr>
          </w:p>
        </w:tc>
        <w:tc>
          <w:tcPr>
            <w:tcW w:w="180" w:type="dxa"/>
            <w:vAlign w:val="bottom"/>
            <w:tcBorders>
              <w:bottom w:val="single" w:sz="8" w:color="231F20"/>
            </w:tcBorders>
            <w:vMerge w:val="continue"/>
            <w:shd w:val="clear" w:color="auto" w:fill="CFEBF4"/>
          </w:tcPr>
          <w:p>
            <w:pPr>
              <w:spacing w:after="0"/>
              <w:rPr>
                <w:sz w:val="22"/>
                <w:szCs w:val="22"/>
                <w:color w:val="auto"/>
              </w:rPr>
            </w:pPr>
          </w:p>
        </w:tc>
        <w:tc>
          <w:tcPr>
            <w:tcW w:w="580" w:type="dxa"/>
            <w:vAlign w:val="bottom"/>
            <w:tcBorders>
              <w:bottom w:val="single" w:sz="8" w:color="231F20"/>
            </w:tcBorders>
            <w:vMerge w:val="continue"/>
            <w:shd w:val="clear" w:color="auto" w:fill="CFEBF4"/>
          </w:tcPr>
          <w:p>
            <w:pPr>
              <w:spacing w:after="0"/>
              <w:rPr>
                <w:sz w:val="22"/>
                <w:szCs w:val="22"/>
                <w:color w:val="auto"/>
              </w:rPr>
            </w:pPr>
          </w:p>
        </w:tc>
        <w:tc>
          <w:tcPr>
            <w:tcW w:w="60" w:type="dxa"/>
            <w:vAlign w:val="bottom"/>
            <w:tcBorders>
              <w:bottom w:val="single" w:sz="8" w:color="CFEBF4"/>
            </w:tcBorders>
            <w:vMerge w:val="continue"/>
            <w:shd w:val="clear" w:color="auto" w:fill="CFEBF4"/>
          </w:tcPr>
          <w:p>
            <w:pPr>
              <w:spacing w:after="0"/>
              <w:rPr>
                <w:sz w:val="22"/>
                <w:szCs w:val="22"/>
                <w:color w:val="auto"/>
              </w:rPr>
            </w:pPr>
          </w:p>
        </w:tc>
        <w:tc>
          <w:tcPr>
            <w:tcW w:w="180" w:type="dxa"/>
            <w:vAlign w:val="bottom"/>
            <w:tcBorders>
              <w:bottom w:val="single" w:sz="8" w:color="231F20"/>
            </w:tcBorders>
            <w:vMerge w:val="continue"/>
            <w:shd w:val="clear" w:color="auto" w:fill="CFEBF4"/>
          </w:tcPr>
          <w:p>
            <w:pPr>
              <w:spacing w:after="0"/>
              <w:rPr>
                <w:sz w:val="22"/>
                <w:szCs w:val="22"/>
                <w:color w:val="auto"/>
              </w:rPr>
            </w:pPr>
          </w:p>
        </w:tc>
        <w:tc>
          <w:tcPr>
            <w:tcW w:w="58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vMerge w:val="continue"/>
            <w:shd w:val="clear" w:color="auto" w:fill="CFEBF4"/>
          </w:tcPr>
          <w:p>
            <w:pPr>
              <w:spacing w:after="0"/>
              <w:rPr>
                <w:sz w:val="22"/>
                <w:szCs w:val="22"/>
                <w:color w:val="auto"/>
              </w:rPr>
            </w:pPr>
          </w:p>
        </w:tc>
        <w:tc>
          <w:tcPr>
            <w:tcW w:w="180" w:type="dxa"/>
            <w:vAlign w:val="bottom"/>
            <w:tcBorders>
              <w:bottom w:val="single" w:sz="8" w:color="231F20"/>
            </w:tcBorders>
            <w:vMerge w:val="continue"/>
            <w:shd w:val="clear" w:color="auto" w:fill="CFEBF4"/>
          </w:tcPr>
          <w:p>
            <w:pPr>
              <w:spacing w:after="0"/>
              <w:rPr>
                <w:sz w:val="22"/>
                <w:szCs w:val="22"/>
                <w:color w:val="auto"/>
              </w:rPr>
            </w:pPr>
          </w:p>
        </w:tc>
        <w:tc>
          <w:tcPr>
            <w:tcW w:w="64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shd w:val="clear" w:color="auto" w:fill="CFEBF4"/>
          </w:tcPr>
          <w:p>
            <w:pPr>
              <w:spacing w:after="0"/>
              <w:rPr>
                <w:sz w:val="22"/>
                <w:szCs w:val="22"/>
                <w:color w:val="auto"/>
              </w:rPr>
            </w:pPr>
          </w:p>
        </w:tc>
        <w:tc>
          <w:tcPr>
            <w:tcW w:w="40" w:type="dxa"/>
            <w:vAlign w:val="bottom"/>
            <w:tcBorders>
              <w:bottom w:val="single" w:sz="8" w:color="231F20"/>
            </w:tcBorders>
            <w:shd w:val="clear" w:color="auto" w:fill="CFEBF4"/>
          </w:tcPr>
          <w:p>
            <w:pPr>
              <w:spacing w:after="0"/>
              <w:rPr>
                <w:sz w:val="22"/>
                <w:szCs w:val="22"/>
                <w:color w:val="auto"/>
              </w:rPr>
            </w:pPr>
          </w:p>
        </w:tc>
        <w:tc>
          <w:tcPr>
            <w:tcW w:w="140" w:type="dxa"/>
            <w:vAlign w:val="bottom"/>
            <w:tcBorders>
              <w:bottom w:val="single" w:sz="8" w:color="231F20"/>
            </w:tcBorders>
            <w:vMerge w:val="continue"/>
            <w:shd w:val="clear" w:color="auto" w:fill="CFEBF4"/>
          </w:tcPr>
          <w:p>
            <w:pPr>
              <w:spacing w:after="0"/>
              <w:rPr>
                <w:sz w:val="22"/>
                <w:szCs w:val="22"/>
                <w:color w:val="auto"/>
              </w:rPr>
            </w:pPr>
          </w:p>
        </w:tc>
        <w:tc>
          <w:tcPr>
            <w:tcW w:w="56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vMerge w:val="continue"/>
            <w:shd w:val="clear" w:color="auto" w:fill="CFEBF4"/>
          </w:tcPr>
          <w:p>
            <w:pPr>
              <w:spacing w:after="0"/>
              <w:rPr>
                <w:sz w:val="22"/>
                <w:szCs w:val="22"/>
                <w:color w:val="auto"/>
              </w:rPr>
            </w:pPr>
          </w:p>
        </w:tc>
        <w:tc>
          <w:tcPr>
            <w:tcW w:w="180" w:type="dxa"/>
            <w:vAlign w:val="bottom"/>
            <w:tcBorders>
              <w:bottom w:val="single" w:sz="8" w:color="231F20"/>
            </w:tcBorders>
            <w:vMerge w:val="continue"/>
            <w:shd w:val="clear" w:color="auto" w:fill="CFEBF4"/>
          </w:tcPr>
          <w:p>
            <w:pPr>
              <w:spacing w:after="0"/>
              <w:rPr>
                <w:sz w:val="22"/>
                <w:szCs w:val="22"/>
                <w:color w:val="auto"/>
              </w:rPr>
            </w:pPr>
          </w:p>
        </w:tc>
        <w:tc>
          <w:tcPr>
            <w:tcW w:w="58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vMerge w:val="continue"/>
            <w:shd w:val="clear" w:color="auto" w:fill="CFEBF4"/>
          </w:tcPr>
          <w:p>
            <w:pPr>
              <w:spacing w:after="0"/>
              <w:rPr>
                <w:sz w:val="22"/>
                <w:szCs w:val="22"/>
                <w:color w:val="auto"/>
              </w:rPr>
            </w:pPr>
          </w:p>
        </w:tc>
        <w:tc>
          <w:tcPr>
            <w:tcW w:w="180" w:type="dxa"/>
            <w:vAlign w:val="bottom"/>
            <w:tcBorders>
              <w:bottom w:val="single" w:sz="8" w:color="231F20"/>
            </w:tcBorders>
            <w:vMerge w:val="continue"/>
            <w:shd w:val="clear" w:color="auto" w:fill="CFEBF4"/>
          </w:tcPr>
          <w:p>
            <w:pPr>
              <w:spacing w:after="0"/>
              <w:rPr>
                <w:sz w:val="22"/>
                <w:szCs w:val="22"/>
                <w:color w:val="auto"/>
              </w:rPr>
            </w:pPr>
          </w:p>
        </w:tc>
        <w:tc>
          <w:tcPr>
            <w:tcW w:w="640" w:type="dxa"/>
            <w:vAlign w:val="bottom"/>
            <w:tcBorders>
              <w:bottom w:val="single" w:sz="8" w:color="231F20"/>
            </w:tcBorders>
            <w:vMerge w:val="continue"/>
            <w:shd w:val="clear" w:color="auto" w:fill="CFEBF4"/>
          </w:tcPr>
          <w:p>
            <w:pPr>
              <w:spacing w:after="0"/>
              <w:rPr>
                <w:sz w:val="22"/>
                <w:szCs w:val="22"/>
                <w:color w:val="auto"/>
              </w:rPr>
            </w:pPr>
          </w:p>
        </w:tc>
        <w:tc>
          <w:tcPr>
            <w:tcW w:w="80" w:type="dxa"/>
            <w:vAlign w:val="bottom"/>
            <w:tcBorders>
              <w:bottom w:val="single" w:sz="8" w:color="CFEBF4"/>
            </w:tcBorders>
            <w:vMerge w:val="continue"/>
            <w:shd w:val="clear" w:color="auto" w:fill="CFEBF4"/>
          </w:tcPr>
          <w:p>
            <w:pPr>
              <w:spacing w:after="0"/>
              <w:rPr>
                <w:sz w:val="22"/>
                <w:szCs w:val="22"/>
                <w:color w:val="auto"/>
              </w:rPr>
            </w:pPr>
          </w:p>
        </w:tc>
        <w:tc>
          <w:tcPr>
            <w:tcW w:w="160" w:type="dxa"/>
            <w:vAlign w:val="bottom"/>
            <w:tcBorders>
              <w:bottom w:val="single" w:sz="8" w:color="231F20"/>
            </w:tcBorders>
            <w:vMerge w:val="continue"/>
            <w:shd w:val="clear" w:color="auto" w:fill="CFEBF4"/>
          </w:tcPr>
          <w:p>
            <w:pPr>
              <w:spacing w:after="0"/>
              <w:rPr>
                <w:sz w:val="22"/>
                <w:szCs w:val="22"/>
                <w:color w:val="auto"/>
              </w:rPr>
            </w:pPr>
          </w:p>
        </w:tc>
        <w:tc>
          <w:tcPr>
            <w:tcW w:w="580" w:type="dxa"/>
            <w:vAlign w:val="bottom"/>
            <w:tcBorders>
              <w:bottom w:val="single" w:sz="8" w:color="231F20"/>
            </w:tcBorders>
            <w:vMerge w:val="continue"/>
            <w:shd w:val="clear" w:color="auto" w:fill="CFEBF4"/>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-321310</wp:posOffset>
            </wp:positionV>
            <wp:extent cx="4322445" cy="501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2">
                      <a:extLst>
                        <a:ext uri="{28A0092B-C50C-407E-A947-70E740481C1C}"/>
                      </a:extLst>
                    </a:blip>
                    <a:srcRect/>
                    <a:stretch>
                      <a:fillRect/>
                    </a:stretch>
                  </pic:blipFill>
                  <pic:spPr bwMode="auto">
                    <a:xfrm>
                      <a:off x="0" y="0"/>
                      <a:ext cx="4322445" cy="5016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-30480</wp:posOffset>
            </wp:positionV>
            <wp:extent cx="4826000" cy="501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3">
                      <a:extLst>
                        <a:ext uri="{28A0092B-C50C-407E-A947-70E740481C1C}"/>
                      </a:extLst>
                    </a:blip>
                    <a:srcRect/>
                    <a:stretch>
                      <a:fillRect/>
                    </a:stretch>
                  </pic:blipFill>
                  <pic:spPr bwMode="auto">
                    <a:xfrm>
                      <a:off x="0" y="0"/>
                      <a:ext cx="4826000" cy="50165"/>
                    </a:xfrm>
                    <a:prstGeom prst="rect">
                      <a:avLst/>
                    </a:prstGeom>
                    <a:noFill/>
                  </pic:spPr>
                </pic:pic>
              </a:graphicData>
            </a:graphic>
          </wp:anchor>
        </w:drawing>
      </w:r>
    </w:p>
    <w:p>
      <w:pPr>
        <w:spacing w:after="0" w:line="185"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Service cost is reported as a component of selling, general and administrative expenses. The other components of net periodic pension cost (benefit) totaling net benefits of $3.3 million for the year ended December 31, 2025, and net costs of $1.6 million and $0.2 million for the years ended December 31, 2024 and 2023, respectively, are presented as components of other non-operating (income) expense (“other (income) expense, net”).</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weighted-average actuarial assumptions were used to determine net periodic pension cost (benefit):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840" w:type="dxa"/>
            <w:vAlign w:val="bottom"/>
            <w:tcBorders>
              <w:bottom w:val="single" w:sz="8" w:color="231F20"/>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231F20"/>
              </w:rPr>
              <w:t>Domestic Plan</w:t>
            </w:r>
          </w:p>
        </w:tc>
        <w:tc>
          <w:tcPr>
            <w:tcW w:w="62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Borders>
              <w:bottom w:val="single" w:sz="8" w:color="231F20"/>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231F20"/>
              </w:rPr>
              <w:t>Foreign Plans</w:t>
            </w:r>
          </w:p>
        </w:tc>
        <w:tc>
          <w:tcPr>
            <w:tcW w:w="6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r>
      <w:tr>
        <w:trPr>
          <w:trHeight w:val="261"/>
        </w:trPr>
        <w:tc>
          <w:tcPr>
            <w:tcW w:w="2600" w:type="dxa"/>
            <w:vAlign w:val="bottom"/>
            <w:tcBorders>
              <w:bottom w:val="single" w:sz="8" w:color="CFEBF4"/>
            </w:tcBorders>
          </w:tcPr>
          <w:p>
            <w:pPr>
              <w:spacing w:after="0"/>
              <w:rPr>
                <w:sz w:val="22"/>
                <w:szCs w:val="22"/>
                <w:color w:val="auto"/>
              </w:rPr>
            </w:pPr>
          </w:p>
        </w:tc>
        <w:tc>
          <w:tcPr>
            <w:tcW w:w="78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2"/>
                <w:szCs w:val="22"/>
                <w:color w:val="auto"/>
              </w:rPr>
            </w:pPr>
          </w:p>
        </w:tc>
        <w:tc>
          <w:tcPr>
            <w:tcW w:w="780" w:type="dxa"/>
            <w:vAlign w:val="bottom"/>
            <w:tcBorders>
              <w:bottom w:val="single" w:sz="8" w:color="231F20"/>
            </w:tcBorders>
          </w:tcPr>
          <w:p>
            <w:pPr>
              <w:jc w:val="right"/>
              <w:ind w:right="126"/>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CFEBF4"/>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Borders>
              <w:bottom w:val="single" w:sz="8" w:color="CFEBF4"/>
            </w:tcBorders>
          </w:tcPr>
          <w:p>
            <w:pPr>
              <w:spacing w:after="0"/>
              <w:rPr>
                <w:sz w:val="22"/>
                <w:szCs w:val="22"/>
                <w:color w:val="auto"/>
              </w:rPr>
            </w:pPr>
          </w:p>
        </w:tc>
        <w:tc>
          <w:tcPr>
            <w:tcW w:w="780" w:type="dxa"/>
            <w:vAlign w:val="bottom"/>
            <w:tcBorders>
              <w:bottom w:val="single" w:sz="8" w:color="231F20"/>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2"/>
                <w:szCs w:val="22"/>
                <w:color w:val="auto"/>
              </w:rPr>
            </w:pPr>
          </w:p>
        </w:tc>
        <w:tc>
          <w:tcPr>
            <w:tcW w:w="780" w:type="dxa"/>
            <w:vAlign w:val="bottom"/>
            <w:tcBorders>
              <w:bottom w:val="single" w:sz="8" w:color="231F20"/>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CFEBF4"/>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04"/>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Borders>
              <w:bottom w:val="single" w:sz="8" w:color="CFEBF4"/>
            </w:tcBorders>
          </w:tcPr>
          <w:p>
            <w:pPr>
              <w:spacing w:after="0"/>
              <w:rPr>
                <w:sz w:val="22"/>
                <w:szCs w:val="22"/>
                <w:color w:val="auto"/>
              </w:rPr>
            </w:pPr>
          </w:p>
        </w:tc>
        <w:tc>
          <w:tcPr>
            <w:tcW w:w="780" w:type="dxa"/>
            <w:vAlign w:val="bottom"/>
            <w:tcBorders>
              <w:bottom w:val="single" w:sz="8" w:color="231F20"/>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2"/>
                <w:szCs w:val="22"/>
                <w:color w:val="auto"/>
              </w:rPr>
            </w:pPr>
          </w:p>
        </w:tc>
        <w:tc>
          <w:tcPr>
            <w:tcW w:w="800" w:type="dxa"/>
            <w:vAlign w:val="bottom"/>
            <w:tcBorders>
              <w:bottom w:val="single" w:sz="8" w:color="231F20"/>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CFEBF4"/>
            </w:tcBorders>
          </w:tcPr>
          <w:p>
            <w:pPr>
              <w:spacing w:after="0"/>
              <w:rPr>
                <w:sz w:val="22"/>
                <w:szCs w:val="22"/>
                <w:color w:val="auto"/>
              </w:rPr>
            </w:pPr>
          </w:p>
        </w:tc>
        <w:tc>
          <w:tcPr>
            <w:tcW w:w="780" w:type="dxa"/>
            <w:vAlign w:val="bottom"/>
            <w:tcBorders>
              <w:bottom w:val="single" w:sz="8" w:color="231F20"/>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26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Discount rate</w:t>
            </w:r>
          </w:p>
        </w:tc>
        <w:tc>
          <w:tcPr>
            <w:tcW w:w="78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20"/>
                <w:szCs w:val="20"/>
                <w:color w:val="231F20"/>
                <w:w w:val="97"/>
              </w:rPr>
              <w:t>n/a</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4.5 %</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6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4.4 %</w:t>
            </w:r>
          </w:p>
        </w:tc>
        <w:tc>
          <w:tcPr>
            <w:tcW w:w="60" w:type="dxa"/>
            <w:vAlign w:val="bottom"/>
            <w:shd w:val="clear" w:color="auto" w:fill="CFEBF4"/>
          </w:tcPr>
          <w:p>
            <w:pPr>
              <w:spacing w:after="0"/>
              <w:rPr>
                <w:sz w:val="24"/>
                <w:szCs w:val="24"/>
                <w:color w:val="auto"/>
              </w:rPr>
            </w:pPr>
          </w:p>
        </w:tc>
        <w:tc>
          <w:tcPr>
            <w:tcW w:w="140" w:type="dxa"/>
            <w:vAlign w:val="bottom"/>
            <w:shd w:val="clear" w:color="auto" w:fill="CFEBF4"/>
          </w:tcPr>
          <w:p>
            <w:pPr>
              <w:spacing w:after="0"/>
              <w:rPr>
                <w:sz w:val="24"/>
                <w:szCs w:val="24"/>
                <w:color w:val="auto"/>
              </w:rPr>
            </w:pP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8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4.6 %</w:t>
            </w:r>
          </w:p>
        </w:tc>
      </w:tr>
      <w:tr>
        <w:trPr>
          <w:trHeight w:val="275"/>
        </w:trPr>
        <w:tc>
          <w:tcPr>
            <w:tcW w:w="2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Expected return on plan assets</w:t>
            </w:r>
          </w:p>
        </w:tc>
        <w:tc>
          <w:tcPr>
            <w:tcW w:w="780" w:type="dxa"/>
            <w:vAlign w:val="bottom"/>
          </w:tcPr>
          <w:p>
            <w:pPr>
              <w:ind w:left="520"/>
              <w:spacing w:after="0"/>
              <w:rPr>
                <w:sz w:val="20"/>
                <w:szCs w:val="20"/>
                <w:color w:val="auto"/>
              </w:rPr>
            </w:pPr>
            <w:r>
              <w:rPr>
                <w:rFonts w:ascii="Times New Roman" w:cs="Times New Roman" w:eastAsia="Times New Roman" w:hAnsi="Times New Roman"/>
                <w:sz w:val="20"/>
                <w:szCs w:val="20"/>
                <w:color w:val="231F20"/>
                <w:w w:val="97"/>
              </w:rPr>
              <w:t>n/a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5.1 %</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5.1 %</w:t>
            </w:r>
          </w:p>
        </w:tc>
      </w:tr>
      <w:tr>
        <w:trPr>
          <w:trHeight w:val="301"/>
        </w:trPr>
        <w:tc>
          <w:tcPr>
            <w:tcW w:w="26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Rate of compensation increase</w:t>
            </w:r>
          </w:p>
        </w:tc>
        <w:tc>
          <w:tcPr>
            <w:tcW w:w="780" w:type="dxa"/>
            <w:vAlign w:val="bottom"/>
            <w:shd w:val="clear" w:color="auto" w:fill="CFEBF4"/>
          </w:tcPr>
          <w:p>
            <w:pPr>
              <w:ind w:left="520"/>
              <w:spacing w:after="0"/>
              <w:rPr>
                <w:sz w:val="20"/>
                <w:szCs w:val="20"/>
                <w:color w:val="auto"/>
              </w:rPr>
            </w:pPr>
            <w:r>
              <w:rPr>
                <w:rFonts w:ascii="Times New Roman" w:cs="Times New Roman" w:eastAsia="Times New Roman" w:hAnsi="Times New Roman"/>
                <w:sz w:val="20"/>
                <w:szCs w:val="20"/>
                <w:color w:val="231F20"/>
                <w:w w:val="97"/>
              </w:rPr>
              <w:t>n/a</w:t>
            </w:r>
          </w:p>
        </w:tc>
        <w:tc>
          <w:tcPr>
            <w:tcW w:w="60" w:type="dxa"/>
            <w:vAlign w:val="bottom"/>
            <w:shd w:val="clear" w:color="auto" w:fill="CFEBF4"/>
          </w:tcPr>
          <w:p>
            <w:pPr>
              <w:spacing w:after="0"/>
              <w:rPr>
                <w:sz w:val="24"/>
                <w:szCs w:val="24"/>
                <w:color w:val="auto"/>
              </w:rPr>
            </w:pPr>
          </w:p>
        </w:tc>
        <w:tc>
          <w:tcPr>
            <w:tcW w:w="1000" w:type="dxa"/>
            <w:vAlign w:val="bottom"/>
            <w:gridSpan w:val="3"/>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n/a</w:t>
            </w:r>
          </w:p>
        </w:tc>
        <w:tc>
          <w:tcPr>
            <w:tcW w:w="6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3.3 %</w:t>
            </w:r>
          </w:p>
        </w:tc>
        <w:tc>
          <w:tcPr>
            <w:tcW w:w="60" w:type="dxa"/>
            <w:vAlign w:val="bottom"/>
            <w:shd w:val="clear" w:color="auto" w:fill="CFEBF4"/>
          </w:tcPr>
          <w:p>
            <w:pPr>
              <w:spacing w:after="0"/>
              <w:rPr>
                <w:sz w:val="24"/>
                <w:szCs w:val="24"/>
                <w:color w:val="auto"/>
              </w:rPr>
            </w:pPr>
          </w:p>
        </w:tc>
        <w:tc>
          <w:tcPr>
            <w:tcW w:w="140" w:type="dxa"/>
            <w:vAlign w:val="bottom"/>
            <w:shd w:val="clear" w:color="auto" w:fill="CFEBF4"/>
          </w:tcPr>
          <w:p>
            <w:pPr>
              <w:spacing w:after="0"/>
              <w:rPr>
                <w:sz w:val="24"/>
                <w:szCs w:val="24"/>
                <w:color w:val="auto"/>
              </w:rPr>
            </w:pPr>
          </w:p>
        </w:tc>
        <w:tc>
          <w:tcPr>
            <w:tcW w:w="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3.2 %</w:t>
            </w:r>
          </w:p>
        </w:tc>
        <w:tc>
          <w:tcPr>
            <w:tcW w:w="8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3.3 %</w:t>
            </w:r>
          </w:p>
        </w:tc>
        <w:tc>
          <w:tcPr>
            <w:tcW w:w="8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-577850</wp:posOffset>
            </wp:positionV>
            <wp:extent cx="4826000" cy="501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4">
                      <a:extLst>
                        <a:ext uri="{28A0092B-C50C-407E-A947-70E740481C1C}"/>
                      </a:extLst>
                    </a:blip>
                    <a:srcRect/>
                    <a:stretch>
                      <a:fillRect/>
                    </a:stretch>
                  </pic:blipFill>
                  <pic:spPr bwMode="auto">
                    <a:xfrm>
                      <a:off x="0" y="0"/>
                      <a:ext cx="4826000" cy="50165"/>
                    </a:xfrm>
                    <a:prstGeom prst="rect">
                      <a:avLst/>
                    </a:prstGeom>
                    <a:noFill/>
                  </pic:spPr>
                </pic:pic>
              </a:graphicData>
            </a:graphic>
          </wp:anchor>
        </w:drawing>
      </w:r>
    </w:p>
    <w:p>
      <w:pPr>
        <w:spacing w:after="0" w:line="136"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expected long-term rate of return on plan assets reflects the average rate of earnings expected on the invested assets and future assets to be invested to provide for the benefits included in the projected benefit obligation. The Company uses historical plan asset returns combined with current market conditions to estimate the rate of return.</w:t>
      </w:r>
    </w:p>
    <w:p>
      <w:pPr>
        <w:spacing w:after="0" w:line="77"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As a result of the combined effect of valuation changes in both the equity and bond markets, the plan assets produced an actual gain of 2.7% in 2025. The difference between the expected return and actual return on plan assets is amortized into expense over the service lives of the plan participants. These amounts are reflected on the balance sheet through charges to accumulated other comprehensive (income) loss.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120"/>
          </w:cols>
          <w:pgMar w:left="880" w:top="285" w:right="88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the changes and the end of year components of accumulated other comprehensive (income)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loss for the defined benefit plans:</w:t>
      </w:r>
    </w:p>
    <w:p>
      <w:pPr>
        <w:spacing w:after="0" w:line="18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4817110</wp:posOffset>
                </wp:positionH>
                <wp:positionV relativeFrom="paragraph">
                  <wp:posOffset>25400</wp:posOffset>
                </wp:positionV>
                <wp:extent cx="160464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4645"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3pt,2pt" to="505.65pt,2pt" o:allowincell="f" strokecolor="#231F20" strokeweight="0.985pt"/>
            </w:pict>
          </mc:Fallback>
        </mc:AlternateConten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80"/>
        </w:trPr>
        <w:tc>
          <w:tcPr>
            <w:tcW w:w="7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Changes to Balance: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1"/>
        </w:trPr>
        <w:tc>
          <w:tcPr>
            <w:tcW w:w="75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Beginning balance, before tax effect</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(41.5)</w:t>
            </w:r>
          </w:p>
        </w:tc>
        <w:tc>
          <w:tcPr>
            <w:tcW w:w="360" w:type="dxa"/>
            <w:vAlign w:val="bottom"/>
            <w:gridSpan w:val="2"/>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(22.5)</w:t>
            </w:r>
          </w:p>
        </w:tc>
      </w:tr>
      <w:tr>
        <w:trPr>
          <w:trHeight w:val="290"/>
        </w:trPr>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Prior service credit recognized in current year due to curtailment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r>
      <w:tr>
        <w:trPr>
          <w:trHeight w:val="301"/>
        </w:trPr>
        <w:tc>
          <w:tcPr>
            <w:tcW w:w="75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Net actuarial gain arising in current year</w:t>
            </w:r>
          </w:p>
        </w:tc>
        <w:tc>
          <w:tcPr>
            <w:tcW w:w="30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(17.0)</w:t>
            </w:r>
          </w:p>
        </w:tc>
      </w:tr>
      <w:tr>
        <w:trPr>
          <w:trHeight w:val="290"/>
        </w:trPr>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Recognized actuarial loss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r>
      <w:tr>
        <w:trPr>
          <w:trHeight w:val="301"/>
        </w:trPr>
        <w:tc>
          <w:tcPr>
            <w:tcW w:w="75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Curtailment</w:t>
            </w:r>
          </w:p>
        </w:tc>
        <w:tc>
          <w:tcPr>
            <w:tcW w:w="30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0.2</w:t>
            </w:r>
          </w:p>
        </w:tc>
      </w:tr>
      <w:tr>
        <w:trPr>
          <w:trHeight w:val="290"/>
        </w:trPr>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Settlement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r>
      <w:tr>
        <w:trPr>
          <w:trHeight w:val="291"/>
        </w:trPr>
        <w:tc>
          <w:tcPr>
            <w:tcW w:w="758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Foreign currency exchange rate changes</w:t>
            </w:r>
          </w:p>
        </w:tc>
        <w:tc>
          <w:tcPr>
            <w:tcW w:w="300" w:type="dxa"/>
            <w:vAlign w:val="bottom"/>
            <w:tcBorders>
              <w:bottom w:val="single" w:sz="8" w:color="231F20"/>
            </w:tcBorders>
            <w:shd w:val="clear" w:color="auto" w:fill="CFEBF4"/>
          </w:tcPr>
          <w:p>
            <w:pPr>
              <w:spacing w:after="0"/>
              <w:rPr>
                <w:sz w:val="24"/>
                <w:szCs w:val="24"/>
                <w:color w:val="auto"/>
              </w:rPr>
            </w:pP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6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(0.7)</w:t>
            </w:r>
          </w:p>
        </w:tc>
      </w:tr>
      <w:tr>
        <w:trPr>
          <w:trHeight w:val="276"/>
        </w:trPr>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Ending balance, before tax effect</w:t>
            </w:r>
          </w:p>
        </w:tc>
        <w:tc>
          <w:tcPr>
            <w:tcW w:w="300" w:type="dxa"/>
            <w:vAlign w:val="bottom"/>
            <w:tcBorders>
              <w:bottom w:val="single" w:sz="8" w:color="231F20"/>
            </w:tcBorders>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(44.6)</w:t>
            </w:r>
          </w:p>
        </w:tc>
        <w:tc>
          <w:tcPr>
            <w:tcW w:w="60" w:type="dxa"/>
            <w:vAlign w:val="bottom"/>
          </w:tcPr>
          <w:p>
            <w:pPr>
              <w:spacing w:after="0"/>
              <w:rPr>
                <w:sz w:val="23"/>
                <w:szCs w:val="23"/>
                <w:color w:val="auto"/>
              </w:rPr>
            </w:pPr>
          </w:p>
        </w:tc>
        <w:tc>
          <w:tcPr>
            <w:tcW w:w="300" w:type="dxa"/>
            <w:vAlign w:val="bottom"/>
            <w:tcBorders>
              <w:bottom w:val="single" w:sz="8" w:color="231F20"/>
            </w:tcBorders>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(41.5)</w:t>
            </w:r>
          </w:p>
        </w:tc>
      </w:tr>
      <w:tr>
        <w:trPr>
          <w:trHeight w:val="571"/>
        </w:trPr>
        <w:tc>
          <w:tcPr>
            <w:tcW w:w="75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240" w:type="dxa"/>
            <w:vAlign w:val="bottom"/>
            <w:tcBorders>
              <w:bottom w:val="single" w:sz="8" w:color="231F20"/>
            </w:tcBorders>
            <w:gridSpan w:val="4"/>
          </w:tcPr>
          <w:p>
            <w:pPr>
              <w:jc w:val="right"/>
              <w:ind w:right="443"/>
              <w:spacing w:after="0"/>
              <w:rPr>
                <w:sz w:val="20"/>
                <w:szCs w:val="20"/>
                <w:color w:val="auto"/>
              </w:rPr>
            </w:pPr>
            <w:r>
              <w:rPr>
                <w:rFonts w:ascii="Times New Roman" w:cs="Times New Roman" w:eastAsia="Times New Roman" w:hAnsi="Times New Roman"/>
                <w:sz w:val="18"/>
                <w:szCs w:val="18"/>
                <w:b w:val="1"/>
                <w:bCs w:val="1"/>
                <w:color w:val="231F20"/>
              </w:rPr>
              <w:t>As of December 31,</w:t>
            </w:r>
          </w:p>
        </w:tc>
      </w:tr>
      <w:tr>
        <w:trPr>
          <w:trHeight w:val="276"/>
        </w:trPr>
        <w:tc>
          <w:tcPr>
            <w:tcW w:w="7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80"/>
        </w:trPr>
        <w:tc>
          <w:tcPr>
            <w:tcW w:w="7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Components of Balance: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1"/>
        </w:trPr>
        <w:tc>
          <w:tcPr>
            <w:tcW w:w="75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Prior service credit</w:t>
            </w:r>
          </w:p>
        </w:tc>
        <w:tc>
          <w:tcPr>
            <w:tcW w:w="300" w:type="dxa"/>
            <w:vAlign w:val="bottom"/>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360" w:type="dxa"/>
            <w:vAlign w:val="bottom"/>
            <w:gridSpan w:val="2"/>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(0.1)</w:t>
            </w:r>
          </w:p>
        </w:tc>
      </w:tr>
      <w:tr>
        <w:trPr>
          <w:trHeight w:val="285"/>
        </w:trPr>
        <w:tc>
          <w:tcPr>
            <w:tcW w:w="758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Net actuarial gain</w:t>
            </w: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(44.5)</w:t>
            </w:r>
          </w:p>
        </w:tc>
        <w:tc>
          <w:tcPr>
            <w:tcW w:w="6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(41.4)</w:t>
            </w:r>
          </w:p>
        </w:tc>
      </w:tr>
      <w:tr>
        <w:trPr>
          <w:trHeight w:val="286"/>
        </w:trPr>
        <w:tc>
          <w:tcPr>
            <w:tcW w:w="75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Ending balance, before tax effect</w:t>
            </w:r>
          </w:p>
        </w:tc>
        <w:tc>
          <w:tcPr>
            <w:tcW w:w="30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(44.6)</w:t>
            </w:r>
          </w:p>
        </w:tc>
        <w:tc>
          <w:tcPr>
            <w:tcW w:w="60" w:type="dxa"/>
            <w:vAlign w:val="bottom"/>
            <w:shd w:val="clear" w:color="auto" w:fill="CFEBF4"/>
          </w:tcPr>
          <w:p>
            <w:pPr>
              <w:spacing w:after="0"/>
              <w:rPr>
                <w:sz w:val="24"/>
                <w:szCs w:val="24"/>
                <w:color w:val="auto"/>
              </w:rPr>
            </w:pPr>
          </w:p>
        </w:tc>
        <w:tc>
          <w:tcPr>
            <w:tcW w:w="30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(41.5)</w:t>
            </w:r>
          </w:p>
        </w:tc>
      </w:tr>
      <w:tr>
        <w:trPr>
          <w:trHeight w:val="285"/>
        </w:trPr>
        <w:tc>
          <w:tcPr>
            <w:tcW w:w="758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Tax effect</w:t>
            </w: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11.2</w:t>
            </w:r>
          </w:p>
        </w:tc>
        <w:tc>
          <w:tcPr>
            <w:tcW w:w="60" w:type="dxa"/>
            <w:vAlign w:val="bottom"/>
            <w:tcBorders>
              <w:bottom w:val="single" w:sz="8" w:color="CFEBF4"/>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w:t>
            </w:r>
          </w:p>
        </w:tc>
      </w:tr>
      <w:tr>
        <w:trPr>
          <w:trHeight w:val="276"/>
        </w:trPr>
        <w:tc>
          <w:tcPr>
            <w:tcW w:w="758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Ending balance, after tax effect</w:t>
            </w:r>
          </w:p>
        </w:tc>
        <w:tc>
          <w:tcPr>
            <w:tcW w:w="300" w:type="dxa"/>
            <w:vAlign w:val="bottom"/>
            <w:tcBorders>
              <w:bottom w:val="single" w:sz="8" w:color="231F20"/>
            </w:tcBorders>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(33.4)</w:t>
            </w:r>
          </w:p>
        </w:tc>
        <w:tc>
          <w:tcPr>
            <w:tcW w:w="60" w:type="dxa"/>
            <w:vAlign w:val="bottom"/>
            <w:tcBorders>
              <w:bottom w:val="single" w:sz="8" w:color="CFEBF4"/>
            </w:tcBorders>
            <w:shd w:val="clear" w:color="auto" w:fill="CFEBF4"/>
          </w:tcPr>
          <w:p>
            <w:pPr>
              <w:spacing w:after="0"/>
              <w:rPr>
                <w:sz w:val="23"/>
                <w:szCs w:val="23"/>
                <w:color w:val="auto"/>
              </w:rPr>
            </w:pPr>
          </w:p>
        </w:tc>
        <w:tc>
          <w:tcPr>
            <w:tcW w:w="300" w:type="dxa"/>
            <w:vAlign w:val="bottom"/>
            <w:tcBorders>
              <w:bottom w:val="single" w:sz="8" w:color="231F20"/>
            </w:tcBorders>
            <w:shd w:val="clear" w:color="auto" w:fill="CFEBF4"/>
          </w:tcPr>
          <w:p>
            <w:pPr>
              <w:jc w:val="right"/>
              <w:ind w:right="41"/>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-1907540</wp:posOffset>
            </wp:positionV>
            <wp:extent cx="850900" cy="501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5">
                      <a:extLst>
                        <a:ext uri="{28A0092B-C50C-407E-A947-70E740481C1C}"/>
                      </a:extLst>
                    </a:blip>
                    <a:srcRect/>
                    <a:stretch>
                      <a:fillRect/>
                    </a:stretch>
                  </pic:blipFill>
                  <pic:spPr bwMode="auto">
                    <a:xfrm>
                      <a:off x="0" y="0"/>
                      <a:ext cx="850900" cy="5016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-593725</wp:posOffset>
            </wp:positionV>
            <wp:extent cx="850900" cy="501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6">
                      <a:extLst>
                        <a:ext uri="{28A0092B-C50C-407E-A947-70E740481C1C}"/>
                      </a:extLst>
                    </a:blip>
                    <a:srcRect/>
                    <a:stretch>
                      <a:fillRect/>
                    </a:stretch>
                  </pic:blipFill>
                  <pic:spPr bwMode="auto">
                    <a:xfrm>
                      <a:off x="0" y="0"/>
                      <a:ext cx="850900" cy="5016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-218440</wp:posOffset>
            </wp:positionV>
            <wp:extent cx="850900" cy="501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7">
                      <a:extLst>
                        <a:ext uri="{28A0092B-C50C-407E-A947-70E740481C1C}"/>
                      </a:extLst>
                    </a:blip>
                    <a:srcRect/>
                    <a:stretch>
                      <a:fillRect/>
                    </a:stretch>
                  </pic:blipFill>
                  <pic:spPr bwMode="auto">
                    <a:xfrm>
                      <a:off x="0" y="0"/>
                      <a:ext cx="850900" cy="5016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-30480</wp:posOffset>
            </wp:positionV>
            <wp:extent cx="1654810" cy="501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8">
                      <a:extLst>
                        <a:ext uri="{28A0092B-C50C-407E-A947-70E740481C1C}"/>
                      </a:extLst>
                    </a:blip>
                    <a:srcRect/>
                    <a:stretch>
                      <a:fillRect/>
                    </a:stretch>
                  </pic:blipFill>
                  <pic:spPr bwMode="auto">
                    <a:xfrm>
                      <a:off x="0" y="0"/>
                      <a:ext cx="1654810" cy="50165"/>
                    </a:xfrm>
                    <a:prstGeom prst="rect">
                      <a:avLst/>
                    </a:prstGeom>
                    <a:noFill/>
                  </pic:spPr>
                </pic:pic>
              </a:graphicData>
            </a:graphic>
          </wp:anchor>
        </w:drawing>
      </w:r>
    </w:p>
    <w:p>
      <w:pPr>
        <w:spacing w:after="0" w:line="185"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benefit payments, which reflect expected future service, are expected to be paid as follows for the Foreign Plans:</w:t>
      </w:r>
    </w:p>
    <w:p>
      <w:pPr>
        <w:spacing w:after="0" w:line="17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For the year ending December 31,</w:t>
            </w:r>
          </w:p>
        </w:tc>
        <w:tc>
          <w:tcPr>
            <w:tcW w:w="1800" w:type="dxa"/>
            <w:vAlign w:val="bottom"/>
          </w:tcPr>
          <w:p>
            <w:pPr>
              <w:spacing w:after="0"/>
              <w:rPr>
                <w:sz w:val="20"/>
                <w:szCs w:val="20"/>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302"/>
        </w:trPr>
        <w:tc>
          <w:tcPr>
            <w:tcW w:w="42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2026</w:t>
            </w:r>
          </w:p>
        </w:tc>
        <w:tc>
          <w:tcPr>
            <w:tcW w:w="18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12.0</w:t>
            </w:r>
          </w:p>
        </w:tc>
      </w:tr>
      <w:tr>
        <w:trPr>
          <w:trHeight w:val="290"/>
        </w:trPr>
        <w:tc>
          <w:tcPr>
            <w:tcW w:w="4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2027</w:t>
            </w:r>
          </w:p>
        </w:tc>
        <w:tc>
          <w:tcPr>
            <w:tcW w:w="1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r>
      <w:tr>
        <w:trPr>
          <w:trHeight w:val="301"/>
        </w:trPr>
        <w:tc>
          <w:tcPr>
            <w:tcW w:w="42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2028</w:t>
            </w:r>
          </w:p>
        </w:tc>
        <w:tc>
          <w:tcPr>
            <w:tcW w:w="1800" w:type="dxa"/>
            <w:vAlign w:val="bottom"/>
            <w:shd w:val="clear" w:color="auto" w:fill="CFEBF4"/>
          </w:tcPr>
          <w:p>
            <w:pPr>
              <w:spacing w:after="0"/>
              <w:rPr>
                <w:sz w:val="24"/>
                <w:szCs w:val="24"/>
                <w:color w:val="auto"/>
              </w:rPr>
            </w:pPr>
          </w:p>
        </w:tc>
        <w:tc>
          <w:tcPr>
            <w:tcW w:w="1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15.5</w:t>
            </w:r>
          </w:p>
        </w:tc>
      </w:tr>
      <w:tr>
        <w:trPr>
          <w:trHeight w:val="290"/>
        </w:trPr>
        <w:tc>
          <w:tcPr>
            <w:tcW w:w="4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2029</w:t>
            </w:r>
          </w:p>
        </w:tc>
        <w:tc>
          <w:tcPr>
            <w:tcW w:w="1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w:t>
            </w:r>
          </w:p>
        </w:tc>
      </w:tr>
      <w:tr>
        <w:trPr>
          <w:trHeight w:val="301"/>
        </w:trPr>
        <w:tc>
          <w:tcPr>
            <w:tcW w:w="42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2030</w:t>
            </w:r>
          </w:p>
        </w:tc>
        <w:tc>
          <w:tcPr>
            <w:tcW w:w="1800" w:type="dxa"/>
            <w:vAlign w:val="bottom"/>
            <w:shd w:val="clear" w:color="auto" w:fill="CFEBF4"/>
          </w:tcPr>
          <w:p>
            <w:pPr>
              <w:spacing w:after="0"/>
              <w:rPr>
                <w:sz w:val="24"/>
                <w:szCs w:val="24"/>
                <w:color w:val="auto"/>
              </w:rPr>
            </w:pPr>
          </w:p>
        </w:tc>
        <w:tc>
          <w:tcPr>
            <w:tcW w:w="1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16.7</w:t>
            </w:r>
          </w:p>
        </w:tc>
      </w:tr>
      <w:tr>
        <w:trPr>
          <w:trHeight w:val="284"/>
        </w:trPr>
        <w:tc>
          <w:tcPr>
            <w:tcW w:w="4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2031 to 2035</w:t>
            </w:r>
          </w:p>
        </w:tc>
        <w:tc>
          <w:tcPr>
            <w:tcW w:w="1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96.1</w:t>
            </w:r>
          </w:p>
        </w:tc>
      </w:tr>
    </w:tbl>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Company expects to contribute approximately $6.6 million to its Foreign Plans in 2026.</w:t>
      </w:r>
    </w:p>
    <w:p>
      <w:pPr>
        <w:spacing w:after="0" w:line="125"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assets of the various defined benefit plans are held in separate independent trusts and managed by independent third-party advisors. The investment objective for the defined benefit plans is to ensure an adequate level of assets is available to fund the benefits owed to employees and their beneficiaries when they become payable. In meeting this objective, the Company seeks to achieve a level of absolute investment return consistent with a prudent level of portfolio risk. The Company’s risk preference is to refrain from exposing the plans to higher volatility in pursuit of potential higher returns.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120"/>
          </w:cols>
          <w:pgMar w:left="880" w:top="285" w:right="88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asset mixes and the asset allocation guidelines for the Foreign Plans are summarized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2860" w:type="dxa"/>
            <w:vAlign w:val="bottom"/>
            <w:tcBorders>
              <w:bottom w:val="single" w:sz="8" w:color="231F20"/>
            </w:tcBorders>
            <w:gridSpan w:val="9"/>
          </w:tcPr>
          <w:p>
            <w:pPr>
              <w:ind w:left="700"/>
              <w:spacing w:after="0"/>
              <w:rPr>
                <w:sz w:val="20"/>
                <w:szCs w:val="20"/>
                <w:color w:val="auto"/>
              </w:rPr>
            </w:pPr>
            <w:r>
              <w:rPr>
                <w:rFonts w:ascii="Times New Roman" w:cs="Times New Roman" w:eastAsia="Times New Roman" w:hAnsi="Times New Roman"/>
                <w:sz w:val="18"/>
                <w:szCs w:val="18"/>
                <w:b w:val="1"/>
                <w:bCs w:val="1"/>
                <w:color w:val="231F20"/>
              </w:rPr>
              <w:t>Foreign Plans</w:t>
            </w:r>
          </w:p>
        </w:tc>
        <w:tc>
          <w:tcPr>
            <w:tcW w:w="9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2860" w:type="dxa"/>
            <w:vAlign w:val="bottom"/>
            <w:tcBorders>
              <w:bottom w:val="single" w:sz="8" w:color="231F20"/>
            </w:tcBorders>
            <w:gridSpan w:val="9"/>
          </w:tcPr>
          <w:p>
            <w:pPr>
              <w:ind w:left="1060"/>
              <w:spacing w:after="0"/>
              <w:rPr>
                <w:sz w:val="20"/>
                <w:szCs w:val="20"/>
                <w:color w:val="auto"/>
              </w:rPr>
            </w:pPr>
            <w:r>
              <w:rPr>
                <w:rFonts w:ascii="Times New Roman" w:cs="Times New Roman" w:eastAsia="Times New Roman" w:hAnsi="Times New Roman"/>
                <w:sz w:val="18"/>
                <w:szCs w:val="18"/>
                <w:b w:val="1"/>
                <w:bCs w:val="1"/>
                <w:color w:val="231F20"/>
              </w:rPr>
              <w:t>Allocation Guidelines</w:t>
            </w:r>
          </w:p>
        </w:tc>
        <w:tc>
          <w:tcPr>
            <w:tcW w:w="9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ind w:left="60"/>
              <w:spacing w:after="0" w:line="173" w:lineRule="exact"/>
              <w:rPr>
                <w:sz w:val="20"/>
                <w:szCs w:val="20"/>
                <w:color w:val="auto"/>
              </w:rPr>
            </w:pPr>
            <w:r>
              <w:rPr>
                <w:rFonts w:ascii="Times New Roman" w:cs="Times New Roman" w:eastAsia="Times New Roman" w:hAnsi="Times New Roman"/>
                <w:sz w:val="18"/>
                <w:szCs w:val="18"/>
                <w:b w:val="1"/>
                <w:bCs w:val="1"/>
                <w:color w:val="231F20"/>
              </w:rPr>
              <w:t>December 31,</w:t>
            </w:r>
          </w:p>
        </w:tc>
        <w:tc>
          <w:tcPr>
            <w:tcW w:w="40" w:type="dxa"/>
            <w:vAlign w:val="bottom"/>
          </w:tcPr>
          <w:p>
            <w:pPr>
              <w:spacing w:after="0"/>
              <w:rPr>
                <w:sz w:val="15"/>
                <w:szCs w:val="15"/>
                <w:color w:val="auto"/>
              </w:rPr>
            </w:pPr>
          </w:p>
        </w:tc>
        <w:tc>
          <w:tcPr>
            <w:tcW w:w="1180" w:type="dxa"/>
            <w:vAlign w:val="bottom"/>
            <w:vMerge w:val="restart"/>
          </w:tcPr>
          <w:p>
            <w:pPr>
              <w:jc w:val="right"/>
              <w:ind w:right="365"/>
              <w:spacing w:after="0"/>
              <w:rPr>
                <w:sz w:val="20"/>
                <w:szCs w:val="20"/>
                <w:color w:val="auto"/>
              </w:rPr>
            </w:pPr>
            <w:r>
              <w:rPr>
                <w:rFonts w:ascii="Times New Roman" w:cs="Times New Roman" w:eastAsia="Times New Roman" w:hAnsi="Times New Roman"/>
                <w:sz w:val="18"/>
                <w:szCs w:val="18"/>
                <w:b w:val="1"/>
                <w:bCs w:val="1"/>
                <w:color w:val="231F20"/>
              </w:rPr>
              <w:t>Min</w:t>
            </w:r>
          </w:p>
        </w:tc>
        <w:tc>
          <w:tcPr>
            <w:tcW w:w="80" w:type="dxa"/>
            <w:vAlign w:val="bottom"/>
            <w:gridSpan w:val="2"/>
            <w:vMerge w:val="restart"/>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vMerge w:val="restart"/>
          </w:tcPr>
          <w:p>
            <w:pPr>
              <w:jc w:val="right"/>
              <w:ind w:right="265"/>
              <w:spacing w:after="0"/>
              <w:rPr>
                <w:sz w:val="20"/>
                <w:szCs w:val="20"/>
                <w:color w:val="auto"/>
              </w:rPr>
            </w:pPr>
            <w:r>
              <w:rPr>
                <w:rFonts w:ascii="Times New Roman" w:cs="Times New Roman" w:eastAsia="Times New Roman" w:hAnsi="Times New Roman"/>
                <w:sz w:val="18"/>
                <w:szCs w:val="18"/>
                <w:b w:val="1"/>
                <w:bCs w:val="1"/>
                <w:color w:val="231F20"/>
              </w:rPr>
              <w:t>Target</w:t>
            </w:r>
          </w:p>
        </w:tc>
        <w:tc>
          <w:tcPr>
            <w:tcW w:w="80" w:type="dxa"/>
            <w:vAlign w:val="bottom"/>
            <w:gridSpan w:val="2"/>
            <w:vMerge w:val="restart"/>
          </w:tcPr>
          <w:p>
            <w:pPr>
              <w:spacing w:after="0"/>
              <w:rPr>
                <w:sz w:val="15"/>
                <w:szCs w:val="15"/>
                <w:color w:val="auto"/>
              </w:rPr>
            </w:pPr>
          </w:p>
        </w:tc>
        <w:tc>
          <w:tcPr>
            <w:tcW w:w="300" w:type="dxa"/>
            <w:vAlign w:val="bottom"/>
            <w:gridSpan w:val="2"/>
            <w:vMerge w:val="restart"/>
          </w:tcPr>
          <w:p>
            <w:pPr>
              <w:spacing w:after="0"/>
              <w:rPr>
                <w:sz w:val="15"/>
                <w:szCs w:val="15"/>
                <w:color w:val="auto"/>
              </w:rPr>
            </w:pPr>
          </w:p>
        </w:tc>
        <w:tc>
          <w:tcPr>
            <w:tcW w:w="920" w:type="dxa"/>
            <w:vAlign w:val="bottom"/>
            <w:vMerge w:val="restart"/>
          </w:tcPr>
          <w:p>
            <w:pPr>
              <w:jc w:val="right"/>
              <w:ind w:right="343"/>
              <w:spacing w:after="0"/>
              <w:rPr>
                <w:sz w:val="20"/>
                <w:szCs w:val="20"/>
                <w:color w:val="auto"/>
              </w:rPr>
            </w:pPr>
            <w:r>
              <w:rPr>
                <w:rFonts w:ascii="Times New Roman" w:cs="Times New Roman" w:eastAsia="Times New Roman" w:hAnsi="Times New Roman"/>
                <w:sz w:val="18"/>
                <w:szCs w:val="18"/>
                <w:b w:val="1"/>
                <w:bCs w:val="1"/>
                <w:color w:val="231F20"/>
              </w:rPr>
              <w:t>Max</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CFEBF4"/>
            </w:tcBorders>
          </w:tcPr>
          <w:p>
            <w:pPr>
              <w:spacing w:after="0"/>
              <w:rPr>
                <w:sz w:val="20"/>
                <w:szCs w:val="20"/>
                <w:color w:val="auto"/>
              </w:rPr>
            </w:pPr>
          </w:p>
        </w:tc>
        <w:tc>
          <w:tcPr>
            <w:tcW w:w="4840" w:type="dxa"/>
            <w:vAlign w:val="bottom"/>
            <w:tcBorders>
              <w:bottom w:val="single" w:sz="8" w:color="CFEBF4"/>
            </w:tcBorders>
          </w:tcPr>
          <w:p>
            <w:pPr>
              <w:spacing w:after="0"/>
              <w:rPr>
                <w:sz w:val="20"/>
                <w:szCs w:val="20"/>
                <w:color w:val="auto"/>
              </w:rPr>
            </w:pPr>
          </w:p>
        </w:tc>
        <w:tc>
          <w:tcPr>
            <w:tcW w:w="1220" w:type="dxa"/>
            <w:vAlign w:val="bottom"/>
            <w:tcBorders>
              <w:bottom w:val="single" w:sz="8" w:color="231F20"/>
            </w:tcBorders>
            <w:gridSpan w:val="2"/>
          </w:tcPr>
          <w:p>
            <w:pPr>
              <w:jc w:val="right"/>
              <w:ind w:right="346"/>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40" w:type="dxa"/>
            <w:vAlign w:val="bottom"/>
            <w:tcBorders>
              <w:bottom w:val="single" w:sz="8" w:color="CFEBF4"/>
            </w:tcBorders>
          </w:tcPr>
          <w:p>
            <w:pPr>
              <w:spacing w:after="0"/>
              <w:rPr>
                <w:sz w:val="20"/>
                <w:szCs w:val="20"/>
                <w:color w:val="auto"/>
              </w:rPr>
            </w:pPr>
          </w:p>
        </w:tc>
        <w:tc>
          <w:tcPr>
            <w:tcW w:w="40" w:type="dxa"/>
            <w:vAlign w:val="bottom"/>
            <w:tcBorders>
              <w:bottom w:val="single" w:sz="8" w:color="CFEBF4"/>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gridSpan w:val="2"/>
            <w:vMerge w:val="continue"/>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gridSpan w:val="2"/>
            <w:vMerge w:val="continue"/>
          </w:tcPr>
          <w:p>
            <w:pPr>
              <w:spacing w:after="0"/>
              <w:rPr>
                <w:sz w:val="20"/>
                <w:szCs w:val="20"/>
                <w:color w:val="auto"/>
              </w:rPr>
            </w:pPr>
          </w:p>
        </w:tc>
        <w:tc>
          <w:tcPr>
            <w:tcW w:w="300" w:type="dxa"/>
            <w:vAlign w:val="bottom"/>
            <w:tcBorders>
              <w:bottom w:val="single" w:sz="8" w:color="231F20"/>
            </w:tcBorders>
            <w:gridSpan w:val="2"/>
            <w:vMerge w:val="continue"/>
          </w:tcPr>
          <w:p>
            <w:pPr>
              <w:spacing w:after="0"/>
              <w:rPr>
                <w:sz w:val="20"/>
                <w:szCs w:val="20"/>
                <w:color w:val="auto"/>
              </w:rPr>
            </w:pPr>
          </w:p>
        </w:tc>
        <w:tc>
          <w:tcPr>
            <w:tcW w:w="920" w:type="dxa"/>
            <w:vAlign w:val="bottom"/>
            <w:tcBorders>
              <w:bottom w:val="single" w:sz="8" w:color="231F20"/>
            </w:tcBorders>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FEBF4"/>
          </w:tcPr>
          <w:p>
            <w:pPr>
              <w:spacing w:after="0"/>
              <w:rPr>
                <w:sz w:val="24"/>
                <w:szCs w:val="24"/>
                <w:color w:val="auto"/>
              </w:rPr>
            </w:pPr>
          </w:p>
        </w:tc>
        <w:tc>
          <w:tcPr>
            <w:tcW w:w="4840" w:type="dxa"/>
            <w:vAlign w:val="bottom"/>
            <w:shd w:val="clear" w:color="auto" w:fill="CFEBF4"/>
          </w:tcPr>
          <w:p>
            <w:pPr>
              <w:spacing w:after="0"/>
              <w:rPr>
                <w:sz w:val="20"/>
                <w:szCs w:val="20"/>
                <w:color w:val="auto"/>
              </w:rPr>
            </w:pPr>
            <w:r>
              <w:rPr>
                <w:rFonts w:ascii="Times New Roman" w:cs="Times New Roman" w:eastAsia="Times New Roman" w:hAnsi="Times New Roman"/>
                <w:sz w:val="20"/>
                <w:szCs w:val="20"/>
                <w:color w:val="231F20"/>
              </w:rPr>
              <w:t>Equities</w:t>
            </w:r>
          </w:p>
        </w:tc>
        <w:tc>
          <w:tcPr>
            <w:tcW w:w="1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15.8 %</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260" w:type="dxa"/>
            <w:vAlign w:val="bottom"/>
            <w:gridSpan w:val="3"/>
            <w:shd w:val="clear" w:color="auto" w:fill="CFEBF4"/>
          </w:tcPr>
          <w:p>
            <w:pPr>
              <w:ind w:left="740"/>
              <w:spacing w:after="0"/>
              <w:rPr>
                <w:sz w:val="20"/>
                <w:szCs w:val="20"/>
                <w:color w:val="auto"/>
              </w:rPr>
            </w:pPr>
            <w:r>
              <w:rPr>
                <w:rFonts w:ascii="Times New Roman" w:cs="Times New Roman" w:eastAsia="Times New Roman" w:hAnsi="Times New Roman"/>
                <w:sz w:val="20"/>
                <w:szCs w:val="20"/>
                <w:color w:val="231F20"/>
              </w:rPr>
              <w:t>— %</w:t>
            </w:r>
          </w:p>
        </w:tc>
        <w:tc>
          <w:tcPr>
            <w:tcW w:w="1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16 %</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Debt securities:</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 w:type="dxa"/>
            <w:vAlign w:val="bottom"/>
            <w:shd w:val="clear" w:color="auto" w:fill="CFEBF4"/>
          </w:tcPr>
          <w:p>
            <w:pPr>
              <w:spacing w:after="0"/>
              <w:rPr>
                <w:sz w:val="24"/>
                <w:szCs w:val="24"/>
                <w:color w:val="auto"/>
              </w:rPr>
            </w:pPr>
          </w:p>
        </w:tc>
        <w:tc>
          <w:tcPr>
            <w:tcW w:w="4840" w:type="dxa"/>
            <w:vAlign w:val="bottom"/>
            <w:shd w:val="clear" w:color="auto" w:fill="CFEBF4"/>
          </w:tcPr>
          <w:p>
            <w:pPr>
              <w:ind w:left="120"/>
              <w:spacing w:after="0"/>
              <w:rPr>
                <w:sz w:val="20"/>
                <w:szCs w:val="20"/>
                <w:color w:val="auto"/>
              </w:rPr>
            </w:pPr>
            <w:r>
              <w:rPr>
                <w:rFonts w:ascii="Times New Roman" w:cs="Times New Roman" w:eastAsia="Times New Roman" w:hAnsi="Times New Roman"/>
                <w:sz w:val="20"/>
                <w:szCs w:val="20"/>
                <w:color w:val="231F20"/>
              </w:rPr>
              <w:t>Domestic treasuries</w:t>
            </w:r>
          </w:p>
        </w:tc>
        <w:tc>
          <w:tcPr>
            <w:tcW w:w="1220" w:type="dxa"/>
            <w:vAlign w:val="bottom"/>
            <w:gridSpan w:val="2"/>
            <w:shd w:val="clear" w:color="auto" w:fill="CFEBF4"/>
          </w:tcPr>
          <w:p>
            <w:pPr>
              <w:jc w:val="right"/>
              <w:ind w:right="146"/>
              <w:spacing w:after="0"/>
              <w:rPr>
                <w:sz w:val="20"/>
                <w:szCs w:val="20"/>
                <w:color w:val="auto"/>
              </w:rPr>
            </w:pPr>
            <w:r>
              <w:rPr>
                <w:rFonts w:ascii="Times New Roman" w:cs="Times New Roman" w:eastAsia="Times New Roman" w:hAnsi="Times New Roman"/>
                <w:sz w:val="20"/>
                <w:szCs w:val="20"/>
                <w:color w:val="231F20"/>
              </w:rPr>
              <w:t>0.7</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260" w:type="dxa"/>
            <w:vAlign w:val="bottom"/>
            <w:gridSpan w:val="3"/>
            <w:shd w:val="clear" w:color="auto" w:fill="CFEBF4"/>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gridSpan w:val="2"/>
            <w:shd w:val="clear" w:color="auto" w:fill="CFEBF4"/>
          </w:tcPr>
          <w:p>
            <w:pPr>
              <w:jc w:val="right"/>
              <w:ind w:right="14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ind w:right="143"/>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Corporate bonds</w:t>
            </w:r>
          </w:p>
        </w:tc>
        <w:tc>
          <w:tcPr>
            <w:tcW w:w="1220" w:type="dxa"/>
            <w:vAlign w:val="bottom"/>
            <w:gridSpan w:val="2"/>
          </w:tcPr>
          <w:p>
            <w:pPr>
              <w:jc w:val="right"/>
              <w:ind w:right="146"/>
              <w:spacing w:after="0"/>
              <w:rPr>
                <w:sz w:val="20"/>
                <w:szCs w:val="20"/>
                <w:color w:val="auto"/>
              </w:rPr>
            </w:pPr>
            <w:r>
              <w:rPr>
                <w:rFonts w:ascii="Times New Roman" w:cs="Times New Roman" w:eastAsia="Times New Roman" w:hAnsi="Times New Roman"/>
                <w:sz w:val="20"/>
                <w:szCs w:val="20"/>
                <w:color w:val="231F20"/>
              </w:rPr>
              <w:t>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231F20"/>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231F20"/>
              </w:rPr>
              <w:t>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tcBorders>
              <w:bottom w:val="single" w:sz="8" w:color="CFEBF4"/>
            </w:tcBorders>
            <w:shd w:val="clear" w:color="auto" w:fill="CFEBF4"/>
          </w:tcPr>
          <w:p>
            <w:pPr>
              <w:spacing w:after="0"/>
              <w:rPr>
                <w:sz w:val="24"/>
                <w:szCs w:val="24"/>
                <w:color w:val="auto"/>
              </w:rPr>
            </w:pPr>
          </w:p>
        </w:tc>
        <w:tc>
          <w:tcPr>
            <w:tcW w:w="4840" w:type="dxa"/>
            <w:vAlign w:val="bottom"/>
            <w:tcBorders>
              <w:bottom w:val="single" w:sz="8" w:color="CFEBF4"/>
            </w:tcBorders>
            <w:shd w:val="clear" w:color="auto" w:fill="CFEBF4"/>
          </w:tcPr>
          <w:p>
            <w:pPr>
              <w:ind w:left="120"/>
              <w:spacing w:after="0"/>
              <w:rPr>
                <w:sz w:val="20"/>
                <w:szCs w:val="20"/>
                <w:color w:val="auto"/>
              </w:rPr>
            </w:pPr>
            <w:r>
              <w:rPr>
                <w:rFonts w:ascii="Times New Roman" w:cs="Times New Roman" w:eastAsia="Times New Roman" w:hAnsi="Times New Roman"/>
                <w:sz w:val="20"/>
                <w:szCs w:val="20"/>
                <w:color w:val="231F20"/>
              </w:rPr>
              <w:t>Pooled investment funds and other</w:t>
            </w:r>
          </w:p>
        </w:tc>
        <w:tc>
          <w:tcPr>
            <w:tcW w:w="1220" w:type="dxa"/>
            <w:vAlign w:val="bottom"/>
            <w:tcBorders>
              <w:bottom w:val="single" w:sz="8" w:color="231F20"/>
            </w:tcBorders>
            <w:gridSpan w:val="2"/>
            <w:shd w:val="clear" w:color="auto" w:fill="CFEBF4"/>
          </w:tcPr>
          <w:p>
            <w:pPr>
              <w:jc w:val="right"/>
              <w:ind w:right="146"/>
              <w:spacing w:after="0"/>
              <w:rPr>
                <w:sz w:val="20"/>
                <w:szCs w:val="20"/>
                <w:color w:val="auto"/>
              </w:rPr>
            </w:pPr>
            <w:r>
              <w:rPr>
                <w:rFonts w:ascii="Times New Roman" w:cs="Times New Roman" w:eastAsia="Times New Roman" w:hAnsi="Times New Roman"/>
                <w:sz w:val="20"/>
                <w:szCs w:val="20"/>
                <w:color w:val="231F20"/>
              </w:rPr>
              <w:t>69.3</w:t>
            </w: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1220" w:type="dxa"/>
            <w:vAlign w:val="bottom"/>
            <w:tcBorders>
              <w:bottom w:val="single" w:sz="8" w:color="231F20"/>
            </w:tcBorders>
            <w:gridSpan w:val="2"/>
            <w:shd w:val="clear" w:color="auto" w:fill="CFEBF4"/>
          </w:tcPr>
          <w:p>
            <w:pPr>
              <w:jc w:val="right"/>
              <w:ind w:right="145"/>
              <w:spacing w:after="0"/>
              <w:rPr>
                <w:sz w:val="20"/>
                <w:szCs w:val="20"/>
                <w:color w:val="auto"/>
              </w:rPr>
            </w:pPr>
            <w:r>
              <w:rPr>
                <w:rFonts w:ascii="Times New Roman" w:cs="Times New Roman" w:eastAsia="Times New Roman" w:hAnsi="Times New Roman"/>
                <w:sz w:val="20"/>
                <w:szCs w:val="20"/>
                <w:color w:val="231F20"/>
              </w:rPr>
              <w:t>40</w:t>
            </w: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1220" w:type="dxa"/>
            <w:vAlign w:val="bottom"/>
            <w:tcBorders>
              <w:bottom w:val="single" w:sz="8" w:color="231F20"/>
            </w:tcBorders>
            <w:gridSpan w:val="2"/>
            <w:shd w:val="clear" w:color="auto" w:fill="CFEBF4"/>
          </w:tcPr>
          <w:p>
            <w:pPr>
              <w:jc w:val="right"/>
              <w:ind w:right="145"/>
              <w:spacing w:after="0"/>
              <w:rPr>
                <w:sz w:val="20"/>
                <w:szCs w:val="20"/>
                <w:color w:val="auto"/>
              </w:rPr>
            </w:pPr>
            <w:r>
              <w:rPr>
                <w:rFonts w:ascii="Times New Roman" w:cs="Times New Roman" w:eastAsia="Times New Roman" w:hAnsi="Times New Roman"/>
                <w:sz w:val="20"/>
                <w:szCs w:val="20"/>
                <w:color w:val="231F20"/>
              </w:rPr>
              <w:t>69</w:t>
            </w: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231F20"/>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spacing w:after="0"/>
              <w:rPr>
                <w:sz w:val="24"/>
                <w:szCs w:val="24"/>
                <w:color w:val="auto"/>
              </w:rPr>
            </w:pPr>
          </w:p>
        </w:tc>
        <w:tc>
          <w:tcPr>
            <w:tcW w:w="920" w:type="dxa"/>
            <w:vAlign w:val="bottom"/>
            <w:tcBorders>
              <w:bottom w:val="single" w:sz="8" w:color="231F20"/>
            </w:tcBorders>
            <w:shd w:val="clear" w:color="auto" w:fill="CFEBF4"/>
          </w:tcPr>
          <w:p>
            <w:pPr>
              <w:jc w:val="right"/>
              <w:ind w:right="143"/>
              <w:spacing w:after="0"/>
              <w:rPr>
                <w:sz w:val="20"/>
                <w:szCs w:val="20"/>
                <w:color w:val="auto"/>
              </w:rPr>
            </w:pPr>
            <w:r>
              <w:rPr>
                <w:rFonts w:ascii="Times New Roman" w:cs="Times New Roman" w:eastAsia="Times New Roman" w:hAnsi="Times New Roman"/>
                <w:sz w:val="20"/>
                <w:szCs w:val="20"/>
                <w:color w:val="231F20"/>
              </w:rPr>
              <w:t>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Total debt securities</w:t>
            </w:r>
          </w:p>
        </w:tc>
        <w:tc>
          <w:tcPr>
            <w:tcW w:w="1220" w:type="dxa"/>
            <w:vAlign w:val="bottom"/>
            <w:gridSpan w:val="2"/>
          </w:tcPr>
          <w:p>
            <w:pPr>
              <w:jc w:val="right"/>
              <w:ind w:right="146"/>
              <w:spacing w:after="0"/>
              <w:rPr>
                <w:sz w:val="20"/>
                <w:szCs w:val="20"/>
                <w:color w:val="auto"/>
              </w:rPr>
            </w:pPr>
            <w:r>
              <w:rPr>
                <w:rFonts w:ascii="Times New Roman" w:cs="Times New Roman" w:eastAsia="Times New Roman" w:hAnsi="Times New Roman"/>
                <w:sz w:val="20"/>
                <w:szCs w:val="20"/>
                <w:color w:val="231F20"/>
              </w:rPr>
              <w:t>73.0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231F20"/>
              </w:rPr>
              <w:t>73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 w:type="dxa"/>
            <w:vAlign w:val="bottom"/>
            <w:shd w:val="clear" w:color="auto" w:fill="CFEBF4"/>
          </w:tcPr>
          <w:p>
            <w:pPr>
              <w:spacing w:after="0"/>
              <w:rPr>
                <w:sz w:val="24"/>
                <w:szCs w:val="24"/>
                <w:color w:val="auto"/>
              </w:rPr>
            </w:pPr>
          </w:p>
        </w:tc>
        <w:tc>
          <w:tcPr>
            <w:tcW w:w="4840" w:type="dxa"/>
            <w:vAlign w:val="bottom"/>
            <w:shd w:val="clear" w:color="auto" w:fill="CFEBF4"/>
          </w:tcPr>
          <w:p>
            <w:pPr>
              <w:spacing w:after="0"/>
              <w:rPr>
                <w:sz w:val="20"/>
                <w:szCs w:val="20"/>
                <w:color w:val="auto"/>
              </w:rPr>
            </w:pPr>
            <w:r>
              <w:rPr>
                <w:rFonts w:ascii="Times New Roman" w:cs="Times New Roman" w:eastAsia="Times New Roman" w:hAnsi="Times New Roman"/>
                <w:sz w:val="20"/>
                <w:szCs w:val="20"/>
                <w:color w:val="231F20"/>
              </w:rPr>
              <w:t>Property/real estate</w:t>
            </w:r>
          </w:p>
        </w:tc>
        <w:tc>
          <w:tcPr>
            <w:tcW w:w="1220" w:type="dxa"/>
            <w:vAlign w:val="bottom"/>
            <w:gridSpan w:val="2"/>
            <w:shd w:val="clear" w:color="auto" w:fill="CFEBF4"/>
          </w:tcPr>
          <w:p>
            <w:pPr>
              <w:jc w:val="right"/>
              <w:ind w:right="146"/>
              <w:spacing w:after="0"/>
              <w:rPr>
                <w:sz w:val="20"/>
                <w:szCs w:val="20"/>
                <w:color w:val="auto"/>
              </w:rPr>
            </w:pPr>
            <w:r>
              <w:rPr>
                <w:rFonts w:ascii="Times New Roman" w:cs="Times New Roman" w:eastAsia="Times New Roman" w:hAnsi="Times New Roman"/>
                <w:sz w:val="20"/>
                <w:szCs w:val="20"/>
                <w:color w:val="231F20"/>
              </w:rPr>
              <w:t>1.7</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260" w:type="dxa"/>
            <w:vAlign w:val="bottom"/>
            <w:gridSpan w:val="3"/>
            <w:shd w:val="clear" w:color="auto" w:fill="CFEBF4"/>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gridSpan w:val="2"/>
            <w:shd w:val="clear" w:color="auto" w:fill="CFEBF4"/>
          </w:tcPr>
          <w:p>
            <w:pPr>
              <w:jc w:val="right"/>
              <w:ind w:right="14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ind w:right="143"/>
              <w:spacing w:after="0"/>
              <w:rPr>
                <w:sz w:val="20"/>
                <w:szCs w:val="20"/>
                <w:color w:val="auto"/>
              </w:rPr>
            </w:pPr>
            <w:r>
              <w:rPr>
                <w:rFonts w:ascii="Times New Roman" w:cs="Times New Roman" w:eastAsia="Times New Roman" w:hAnsi="Times New Roman"/>
                <w:sz w:val="20"/>
                <w:szCs w:val="20"/>
                <w:color w:val="231F20"/>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Insurance products</w:t>
            </w:r>
          </w:p>
        </w:tc>
        <w:tc>
          <w:tcPr>
            <w:tcW w:w="1220" w:type="dxa"/>
            <w:vAlign w:val="bottom"/>
            <w:gridSpan w:val="2"/>
          </w:tcPr>
          <w:p>
            <w:pPr>
              <w:jc w:val="right"/>
              <w:ind w:right="146"/>
              <w:spacing w:after="0"/>
              <w:rPr>
                <w:sz w:val="20"/>
                <w:szCs w:val="20"/>
                <w:color w:val="auto"/>
              </w:rPr>
            </w:pPr>
            <w:r>
              <w:rPr>
                <w:rFonts w:ascii="Times New Roman" w:cs="Times New Roman" w:eastAsia="Times New Roman" w:hAnsi="Times New Roman"/>
                <w:sz w:val="20"/>
                <w:szCs w:val="20"/>
                <w:color w:val="231F20"/>
              </w:rPr>
              <w:t>8.8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231F20"/>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231F20"/>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231F20"/>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tcBorders>
              <w:bottom w:val="single" w:sz="8" w:color="CFEBF4"/>
            </w:tcBorders>
            <w:shd w:val="clear" w:color="auto" w:fill="CFEBF4"/>
          </w:tcPr>
          <w:p>
            <w:pPr>
              <w:spacing w:after="0"/>
              <w:rPr>
                <w:sz w:val="24"/>
                <w:szCs w:val="24"/>
                <w:color w:val="auto"/>
              </w:rPr>
            </w:pPr>
          </w:p>
        </w:tc>
        <w:tc>
          <w:tcPr>
            <w:tcW w:w="4840" w:type="dxa"/>
            <w:vAlign w:val="bottom"/>
            <w:tcBorders>
              <w:bottom w:val="single" w:sz="8" w:color="CFEBF4"/>
            </w:tcBorders>
            <w:shd w:val="clear" w:color="auto" w:fill="CFEBF4"/>
          </w:tcPr>
          <w:p>
            <w:pPr>
              <w:spacing w:after="0"/>
              <w:rPr>
                <w:sz w:val="20"/>
                <w:szCs w:val="20"/>
                <w:color w:val="auto"/>
              </w:rPr>
            </w:pPr>
            <w:r>
              <w:rPr>
                <w:rFonts w:ascii="Times New Roman" w:cs="Times New Roman" w:eastAsia="Times New Roman" w:hAnsi="Times New Roman"/>
                <w:sz w:val="20"/>
                <w:szCs w:val="20"/>
                <w:color w:val="231F20"/>
              </w:rPr>
              <w:t>Other</w:t>
            </w:r>
          </w:p>
        </w:tc>
        <w:tc>
          <w:tcPr>
            <w:tcW w:w="1220" w:type="dxa"/>
            <w:vAlign w:val="bottom"/>
            <w:tcBorders>
              <w:bottom w:val="single" w:sz="8" w:color="231F20"/>
            </w:tcBorders>
            <w:gridSpan w:val="2"/>
            <w:shd w:val="clear" w:color="auto" w:fill="CFEBF4"/>
          </w:tcPr>
          <w:p>
            <w:pPr>
              <w:jc w:val="right"/>
              <w:ind w:right="146"/>
              <w:spacing w:after="0"/>
              <w:rPr>
                <w:sz w:val="20"/>
                <w:szCs w:val="20"/>
                <w:color w:val="auto"/>
              </w:rPr>
            </w:pPr>
            <w:r>
              <w:rPr>
                <w:rFonts w:ascii="Times New Roman" w:cs="Times New Roman" w:eastAsia="Times New Roman" w:hAnsi="Times New Roman"/>
                <w:sz w:val="20"/>
                <w:szCs w:val="20"/>
                <w:color w:val="231F20"/>
              </w:rPr>
              <w:t>0.7</w:t>
            </w: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1260" w:type="dxa"/>
            <w:vAlign w:val="bottom"/>
            <w:tcBorders>
              <w:bottom w:val="single" w:sz="8" w:color="CFEBF4"/>
            </w:tcBorders>
            <w:gridSpan w:val="3"/>
            <w:shd w:val="clear" w:color="auto" w:fill="CFEBF4"/>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bottom w:val="single" w:sz="8" w:color="231F20"/>
            </w:tcBorders>
            <w:gridSpan w:val="2"/>
            <w:shd w:val="clear" w:color="auto" w:fill="CFEBF4"/>
          </w:tcPr>
          <w:p>
            <w:pPr>
              <w:jc w:val="right"/>
              <w:ind w:right="14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CFEBF4"/>
            </w:tcBorders>
            <w:shd w:val="clear" w:color="auto" w:fill="CFEBF4"/>
          </w:tcPr>
          <w:p>
            <w:pPr>
              <w:spacing w:after="0"/>
              <w:rPr>
                <w:sz w:val="24"/>
                <w:szCs w:val="24"/>
                <w:color w:val="auto"/>
              </w:rPr>
            </w:pPr>
          </w:p>
        </w:tc>
        <w:tc>
          <w:tcPr>
            <w:tcW w:w="920" w:type="dxa"/>
            <w:vAlign w:val="bottom"/>
            <w:tcBorders>
              <w:bottom w:val="single" w:sz="8" w:color="CFEBF4"/>
            </w:tcBorders>
            <w:shd w:val="clear" w:color="auto" w:fill="CFEBF4"/>
          </w:tcPr>
          <w:p>
            <w:pPr>
              <w:jc w:val="right"/>
              <w:ind w:right="143"/>
              <w:spacing w:after="0"/>
              <w:rPr>
                <w:sz w:val="20"/>
                <w:szCs w:val="20"/>
                <w:color w:val="auto"/>
              </w:rPr>
            </w:pPr>
            <w:r>
              <w:rPr>
                <w:rFonts w:ascii="Times New Roman" w:cs="Times New Roman" w:eastAsia="Times New Roman" w:hAnsi="Times New Roman"/>
                <w:sz w:val="20"/>
                <w:szCs w:val="20"/>
                <w:color w:val="231F20"/>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2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100.0 %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100 %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860" w:type="dxa"/>
            <w:vAlign w:val="bottom"/>
            <w:tcBorders>
              <w:bottom w:val="single" w:sz="8" w:color="231F20"/>
            </w:tcBorders>
            <w:gridSpan w:val="9"/>
          </w:tcPr>
          <w:p>
            <w:pPr>
              <w:ind w:left="740"/>
              <w:spacing w:after="0"/>
              <w:rPr>
                <w:sz w:val="20"/>
                <w:szCs w:val="20"/>
                <w:color w:val="auto"/>
              </w:rPr>
            </w:pPr>
            <w:r>
              <w:rPr>
                <w:rFonts w:ascii="Times New Roman" w:cs="Times New Roman" w:eastAsia="Times New Roman" w:hAnsi="Times New Roman"/>
                <w:sz w:val="18"/>
                <w:szCs w:val="18"/>
                <w:b w:val="1"/>
                <w:bCs w:val="1"/>
                <w:color w:val="231F20"/>
              </w:rPr>
              <w:t>Foreign Plans</w:t>
            </w:r>
          </w:p>
        </w:tc>
        <w:tc>
          <w:tcPr>
            <w:tcW w:w="9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Borders>
              <w:bottom w:val="single" w:sz="8" w:color="231F20"/>
            </w:tcBorders>
            <w:gridSpan w:val="9"/>
          </w:tcPr>
          <w:p>
            <w:pPr>
              <w:ind w:left="1100"/>
              <w:spacing w:after="0"/>
              <w:rPr>
                <w:sz w:val="20"/>
                <w:szCs w:val="20"/>
                <w:color w:val="auto"/>
              </w:rPr>
            </w:pPr>
            <w:r>
              <w:rPr>
                <w:rFonts w:ascii="Times New Roman" w:cs="Times New Roman" w:eastAsia="Times New Roman" w:hAnsi="Times New Roman"/>
                <w:sz w:val="18"/>
                <w:szCs w:val="18"/>
                <w:b w:val="1"/>
                <w:bCs w:val="1"/>
                <w:color w:val="231F20"/>
              </w:rPr>
              <w:t>Allocation Guidelines</w:t>
            </w:r>
          </w:p>
        </w:tc>
        <w:tc>
          <w:tcPr>
            <w:tcW w:w="92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ind w:left="100"/>
              <w:spacing w:after="0" w:line="173" w:lineRule="exact"/>
              <w:rPr>
                <w:sz w:val="20"/>
                <w:szCs w:val="20"/>
                <w:color w:val="auto"/>
              </w:rPr>
            </w:pPr>
            <w:r>
              <w:rPr>
                <w:rFonts w:ascii="Times New Roman" w:cs="Times New Roman" w:eastAsia="Times New Roman" w:hAnsi="Times New Roman"/>
                <w:sz w:val="18"/>
                <w:szCs w:val="18"/>
                <w:b w:val="1"/>
                <w:bCs w:val="1"/>
                <w:color w:val="231F20"/>
              </w:rPr>
              <w:t>December 31,</w:t>
            </w:r>
          </w:p>
        </w:tc>
        <w:tc>
          <w:tcPr>
            <w:tcW w:w="40" w:type="dxa"/>
            <w:vAlign w:val="bottom"/>
          </w:tcPr>
          <w:p>
            <w:pPr>
              <w:spacing w:after="0"/>
              <w:rPr>
                <w:sz w:val="15"/>
                <w:szCs w:val="15"/>
                <w:color w:val="auto"/>
              </w:rPr>
            </w:pPr>
          </w:p>
        </w:tc>
        <w:tc>
          <w:tcPr>
            <w:tcW w:w="1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231F20"/>
              </w:rPr>
              <w:t>Min</w:t>
            </w:r>
          </w:p>
        </w:tc>
        <w:tc>
          <w:tcPr>
            <w:tcW w:w="4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231F20"/>
              </w:rPr>
              <w:t>Target</w:t>
            </w:r>
          </w:p>
        </w:tc>
        <w:tc>
          <w:tcPr>
            <w:tcW w:w="80" w:type="dxa"/>
            <w:vAlign w:val="bottom"/>
            <w:gridSpan w:val="2"/>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231F20"/>
              </w:rPr>
              <w:t>Max</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840" w:type="dxa"/>
            <w:vAlign w:val="bottom"/>
            <w:tcBorders>
              <w:bottom w:val="single" w:sz="8" w:color="CFEBF4"/>
            </w:tcBorders>
          </w:tcPr>
          <w:p>
            <w:pPr>
              <w:spacing w:after="0"/>
              <w:rPr>
                <w:sz w:val="20"/>
                <w:szCs w:val="20"/>
                <w:color w:val="auto"/>
              </w:rPr>
            </w:pPr>
          </w:p>
        </w:tc>
        <w:tc>
          <w:tcPr>
            <w:tcW w:w="40" w:type="dxa"/>
            <w:vAlign w:val="bottom"/>
            <w:tcBorders>
              <w:bottom w:val="single" w:sz="8" w:color="CFEBF4"/>
            </w:tcBorders>
          </w:tcPr>
          <w:p>
            <w:pPr>
              <w:spacing w:after="0"/>
              <w:rPr>
                <w:sz w:val="20"/>
                <w:szCs w:val="20"/>
                <w:color w:val="auto"/>
              </w:rPr>
            </w:pPr>
          </w:p>
        </w:tc>
        <w:tc>
          <w:tcPr>
            <w:tcW w:w="1180" w:type="dxa"/>
            <w:vAlign w:val="bottom"/>
            <w:tcBorders>
              <w:bottom w:val="single" w:sz="8" w:color="231F20"/>
            </w:tcBorders>
          </w:tcPr>
          <w:p>
            <w:pPr>
              <w:jc w:val="right"/>
              <w:ind w:right="286"/>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40" w:type="dxa"/>
            <w:vAlign w:val="bottom"/>
            <w:tcBorders>
              <w:bottom w:val="single" w:sz="8" w:color="231F20"/>
            </w:tcBorders>
          </w:tcPr>
          <w:p>
            <w:pPr>
              <w:spacing w:after="0"/>
              <w:rPr>
                <w:sz w:val="20"/>
                <w:szCs w:val="20"/>
                <w:color w:val="auto"/>
              </w:rPr>
            </w:pPr>
          </w:p>
        </w:tc>
        <w:tc>
          <w:tcPr>
            <w:tcW w:w="40" w:type="dxa"/>
            <w:vAlign w:val="bottom"/>
            <w:tcBorders>
              <w:bottom w:val="single" w:sz="8" w:color="CFEBF4"/>
            </w:tcBorders>
          </w:tcPr>
          <w:p>
            <w:pPr>
              <w:spacing w:after="0"/>
              <w:rPr>
                <w:sz w:val="20"/>
                <w:szCs w:val="20"/>
                <w:color w:val="auto"/>
              </w:rPr>
            </w:pPr>
          </w:p>
        </w:tc>
        <w:tc>
          <w:tcPr>
            <w:tcW w:w="40" w:type="dxa"/>
            <w:vAlign w:val="bottom"/>
            <w:tcBorders>
              <w:bottom w:val="single" w:sz="8" w:color="CFEBF4"/>
            </w:tcBorders>
          </w:tcPr>
          <w:p>
            <w:pPr>
              <w:spacing w:after="0"/>
              <w:rPr>
                <w:sz w:val="20"/>
                <w:szCs w:val="20"/>
                <w:color w:val="auto"/>
              </w:rPr>
            </w:pPr>
          </w:p>
        </w:tc>
        <w:tc>
          <w:tcPr>
            <w:tcW w:w="1220" w:type="dxa"/>
            <w:vAlign w:val="bottom"/>
            <w:tcBorders>
              <w:bottom w:val="single" w:sz="8" w:color="231F20"/>
            </w:tcBorders>
            <w:gridSpan w:val="2"/>
            <w:vMerge w:val="continue"/>
          </w:tcPr>
          <w:p>
            <w:pPr>
              <w:spacing w:after="0"/>
              <w:rPr>
                <w:sz w:val="20"/>
                <w:szCs w:val="20"/>
                <w:color w:val="auto"/>
              </w:rPr>
            </w:pPr>
          </w:p>
        </w:tc>
        <w:tc>
          <w:tcPr>
            <w:tcW w:w="40" w:type="dxa"/>
            <w:vAlign w:val="bottom"/>
            <w:tcBorders>
              <w:bottom w:val="single" w:sz="8" w:color="CFEBF4"/>
            </w:tcBorders>
            <w:vMerge w:val="continue"/>
          </w:tcPr>
          <w:p>
            <w:pPr>
              <w:spacing w:after="0"/>
              <w:rPr>
                <w:sz w:val="20"/>
                <w:szCs w:val="20"/>
                <w:color w:val="auto"/>
              </w:rPr>
            </w:pPr>
          </w:p>
        </w:tc>
        <w:tc>
          <w:tcPr>
            <w:tcW w:w="40" w:type="dxa"/>
            <w:vAlign w:val="bottom"/>
            <w:tcBorders>
              <w:bottom w:val="single" w:sz="8" w:color="CFEBF4"/>
            </w:tcBorders>
          </w:tcPr>
          <w:p>
            <w:pPr>
              <w:spacing w:after="0"/>
              <w:rPr>
                <w:sz w:val="20"/>
                <w:szCs w:val="20"/>
                <w:color w:val="auto"/>
              </w:rPr>
            </w:pPr>
          </w:p>
        </w:tc>
        <w:tc>
          <w:tcPr>
            <w:tcW w:w="1220" w:type="dxa"/>
            <w:vAlign w:val="bottom"/>
            <w:tcBorders>
              <w:bottom w:val="single" w:sz="8" w:color="231F20"/>
            </w:tcBorders>
            <w:gridSpan w:val="2"/>
            <w:vMerge w:val="continue"/>
          </w:tcPr>
          <w:p>
            <w:pPr>
              <w:spacing w:after="0"/>
              <w:rPr>
                <w:sz w:val="20"/>
                <w:szCs w:val="20"/>
                <w:color w:val="auto"/>
              </w:rPr>
            </w:pPr>
          </w:p>
        </w:tc>
        <w:tc>
          <w:tcPr>
            <w:tcW w:w="80" w:type="dxa"/>
            <w:vAlign w:val="bottom"/>
            <w:tcBorders>
              <w:bottom w:val="single" w:sz="8" w:color="CFEBF4"/>
            </w:tcBorders>
            <w:gridSpan w:val="2"/>
            <w:vMerge w:val="continue"/>
          </w:tcPr>
          <w:p>
            <w:pPr>
              <w:spacing w:after="0"/>
              <w:rPr>
                <w:sz w:val="20"/>
                <w:szCs w:val="20"/>
                <w:color w:val="auto"/>
              </w:rPr>
            </w:pPr>
          </w:p>
        </w:tc>
        <w:tc>
          <w:tcPr>
            <w:tcW w:w="260" w:type="dxa"/>
            <w:vAlign w:val="bottom"/>
            <w:tcBorders>
              <w:bottom w:val="single" w:sz="8" w:color="231F20"/>
            </w:tcBorders>
            <w:vMerge w:val="continue"/>
          </w:tcPr>
          <w:p>
            <w:pPr>
              <w:spacing w:after="0"/>
              <w:rPr>
                <w:sz w:val="20"/>
                <w:szCs w:val="20"/>
                <w:color w:val="auto"/>
              </w:rPr>
            </w:pPr>
          </w:p>
        </w:tc>
        <w:tc>
          <w:tcPr>
            <w:tcW w:w="960" w:type="dxa"/>
            <w:vAlign w:val="bottom"/>
            <w:tcBorders>
              <w:bottom w:val="single" w:sz="8" w:color="231F20"/>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8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Equities</w:t>
            </w:r>
          </w:p>
        </w:tc>
        <w:tc>
          <w:tcPr>
            <w:tcW w:w="126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17.6 %</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260" w:type="dxa"/>
            <w:vAlign w:val="bottom"/>
            <w:gridSpan w:val="3"/>
            <w:shd w:val="clear" w:color="auto" w:fill="CFEBF4"/>
          </w:tcPr>
          <w:p>
            <w:pPr>
              <w:ind w:left="780"/>
              <w:spacing w:after="0"/>
              <w:rPr>
                <w:sz w:val="20"/>
                <w:szCs w:val="20"/>
                <w:color w:val="auto"/>
              </w:rPr>
            </w:pPr>
            <w:r>
              <w:rPr>
                <w:rFonts w:ascii="Times New Roman" w:cs="Times New Roman" w:eastAsia="Times New Roman" w:hAnsi="Times New Roman"/>
                <w:sz w:val="20"/>
                <w:szCs w:val="20"/>
                <w:color w:val="231F20"/>
              </w:rPr>
              <w:t>— %</w:t>
            </w:r>
          </w:p>
        </w:tc>
        <w:tc>
          <w:tcPr>
            <w:tcW w:w="126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19 %</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44 %</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Debt securities:</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4840" w:type="dxa"/>
            <w:vAlign w:val="bottom"/>
            <w:shd w:val="clear" w:color="auto" w:fill="CFEBF4"/>
          </w:tcPr>
          <w:p>
            <w:pPr>
              <w:ind w:left="160"/>
              <w:spacing w:after="0"/>
              <w:rPr>
                <w:sz w:val="20"/>
                <w:szCs w:val="20"/>
                <w:color w:val="auto"/>
              </w:rPr>
            </w:pPr>
            <w:r>
              <w:rPr>
                <w:rFonts w:ascii="Times New Roman" w:cs="Times New Roman" w:eastAsia="Times New Roman" w:hAnsi="Times New Roman"/>
                <w:sz w:val="20"/>
                <w:szCs w:val="20"/>
                <w:color w:val="231F20"/>
              </w:rPr>
              <w:t>Domestic treasuries</w:t>
            </w:r>
          </w:p>
        </w:tc>
        <w:tc>
          <w:tcPr>
            <w:tcW w:w="1220" w:type="dxa"/>
            <w:vAlign w:val="bottom"/>
            <w:gridSpan w:val="2"/>
            <w:shd w:val="clear" w:color="auto" w:fill="CFEBF4"/>
          </w:tcPr>
          <w:p>
            <w:pPr>
              <w:jc w:val="right"/>
              <w:ind w:right="106"/>
              <w:spacing w:after="0"/>
              <w:rPr>
                <w:sz w:val="20"/>
                <w:szCs w:val="20"/>
                <w:color w:val="auto"/>
              </w:rPr>
            </w:pPr>
            <w:r>
              <w:rPr>
                <w:rFonts w:ascii="Times New Roman" w:cs="Times New Roman" w:eastAsia="Times New Roman" w:hAnsi="Times New Roman"/>
                <w:sz w:val="20"/>
                <w:szCs w:val="20"/>
                <w:color w:val="231F20"/>
              </w:rPr>
              <w:t>0.7</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260" w:type="dxa"/>
            <w:vAlign w:val="bottom"/>
            <w:gridSpan w:val="3"/>
            <w:shd w:val="clear" w:color="auto" w:fill="CFEBF4"/>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gridSpan w:val="2"/>
            <w:shd w:val="clear" w:color="auto" w:fill="CFEBF4"/>
          </w:tcPr>
          <w:p>
            <w:pPr>
              <w:jc w:val="right"/>
              <w:ind w:right="10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60" w:type="dxa"/>
            <w:vAlign w:val="bottom"/>
            <w:gridSpan w:val="2"/>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Corporate bonds</w:t>
            </w:r>
          </w:p>
        </w:tc>
        <w:tc>
          <w:tcPr>
            <w:tcW w:w="1220" w:type="dxa"/>
            <w:vAlign w:val="bottom"/>
            <w:gridSpan w:val="2"/>
          </w:tcPr>
          <w:p>
            <w:pPr>
              <w:jc w:val="right"/>
              <w:ind w:right="106"/>
              <w:spacing w:after="0"/>
              <w:rPr>
                <w:sz w:val="20"/>
                <w:szCs w:val="20"/>
                <w:color w:val="auto"/>
              </w:rPr>
            </w:pPr>
            <w:r>
              <w:rPr>
                <w:rFonts w:ascii="Times New Roman" w:cs="Times New Roman" w:eastAsia="Times New Roman" w:hAnsi="Times New Roman"/>
                <w:sz w:val="20"/>
                <w:szCs w:val="20"/>
                <w:color w:val="231F20"/>
              </w:rPr>
              <w:t>3.3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231F20"/>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231F20"/>
              </w:rPr>
              <w:t>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4840" w:type="dxa"/>
            <w:vAlign w:val="bottom"/>
            <w:tcBorders>
              <w:bottom w:val="single" w:sz="8" w:color="CFEBF4"/>
            </w:tcBorders>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Pooled investment funds and other</w:t>
            </w:r>
          </w:p>
        </w:tc>
        <w:tc>
          <w:tcPr>
            <w:tcW w:w="40" w:type="dxa"/>
            <w:vAlign w:val="bottom"/>
            <w:tcBorders>
              <w:bottom w:val="single" w:sz="8" w:color="CFEBF4"/>
            </w:tcBorders>
            <w:shd w:val="clear" w:color="auto" w:fill="CFEBF4"/>
          </w:tcPr>
          <w:p>
            <w:pPr>
              <w:spacing w:after="0"/>
              <w:rPr>
                <w:sz w:val="24"/>
                <w:szCs w:val="24"/>
                <w:color w:val="auto"/>
              </w:rPr>
            </w:pPr>
          </w:p>
        </w:tc>
        <w:tc>
          <w:tcPr>
            <w:tcW w:w="1180" w:type="dxa"/>
            <w:vAlign w:val="bottom"/>
            <w:tcBorders>
              <w:bottom w:val="single" w:sz="8" w:color="231F20"/>
            </w:tcBorders>
            <w:shd w:val="clear" w:color="auto" w:fill="CFEBF4"/>
          </w:tcPr>
          <w:p>
            <w:pPr>
              <w:jc w:val="right"/>
              <w:ind w:right="106"/>
              <w:spacing w:after="0"/>
              <w:rPr>
                <w:sz w:val="20"/>
                <w:szCs w:val="20"/>
                <w:color w:val="auto"/>
              </w:rPr>
            </w:pPr>
            <w:r>
              <w:rPr>
                <w:rFonts w:ascii="Times New Roman" w:cs="Times New Roman" w:eastAsia="Times New Roman" w:hAnsi="Times New Roman"/>
                <w:sz w:val="20"/>
                <w:szCs w:val="20"/>
                <w:color w:val="231F20"/>
              </w:rPr>
              <w:t>66.8</w:t>
            </w:r>
          </w:p>
        </w:tc>
        <w:tc>
          <w:tcPr>
            <w:tcW w:w="40" w:type="dxa"/>
            <w:vAlign w:val="bottom"/>
            <w:tcBorders>
              <w:bottom w:val="single" w:sz="8" w:color="231F20"/>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1180" w:type="dxa"/>
            <w:vAlign w:val="bottom"/>
            <w:tcBorders>
              <w:bottom w:val="single" w:sz="8" w:color="231F20"/>
            </w:tcBorders>
            <w:shd w:val="clear" w:color="auto" w:fill="CFEBF4"/>
          </w:tcPr>
          <w:p>
            <w:pPr>
              <w:jc w:val="right"/>
              <w:ind w:right="105"/>
              <w:spacing w:after="0"/>
              <w:rPr>
                <w:sz w:val="20"/>
                <w:szCs w:val="20"/>
                <w:color w:val="auto"/>
              </w:rPr>
            </w:pPr>
            <w:r>
              <w:rPr>
                <w:rFonts w:ascii="Times New Roman" w:cs="Times New Roman" w:eastAsia="Times New Roman" w:hAnsi="Times New Roman"/>
                <w:sz w:val="20"/>
                <w:szCs w:val="20"/>
                <w:color w:val="231F20"/>
              </w:rPr>
              <w:t>37</w:t>
            </w:r>
          </w:p>
        </w:tc>
        <w:tc>
          <w:tcPr>
            <w:tcW w:w="40" w:type="dxa"/>
            <w:vAlign w:val="bottom"/>
            <w:tcBorders>
              <w:bottom w:val="single" w:sz="8" w:color="231F20"/>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1180" w:type="dxa"/>
            <w:vAlign w:val="bottom"/>
            <w:tcBorders>
              <w:bottom w:val="single" w:sz="8" w:color="231F20"/>
            </w:tcBorders>
            <w:shd w:val="clear" w:color="auto" w:fill="CFEBF4"/>
          </w:tcPr>
          <w:p>
            <w:pPr>
              <w:jc w:val="right"/>
              <w:ind w:right="105"/>
              <w:spacing w:after="0"/>
              <w:rPr>
                <w:sz w:val="20"/>
                <w:szCs w:val="20"/>
                <w:color w:val="auto"/>
              </w:rPr>
            </w:pPr>
            <w:r>
              <w:rPr>
                <w:rFonts w:ascii="Times New Roman" w:cs="Times New Roman" w:eastAsia="Times New Roman" w:hAnsi="Times New Roman"/>
                <w:sz w:val="20"/>
                <w:szCs w:val="20"/>
                <w:color w:val="231F20"/>
              </w:rPr>
              <w:t>66</w:t>
            </w:r>
          </w:p>
        </w:tc>
        <w:tc>
          <w:tcPr>
            <w:tcW w:w="40" w:type="dxa"/>
            <w:vAlign w:val="bottom"/>
            <w:tcBorders>
              <w:bottom w:val="single" w:sz="8" w:color="231F20"/>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spacing w:after="0"/>
              <w:rPr>
                <w:sz w:val="24"/>
                <w:szCs w:val="24"/>
                <w:color w:val="auto"/>
              </w:rPr>
            </w:pPr>
          </w:p>
        </w:tc>
        <w:tc>
          <w:tcPr>
            <w:tcW w:w="920" w:type="dxa"/>
            <w:vAlign w:val="bottom"/>
            <w:tcBorders>
              <w:bottom w:val="single" w:sz="8" w:color="231F20"/>
            </w:tcBorders>
            <w:shd w:val="clear" w:color="auto" w:fill="CFEBF4"/>
          </w:tcPr>
          <w:p>
            <w:pPr>
              <w:jc w:val="right"/>
              <w:ind w:right="103"/>
              <w:spacing w:after="0"/>
              <w:rPr>
                <w:sz w:val="20"/>
                <w:szCs w:val="20"/>
                <w:color w:val="auto"/>
              </w:rPr>
            </w:pPr>
            <w:r>
              <w:rPr>
                <w:rFonts w:ascii="Times New Roman" w:cs="Times New Roman" w:eastAsia="Times New Roman" w:hAnsi="Times New Roman"/>
                <w:sz w:val="20"/>
                <w:szCs w:val="20"/>
                <w:color w:val="231F20"/>
              </w:rPr>
              <w:t>92</w:t>
            </w:r>
          </w:p>
        </w:tc>
        <w:tc>
          <w:tcPr>
            <w:tcW w:w="40" w:type="dxa"/>
            <w:vAlign w:val="bottom"/>
            <w:tcBorders>
              <w:bottom w:val="single" w:sz="8" w:color="231F20"/>
            </w:tcBorders>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Total debt securities</w:t>
            </w:r>
          </w:p>
        </w:tc>
        <w:tc>
          <w:tcPr>
            <w:tcW w:w="1220" w:type="dxa"/>
            <w:vAlign w:val="bottom"/>
            <w:gridSpan w:val="2"/>
          </w:tcPr>
          <w:p>
            <w:pPr>
              <w:jc w:val="right"/>
              <w:ind w:right="106"/>
              <w:spacing w:after="0"/>
              <w:rPr>
                <w:sz w:val="20"/>
                <w:szCs w:val="20"/>
                <w:color w:val="auto"/>
              </w:rPr>
            </w:pPr>
            <w:r>
              <w:rPr>
                <w:rFonts w:ascii="Times New Roman" w:cs="Times New Roman" w:eastAsia="Times New Roman" w:hAnsi="Times New Roman"/>
                <w:sz w:val="20"/>
                <w:szCs w:val="20"/>
                <w:color w:val="231F20"/>
              </w:rPr>
              <w:t>70.8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231F20"/>
              </w:rPr>
              <w:t>70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484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Property/real estate</w:t>
            </w:r>
          </w:p>
        </w:tc>
        <w:tc>
          <w:tcPr>
            <w:tcW w:w="1220" w:type="dxa"/>
            <w:vAlign w:val="bottom"/>
            <w:gridSpan w:val="2"/>
            <w:shd w:val="clear" w:color="auto" w:fill="CFEBF4"/>
          </w:tcPr>
          <w:p>
            <w:pPr>
              <w:jc w:val="right"/>
              <w:ind w:right="106"/>
              <w:spacing w:after="0"/>
              <w:rPr>
                <w:sz w:val="20"/>
                <w:szCs w:val="20"/>
                <w:color w:val="auto"/>
              </w:rPr>
            </w:pPr>
            <w:r>
              <w:rPr>
                <w:rFonts w:ascii="Times New Roman" w:cs="Times New Roman" w:eastAsia="Times New Roman" w:hAnsi="Times New Roman"/>
                <w:sz w:val="20"/>
                <w:szCs w:val="20"/>
                <w:color w:val="231F20"/>
              </w:rPr>
              <w:t>3.7</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1260" w:type="dxa"/>
            <w:vAlign w:val="bottom"/>
            <w:gridSpan w:val="3"/>
            <w:shd w:val="clear" w:color="auto" w:fill="CFEBF4"/>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gridSpan w:val="2"/>
            <w:shd w:val="clear" w:color="auto" w:fill="CFEBF4"/>
          </w:tcPr>
          <w:p>
            <w:pPr>
              <w:jc w:val="right"/>
              <w:ind w:right="105"/>
              <w:spacing w:after="0"/>
              <w:rPr>
                <w:sz w:val="20"/>
                <w:szCs w:val="20"/>
                <w:color w:val="auto"/>
              </w:rPr>
            </w:pPr>
            <w:r>
              <w:rPr>
                <w:rFonts w:ascii="Times New Roman" w:cs="Times New Roman" w:eastAsia="Times New Roman" w:hAnsi="Times New Roman"/>
                <w:sz w:val="20"/>
                <w:szCs w:val="20"/>
                <w:color w:val="231F20"/>
              </w:rPr>
              <w:t>3</w:t>
            </w: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4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ind w:right="103"/>
              <w:spacing w:after="0"/>
              <w:rPr>
                <w:sz w:val="20"/>
                <w:szCs w:val="20"/>
                <w:color w:val="auto"/>
              </w:rPr>
            </w:pPr>
            <w:r>
              <w:rPr>
                <w:rFonts w:ascii="Times New Roman" w:cs="Times New Roman" w:eastAsia="Times New Roman" w:hAnsi="Times New Roman"/>
                <w:sz w:val="20"/>
                <w:szCs w:val="20"/>
                <w:color w:val="231F20"/>
              </w:rPr>
              <w:t>9</w:t>
            </w:r>
          </w:p>
        </w:tc>
        <w:tc>
          <w:tcPr>
            <w:tcW w:w="4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Insurance products</w:t>
            </w:r>
          </w:p>
        </w:tc>
        <w:tc>
          <w:tcPr>
            <w:tcW w:w="1220" w:type="dxa"/>
            <w:vAlign w:val="bottom"/>
            <w:gridSpan w:val="2"/>
          </w:tcPr>
          <w:p>
            <w:pPr>
              <w:jc w:val="right"/>
              <w:ind w:right="106"/>
              <w:spacing w:after="0"/>
              <w:rPr>
                <w:sz w:val="20"/>
                <w:szCs w:val="20"/>
                <w:color w:val="auto"/>
              </w:rPr>
            </w:pPr>
            <w:r>
              <w:rPr>
                <w:rFonts w:ascii="Times New Roman" w:cs="Times New Roman" w:eastAsia="Times New Roman" w:hAnsi="Times New Roman"/>
                <w:sz w:val="20"/>
                <w:szCs w:val="20"/>
                <w:color w:val="231F20"/>
              </w:rPr>
              <w:t>7.3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231F20"/>
              </w:rPr>
              <w:t>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231F20"/>
              </w:rPr>
              <w:t>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231F20"/>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484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40" w:type="dxa"/>
            <w:vAlign w:val="bottom"/>
            <w:tcBorders>
              <w:bottom w:val="single" w:sz="8" w:color="CFEBF4"/>
            </w:tcBorders>
            <w:shd w:val="clear" w:color="auto" w:fill="CFEBF4"/>
          </w:tcPr>
          <w:p>
            <w:pPr>
              <w:spacing w:after="0"/>
              <w:rPr>
                <w:sz w:val="24"/>
                <w:szCs w:val="24"/>
                <w:color w:val="auto"/>
              </w:rPr>
            </w:pPr>
          </w:p>
        </w:tc>
        <w:tc>
          <w:tcPr>
            <w:tcW w:w="1180" w:type="dxa"/>
            <w:vAlign w:val="bottom"/>
            <w:tcBorders>
              <w:bottom w:val="single" w:sz="8" w:color="231F20"/>
            </w:tcBorders>
            <w:shd w:val="clear" w:color="auto" w:fill="CFEBF4"/>
          </w:tcPr>
          <w:p>
            <w:pPr>
              <w:jc w:val="right"/>
              <w:ind w:right="106"/>
              <w:spacing w:after="0"/>
              <w:rPr>
                <w:sz w:val="20"/>
                <w:szCs w:val="20"/>
                <w:color w:val="auto"/>
              </w:rPr>
            </w:pPr>
            <w:r>
              <w:rPr>
                <w:rFonts w:ascii="Times New Roman" w:cs="Times New Roman" w:eastAsia="Times New Roman" w:hAnsi="Times New Roman"/>
                <w:sz w:val="20"/>
                <w:szCs w:val="20"/>
                <w:color w:val="231F20"/>
              </w:rPr>
              <w:t>0.6</w:t>
            </w:r>
          </w:p>
        </w:tc>
        <w:tc>
          <w:tcPr>
            <w:tcW w:w="40" w:type="dxa"/>
            <w:vAlign w:val="bottom"/>
            <w:tcBorders>
              <w:bottom w:val="single" w:sz="8" w:color="231F20"/>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1260" w:type="dxa"/>
            <w:vAlign w:val="bottom"/>
            <w:tcBorders>
              <w:bottom w:val="single" w:sz="8" w:color="CFEBF4"/>
            </w:tcBorders>
            <w:gridSpan w:val="3"/>
            <w:shd w:val="clear" w:color="auto" w:fill="CFEBF4"/>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Borders>
              <w:bottom w:val="single" w:sz="8" w:color="CFEBF4"/>
            </w:tcBorders>
            <w:shd w:val="clear" w:color="auto" w:fill="CFEBF4"/>
          </w:tcPr>
          <w:p>
            <w:pPr>
              <w:spacing w:after="0"/>
              <w:rPr>
                <w:sz w:val="24"/>
                <w:szCs w:val="24"/>
                <w:color w:val="auto"/>
              </w:rPr>
            </w:pPr>
          </w:p>
        </w:tc>
        <w:tc>
          <w:tcPr>
            <w:tcW w:w="1180" w:type="dxa"/>
            <w:vAlign w:val="bottom"/>
            <w:tcBorders>
              <w:bottom w:val="single" w:sz="8" w:color="231F20"/>
            </w:tcBorders>
            <w:shd w:val="clear" w:color="auto" w:fill="CFEBF4"/>
          </w:tcPr>
          <w:p>
            <w:pPr>
              <w:jc w:val="right"/>
              <w:ind w:right="105"/>
              <w:spacing w:after="0"/>
              <w:rPr>
                <w:sz w:val="20"/>
                <w:szCs w:val="20"/>
                <w:color w:val="auto"/>
              </w:rPr>
            </w:pPr>
            <w:r>
              <w:rPr>
                <w:rFonts w:ascii="Times New Roman" w:cs="Times New Roman" w:eastAsia="Times New Roman" w:hAnsi="Times New Roman"/>
                <w:sz w:val="20"/>
                <w:szCs w:val="20"/>
                <w:color w:val="231F20"/>
              </w:rPr>
              <w:t>1</w:t>
            </w:r>
          </w:p>
        </w:tc>
        <w:tc>
          <w:tcPr>
            <w:tcW w:w="40" w:type="dxa"/>
            <w:vAlign w:val="bottom"/>
            <w:tcBorders>
              <w:bottom w:val="single" w:sz="8" w:color="231F20"/>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CFEBF4"/>
            </w:tcBorders>
            <w:shd w:val="clear" w:color="auto" w:fill="CFEBF4"/>
          </w:tcPr>
          <w:p>
            <w:pPr>
              <w:spacing w:after="0"/>
              <w:rPr>
                <w:sz w:val="24"/>
                <w:szCs w:val="24"/>
                <w:color w:val="auto"/>
              </w:rPr>
            </w:pPr>
          </w:p>
        </w:tc>
        <w:tc>
          <w:tcPr>
            <w:tcW w:w="920" w:type="dxa"/>
            <w:vAlign w:val="bottom"/>
            <w:tcBorders>
              <w:bottom w:val="single" w:sz="8" w:color="CFEBF4"/>
            </w:tcBorders>
            <w:shd w:val="clear" w:color="auto" w:fill="CFEBF4"/>
          </w:tcPr>
          <w:p>
            <w:pPr>
              <w:jc w:val="right"/>
              <w:ind w:right="103"/>
              <w:spacing w:after="0"/>
              <w:rPr>
                <w:sz w:val="20"/>
                <w:szCs w:val="20"/>
                <w:color w:val="auto"/>
              </w:rPr>
            </w:pPr>
            <w:r>
              <w:rPr>
                <w:rFonts w:ascii="Times New Roman" w:cs="Times New Roman" w:eastAsia="Times New Roman" w:hAnsi="Times New Roman"/>
                <w:sz w:val="20"/>
                <w:szCs w:val="20"/>
                <w:color w:val="231F20"/>
              </w:rPr>
              <w:t>8</w:t>
            </w:r>
          </w:p>
        </w:tc>
        <w:tc>
          <w:tcPr>
            <w:tcW w:w="40" w:type="dxa"/>
            <w:vAlign w:val="bottom"/>
            <w:tcBorders>
              <w:bottom w:val="single" w:sz="8" w:color="CFEBF4"/>
            </w:tcBorders>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100.0 %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100 %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-4500245</wp:posOffset>
            </wp:positionV>
            <wp:extent cx="3305810" cy="501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9">
                      <a:extLst>
                        <a:ext uri="{28A0092B-C50C-407E-A947-70E740481C1C}"/>
                      </a:extLst>
                    </a:blip>
                    <a:srcRect/>
                    <a:stretch>
                      <a:fillRect/>
                    </a:stretch>
                  </pic:blipFill>
                  <pic:spPr bwMode="auto">
                    <a:xfrm>
                      <a:off x="0" y="0"/>
                      <a:ext cx="3305810" cy="50165"/>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-3561715</wp:posOffset>
            </wp:positionV>
            <wp:extent cx="2501900" cy="501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0">
                      <a:extLst>
                        <a:ext uri="{28A0092B-C50C-407E-A947-70E740481C1C}"/>
                      </a:extLst>
                    </a:blip>
                    <a:srcRect/>
                    <a:stretch>
                      <a:fillRect/>
                    </a:stretch>
                  </pic:blipFill>
                  <pic:spPr bwMode="auto">
                    <a:xfrm>
                      <a:off x="0" y="0"/>
                      <a:ext cx="2501900" cy="50165"/>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-2811145</wp:posOffset>
            </wp:positionV>
            <wp:extent cx="828675" cy="50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1">
                      <a:extLst>
                        <a:ext uri="{28A0092B-C50C-407E-A947-70E740481C1C}"/>
                      </a:extLst>
                    </a:blip>
                    <a:srcRect/>
                    <a:stretch>
                      <a:fillRect/>
                    </a:stretch>
                  </pic:blipFill>
                  <pic:spPr bwMode="auto">
                    <a:xfrm>
                      <a:off x="0" y="0"/>
                      <a:ext cx="828675" cy="5016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-2811145</wp:posOffset>
            </wp:positionV>
            <wp:extent cx="828675" cy="501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2">
                      <a:extLst>
                        <a:ext uri="{28A0092B-C50C-407E-A947-70E740481C1C}"/>
                      </a:extLst>
                    </a:blip>
                    <a:srcRect/>
                    <a:stretch>
                      <a:fillRect/>
                    </a:stretch>
                  </pic:blipFill>
                  <pic:spPr bwMode="auto">
                    <a:xfrm>
                      <a:off x="0" y="0"/>
                      <a:ext cx="828675" cy="5016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-1906905</wp:posOffset>
            </wp:positionV>
            <wp:extent cx="3305810" cy="50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3">
                      <a:extLst>
                        <a:ext uri="{28A0092B-C50C-407E-A947-70E740481C1C}"/>
                      </a:extLst>
                    </a:blip>
                    <a:srcRect/>
                    <a:stretch>
                      <a:fillRect/>
                    </a:stretch>
                  </pic:blipFill>
                  <pic:spPr bwMode="auto">
                    <a:xfrm>
                      <a:off x="0" y="0"/>
                      <a:ext cx="3305810" cy="5016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-969010</wp:posOffset>
            </wp:positionV>
            <wp:extent cx="2501900" cy="50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4">
                      <a:extLst>
                        <a:ext uri="{28A0092B-C50C-407E-A947-70E740481C1C}"/>
                      </a:extLst>
                    </a:blip>
                    <a:srcRect/>
                    <a:stretch>
                      <a:fillRect/>
                    </a:stretch>
                  </pic:blipFill>
                  <pic:spPr bwMode="auto">
                    <a:xfrm>
                      <a:off x="0" y="0"/>
                      <a:ext cx="2501900" cy="5016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-218440</wp:posOffset>
            </wp:positionV>
            <wp:extent cx="828675" cy="501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5">
                      <a:extLst>
                        <a:ext uri="{28A0092B-C50C-407E-A947-70E740481C1C}"/>
                      </a:extLst>
                    </a:blip>
                    <a:srcRect/>
                    <a:stretch>
                      <a:fillRect/>
                    </a:stretch>
                  </pic:blipFill>
                  <pic:spPr bwMode="auto">
                    <a:xfrm>
                      <a:off x="0" y="0"/>
                      <a:ext cx="828675" cy="5016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-218440</wp:posOffset>
            </wp:positionV>
            <wp:extent cx="828675" cy="501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6">
                      <a:extLst>
                        <a:ext uri="{28A0092B-C50C-407E-A947-70E740481C1C}"/>
                      </a:extLst>
                    </a:blip>
                    <a:srcRect/>
                    <a:stretch>
                      <a:fillRect/>
                    </a:stretch>
                  </pic:blipFill>
                  <pic:spPr bwMode="auto">
                    <a:xfrm>
                      <a:off x="0" y="0"/>
                      <a:ext cx="828675" cy="50165"/>
                    </a:xfrm>
                    <a:prstGeom prst="rect">
                      <a:avLst/>
                    </a:prstGeom>
                    <a:noFill/>
                  </pic:spPr>
                </pic:pic>
              </a:graphicData>
            </a:graphic>
          </wp:anchor>
        </w:drawing>
      </w:r>
    </w:p>
    <w:p>
      <w:pPr>
        <w:spacing w:after="0" w:line="126"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The plans’ pension committees meet regularly to assess investment performance relative to asset allocation guidelines. The Company periodically rebalances its asset portfolios to be in line with its allocation guidelines.</w:t>
      </w:r>
    </w:p>
    <w:p>
      <w:pPr>
        <w:spacing w:after="0" w:line="64" w:lineRule="exact"/>
        <w:rPr>
          <w:sz w:val="20"/>
          <w:szCs w:val="20"/>
          <w:color w:val="auto"/>
        </w:rPr>
      </w:pPr>
    </w:p>
    <w:p>
      <w:pPr>
        <w:ind w:firstLine="266"/>
        <w:spacing w:after="0" w:line="256" w:lineRule="auto"/>
        <w:rPr>
          <w:sz w:val="20"/>
          <w:szCs w:val="20"/>
          <w:color w:val="auto"/>
        </w:rPr>
      </w:pPr>
      <w:r>
        <w:rPr>
          <w:rFonts w:ascii="Times New Roman" w:cs="Times New Roman" w:eastAsia="Times New Roman" w:hAnsi="Times New Roman"/>
          <w:sz w:val="20"/>
          <w:szCs w:val="20"/>
          <w:color w:val="231F20"/>
        </w:rPr>
        <w:t>The investment policies for the Foreign Plans are the responsibility of the various trustees. Generally, the investment policy guidelines are as follows:</w:t>
      </w:r>
    </w:p>
    <w:p>
      <w:pPr>
        <w:ind w:left="720" w:hanging="359"/>
        <w:spacing w:after="0"/>
        <w:tabs>
          <w:tab w:leader="none" w:pos="720" w:val="left"/>
        </w:tabs>
        <w:numPr>
          <w:ilvl w:val="0"/>
          <w:numId w:val="31"/>
        </w:numPr>
        <w:rPr>
          <w:rFonts w:ascii="Arial" w:cs="Arial" w:eastAsia="Arial" w:hAnsi="Arial"/>
          <w:sz w:val="24"/>
          <w:szCs w:val="24"/>
          <w:color w:val="231F20"/>
        </w:rPr>
      </w:pPr>
      <w:r>
        <w:rPr>
          <w:rFonts w:ascii="Times New Roman" w:cs="Times New Roman" w:eastAsia="Times New Roman" w:hAnsi="Times New Roman"/>
          <w:sz w:val="20"/>
          <w:szCs w:val="20"/>
          <w:color w:val="231F20"/>
        </w:rPr>
        <w:t>Make sure that the obligations to the beneficiaries of the plan can be met</w:t>
      </w:r>
    </w:p>
    <w:p>
      <w:pPr>
        <w:spacing w:after="0" w:line="15" w:lineRule="exact"/>
        <w:rPr>
          <w:rFonts w:ascii="Arial" w:cs="Arial" w:eastAsia="Arial" w:hAnsi="Arial"/>
          <w:sz w:val="24"/>
          <w:szCs w:val="24"/>
          <w:color w:val="231F20"/>
        </w:rPr>
      </w:pPr>
    </w:p>
    <w:p>
      <w:pPr>
        <w:ind w:left="720" w:hanging="359"/>
        <w:spacing w:after="0" w:line="232" w:lineRule="auto"/>
        <w:tabs>
          <w:tab w:leader="none" w:pos="720" w:val="left"/>
        </w:tabs>
        <w:numPr>
          <w:ilvl w:val="0"/>
          <w:numId w:val="31"/>
        </w:numPr>
        <w:rPr>
          <w:rFonts w:ascii="Arial" w:cs="Arial" w:eastAsia="Arial" w:hAnsi="Arial"/>
          <w:sz w:val="24"/>
          <w:szCs w:val="24"/>
          <w:color w:val="231F20"/>
        </w:rPr>
      </w:pPr>
      <w:r>
        <w:rPr>
          <w:rFonts w:ascii="Times New Roman" w:cs="Times New Roman" w:eastAsia="Times New Roman" w:hAnsi="Times New Roman"/>
          <w:sz w:val="20"/>
          <w:szCs w:val="20"/>
          <w:color w:val="231F20"/>
        </w:rPr>
        <w:t>Maintain funds at a level to meet the minimum funding requirements</w:t>
      </w:r>
    </w:p>
    <w:p>
      <w:pPr>
        <w:spacing w:after="0" w:line="27" w:lineRule="exact"/>
        <w:rPr>
          <w:rFonts w:ascii="Arial" w:cs="Arial" w:eastAsia="Arial" w:hAnsi="Arial"/>
          <w:sz w:val="24"/>
          <w:szCs w:val="24"/>
          <w:color w:val="231F20"/>
        </w:rPr>
      </w:pPr>
    </w:p>
    <w:p>
      <w:pPr>
        <w:ind w:left="720" w:hanging="359"/>
        <w:spacing w:after="0" w:line="276" w:lineRule="auto"/>
        <w:tabs>
          <w:tab w:leader="none" w:pos="720" w:val="left"/>
        </w:tabs>
        <w:numPr>
          <w:ilvl w:val="0"/>
          <w:numId w:val="31"/>
        </w:numPr>
        <w:rPr>
          <w:rFonts w:ascii="Arial" w:cs="Arial" w:eastAsia="Arial" w:hAnsi="Arial"/>
          <w:sz w:val="24"/>
          <w:szCs w:val="24"/>
          <w:color w:val="231F20"/>
        </w:rPr>
      </w:pPr>
      <w:r>
        <w:rPr>
          <w:rFonts w:ascii="Times New Roman" w:cs="Times New Roman" w:eastAsia="Times New Roman" w:hAnsi="Times New Roman"/>
          <w:sz w:val="20"/>
          <w:szCs w:val="20"/>
          <w:color w:val="231F20"/>
        </w:rPr>
        <w:t>The investment managers are expected to provide a return, within certain tracking tolerances, close to that of the relevant market’s indices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120"/>
          </w:cols>
          <w:pgMar w:left="880" w:top="285" w:right="88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tables set forth the fair value of assets by asset category for the Foreign Plans: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231F20"/>
                <w:w w:val="96"/>
              </w:rPr>
              <w:t>December 31, 2025</w:t>
            </w:r>
          </w:p>
        </w:tc>
        <w:tc>
          <w:tcPr>
            <w:tcW w:w="18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r>
      <w:tr>
        <w:trPr>
          <w:trHeight w:val="276"/>
        </w:trPr>
        <w:tc>
          <w:tcPr>
            <w:tcW w:w="3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40" w:type="dxa"/>
            <w:vAlign w:val="bottom"/>
          </w:tcPr>
          <w:p>
            <w:pPr>
              <w:spacing w:after="0"/>
              <w:rPr>
                <w:sz w:val="23"/>
                <w:szCs w:val="23"/>
                <w:color w:val="auto"/>
              </w:rPr>
            </w:pPr>
          </w:p>
        </w:tc>
        <w:tc>
          <w:tcPr>
            <w:tcW w:w="940" w:type="dxa"/>
            <w:vAlign w:val="bottom"/>
          </w:tcPr>
          <w:p>
            <w:pPr>
              <w:jc w:val="right"/>
              <w:ind w:right="203"/>
              <w:spacing w:after="0"/>
              <w:rPr>
                <w:sz w:val="20"/>
                <w:szCs w:val="20"/>
                <w:color w:val="auto"/>
              </w:rPr>
            </w:pPr>
            <w:r>
              <w:rPr>
                <w:rFonts w:ascii="Times New Roman" w:cs="Times New Roman" w:eastAsia="Times New Roman" w:hAnsi="Times New Roman"/>
                <w:sz w:val="18"/>
                <w:szCs w:val="18"/>
                <w:b w:val="1"/>
                <w:bCs w:val="1"/>
                <w:color w:val="231F20"/>
              </w:rPr>
              <w:t>Level 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Level 2</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231F20"/>
              </w:rPr>
              <w:t>Level 3</w:t>
            </w:r>
          </w:p>
        </w:tc>
        <w:tc>
          <w:tcPr>
            <w:tcW w:w="180" w:type="dxa"/>
            <w:vAlign w:val="bottom"/>
          </w:tcPr>
          <w:p>
            <w:pPr>
              <w:spacing w:after="0"/>
              <w:rPr>
                <w:sz w:val="23"/>
                <w:szCs w:val="23"/>
                <w:color w:val="auto"/>
              </w:rPr>
            </w:pPr>
          </w:p>
        </w:tc>
        <w:tc>
          <w:tcPr>
            <w:tcW w:w="960" w:type="dxa"/>
            <w:vAlign w:val="bottom"/>
          </w:tcPr>
          <w:p>
            <w:pPr>
              <w:jc w:val="right"/>
              <w:ind w:right="223"/>
              <w:spacing w:after="0"/>
              <w:rPr>
                <w:sz w:val="20"/>
                <w:szCs w:val="20"/>
                <w:color w:val="auto"/>
              </w:rPr>
            </w:pPr>
            <w:r>
              <w:rPr>
                <w:rFonts w:ascii="Times New Roman" w:cs="Times New Roman" w:eastAsia="Times New Roman" w:hAnsi="Times New Roman"/>
                <w:sz w:val="18"/>
                <w:szCs w:val="18"/>
                <w:b w:val="1"/>
                <w:bCs w:val="1"/>
                <w:color w:val="231F20"/>
              </w:rPr>
              <w:t xml:space="preserve">NAV </w:t>
            </w:r>
            <w:r>
              <w:rPr>
                <w:rFonts w:ascii="Times New Roman" w:cs="Times New Roman" w:eastAsia="Times New Roman" w:hAnsi="Times New Roman"/>
                <w:sz w:val="23"/>
                <w:szCs w:val="23"/>
                <w:b w:val="1"/>
                <w:bCs w:val="1"/>
                <w:color w:val="231F20"/>
                <w:vertAlign w:val="superscript"/>
              </w:rPr>
              <w:t>(1)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94"/>
        </w:trPr>
        <w:tc>
          <w:tcPr>
            <w:tcW w:w="39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Foreign Plans</w:t>
            </w:r>
          </w:p>
        </w:tc>
        <w:tc>
          <w:tcPr>
            <w:tcW w:w="240" w:type="dxa"/>
            <w:vAlign w:val="bottom"/>
            <w:tcBorders>
              <w:top w:val="single" w:sz="8" w:color="231F20"/>
            </w:tcBorders>
          </w:tcPr>
          <w:p>
            <w:pPr>
              <w:spacing w:after="0"/>
              <w:rPr>
                <w:sz w:val="24"/>
                <w:szCs w:val="24"/>
                <w:color w:val="auto"/>
              </w:rPr>
            </w:pPr>
          </w:p>
        </w:tc>
        <w:tc>
          <w:tcPr>
            <w:tcW w:w="94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880" w:type="dxa"/>
            <w:vAlign w:val="bottom"/>
            <w:tcBorders>
              <w:top w:val="single" w:sz="8" w:color="231F20"/>
            </w:tcBorders>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94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96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231F20"/>
            </w:tcBorders>
          </w:tcPr>
          <w:p>
            <w:pPr>
              <w:spacing w:after="0"/>
              <w:rPr>
                <w:sz w:val="24"/>
                <w:szCs w:val="24"/>
                <w:color w:val="auto"/>
              </w:rPr>
            </w:pPr>
          </w:p>
        </w:tc>
        <w:tc>
          <w:tcPr>
            <w:tcW w:w="920" w:type="dxa"/>
            <w:vAlign w:val="bottom"/>
            <w:tcBorders>
              <w:top w:val="single" w:sz="8" w:color="231F20"/>
            </w:tcBorders>
          </w:tcPr>
          <w:p>
            <w:pPr>
              <w:spacing w:after="0"/>
              <w:rPr>
                <w:sz w:val="24"/>
                <w:szCs w:val="24"/>
                <w:color w:val="auto"/>
              </w:rPr>
            </w:pPr>
          </w:p>
        </w:tc>
      </w:tr>
      <w:tr>
        <w:trPr>
          <w:trHeight w:val="316"/>
        </w:trPr>
        <w:tc>
          <w:tcPr>
            <w:tcW w:w="39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Equities</w:t>
            </w:r>
          </w:p>
        </w:tc>
        <w:tc>
          <w:tcPr>
            <w:tcW w:w="2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3"/>
            <w:shd w:val="clear" w:color="auto" w:fill="CFEBF4"/>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50.5</w:t>
            </w:r>
          </w:p>
        </w:tc>
        <w:tc>
          <w:tcPr>
            <w:tcW w:w="340" w:type="dxa"/>
            <w:vAlign w:val="bottom"/>
            <w:gridSpan w:val="2"/>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50.5</w:t>
            </w:r>
          </w:p>
        </w:tc>
      </w:tr>
      <w:tr>
        <w:trPr>
          <w:trHeight w:val="304"/>
        </w:trPr>
        <w:tc>
          <w:tcPr>
            <w:tcW w:w="39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Debt securities: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6"/>
        </w:trPr>
        <w:tc>
          <w:tcPr>
            <w:tcW w:w="390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Domestic treasuries</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1060" w:type="dxa"/>
            <w:vAlign w:val="bottom"/>
            <w:gridSpan w:val="3"/>
            <w:shd w:val="clear" w:color="auto" w:fill="CFEBF4"/>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8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304"/>
        </w:trPr>
        <w:tc>
          <w:tcPr>
            <w:tcW w:w="39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Corporate bonds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r>
      <w:tr>
        <w:trPr>
          <w:trHeight w:val="316"/>
        </w:trPr>
        <w:tc>
          <w:tcPr>
            <w:tcW w:w="3900" w:type="dxa"/>
            <w:vAlign w:val="bottom"/>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Pooled investment funds and other</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1060" w:type="dxa"/>
            <w:vAlign w:val="bottom"/>
            <w:gridSpan w:val="3"/>
            <w:shd w:val="clear" w:color="auto" w:fill="CFEBF4"/>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222.5</w:t>
            </w:r>
          </w:p>
        </w:tc>
        <w:tc>
          <w:tcPr>
            <w:tcW w:w="8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222.5</w:t>
            </w:r>
          </w:p>
        </w:tc>
      </w:tr>
      <w:tr>
        <w:trPr>
          <w:trHeight w:val="304"/>
        </w:trPr>
        <w:tc>
          <w:tcPr>
            <w:tcW w:w="39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Property/real estate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r>
      <w:tr>
        <w:trPr>
          <w:trHeight w:val="316"/>
        </w:trPr>
        <w:tc>
          <w:tcPr>
            <w:tcW w:w="390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Insurance products</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28.2</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1060" w:type="dxa"/>
            <w:vAlign w:val="bottom"/>
            <w:gridSpan w:val="3"/>
            <w:shd w:val="clear" w:color="auto" w:fill="CFEBF4"/>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60" w:type="dxa"/>
            <w:vAlign w:val="bottom"/>
            <w:shd w:val="clear" w:color="auto" w:fill="CFEBF4"/>
          </w:tcPr>
          <w:p>
            <w:pPr>
              <w:spacing w:after="0"/>
              <w:rPr>
                <w:sz w:val="24"/>
                <w:szCs w:val="24"/>
                <w:color w:val="auto"/>
              </w:rPr>
            </w:pPr>
          </w:p>
        </w:tc>
        <w:tc>
          <w:tcPr>
            <w:tcW w:w="9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28.2</w:t>
            </w:r>
          </w:p>
        </w:tc>
      </w:tr>
      <w:tr>
        <w:trPr>
          <w:trHeight w:val="300"/>
        </w:trPr>
        <w:tc>
          <w:tcPr>
            <w:tcW w:w="390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Other</w:t>
            </w:r>
          </w:p>
        </w:tc>
        <w:tc>
          <w:tcPr>
            <w:tcW w:w="24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80" w:type="dxa"/>
            <w:vAlign w:val="bottom"/>
            <w:tcBorders>
              <w:bottom w:val="single" w:sz="8" w:color="CFEBF4"/>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231F20"/>
            </w:tcBorders>
          </w:tcPr>
          <w:p>
            <w:pPr>
              <w:spacing w:after="0"/>
              <w:rPr>
                <w:sz w:val="24"/>
                <w:szCs w:val="24"/>
                <w:color w:val="auto"/>
              </w:rPr>
            </w:pPr>
          </w:p>
        </w:tc>
        <w:tc>
          <w:tcPr>
            <w:tcW w:w="80" w:type="dxa"/>
            <w:vAlign w:val="bottom"/>
            <w:tcBorders>
              <w:bottom w:val="single" w:sz="8" w:color="CFEBF4"/>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310"/>
        </w:trPr>
        <w:tc>
          <w:tcPr>
            <w:tcW w:w="3900" w:type="dxa"/>
            <w:vAlign w:val="bottom"/>
            <w:tcBorders>
              <w:bottom w:val="single" w:sz="8" w:color="CFEBF4"/>
            </w:tcBorders>
            <w:shd w:val="clear" w:color="auto" w:fill="CFEBF4"/>
          </w:tcPr>
          <w:p>
            <w:pPr>
              <w:ind w:left="200"/>
              <w:spacing w:after="0"/>
              <w:rPr>
                <w:sz w:val="20"/>
                <w:szCs w:val="20"/>
                <w:color w:val="auto"/>
              </w:rPr>
            </w:pPr>
            <w:r>
              <w:rPr>
                <w:rFonts w:ascii="Times New Roman" w:cs="Times New Roman" w:eastAsia="Times New Roman" w:hAnsi="Times New Roman"/>
                <w:sz w:val="20"/>
                <w:szCs w:val="20"/>
                <w:color w:val="231F20"/>
              </w:rPr>
              <w:t>Total investments in Foreign Plans</w:t>
            </w:r>
          </w:p>
        </w:tc>
        <w:tc>
          <w:tcPr>
            <w:tcW w:w="2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8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28.2</w:t>
            </w:r>
          </w:p>
        </w:tc>
        <w:tc>
          <w:tcPr>
            <w:tcW w:w="6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CFEBF4"/>
          </w:tcPr>
          <w:p>
            <w:pPr>
              <w:ind w:left="6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shd w:val="clear" w:color="auto" w:fill="CFEBF4"/>
          </w:tcPr>
          <w:p>
            <w:pPr>
              <w:spacing w:after="0"/>
              <w:rPr>
                <w:sz w:val="24"/>
                <w:szCs w:val="24"/>
                <w:color w:val="auto"/>
              </w:rPr>
            </w:pPr>
          </w:p>
        </w:tc>
        <w:tc>
          <w:tcPr>
            <w:tcW w:w="40" w:type="dxa"/>
            <w:vAlign w:val="bottom"/>
            <w:tcBorders>
              <w:bottom w:val="single" w:sz="8" w:color="231F20"/>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290.3</w:t>
            </w:r>
          </w:p>
        </w:tc>
        <w:tc>
          <w:tcPr>
            <w:tcW w:w="80" w:type="dxa"/>
            <w:vAlign w:val="bottom"/>
            <w:tcBorders>
              <w:bottom w:val="single" w:sz="8" w:color="CFEBF4"/>
            </w:tcBorders>
            <w:shd w:val="clear" w:color="auto" w:fill="CFEBF4"/>
          </w:tcPr>
          <w:p>
            <w:pPr>
              <w:spacing w:after="0"/>
              <w:rPr>
                <w:sz w:val="24"/>
                <w:szCs w:val="24"/>
                <w:color w:val="auto"/>
              </w:rPr>
            </w:pPr>
          </w:p>
        </w:tc>
        <w:tc>
          <w:tcPr>
            <w:tcW w:w="260" w:type="dxa"/>
            <w:vAlign w:val="bottom"/>
            <w:tcBorders>
              <w:bottom w:val="single" w:sz="8" w:color="231F20"/>
            </w:tcBorders>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-240030</wp:posOffset>
            </wp:positionV>
            <wp:extent cx="3215005" cy="501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7">
                      <a:extLst>
                        <a:ext uri="{28A0092B-C50C-407E-A947-70E740481C1C}"/>
                      </a:extLst>
                    </a:blip>
                    <a:srcRect/>
                    <a:stretch>
                      <a:fillRect/>
                    </a:stretch>
                  </pic:blipFill>
                  <pic:spPr bwMode="auto">
                    <a:xfrm>
                      <a:off x="0" y="0"/>
                      <a:ext cx="3215005" cy="5016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-55880</wp:posOffset>
            </wp:positionV>
            <wp:extent cx="3990975" cy="749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8">
                      <a:extLst>
                        <a:ext uri="{28A0092B-C50C-407E-A947-70E740481C1C}"/>
                      </a:extLst>
                    </a:blip>
                    <a:srcRect/>
                    <a:stretch>
                      <a:fillRect/>
                    </a:stretch>
                  </pic:blipFill>
                  <pic:spPr bwMode="auto">
                    <a:xfrm>
                      <a:off x="0" y="0"/>
                      <a:ext cx="3990975" cy="74930"/>
                    </a:xfrm>
                    <a:prstGeom prst="rect">
                      <a:avLst/>
                    </a:prstGeom>
                    <a:noFill/>
                  </pic:spPr>
                </pic:pic>
              </a:graphicData>
            </a:graphic>
          </wp:anchor>
        </w:drawing>
      </w:r>
    </w:p>
    <w:p>
      <w:pPr>
        <w:spacing w:after="0" w:line="106" w:lineRule="exact"/>
        <w:rPr>
          <w:sz w:val="20"/>
          <w:szCs w:val="20"/>
          <w:color w:val="auto"/>
        </w:rPr>
      </w:pPr>
    </w:p>
    <w:p>
      <w:pPr>
        <w:jc w:val="both"/>
        <w:ind w:left="280" w:hanging="273"/>
        <w:spacing w:after="0" w:line="244" w:lineRule="auto"/>
        <w:tabs>
          <w:tab w:leader="none" w:pos="295" w:val="left"/>
        </w:tabs>
        <w:numPr>
          <w:ilvl w:val="0"/>
          <w:numId w:val="32"/>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Investments measured at fair value using the net asset value (</w:t>
      </w:r>
      <w:r>
        <w:rPr>
          <w:rFonts w:ascii="Times New Roman" w:cs="Times New Roman" w:eastAsia="Times New Roman" w:hAnsi="Times New Roman"/>
          <w:sz w:val="19"/>
          <w:szCs w:val="19"/>
          <w:color w:val="231F20"/>
        </w:rPr>
        <w:t>“</w:t>
      </w:r>
      <w:r>
        <w:rPr>
          <w:rFonts w:ascii="Times New Roman" w:cs="Times New Roman" w:eastAsia="Times New Roman" w:hAnsi="Times New Roman"/>
          <w:sz w:val="18"/>
          <w:szCs w:val="18"/>
          <w:color w:val="231F20"/>
        </w:rPr>
        <w:t>NAV</w:t>
      </w:r>
      <w:r>
        <w:rPr>
          <w:rFonts w:ascii="Times New Roman" w:cs="Times New Roman" w:eastAsia="Times New Roman" w:hAnsi="Times New Roman"/>
          <w:sz w:val="19"/>
          <w:szCs w:val="19"/>
          <w:color w:val="231F20"/>
        </w:rPr>
        <w:t>”)</w:t>
      </w:r>
      <w:r>
        <w:rPr>
          <w:rFonts w:ascii="Times New Roman" w:cs="Times New Roman" w:eastAsia="Times New Roman" w:hAnsi="Times New Roman"/>
          <w:sz w:val="18"/>
          <w:szCs w:val="18"/>
          <w:color w:val="231F20"/>
        </w:rPr>
        <w:t xml:space="preserve"> per share practical expedient have not been classified in the fair value hierarchy. The amounts presented in the table above are intended to reconcile the fair value hierarchy to the total fair value of plan assets.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gridSpan w:val="6"/>
          </w:tcPr>
          <w:p>
            <w:pPr>
              <w:spacing w:after="0"/>
              <w:rPr>
                <w:sz w:val="20"/>
                <w:szCs w:val="20"/>
                <w:color w:val="auto"/>
              </w:rPr>
            </w:pPr>
            <w:r>
              <w:rPr>
                <w:rFonts w:ascii="Times New Roman" w:cs="Times New Roman" w:eastAsia="Times New Roman" w:hAnsi="Times New Roman"/>
                <w:sz w:val="18"/>
                <w:szCs w:val="18"/>
                <w:b w:val="1"/>
                <w:bCs w:val="1"/>
                <w:color w:val="231F20"/>
                <w:w w:val="97"/>
              </w:rPr>
              <w:t>December 31, 2024</w:t>
            </w:r>
          </w:p>
        </w:tc>
        <w:tc>
          <w:tcPr>
            <w:tcW w:w="1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spacing w:after="0"/>
              <w:rPr>
                <w:sz w:val="20"/>
                <w:szCs w:val="20"/>
                <w:color w:val="auto"/>
              </w:rPr>
            </w:pPr>
          </w:p>
        </w:tc>
      </w:tr>
      <w:tr>
        <w:trPr>
          <w:trHeight w:val="276"/>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40" w:type="dxa"/>
            <w:vAlign w:val="bottom"/>
          </w:tcPr>
          <w:p>
            <w:pPr>
              <w:spacing w:after="0"/>
              <w:rPr>
                <w:sz w:val="23"/>
                <w:szCs w:val="23"/>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8"/>
                <w:szCs w:val="18"/>
                <w:b w:val="1"/>
                <w:bCs w:val="1"/>
                <w:color w:val="231F20"/>
              </w:rPr>
              <w:t>Level 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Level 2</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231F20"/>
              </w:rPr>
              <w:t>Level 3</w:t>
            </w:r>
          </w:p>
        </w:tc>
        <w:tc>
          <w:tcPr>
            <w:tcW w:w="180" w:type="dxa"/>
            <w:vAlign w:val="bottom"/>
          </w:tcPr>
          <w:p>
            <w:pPr>
              <w:spacing w:after="0"/>
              <w:rPr>
                <w:sz w:val="23"/>
                <w:szCs w:val="23"/>
                <w:color w:val="auto"/>
              </w:rPr>
            </w:pPr>
          </w:p>
        </w:tc>
        <w:tc>
          <w:tcPr>
            <w:tcW w:w="940" w:type="dxa"/>
            <w:vAlign w:val="bottom"/>
          </w:tcPr>
          <w:p>
            <w:pPr>
              <w:jc w:val="right"/>
              <w:ind w:right="206"/>
              <w:spacing w:after="0" w:line="275" w:lineRule="exact"/>
              <w:rPr>
                <w:sz w:val="20"/>
                <w:szCs w:val="20"/>
                <w:color w:val="auto"/>
              </w:rPr>
            </w:pPr>
            <w:r>
              <w:rPr>
                <w:rFonts w:ascii="Times New Roman" w:cs="Times New Roman" w:eastAsia="Times New Roman" w:hAnsi="Times New Roman"/>
                <w:sz w:val="31"/>
                <w:szCs w:val="31"/>
                <w:b w:val="1"/>
                <w:bCs w:val="1"/>
                <w:color w:val="231F20"/>
                <w:vertAlign w:val="subscript"/>
              </w:rPr>
              <w:t>NAV</w:t>
            </w:r>
            <w:r>
              <w:rPr>
                <w:rFonts w:ascii="Times New Roman" w:cs="Times New Roman" w:eastAsia="Times New Roman" w:hAnsi="Times New Roman"/>
                <w:sz w:val="11"/>
                <w:szCs w:val="11"/>
                <w:b w:val="1"/>
                <w:bCs w:val="1"/>
                <w:color w:val="231F20"/>
              </w:rPr>
              <w:t xml:space="preserve"> (1)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28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79"/>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Foreign Plans</w:t>
            </w:r>
          </w:p>
        </w:tc>
        <w:tc>
          <w:tcPr>
            <w:tcW w:w="240" w:type="dxa"/>
            <w:vAlign w:val="bottom"/>
            <w:tcBorders>
              <w:top w:val="single" w:sz="8" w:color="231F20"/>
            </w:tcBorders>
          </w:tcPr>
          <w:p>
            <w:pPr>
              <w:spacing w:after="0"/>
              <w:rPr>
                <w:sz w:val="24"/>
                <w:szCs w:val="24"/>
                <w:color w:val="auto"/>
              </w:rPr>
            </w:pPr>
          </w:p>
        </w:tc>
        <w:tc>
          <w:tcPr>
            <w:tcW w:w="94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880" w:type="dxa"/>
            <w:vAlign w:val="bottom"/>
            <w:tcBorders>
              <w:top w:val="single" w:sz="8" w:color="231F20"/>
            </w:tcBorders>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231F20"/>
            </w:tcBorders>
          </w:tcPr>
          <w:p>
            <w:pPr>
              <w:spacing w:after="0"/>
              <w:rPr>
                <w:sz w:val="24"/>
                <w:szCs w:val="24"/>
                <w:color w:val="auto"/>
              </w:rPr>
            </w:pPr>
          </w:p>
        </w:tc>
        <w:tc>
          <w:tcPr>
            <w:tcW w:w="96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94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231F20"/>
            </w:tcBorders>
          </w:tcPr>
          <w:p>
            <w:pPr>
              <w:spacing w:after="0"/>
              <w:rPr>
                <w:sz w:val="24"/>
                <w:szCs w:val="24"/>
                <w:color w:val="auto"/>
              </w:rPr>
            </w:pPr>
          </w:p>
        </w:tc>
        <w:tc>
          <w:tcPr>
            <w:tcW w:w="900" w:type="dxa"/>
            <w:vAlign w:val="bottom"/>
            <w:tcBorders>
              <w:top w:val="single" w:sz="8" w:color="231F20"/>
            </w:tcBorders>
          </w:tcPr>
          <w:p>
            <w:pPr>
              <w:spacing w:after="0"/>
              <w:rPr>
                <w:sz w:val="24"/>
                <w:szCs w:val="24"/>
                <w:color w:val="auto"/>
              </w:rPr>
            </w:pPr>
          </w:p>
        </w:tc>
      </w:tr>
      <w:tr>
        <w:trPr>
          <w:trHeight w:val="301"/>
        </w:trPr>
        <w:tc>
          <w:tcPr>
            <w:tcW w:w="38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Equities</w:t>
            </w:r>
          </w:p>
        </w:tc>
        <w:tc>
          <w:tcPr>
            <w:tcW w:w="2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3"/>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3"/>
            <w:shd w:val="clear" w:color="auto" w:fill="CFEBF4"/>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51.8</w:t>
            </w:r>
          </w:p>
        </w:tc>
        <w:tc>
          <w:tcPr>
            <w:tcW w:w="360" w:type="dxa"/>
            <w:vAlign w:val="bottom"/>
            <w:gridSpan w:val="2"/>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51.8</w:t>
            </w:r>
          </w:p>
        </w:tc>
      </w:tr>
      <w:tr>
        <w:trPr>
          <w:trHeight w:val="290"/>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Debt securities: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1"/>
        </w:trPr>
        <w:tc>
          <w:tcPr>
            <w:tcW w:w="38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Domestic treasuries</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1080" w:type="dxa"/>
            <w:vAlign w:val="bottom"/>
            <w:gridSpan w:val="3"/>
            <w:shd w:val="clear" w:color="auto" w:fill="CFEBF4"/>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8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90"/>
        </w:trPr>
        <w:tc>
          <w:tcPr>
            <w:tcW w:w="38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Corporate bonds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r>
      <w:tr>
        <w:trPr>
          <w:trHeight w:val="301"/>
        </w:trPr>
        <w:tc>
          <w:tcPr>
            <w:tcW w:w="388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Pooled investment funds and other</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1080" w:type="dxa"/>
            <w:vAlign w:val="bottom"/>
            <w:gridSpan w:val="3"/>
            <w:shd w:val="clear" w:color="auto" w:fill="CFEBF4"/>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196.8</w:t>
            </w:r>
          </w:p>
        </w:tc>
        <w:tc>
          <w:tcPr>
            <w:tcW w:w="8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196.8</w:t>
            </w:r>
          </w:p>
        </w:tc>
      </w:tr>
      <w:tr>
        <w:trPr>
          <w:trHeight w:val="290"/>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Property/real estate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r>
      <w:tr>
        <w:trPr>
          <w:trHeight w:val="301"/>
        </w:trPr>
        <w:tc>
          <w:tcPr>
            <w:tcW w:w="388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Insurance products</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20" w:type="dxa"/>
            <w:vAlign w:val="bottom"/>
            <w:shd w:val="clear" w:color="auto" w:fill="CFEBF4"/>
          </w:tcPr>
          <w:p>
            <w:pPr>
              <w:spacing w:after="0"/>
              <w:rPr>
                <w:sz w:val="24"/>
                <w:szCs w:val="24"/>
                <w:color w:val="auto"/>
              </w:rPr>
            </w:pPr>
          </w:p>
        </w:tc>
        <w:tc>
          <w:tcPr>
            <w:tcW w:w="1080" w:type="dxa"/>
            <w:vAlign w:val="bottom"/>
            <w:gridSpan w:val="3"/>
            <w:shd w:val="clear" w:color="auto" w:fill="CFEBF4"/>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BF4"/>
          </w:tcPr>
          <w:p>
            <w:pPr>
              <w:spacing w:after="0"/>
              <w:rPr>
                <w:sz w:val="24"/>
                <w:szCs w:val="24"/>
                <w:color w:val="auto"/>
              </w:rPr>
            </w:pPr>
          </w:p>
        </w:tc>
        <w:tc>
          <w:tcPr>
            <w:tcW w:w="9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BF4"/>
          </w:tcPr>
          <w:p>
            <w:pPr>
              <w:spacing w:after="0"/>
              <w:rPr>
                <w:sz w:val="24"/>
                <w:szCs w:val="24"/>
                <w:color w:val="auto"/>
              </w:rPr>
            </w:pPr>
          </w:p>
        </w:tc>
        <w:tc>
          <w:tcPr>
            <w:tcW w:w="280" w:type="dxa"/>
            <w:vAlign w:val="bottom"/>
            <w:shd w:val="clear" w:color="auto" w:fill="CFEBF4"/>
          </w:tcPr>
          <w:p>
            <w:pPr>
              <w:spacing w:after="0"/>
              <w:rPr>
                <w:sz w:val="24"/>
                <w:szCs w:val="24"/>
                <w:color w:val="auto"/>
              </w:rPr>
            </w:pPr>
          </w:p>
        </w:tc>
        <w:tc>
          <w:tcPr>
            <w:tcW w:w="9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21.4</w:t>
            </w:r>
          </w:p>
        </w:tc>
      </w:tr>
      <w:tr>
        <w:trPr>
          <w:trHeight w:val="285"/>
        </w:trPr>
        <w:tc>
          <w:tcPr>
            <w:tcW w:w="388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24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Borders>
              <w:bottom w:val="single" w:sz="8" w:color="CFEBF4"/>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231F20"/>
            </w:tcBorders>
          </w:tcPr>
          <w:p>
            <w:pPr>
              <w:spacing w:after="0"/>
              <w:rPr>
                <w:sz w:val="24"/>
                <w:szCs w:val="24"/>
                <w:color w:val="auto"/>
              </w:rPr>
            </w:pPr>
          </w:p>
        </w:tc>
        <w:tc>
          <w:tcPr>
            <w:tcW w:w="80" w:type="dxa"/>
            <w:vAlign w:val="bottom"/>
            <w:tcBorders>
              <w:bottom w:val="single" w:sz="8" w:color="CFEBF4"/>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95"/>
        </w:trPr>
        <w:tc>
          <w:tcPr>
            <w:tcW w:w="3880" w:type="dxa"/>
            <w:vAlign w:val="bottom"/>
            <w:tcBorders>
              <w:bottom w:val="single" w:sz="8" w:color="CFEBF4"/>
            </w:tcBorders>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Total investments in Foreign Plans</w:t>
            </w:r>
          </w:p>
        </w:tc>
        <w:tc>
          <w:tcPr>
            <w:tcW w:w="2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Borders>
              <w:bottom w:val="single" w:sz="8" w:color="CFEBF4"/>
            </w:tcBorders>
            <w:shd w:val="clear" w:color="auto" w:fill="CFEBF4"/>
          </w:tcPr>
          <w:p>
            <w:pPr>
              <w:spacing w:after="0"/>
              <w:rPr>
                <w:sz w:val="24"/>
                <w:szCs w:val="24"/>
                <w:color w:val="auto"/>
              </w:rPr>
            </w:pPr>
          </w:p>
        </w:tc>
        <w:tc>
          <w:tcPr>
            <w:tcW w:w="240" w:type="dxa"/>
            <w:vAlign w:val="bottom"/>
            <w:tcBorders>
              <w:bottom w:val="single" w:sz="8" w:color="231F20"/>
            </w:tcBorders>
            <w:shd w:val="clear" w:color="auto" w:fill="CFEBF4"/>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60" w:type="dxa"/>
            <w:vAlign w:val="bottom"/>
            <w:tcBorders>
              <w:bottom w:val="single" w:sz="8" w:color="231F20"/>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2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shd w:val="clear" w:color="auto" w:fill="CFEBF4"/>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shd w:val="clear" w:color="auto" w:fill="CFEBF4"/>
          </w:tcPr>
          <w:p>
            <w:pPr>
              <w:spacing w:after="0"/>
              <w:rPr>
                <w:sz w:val="24"/>
                <w:szCs w:val="24"/>
                <w:color w:val="auto"/>
              </w:rPr>
            </w:pPr>
          </w:p>
        </w:tc>
        <w:tc>
          <w:tcPr>
            <w:tcW w:w="60" w:type="dxa"/>
            <w:vAlign w:val="bottom"/>
            <w:tcBorders>
              <w:bottom w:val="single" w:sz="8" w:color="231F20"/>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271.3</w:t>
            </w:r>
          </w:p>
        </w:tc>
        <w:tc>
          <w:tcPr>
            <w:tcW w:w="80" w:type="dxa"/>
            <w:vAlign w:val="bottom"/>
            <w:tcBorders>
              <w:bottom w:val="single" w:sz="8" w:color="CFEBF4"/>
            </w:tcBorders>
            <w:shd w:val="clear" w:color="auto" w:fill="CFEBF4"/>
          </w:tcPr>
          <w:p>
            <w:pPr>
              <w:spacing w:after="0"/>
              <w:rPr>
                <w:sz w:val="24"/>
                <w:szCs w:val="24"/>
                <w:color w:val="auto"/>
              </w:rPr>
            </w:pPr>
          </w:p>
        </w:tc>
        <w:tc>
          <w:tcPr>
            <w:tcW w:w="280" w:type="dxa"/>
            <w:vAlign w:val="bottom"/>
            <w:tcBorders>
              <w:bottom w:val="single" w:sz="8" w:color="231F20"/>
            </w:tcBorders>
            <w:shd w:val="clear" w:color="auto" w:fill="CFEBF4"/>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-231140</wp:posOffset>
            </wp:positionV>
            <wp:extent cx="3215005" cy="501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9">
                      <a:extLst>
                        <a:ext uri="{28A0092B-C50C-407E-A947-70E740481C1C}"/>
                      </a:extLst>
                    </a:blip>
                    <a:srcRect/>
                    <a:stretch>
                      <a:fillRect/>
                    </a:stretch>
                  </pic:blipFill>
                  <pic:spPr bwMode="auto">
                    <a:xfrm>
                      <a:off x="0" y="0"/>
                      <a:ext cx="3215005" cy="5016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-55880</wp:posOffset>
            </wp:positionV>
            <wp:extent cx="3990975" cy="749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0">
                      <a:extLst>
                        <a:ext uri="{28A0092B-C50C-407E-A947-70E740481C1C}"/>
                      </a:extLst>
                    </a:blip>
                    <a:srcRect/>
                    <a:stretch>
                      <a:fillRect/>
                    </a:stretch>
                  </pic:blipFill>
                  <pic:spPr bwMode="auto">
                    <a:xfrm>
                      <a:off x="0" y="0"/>
                      <a:ext cx="3990975" cy="74930"/>
                    </a:xfrm>
                    <a:prstGeom prst="rect">
                      <a:avLst/>
                    </a:prstGeom>
                    <a:noFill/>
                  </pic:spPr>
                </pic:pic>
              </a:graphicData>
            </a:graphic>
          </wp:anchor>
        </w:drawing>
      </w:r>
    </w:p>
    <w:p>
      <w:pPr>
        <w:spacing w:after="0" w:line="132" w:lineRule="exact"/>
        <w:rPr>
          <w:sz w:val="20"/>
          <w:szCs w:val="20"/>
          <w:color w:val="auto"/>
        </w:rPr>
      </w:pPr>
    </w:p>
    <w:p>
      <w:pPr>
        <w:ind w:left="280" w:hanging="273"/>
        <w:spacing w:after="0" w:line="226" w:lineRule="auto"/>
        <w:tabs>
          <w:tab w:leader="none" w:pos="289" w:val="left"/>
        </w:tabs>
        <w:numPr>
          <w:ilvl w:val="0"/>
          <w:numId w:val="33"/>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Investments measured at fair value using the NAV per share practical expedient have not been classified in the fair value hierarchy. The amounts presented in the table above are intended to reconcile the fair value hierarchy to the total fair value of plan assets.</w:t>
      </w:r>
    </w:p>
    <w:p>
      <w:pPr>
        <w:spacing w:after="0" w:line="94" w:lineRule="exact"/>
        <w:rPr>
          <w:sz w:val="20"/>
          <w:szCs w:val="20"/>
          <w:color w:val="auto"/>
        </w:rPr>
      </w:pPr>
    </w:p>
    <w:p>
      <w:pPr>
        <w:jc w:val="both"/>
        <w:ind w:firstLine="266"/>
        <w:spacing w:after="0" w:line="268" w:lineRule="auto"/>
        <w:rPr>
          <w:sz w:val="20"/>
          <w:szCs w:val="20"/>
          <w:color w:val="auto"/>
        </w:rPr>
      </w:pPr>
      <w:r>
        <w:rPr>
          <w:rFonts w:ascii="Times New Roman" w:cs="Times New Roman" w:eastAsia="Times New Roman" w:hAnsi="Times New Roman"/>
          <w:sz w:val="19"/>
          <w:szCs w:val="19"/>
          <w:color w:val="231F20"/>
        </w:rPr>
        <w:t>The assets of the Foreign Plans are measured at fair value, which is defined as the price that would be received to sell an asset or paid to transfer a liability in an orderly transaction between market participants at the measurement date. Financial assets and liabilities are classified in the fair value hierarchy based on the lowest level of any input that is significant to the measurement of fair value. Investments for which fair value is measured using the net asset value per share practical expedient are not classified in the fair value hierarchy. The majority of pension assets are comprised of common/collective/pool funds (i.e., mutual funds). These funds are valued at the net asset value of shares held in the underlying funds.</w:t>
      </w:r>
    </w:p>
    <w:p>
      <w:pPr>
        <w:spacing w:after="0" w:line="73"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fair value methods described above may not be indicative of net realizable value or reflective of future fair values. Additionally, while the Company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STOCK-BASED COMPENSATION</w:t>
      </w:r>
    </w:p>
    <w:p>
      <w:pPr>
        <w:spacing w:after="0" w:line="13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Wesco sponsors a stock-based compensation plan. On May 27, 2021, the Company’s stockholders approved the WESCO International, Inc. 2021 Omnibus Incentive Plan (the “2021 Plan”). The 2021 Plan is administered by the Compensation Committee of the Company’s Board of Directors.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120"/>
          </w:cols>
          <w:pgMar w:left="880" w:top="285" w:right="88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2021 Plan was designed to be the successor plan to all prior stock-based compensation plans. Accordingly, no new awards may be granted under the Company’s 1999 Long-Term Incentive Plan, as amended and restated (the “1999 Plan”) or any other prior plan. Awards outstanding under any such prior plans will remain in full force and effect under such plans according to their respective terms. To the extent that any such award is forfeited, terminates, expires or lapses without being exercised, or is settled for cash, the shares subject to such award not delivered will again be available for awards under the 2021 Plan.</w:t>
      </w:r>
    </w:p>
    <w:p>
      <w:pPr>
        <w:spacing w:after="0" w:line="88" w:lineRule="exact"/>
        <w:rPr>
          <w:sz w:val="20"/>
          <w:szCs w:val="20"/>
          <w:color w:val="auto"/>
        </w:rPr>
      </w:pPr>
    </w:p>
    <w:p>
      <w:pPr>
        <w:jc w:val="both"/>
        <w:ind w:firstLine="266"/>
        <w:spacing w:after="0" w:line="250" w:lineRule="auto"/>
        <w:rPr>
          <w:sz w:val="20"/>
          <w:szCs w:val="20"/>
          <w:color w:val="auto"/>
        </w:rPr>
      </w:pPr>
      <w:r>
        <w:rPr>
          <w:rFonts w:ascii="Times New Roman" w:cs="Times New Roman" w:eastAsia="Times New Roman" w:hAnsi="Times New Roman"/>
          <w:sz w:val="20"/>
          <w:szCs w:val="20"/>
          <w:color w:val="231F20"/>
        </w:rPr>
        <w:t>The maximum number of shares of the Company’s common stock that may be granted pursuant to awards under the 2021 Plan is 2,150,000, less any shares issued under the 1999 Plan between March 31, 2021 and May 27, 2021. If any award granted under the 2021 Plan is forfeited, terminates, expires or lapses instead of being exercised, or is settled for cash, the shares subject to such award will again be available for grant under the 2021 Plan. Shares delivered by participants or withheld by the Company to pay all or a portion of the exercise price or withholding taxes with respect to stock option or stock appreciation right awards will not again be available for issuance. Shares delivered by participants or withheld by the Company to satisfy applicable tax withholding obligations with respect to restricted shares or restricted stock units will again be available for grant under the 2021 Plan. As of December 31, 2025, 1,330,662 shares of common stock were reserved under the 2021 Plan for future equity award grants.</w:t>
      </w:r>
    </w:p>
    <w:p>
      <w:pPr>
        <w:spacing w:after="0" w:line="90"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Stock-based compensation awards outstanding under Wesco’s plans comprise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spacing w:after="0" w:line="96" w:lineRule="exact"/>
        <w:rPr>
          <w:sz w:val="20"/>
          <w:szCs w:val="20"/>
          <w:color w:val="auto"/>
        </w:rPr>
      </w:pPr>
    </w:p>
    <w:p>
      <w:pPr>
        <w:jc w:val="both"/>
        <w:ind w:firstLine="266"/>
        <w:spacing w:after="0" w:line="268" w:lineRule="auto"/>
        <w:rPr>
          <w:sz w:val="20"/>
          <w:szCs w:val="20"/>
          <w:color w:val="auto"/>
        </w:rPr>
      </w:pPr>
      <w:r>
        <w:rPr>
          <w:rFonts w:ascii="Times New Roman" w:cs="Times New Roman" w:eastAsia="Times New Roman" w:hAnsi="Times New Roman"/>
          <w:sz w:val="19"/>
          <w:szCs w:val="19"/>
          <w:color w:val="231F20"/>
        </w:rPr>
        <w:t>Stock options and stock-settled stock appreciation rights vest ratably over a three-year period and terminate on the tenth anniversary of the grant date unless terminated sooner under certain conditions. Restricted stock units awarded under the 2021 Plan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spacing w:after="0" w:line="73"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Prior to the 2025 awards, performance-based awards were typically based on two equally-weighted performance measures: the three-year average growth rate of Wesco’s net income attributable to common stockholders and the three-year cumulative return on net assets. The 2025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the March 1, 2025 grant date was measured using a Monte Carlo simulation.</w:t>
      </w:r>
    </w:p>
    <w:p>
      <w:pPr>
        <w:spacing w:after="0" w:line="94"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Wesco recognized $40.5 million, $28.9 million and $48.1 million of non-cash stock-based compensation expense for the years ended December 31, 2025, 2024 and 2023, respectively, which is included in selling, general and administrative expenses for all such periods. As of December 31, 2025, there was $62.8 million of total unrecognized compensation expense related to non-vested stock-based compensation arrangements for all awards previously made, which is expected to be recognized as follows:</w:t>
      </w:r>
    </w:p>
    <w:p>
      <w:pPr>
        <w:spacing w:after="0" w:line="153" w:lineRule="exact"/>
        <w:rPr>
          <w:sz w:val="20"/>
          <w:szCs w:val="20"/>
          <w:color w:val="auto"/>
        </w:rPr>
      </w:pPr>
    </w:p>
    <w:tbl>
      <w:tblPr>
        <w:tblLayout w:type="fixed"/>
        <w:tblInd w:w="2420" w:type="dxa"/>
        <w:tblCellMar>
          <w:top w:w="0" w:type="dxa"/>
          <w:left w:w="0" w:type="dxa"/>
          <w:bottom w:w="0" w:type="dxa"/>
          <w:right w:w="0" w:type="dxa"/>
        </w:tblCellMar>
      </w:tblPr>
      <w:tr>
        <w:trPr>
          <w:trHeight w:val="241"/>
        </w:trPr>
        <w:tc>
          <w:tcPr>
            <w:tcW w:w="2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For the year ending December 31,</w:t>
            </w:r>
          </w:p>
        </w:tc>
        <w:tc>
          <w:tcPr>
            <w:tcW w:w="660" w:type="dxa"/>
            <w:vAlign w:val="bottom"/>
          </w:tcPr>
          <w:p>
            <w:pPr>
              <w:spacing w:after="0"/>
              <w:rPr>
                <w:sz w:val="20"/>
                <w:szCs w:val="20"/>
                <w:color w:val="auto"/>
              </w:rPr>
            </w:pPr>
          </w:p>
        </w:tc>
        <w:tc>
          <w:tcPr>
            <w:tcW w:w="1640" w:type="dxa"/>
            <w:vAlign w:val="bottom"/>
          </w:tcPr>
          <w:p>
            <w:pPr>
              <w:jc w:val="right"/>
              <w:ind w:right="506"/>
              <w:spacing w:after="0"/>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317"/>
        </w:trPr>
        <w:tc>
          <w:tcPr>
            <w:tcW w:w="29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2026</w:t>
            </w:r>
          </w:p>
        </w:tc>
        <w:tc>
          <w:tcPr>
            <w:tcW w:w="660" w:type="dxa"/>
            <w:vAlign w:val="bottom"/>
            <w:shd w:val="clear" w:color="auto" w:fill="CFEBF4"/>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1640" w:type="dxa"/>
            <w:vAlign w:val="bottom"/>
            <w:shd w:val="clear" w:color="auto" w:fill="CFEBF4"/>
          </w:tcPr>
          <w:p>
            <w:pPr>
              <w:jc w:val="right"/>
              <w:ind w:right="6"/>
              <w:spacing w:after="0"/>
              <w:rPr>
                <w:sz w:val="20"/>
                <w:szCs w:val="20"/>
                <w:color w:val="auto"/>
              </w:rPr>
            </w:pPr>
            <w:r>
              <w:rPr>
                <w:rFonts w:ascii="Times New Roman" w:cs="Times New Roman" w:eastAsia="Times New Roman" w:hAnsi="Times New Roman"/>
                <w:sz w:val="20"/>
                <w:szCs w:val="20"/>
                <w:color w:val="231F20"/>
              </w:rPr>
              <w:t>35.2</w:t>
            </w:r>
          </w:p>
        </w:tc>
      </w:tr>
      <w:tr>
        <w:trPr>
          <w:trHeight w:val="304"/>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2027</w:t>
            </w:r>
          </w:p>
        </w:tc>
        <w:tc>
          <w:tcPr>
            <w:tcW w:w="660" w:type="dxa"/>
            <w:vAlign w:val="bottom"/>
          </w:tcPr>
          <w:p>
            <w:pPr>
              <w:spacing w:after="0"/>
              <w:rPr>
                <w:sz w:val="24"/>
                <w:szCs w:val="24"/>
                <w:color w:val="auto"/>
              </w:rPr>
            </w:pPr>
          </w:p>
        </w:tc>
        <w:tc>
          <w:tcPr>
            <w:tcW w:w="16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23.2</w:t>
            </w:r>
          </w:p>
        </w:tc>
      </w:tr>
      <w:tr>
        <w:trPr>
          <w:trHeight w:val="316"/>
        </w:trPr>
        <w:tc>
          <w:tcPr>
            <w:tcW w:w="298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2028</w:t>
            </w:r>
          </w:p>
        </w:tc>
        <w:tc>
          <w:tcPr>
            <w:tcW w:w="660" w:type="dxa"/>
            <w:vAlign w:val="bottom"/>
            <w:shd w:val="clear" w:color="auto" w:fill="CFEBF4"/>
          </w:tcPr>
          <w:p>
            <w:pPr>
              <w:spacing w:after="0"/>
              <w:rPr>
                <w:sz w:val="24"/>
                <w:szCs w:val="24"/>
                <w:color w:val="auto"/>
              </w:rPr>
            </w:pPr>
          </w:p>
        </w:tc>
        <w:tc>
          <w:tcPr>
            <w:tcW w:w="1640" w:type="dxa"/>
            <w:vAlign w:val="bottom"/>
            <w:shd w:val="clear" w:color="auto" w:fill="CFEBF4"/>
          </w:tcPr>
          <w:p>
            <w:pPr>
              <w:jc w:val="right"/>
              <w:ind w:right="6"/>
              <w:spacing w:after="0"/>
              <w:rPr>
                <w:sz w:val="20"/>
                <w:szCs w:val="20"/>
                <w:color w:val="auto"/>
              </w:rPr>
            </w:pPr>
            <w:r>
              <w:rPr>
                <w:rFonts w:ascii="Times New Roman" w:cs="Times New Roman" w:eastAsia="Times New Roman" w:hAnsi="Times New Roman"/>
                <w:sz w:val="20"/>
                <w:szCs w:val="20"/>
                <w:color w:val="231F20"/>
              </w:rPr>
              <w:t>4.4</w:t>
            </w:r>
          </w:p>
        </w:tc>
      </w:tr>
    </w:tbl>
    <w:p>
      <w:pPr>
        <w:spacing w:after="0" w:line="200" w:lineRule="exact"/>
        <w:rPr>
          <w:sz w:val="20"/>
          <w:szCs w:val="20"/>
          <w:color w:val="auto"/>
        </w:rPr>
      </w:pP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120"/>
          </w:cols>
          <w:pgMar w:left="880" w:top="285" w:right="88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aggregate intrinsic value of awards exercised and vested during the years ended December 31, 2025, 2024, and 2023 was $95.1 million, $80.6 million, and $172.8 million, respectively. The gross income tax benefit associated with the exercise of stock-based awards totaled $22.2 million, $19.1 million, and $40.8 million in 2025, 2024, and 2023, respectively.</w:t>
      </w:r>
    </w:p>
    <w:p>
      <w:pPr>
        <w:spacing w:after="0" w:line="77"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During the years ended December 31, 2025, 2024 and 2023, Wesco granted the following stock options, restricted stock units, and performance-based awards at the following weighted-average fair values:</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2860" w:type="dxa"/>
            <w:vAlign w:val="bottom"/>
            <w:tcBorders>
              <w:bottom w:val="single" w:sz="8" w:color="231F20"/>
            </w:tcBorders>
            <w:gridSpan w:val="7"/>
          </w:tcPr>
          <w:p>
            <w:pPr>
              <w:jc w:val="right"/>
              <w:ind w:right="443"/>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r>
      <w:tr>
        <w:trPr>
          <w:trHeight w:val="232"/>
        </w:trPr>
        <w:tc>
          <w:tcPr>
            <w:tcW w:w="5940" w:type="dxa"/>
            <w:vAlign w:val="bottom"/>
            <w:tcBorders>
              <w:bottom w:val="single" w:sz="8" w:color="CFEBF4"/>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2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5"/>
        </w:trPr>
        <w:tc>
          <w:tcPr>
            <w:tcW w:w="59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Stock options granted</w:t>
            </w:r>
          </w:p>
        </w:tc>
        <w:tc>
          <w:tcPr>
            <w:tcW w:w="24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89,221</w:t>
            </w:r>
          </w:p>
        </w:tc>
        <w:tc>
          <w:tcPr>
            <w:tcW w:w="6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85,425</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7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78,729</w:t>
            </w:r>
          </w:p>
        </w:tc>
      </w:tr>
      <w:tr>
        <w:trPr>
          <w:trHeight w:val="290"/>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Weighted-average fair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76.72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72.05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76.69</w:t>
            </w:r>
          </w:p>
        </w:tc>
      </w:tr>
      <w:tr>
        <w:trPr>
          <w:trHeight w:val="301"/>
        </w:trPr>
        <w:tc>
          <w:tcPr>
            <w:tcW w:w="5940" w:type="dxa"/>
            <w:vAlign w:val="bottom"/>
            <w:shd w:val="clear" w:color="auto" w:fill="CFEBF4"/>
          </w:tcPr>
          <w:p>
            <w:pPr>
              <w:spacing w:after="0"/>
              <w:rPr>
                <w:sz w:val="24"/>
                <w:szCs w:val="24"/>
                <w:color w:val="auto"/>
              </w:rPr>
            </w:pPr>
          </w:p>
        </w:tc>
        <w:tc>
          <w:tcPr>
            <w:tcW w:w="240" w:type="dxa"/>
            <w:vAlign w:val="bottom"/>
            <w:shd w:val="clear" w:color="auto" w:fill="CFEBF4"/>
          </w:tcPr>
          <w:p>
            <w:pPr>
              <w:spacing w:after="0"/>
              <w:rPr>
                <w:sz w:val="24"/>
                <w:szCs w:val="24"/>
                <w:color w:val="auto"/>
              </w:rPr>
            </w:pPr>
          </w:p>
        </w:tc>
        <w:tc>
          <w:tcPr>
            <w:tcW w:w="82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7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740" w:type="dxa"/>
            <w:vAlign w:val="bottom"/>
            <w:shd w:val="clear" w:color="auto" w:fill="CFEBF4"/>
          </w:tcPr>
          <w:p>
            <w:pPr>
              <w:spacing w:after="0"/>
              <w:rPr>
                <w:sz w:val="24"/>
                <w:szCs w:val="24"/>
                <w:color w:val="auto"/>
              </w:rPr>
            </w:pPr>
          </w:p>
        </w:tc>
      </w:tr>
      <w:tr>
        <w:trPr>
          <w:trHeight w:val="275"/>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Restricted stock units granted</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241,523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249,757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177,659</w:t>
            </w:r>
          </w:p>
        </w:tc>
      </w:tr>
      <w:tr>
        <w:trPr>
          <w:trHeight w:val="287"/>
        </w:trPr>
        <w:tc>
          <w:tcPr>
            <w:tcW w:w="59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Weighted-average fair value</w:t>
            </w:r>
          </w:p>
        </w:tc>
        <w:tc>
          <w:tcPr>
            <w:tcW w:w="2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181.90</w:t>
            </w:r>
          </w:p>
        </w:tc>
        <w:tc>
          <w:tcPr>
            <w:tcW w:w="260" w:type="dxa"/>
            <w:vAlign w:val="bottom"/>
            <w:gridSpan w:val="2"/>
            <w:shd w:val="clear" w:color="auto" w:fill="CFEBF4"/>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158.78</w:t>
            </w:r>
          </w:p>
        </w:tc>
        <w:tc>
          <w:tcPr>
            <w:tcW w:w="280" w:type="dxa"/>
            <w:vAlign w:val="bottom"/>
            <w:gridSpan w:val="2"/>
            <w:shd w:val="clear" w:color="auto" w:fill="CFEBF4"/>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169.65</w:t>
            </w:r>
          </w:p>
        </w:tc>
      </w:tr>
      <w:tr>
        <w:trPr>
          <w:trHeight w:val="281"/>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1"/>
        </w:trPr>
        <w:tc>
          <w:tcPr>
            <w:tcW w:w="59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Performance-based awards granted</w:t>
            </w:r>
          </w:p>
        </w:tc>
        <w:tc>
          <w:tcPr>
            <w:tcW w:w="240" w:type="dxa"/>
            <w:vAlign w:val="bottom"/>
            <w:shd w:val="clear" w:color="auto" w:fill="CFEBF4"/>
          </w:tcPr>
          <w:p>
            <w:pPr>
              <w:spacing w:after="0"/>
              <w:rPr>
                <w:sz w:val="24"/>
                <w:szCs w:val="24"/>
                <w:color w:val="auto"/>
              </w:rPr>
            </w:pPr>
          </w:p>
        </w:tc>
        <w:tc>
          <w:tcPr>
            <w:tcW w:w="8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77,686</w:t>
            </w:r>
          </w:p>
        </w:tc>
        <w:tc>
          <w:tcPr>
            <w:tcW w:w="6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7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194,599</w:t>
            </w:r>
          </w:p>
        </w:tc>
        <w:tc>
          <w:tcPr>
            <w:tcW w:w="8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7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w w:val="98"/>
              </w:rPr>
              <w:t>212,656</w:t>
            </w:r>
          </w:p>
        </w:tc>
      </w:tr>
      <w:tr>
        <w:trPr>
          <w:trHeight w:val="26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Weighted-average fair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191.64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-1471295</wp:posOffset>
            </wp:positionV>
            <wp:extent cx="2020570" cy="501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1">
                      <a:extLst>
                        <a:ext uri="{28A0092B-C50C-407E-A947-70E740481C1C}"/>
                      </a:extLst>
                    </a:blip>
                    <a:srcRect/>
                    <a:stretch>
                      <a:fillRect/>
                    </a:stretch>
                  </pic:blipFill>
                  <pic:spPr bwMode="auto">
                    <a:xfrm>
                      <a:off x="0" y="0"/>
                      <a:ext cx="2020570" cy="50165"/>
                    </a:xfrm>
                    <a:prstGeom prst="rect">
                      <a:avLst/>
                    </a:prstGeom>
                    <a:noFill/>
                  </pic:spPr>
                </pic:pic>
              </a:graphicData>
            </a:graphic>
          </wp:anchor>
        </w:drawing>
      </w:r>
    </w:p>
    <w:p>
      <w:pPr>
        <w:spacing w:after="0" w:line="148"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fair values of stock options, as disclosed in the table above, were estimated using the following weighted-average assumptions in the respective periods:</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100" w:type="dxa"/>
            <w:vAlign w:val="bottom"/>
            <w:tcBorders>
              <w:bottom w:val="single" w:sz="8" w:color="231F20"/>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r>
      <w:tr>
        <w:trPr>
          <w:trHeight w:val="232"/>
        </w:trPr>
        <w:tc>
          <w:tcPr>
            <w:tcW w:w="594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tcPr>
          <w:p>
            <w:pPr>
              <w:jc w:val="right"/>
              <w:ind w:right="26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0"/>
                <w:szCs w:val="20"/>
                <w:color w:val="auto"/>
              </w:rPr>
            </w:pPr>
          </w:p>
        </w:tc>
        <w:tc>
          <w:tcPr>
            <w:tcW w:w="960" w:type="dxa"/>
            <w:vAlign w:val="bottom"/>
            <w:tcBorders>
              <w:bottom w:val="single" w:sz="8" w:color="231F20"/>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0"/>
                <w:szCs w:val="20"/>
                <w:color w:val="auto"/>
              </w:rPr>
            </w:pPr>
          </w:p>
        </w:tc>
        <w:tc>
          <w:tcPr>
            <w:tcW w:w="940" w:type="dxa"/>
            <w:vAlign w:val="bottom"/>
            <w:tcBorders>
              <w:bottom w:val="single" w:sz="8" w:color="231F20"/>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5"/>
        </w:trPr>
        <w:tc>
          <w:tcPr>
            <w:tcW w:w="59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Risk free interest rate</w:t>
            </w:r>
          </w:p>
        </w:tc>
        <w:tc>
          <w:tcPr>
            <w:tcW w:w="10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020" w:type="dxa"/>
            <w:vAlign w:val="bottom"/>
            <w:gridSpan w:val="2"/>
            <w:shd w:val="clear" w:color="auto" w:fill="CFEBF4"/>
          </w:tcPr>
          <w:p>
            <w:pPr>
              <w:jc w:val="center"/>
              <w:ind w:left="21"/>
              <w:spacing w:after="0"/>
              <w:rPr>
                <w:sz w:val="20"/>
                <w:szCs w:val="20"/>
                <w:color w:val="auto"/>
              </w:rPr>
            </w:pPr>
            <w:r>
              <w:rPr>
                <w:rFonts w:ascii="Times New Roman" w:cs="Times New Roman" w:eastAsia="Times New Roman" w:hAnsi="Times New Roman"/>
                <w:sz w:val="20"/>
                <w:szCs w:val="20"/>
                <w:color w:val="231F20"/>
              </w:rPr>
              <w:t>4.2%</w:t>
            </w:r>
          </w:p>
        </w:tc>
        <w:tc>
          <w:tcPr>
            <w:tcW w:w="1020" w:type="dxa"/>
            <w:vAlign w:val="bottom"/>
            <w:gridSpan w:val="2"/>
            <w:shd w:val="clear" w:color="auto" w:fill="CFEBF4"/>
          </w:tcPr>
          <w:p>
            <w:pPr>
              <w:jc w:val="center"/>
              <w:ind w:left="21"/>
              <w:spacing w:after="0"/>
              <w:rPr>
                <w:sz w:val="20"/>
                <w:szCs w:val="20"/>
                <w:color w:val="auto"/>
              </w:rPr>
            </w:pPr>
            <w:r>
              <w:rPr>
                <w:rFonts w:ascii="Times New Roman" w:cs="Times New Roman" w:eastAsia="Times New Roman" w:hAnsi="Times New Roman"/>
                <w:sz w:val="20"/>
                <w:szCs w:val="20"/>
                <w:color w:val="231F20"/>
              </w:rPr>
              <w:t>4.1%</w:t>
            </w:r>
          </w:p>
        </w:tc>
      </w:tr>
      <w:tr>
        <w:trPr>
          <w:trHeight w:val="290"/>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life (in years)</w:t>
            </w:r>
          </w:p>
        </w:tc>
        <w:tc>
          <w:tcPr>
            <w:tcW w:w="1060" w:type="dxa"/>
            <w:vAlign w:val="bottom"/>
          </w:tcPr>
          <w:p>
            <w:pPr>
              <w:jc w:val="right"/>
              <w:ind w:right="385"/>
              <w:spacing w:after="0"/>
              <w:rPr>
                <w:sz w:val="20"/>
                <w:szCs w:val="20"/>
                <w:color w:val="auto"/>
              </w:rPr>
            </w:pPr>
            <w:r>
              <w:rPr>
                <w:rFonts w:ascii="Times New Roman" w:cs="Times New Roman" w:eastAsia="Times New Roman" w:hAnsi="Times New Roman"/>
                <w:sz w:val="20"/>
                <w:szCs w:val="20"/>
                <w:color w:val="231F20"/>
              </w:rPr>
              <w:t>5</w:t>
            </w:r>
          </w:p>
        </w:tc>
        <w:tc>
          <w:tcPr>
            <w:tcW w:w="1020" w:type="dxa"/>
            <w:vAlign w:val="bottom"/>
            <w:gridSpan w:val="2"/>
          </w:tcPr>
          <w:p>
            <w:pPr>
              <w:jc w:val="right"/>
              <w:ind w:right="331"/>
              <w:spacing w:after="0"/>
              <w:rPr>
                <w:sz w:val="20"/>
                <w:szCs w:val="20"/>
                <w:color w:val="auto"/>
              </w:rPr>
            </w:pPr>
            <w:r>
              <w:rPr>
                <w:rFonts w:ascii="Times New Roman" w:cs="Times New Roman" w:eastAsia="Times New Roman" w:hAnsi="Times New Roman"/>
                <w:sz w:val="20"/>
                <w:szCs w:val="20"/>
                <w:color w:val="231F20"/>
              </w:rPr>
              <w:t>5</w:t>
            </w:r>
          </w:p>
        </w:tc>
        <w:tc>
          <w:tcPr>
            <w:tcW w:w="1020" w:type="dxa"/>
            <w:vAlign w:val="bottom"/>
            <w:gridSpan w:val="2"/>
          </w:tcPr>
          <w:p>
            <w:pPr>
              <w:jc w:val="right"/>
              <w:ind w:right="331"/>
              <w:spacing w:after="0"/>
              <w:rPr>
                <w:sz w:val="20"/>
                <w:szCs w:val="20"/>
                <w:color w:val="auto"/>
              </w:rPr>
            </w:pPr>
            <w:r>
              <w:rPr>
                <w:rFonts w:ascii="Times New Roman" w:cs="Times New Roman" w:eastAsia="Times New Roman" w:hAnsi="Times New Roman"/>
                <w:sz w:val="20"/>
                <w:szCs w:val="20"/>
                <w:color w:val="231F20"/>
              </w:rPr>
              <w:t>5</w:t>
            </w:r>
          </w:p>
        </w:tc>
      </w:tr>
      <w:tr>
        <w:trPr>
          <w:trHeight w:val="301"/>
        </w:trPr>
        <w:tc>
          <w:tcPr>
            <w:tcW w:w="59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Expected volatility</w:t>
            </w:r>
          </w:p>
        </w:tc>
        <w:tc>
          <w:tcPr>
            <w:tcW w:w="10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rPr>
              <w:t>47%</w:t>
            </w:r>
          </w:p>
        </w:tc>
        <w:tc>
          <w:tcPr>
            <w:tcW w:w="1020" w:type="dxa"/>
            <w:vAlign w:val="bottom"/>
            <w:gridSpan w:val="2"/>
            <w:shd w:val="clear" w:color="auto" w:fill="CFEBF4"/>
          </w:tcPr>
          <w:p>
            <w:pPr>
              <w:jc w:val="center"/>
              <w:ind w:left="1"/>
              <w:spacing w:after="0"/>
              <w:rPr>
                <w:sz w:val="20"/>
                <w:szCs w:val="20"/>
                <w:color w:val="auto"/>
              </w:rPr>
            </w:pPr>
            <w:r>
              <w:rPr>
                <w:rFonts w:ascii="Times New Roman" w:cs="Times New Roman" w:eastAsia="Times New Roman" w:hAnsi="Times New Roman"/>
                <w:sz w:val="20"/>
                <w:szCs w:val="20"/>
                <w:color w:val="231F20"/>
                <w:w w:val="98"/>
              </w:rPr>
              <w:t>55%</w:t>
            </w:r>
          </w:p>
        </w:tc>
        <w:tc>
          <w:tcPr>
            <w:tcW w:w="1020" w:type="dxa"/>
            <w:vAlign w:val="bottom"/>
            <w:gridSpan w:val="2"/>
            <w:shd w:val="clear" w:color="auto" w:fill="CFEBF4"/>
          </w:tcPr>
          <w:p>
            <w:pPr>
              <w:jc w:val="center"/>
              <w:ind w:left="41"/>
              <w:spacing w:after="0"/>
              <w:rPr>
                <w:sz w:val="20"/>
                <w:szCs w:val="20"/>
                <w:color w:val="auto"/>
              </w:rPr>
            </w:pPr>
            <w:r>
              <w:rPr>
                <w:rFonts w:ascii="Times New Roman" w:cs="Times New Roman" w:eastAsia="Times New Roman" w:hAnsi="Times New Roman"/>
                <w:sz w:val="20"/>
                <w:szCs w:val="20"/>
                <w:color w:val="231F20"/>
                <w:w w:val="98"/>
              </w:rPr>
              <w:t>50%</w:t>
            </w:r>
          </w:p>
        </w:tc>
      </w:tr>
      <w:tr>
        <w:trPr>
          <w:trHeight w:val="284"/>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dividend yield</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1.01%</w:t>
            </w:r>
          </w:p>
        </w:tc>
        <w:tc>
          <w:tcPr>
            <w:tcW w:w="102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231F20"/>
                <w:w w:val="96"/>
              </w:rPr>
              <w:t>1.09%</w:t>
            </w:r>
          </w:p>
        </w:tc>
        <w:tc>
          <w:tcPr>
            <w:tcW w:w="102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231F20"/>
                <w:w w:val="96"/>
              </w:rPr>
              <w:t>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-767715</wp:posOffset>
            </wp:positionV>
            <wp:extent cx="2020570" cy="501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2">
                      <a:extLst>
                        <a:ext uri="{28A0092B-C50C-407E-A947-70E740481C1C}"/>
                      </a:extLst>
                    </a:blip>
                    <a:srcRect/>
                    <a:stretch>
                      <a:fillRect/>
                    </a:stretch>
                  </pic:blipFill>
                  <pic:spPr bwMode="auto">
                    <a:xfrm>
                      <a:off x="0" y="0"/>
                      <a:ext cx="2020570" cy="50165"/>
                    </a:xfrm>
                    <a:prstGeom prst="rect">
                      <a:avLst/>
                    </a:prstGeom>
                    <a:noFill/>
                  </pic:spPr>
                </pic:pic>
              </a:graphicData>
            </a:graphic>
          </wp:anchor>
        </w:drawing>
      </w:r>
    </w:p>
    <w:p>
      <w:pPr>
        <w:spacing w:after="0" w:line="148"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date of grant using the current year projected dividend distribution rate.</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a summary of stock options and related information for the periods presented: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100" w:type="dxa"/>
            <w:vAlign w:val="bottom"/>
            <w:tcBorders>
              <w:bottom w:val="single" w:sz="8" w:color="231F20"/>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6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right"/>
              <w:ind w:right="778"/>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60" w:type="dxa"/>
            <w:vAlign w:val="bottom"/>
          </w:tcPr>
          <w:p>
            <w:pPr>
              <w:spacing w:after="0"/>
              <w:rPr>
                <w:sz w:val="20"/>
                <w:szCs w:val="20"/>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0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000" w:type="dxa"/>
            <w:vAlign w:val="bottom"/>
            <w:tcBorders>
              <w:top w:val="single" w:sz="8" w:color="231F20"/>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Weighted-</w:t>
            </w:r>
          </w:p>
        </w:tc>
        <w:tc>
          <w:tcPr>
            <w:tcW w:w="6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231F20"/>
            </w:tcBorders>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231F20"/>
            </w:tcBorders>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40" w:type="dxa"/>
            <w:vAlign w:val="bottom"/>
            <w:tcBorders>
              <w:top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0"/>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Intrinsic</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9"/>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9"/>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00" w:type="dxa"/>
            <w:vAlign w:val="bottom"/>
            <w:vMerge w:val="restart"/>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0"/>
              <w:spacing w:after="0" w:line="158" w:lineRule="exact"/>
              <w:rPr>
                <w:sz w:val="20"/>
                <w:szCs w:val="20"/>
                <w:color w:val="auto"/>
              </w:rPr>
            </w:pPr>
            <w:r>
              <w:rPr>
                <w:rFonts w:ascii="Times New Roman" w:cs="Times New Roman" w:eastAsia="Times New Roman" w:hAnsi="Times New Roman"/>
                <w:sz w:val="16"/>
                <w:szCs w:val="16"/>
                <w:b w:val="1"/>
                <w:bCs w:val="1"/>
                <w:color w:val="231F20"/>
                <w:w w:val="96"/>
              </w:rPr>
              <w:t>Exercise</w:t>
            </w:r>
          </w:p>
        </w:tc>
        <w:tc>
          <w:tcPr>
            <w:tcW w:w="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6"/>
              </w:rPr>
              <w:t>Life (In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231F20"/>
                <w:w w:val="94"/>
              </w:rPr>
              <w:t>Value</w:t>
            </w:r>
          </w:p>
        </w:tc>
        <w:tc>
          <w:tcPr>
            <w:tcW w:w="60" w:type="dxa"/>
            <w:vAlign w:val="bottom"/>
          </w:tcPr>
          <w:p>
            <w:pPr>
              <w:spacing w:after="0"/>
              <w:rPr>
                <w:sz w:val="13"/>
                <w:szCs w:val="13"/>
                <w:color w:val="auto"/>
              </w:rPr>
            </w:pP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69"/>
              <w:spacing w:after="0" w:line="158"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60" w:type="dxa"/>
            <w:vAlign w:val="bottom"/>
          </w:tcPr>
          <w:p>
            <w:pPr>
              <w:spacing w:after="0"/>
              <w:rPr>
                <w:sz w:val="13"/>
                <w:szCs w:val="13"/>
                <w:color w:val="auto"/>
              </w:rPr>
            </w:pP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49"/>
              <w:spacing w:after="0" w:line="158"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0" w:type="dxa"/>
            <w:vAlign w:val="bottom"/>
          </w:tcPr>
          <w:p>
            <w:pPr>
              <w:spacing w:after="0"/>
              <w:rPr>
                <w:sz w:val="1"/>
                <w:szCs w:val="1"/>
                <w:color w:val="auto"/>
              </w:rPr>
            </w:pPr>
          </w:p>
        </w:tc>
      </w:tr>
      <w:tr>
        <w:trPr>
          <w:trHeight w:val="211"/>
        </w:trPr>
        <w:tc>
          <w:tcPr>
            <w:tcW w:w="1460" w:type="dxa"/>
            <w:vAlign w:val="bottom"/>
            <w:tcBorders>
              <w:bottom w:val="single" w:sz="8" w:color="CFEBF4"/>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FEBF4"/>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80" w:type="dxa"/>
            <w:vAlign w:val="bottom"/>
            <w:tcBorders>
              <w:bottom w:val="single" w:sz="8" w:color="CFEBF4"/>
            </w:tcBorders>
          </w:tcPr>
          <w:p>
            <w:pPr>
              <w:spacing w:after="0"/>
              <w:rPr>
                <w:sz w:val="18"/>
                <w:szCs w:val="18"/>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years)</w:t>
            </w:r>
          </w:p>
        </w:tc>
        <w:tc>
          <w:tcPr>
            <w:tcW w:w="60" w:type="dxa"/>
            <w:vAlign w:val="bottom"/>
            <w:tcBorders>
              <w:bottom w:val="single" w:sz="8" w:color="CFEBF4"/>
            </w:tcBorders>
          </w:tcPr>
          <w:p>
            <w:pPr>
              <w:spacing w:after="0"/>
              <w:rPr>
                <w:sz w:val="18"/>
                <w:szCs w:val="18"/>
                <w:color w:val="auto"/>
              </w:rPr>
            </w:pPr>
          </w:p>
        </w:tc>
        <w:tc>
          <w:tcPr>
            <w:tcW w:w="10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(In millions)</w:t>
            </w:r>
          </w:p>
        </w:tc>
        <w:tc>
          <w:tcPr>
            <w:tcW w:w="60" w:type="dxa"/>
            <w:vAlign w:val="bottom"/>
            <w:tcBorders>
              <w:bottom w:val="single" w:sz="8" w:color="CFEBF4"/>
            </w:tcBorders>
          </w:tcPr>
          <w:p>
            <w:pPr>
              <w:spacing w:after="0"/>
              <w:rPr>
                <w:sz w:val="18"/>
                <w:szCs w:val="18"/>
                <w:color w:val="auto"/>
              </w:rPr>
            </w:pPr>
          </w:p>
        </w:tc>
        <w:tc>
          <w:tcPr>
            <w:tcW w:w="10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FEBF4"/>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5"/>
              </w:rPr>
              <w:t>Price</w:t>
            </w:r>
          </w:p>
        </w:tc>
        <w:tc>
          <w:tcPr>
            <w:tcW w:w="60" w:type="dxa"/>
            <w:vAlign w:val="bottom"/>
            <w:tcBorders>
              <w:bottom w:val="single" w:sz="8" w:color="CFEBF4"/>
            </w:tcBorders>
          </w:tcPr>
          <w:p>
            <w:pPr>
              <w:spacing w:after="0"/>
              <w:rPr>
                <w:sz w:val="18"/>
                <w:szCs w:val="18"/>
                <w:color w:val="auto"/>
              </w:rPr>
            </w:pPr>
          </w:p>
        </w:tc>
        <w:tc>
          <w:tcPr>
            <w:tcW w:w="10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FEBF4"/>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5"/>
              </w:rPr>
              <w:t>Price</w:t>
            </w:r>
          </w:p>
        </w:tc>
        <w:tc>
          <w:tcPr>
            <w:tcW w:w="0" w:type="dxa"/>
            <w:vAlign w:val="bottom"/>
          </w:tcPr>
          <w:p>
            <w:pPr>
              <w:spacing w:after="0"/>
              <w:rPr>
                <w:sz w:val="1"/>
                <w:szCs w:val="1"/>
                <w:color w:val="auto"/>
              </w:rPr>
            </w:pPr>
          </w:p>
        </w:tc>
      </w:tr>
      <w:tr>
        <w:trPr>
          <w:trHeight w:val="209"/>
        </w:trPr>
        <w:tc>
          <w:tcPr>
            <w:tcW w:w="1460" w:type="dxa"/>
            <w:vAlign w:val="bottom"/>
            <w:shd w:val="clear" w:color="auto" w:fill="CFEBF4"/>
          </w:tcPr>
          <w:p>
            <w:pPr>
              <w:ind w:left="40"/>
              <w:spacing w:after="0" w:line="208" w:lineRule="exact"/>
              <w:rPr>
                <w:sz w:val="20"/>
                <w:szCs w:val="20"/>
                <w:color w:val="auto"/>
              </w:rPr>
            </w:pPr>
            <w:r>
              <w:rPr>
                <w:rFonts w:ascii="Times New Roman" w:cs="Times New Roman" w:eastAsia="Times New Roman" w:hAnsi="Times New Roman"/>
                <w:sz w:val="20"/>
                <w:szCs w:val="20"/>
                <w:color w:val="231F20"/>
              </w:rPr>
              <w:t>Beginning of</w:t>
            </w:r>
          </w:p>
        </w:tc>
        <w:tc>
          <w:tcPr>
            <w:tcW w:w="100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234,814</w:t>
            </w:r>
          </w:p>
        </w:tc>
        <w:tc>
          <w:tcPr>
            <w:tcW w:w="22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147.08</w:t>
            </w:r>
          </w:p>
        </w:tc>
        <w:tc>
          <w:tcPr>
            <w:tcW w:w="80" w:type="dxa"/>
            <w:vAlign w:val="bottom"/>
            <w:shd w:val="clear" w:color="auto" w:fill="CFEBF4"/>
          </w:tcPr>
          <w:p>
            <w:pPr>
              <w:spacing w:after="0"/>
              <w:rPr>
                <w:sz w:val="18"/>
                <w:szCs w:val="18"/>
                <w:color w:val="auto"/>
              </w:rPr>
            </w:pPr>
          </w:p>
        </w:tc>
        <w:tc>
          <w:tcPr>
            <w:tcW w:w="1000" w:type="dxa"/>
            <w:vAlign w:val="bottom"/>
            <w:shd w:val="clear" w:color="auto" w:fill="CFEBF4"/>
          </w:tcPr>
          <w:p>
            <w:pPr>
              <w:spacing w:after="0"/>
              <w:rPr>
                <w:sz w:val="18"/>
                <w:szCs w:val="18"/>
                <w:color w:val="auto"/>
              </w:rPr>
            </w:pPr>
          </w:p>
        </w:tc>
        <w:tc>
          <w:tcPr>
            <w:tcW w:w="60" w:type="dxa"/>
            <w:vAlign w:val="bottom"/>
            <w:shd w:val="clear" w:color="auto" w:fill="CFEBF4"/>
          </w:tcPr>
          <w:p>
            <w:pPr>
              <w:spacing w:after="0"/>
              <w:rPr>
                <w:sz w:val="18"/>
                <w:szCs w:val="18"/>
                <w:color w:val="auto"/>
              </w:rPr>
            </w:pPr>
          </w:p>
        </w:tc>
        <w:tc>
          <w:tcPr>
            <w:tcW w:w="160" w:type="dxa"/>
            <w:vAlign w:val="bottom"/>
            <w:shd w:val="clear" w:color="auto" w:fill="CFEBF4"/>
          </w:tcPr>
          <w:p>
            <w:pPr>
              <w:spacing w:after="0"/>
              <w:rPr>
                <w:sz w:val="18"/>
                <w:szCs w:val="18"/>
                <w:color w:val="auto"/>
              </w:rPr>
            </w:pPr>
          </w:p>
        </w:tc>
        <w:tc>
          <w:tcPr>
            <w:tcW w:w="860" w:type="dxa"/>
            <w:vAlign w:val="bottom"/>
            <w:shd w:val="clear" w:color="auto" w:fill="CFEBF4"/>
          </w:tcPr>
          <w:p>
            <w:pPr>
              <w:spacing w:after="0"/>
              <w:rPr>
                <w:sz w:val="18"/>
                <w:szCs w:val="18"/>
                <w:color w:val="auto"/>
              </w:rPr>
            </w:pPr>
          </w:p>
        </w:tc>
        <w:tc>
          <w:tcPr>
            <w:tcW w:w="108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163,082</w:t>
            </w:r>
          </w:p>
        </w:tc>
        <w:tc>
          <w:tcPr>
            <w:tcW w:w="22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144.51</w:t>
            </w:r>
          </w:p>
        </w:tc>
        <w:tc>
          <w:tcPr>
            <w:tcW w:w="1080" w:type="dxa"/>
            <w:vAlign w:val="bottom"/>
            <w:gridSpan w:val="2"/>
            <w:vMerge w:val="restart"/>
            <w:shd w:val="clear" w:color="auto" w:fill="CFEBF4"/>
          </w:tcPr>
          <w:p>
            <w:pPr>
              <w:jc w:val="right"/>
              <w:ind w:right="8"/>
              <w:spacing w:after="0"/>
              <w:rPr>
                <w:sz w:val="20"/>
                <w:szCs w:val="20"/>
                <w:color w:val="auto"/>
              </w:rPr>
            </w:pPr>
            <w:r>
              <w:rPr>
                <w:rFonts w:ascii="Times New Roman" w:cs="Times New Roman" w:eastAsia="Times New Roman" w:hAnsi="Times New Roman"/>
                <w:sz w:val="20"/>
                <w:szCs w:val="20"/>
                <w:color w:val="231F20"/>
              </w:rPr>
              <w:t>87,347</w:t>
            </w:r>
          </w:p>
        </w:tc>
        <w:tc>
          <w:tcPr>
            <w:tcW w:w="22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121.55</w:t>
            </w:r>
          </w:p>
        </w:tc>
        <w:tc>
          <w:tcPr>
            <w:tcW w:w="0" w:type="dxa"/>
            <w:vAlign w:val="bottom"/>
          </w:tcPr>
          <w:p>
            <w:pPr>
              <w:spacing w:after="0"/>
              <w:rPr>
                <w:sz w:val="1"/>
                <w:szCs w:val="1"/>
                <w:color w:val="auto"/>
              </w:rPr>
            </w:pPr>
          </w:p>
        </w:tc>
      </w:tr>
      <w:tr>
        <w:trPr>
          <w:trHeight w:val="269"/>
        </w:trPr>
        <w:tc>
          <w:tcPr>
            <w:tcW w:w="1460" w:type="dxa"/>
            <w:vAlign w:val="bottom"/>
            <w:shd w:val="clear" w:color="auto" w:fill="CFEBF4"/>
          </w:tcPr>
          <w:p>
            <w:pPr>
              <w:ind w:left="220"/>
              <w:spacing w:after="0"/>
              <w:rPr>
                <w:sz w:val="20"/>
                <w:szCs w:val="20"/>
                <w:color w:val="auto"/>
              </w:rPr>
            </w:pPr>
            <w:r>
              <w:rPr>
                <w:rFonts w:ascii="Times New Roman" w:cs="Times New Roman" w:eastAsia="Times New Roman" w:hAnsi="Times New Roman"/>
                <w:sz w:val="20"/>
                <w:szCs w:val="20"/>
                <w:color w:val="231F20"/>
              </w:rPr>
              <w:t>year</w:t>
            </w:r>
          </w:p>
        </w:tc>
        <w:tc>
          <w:tcPr>
            <w:tcW w:w="1000" w:type="dxa"/>
            <w:vAlign w:val="bottom"/>
            <w:vMerge w:val="continue"/>
            <w:shd w:val="clear" w:color="auto" w:fill="CFEBF4"/>
          </w:tcPr>
          <w:p>
            <w:pPr>
              <w:spacing w:after="0"/>
              <w:rPr>
                <w:sz w:val="23"/>
                <w:szCs w:val="23"/>
                <w:color w:val="auto"/>
              </w:rPr>
            </w:pPr>
          </w:p>
        </w:tc>
        <w:tc>
          <w:tcPr>
            <w:tcW w:w="220" w:type="dxa"/>
            <w:vAlign w:val="bottom"/>
            <w:gridSpan w:val="2"/>
            <w:vMerge w:val="continue"/>
            <w:shd w:val="clear" w:color="auto" w:fill="CFEBF4"/>
          </w:tcPr>
          <w:p>
            <w:pPr>
              <w:spacing w:after="0"/>
              <w:rPr>
                <w:sz w:val="23"/>
                <w:szCs w:val="23"/>
                <w:color w:val="auto"/>
              </w:rPr>
            </w:pPr>
          </w:p>
        </w:tc>
        <w:tc>
          <w:tcPr>
            <w:tcW w:w="8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100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160" w:type="dxa"/>
            <w:vAlign w:val="bottom"/>
            <w:shd w:val="clear" w:color="auto" w:fill="CFEBF4"/>
          </w:tcPr>
          <w:p>
            <w:pPr>
              <w:spacing w:after="0"/>
              <w:rPr>
                <w:sz w:val="23"/>
                <w:szCs w:val="23"/>
                <w:color w:val="auto"/>
              </w:rPr>
            </w:pPr>
          </w:p>
        </w:tc>
        <w:tc>
          <w:tcPr>
            <w:tcW w:w="860" w:type="dxa"/>
            <w:vAlign w:val="bottom"/>
            <w:shd w:val="clear" w:color="auto" w:fill="CFEBF4"/>
          </w:tcPr>
          <w:p>
            <w:pPr>
              <w:spacing w:after="0"/>
              <w:rPr>
                <w:sz w:val="23"/>
                <w:szCs w:val="23"/>
                <w:color w:val="auto"/>
              </w:rPr>
            </w:pPr>
          </w:p>
        </w:tc>
        <w:tc>
          <w:tcPr>
            <w:tcW w:w="1080" w:type="dxa"/>
            <w:vAlign w:val="bottom"/>
            <w:gridSpan w:val="2"/>
            <w:vMerge w:val="continue"/>
            <w:shd w:val="clear" w:color="auto" w:fill="CFEBF4"/>
          </w:tcPr>
          <w:p>
            <w:pPr>
              <w:spacing w:after="0"/>
              <w:rPr>
                <w:sz w:val="23"/>
                <w:szCs w:val="23"/>
                <w:color w:val="auto"/>
              </w:rPr>
            </w:pPr>
          </w:p>
        </w:tc>
        <w:tc>
          <w:tcPr>
            <w:tcW w:w="220" w:type="dxa"/>
            <w:vAlign w:val="bottom"/>
            <w:gridSpan w:val="2"/>
            <w:vMerge w:val="continue"/>
            <w:shd w:val="clear" w:color="auto" w:fill="CFEBF4"/>
          </w:tcPr>
          <w:p>
            <w:pPr>
              <w:spacing w:after="0"/>
              <w:rPr>
                <w:sz w:val="23"/>
                <w:szCs w:val="23"/>
                <w:color w:val="auto"/>
              </w:rPr>
            </w:pPr>
          </w:p>
        </w:tc>
        <w:tc>
          <w:tcPr>
            <w:tcW w:w="860" w:type="dxa"/>
            <w:vAlign w:val="bottom"/>
            <w:vMerge w:val="continue"/>
            <w:shd w:val="clear" w:color="auto" w:fill="CFEBF4"/>
          </w:tcPr>
          <w:p>
            <w:pPr>
              <w:spacing w:after="0"/>
              <w:rPr>
                <w:sz w:val="23"/>
                <w:szCs w:val="23"/>
                <w:color w:val="auto"/>
              </w:rPr>
            </w:pPr>
          </w:p>
        </w:tc>
        <w:tc>
          <w:tcPr>
            <w:tcW w:w="1080" w:type="dxa"/>
            <w:vAlign w:val="bottom"/>
            <w:gridSpan w:val="2"/>
            <w:vMerge w:val="continue"/>
            <w:shd w:val="clear" w:color="auto" w:fill="CFEBF4"/>
          </w:tcPr>
          <w:p>
            <w:pPr>
              <w:spacing w:after="0"/>
              <w:rPr>
                <w:sz w:val="23"/>
                <w:szCs w:val="23"/>
                <w:color w:val="auto"/>
              </w:rPr>
            </w:pPr>
          </w:p>
        </w:tc>
        <w:tc>
          <w:tcPr>
            <w:tcW w:w="220" w:type="dxa"/>
            <w:vAlign w:val="bottom"/>
            <w:gridSpan w:val="2"/>
            <w:vMerge w:val="continue"/>
            <w:shd w:val="clear" w:color="auto" w:fill="CFEBF4"/>
          </w:tcPr>
          <w:p>
            <w:pPr>
              <w:spacing w:after="0"/>
              <w:rPr>
                <w:sz w:val="23"/>
                <w:szCs w:val="23"/>
                <w:color w:val="auto"/>
              </w:rPr>
            </w:pPr>
          </w:p>
        </w:tc>
        <w:tc>
          <w:tcPr>
            <w:tcW w:w="84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14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89,221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180.72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85,425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78,729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169.72</w:t>
            </w:r>
          </w:p>
        </w:tc>
        <w:tc>
          <w:tcPr>
            <w:tcW w:w="0" w:type="dxa"/>
            <w:vAlign w:val="bottom"/>
          </w:tcPr>
          <w:p>
            <w:pPr>
              <w:spacing w:after="0"/>
              <w:rPr>
                <w:sz w:val="1"/>
                <w:szCs w:val="1"/>
                <w:color w:val="auto"/>
              </w:rPr>
            </w:pPr>
          </w:p>
        </w:tc>
      </w:tr>
      <w:tr>
        <w:trPr>
          <w:trHeight w:val="301"/>
        </w:trPr>
        <w:tc>
          <w:tcPr>
            <w:tcW w:w="1460" w:type="dxa"/>
            <w:vAlign w:val="bottom"/>
            <w:shd w:val="clear" w:color="auto" w:fill="CFEBF4"/>
          </w:tcPr>
          <w:p>
            <w:pPr>
              <w:ind w:left="220"/>
              <w:spacing w:after="0"/>
              <w:rPr>
                <w:sz w:val="20"/>
                <w:szCs w:val="20"/>
                <w:color w:val="auto"/>
              </w:rPr>
            </w:pPr>
            <w:r>
              <w:rPr>
                <w:rFonts w:ascii="Times New Roman" w:cs="Times New Roman" w:eastAsia="Times New Roman" w:hAnsi="Times New Roman"/>
                <w:sz w:val="20"/>
                <w:szCs w:val="20"/>
                <w:color w:val="231F20"/>
              </w:rPr>
              <w:t>Exercised</w:t>
            </w: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(18,295)</w:t>
            </w:r>
          </w:p>
        </w:tc>
        <w:tc>
          <w:tcPr>
            <w:tcW w:w="80" w:type="dxa"/>
            <w:vAlign w:val="bottom"/>
            <w:shd w:val="clear" w:color="auto" w:fill="CFEBF4"/>
          </w:tcPr>
          <w:p>
            <w:pPr>
              <w:spacing w:after="0"/>
              <w:rPr>
                <w:sz w:val="24"/>
                <w:szCs w:val="24"/>
                <w:color w:val="auto"/>
              </w:rPr>
            </w:pPr>
          </w:p>
        </w:tc>
        <w:tc>
          <w:tcPr>
            <w:tcW w:w="14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137.43</w:t>
            </w:r>
          </w:p>
        </w:tc>
        <w:tc>
          <w:tcPr>
            <w:tcW w:w="80" w:type="dxa"/>
            <w:vAlign w:val="bottom"/>
            <w:shd w:val="clear" w:color="auto" w:fill="CFEBF4"/>
          </w:tcPr>
          <w:p>
            <w:pPr>
              <w:spacing w:after="0"/>
              <w:rPr>
                <w:sz w:val="24"/>
                <w:szCs w:val="24"/>
                <w:color w:val="auto"/>
              </w:rPr>
            </w:pPr>
          </w:p>
        </w:tc>
        <w:tc>
          <w:tcPr>
            <w:tcW w:w="100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60" w:type="dxa"/>
            <w:vAlign w:val="bottom"/>
            <w:shd w:val="clear" w:color="auto" w:fill="CFEBF4"/>
          </w:tcPr>
          <w:p>
            <w:pPr>
              <w:spacing w:after="0"/>
              <w:rPr>
                <w:sz w:val="24"/>
                <w:szCs w:val="24"/>
                <w:color w:val="auto"/>
              </w:rPr>
            </w:pP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(3,495)</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128.40</w:t>
            </w:r>
          </w:p>
        </w:tc>
        <w:tc>
          <w:tcPr>
            <w:tcW w:w="108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(1,279)</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122.09</w:t>
            </w:r>
          </w:p>
        </w:tc>
        <w:tc>
          <w:tcPr>
            <w:tcW w:w="0" w:type="dxa"/>
            <w:vAlign w:val="bottom"/>
          </w:tcPr>
          <w:p>
            <w:pPr>
              <w:spacing w:after="0"/>
              <w:rPr>
                <w:sz w:val="1"/>
                <w:szCs w:val="1"/>
                <w:color w:val="auto"/>
              </w:rPr>
            </w:pPr>
          </w:p>
        </w:tc>
      </w:tr>
      <w:tr>
        <w:trPr>
          <w:trHeight w:val="285"/>
        </w:trPr>
        <w:tc>
          <w:tcPr>
            <w:tcW w:w="1460" w:type="dxa"/>
            <w:vAlign w:val="bottom"/>
            <w:tcBorders>
              <w:bottom w:val="single" w:sz="8" w:color="CFEBF4"/>
            </w:tcBorders>
          </w:tcPr>
          <w:p>
            <w:pPr>
              <w:ind w:left="220"/>
              <w:spacing w:after="0"/>
              <w:rPr>
                <w:sz w:val="20"/>
                <w:szCs w:val="20"/>
                <w:color w:val="auto"/>
              </w:rPr>
            </w:pPr>
            <w:r>
              <w:rPr>
                <w:rFonts w:ascii="Times New Roman" w:cs="Times New Roman" w:eastAsia="Times New Roman" w:hAnsi="Times New Roman"/>
                <w:sz w:val="20"/>
                <w:szCs w:val="20"/>
                <w:color w:val="231F20"/>
              </w:rPr>
              <w:t>Forfeited</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(19,805)</w:t>
            </w:r>
          </w:p>
        </w:tc>
        <w:tc>
          <w:tcPr>
            <w:tcW w:w="80" w:type="dxa"/>
            <w:vAlign w:val="bottom"/>
            <w:tcBorders>
              <w:bottom w:val="single" w:sz="8" w:color="CFEBF4"/>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169.76</w:t>
            </w:r>
          </w:p>
        </w:tc>
        <w:tc>
          <w:tcPr>
            <w:tcW w:w="80" w:type="dxa"/>
            <w:vAlign w:val="bottom"/>
            <w:tcBorders>
              <w:bottom w:val="single" w:sz="8" w:color="CFEBF4"/>
            </w:tcBorders>
          </w:tcPr>
          <w:p>
            <w:pPr>
              <w:spacing w:after="0"/>
              <w:rPr>
                <w:sz w:val="24"/>
                <w:szCs w:val="24"/>
                <w:color w:val="auto"/>
              </w:rPr>
            </w:pPr>
          </w:p>
        </w:tc>
        <w:tc>
          <w:tcPr>
            <w:tcW w:w="1000" w:type="dxa"/>
            <w:vAlign w:val="bottom"/>
            <w:tcBorders>
              <w:bottom w:val="single" w:sz="8" w:color="CFEBF4"/>
            </w:tcBorders>
          </w:tcPr>
          <w:p>
            <w:pPr>
              <w:spacing w:after="0"/>
              <w:rPr>
                <w:sz w:val="24"/>
                <w:szCs w:val="24"/>
                <w:color w:val="auto"/>
              </w:rPr>
            </w:pP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CFEBF4"/>
            </w:tcBorders>
          </w:tcPr>
          <w:p>
            <w:pPr>
              <w:spacing w:after="0"/>
              <w:rPr>
                <w:sz w:val="24"/>
                <w:szCs w:val="24"/>
                <w:color w:val="auto"/>
              </w:rPr>
            </w:pPr>
          </w:p>
        </w:tc>
        <w:tc>
          <w:tcPr>
            <w:tcW w:w="860" w:type="dxa"/>
            <w:vAlign w:val="bottom"/>
            <w:tcBorders>
              <w:bottom w:val="single" w:sz="8" w:color="CFEBF4"/>
            </w:tcBorders>
          </w:tcPr>
          <w:p>
            <w:pPr>
              <w:spacing w:after="0"/>
              <w:rPr>
                <w:sz w:val="24"/>
                <w:szCs w:val="24"/>
                <w:color w:val="auto"/>
              </w:rPr>
            </w:pPr>
          </w:p>
        </w:tc>
        <w:tc>
          <w:tcPr>
            <w:tcW w:w="60" w:type="dxa"/>
            <w:vAlign w:val="bottom"/>
            <w:tcBorders>
              <w:bottom w:val="single" w:sz="8" w:color="CFEBF4"/>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(10,198)</w:t>
            </w: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154.32</w:t>
            </w:r>
          </w:p>
        </w:tc>
        <w:tc>
          <w:tcPr>
            <w:tcW w:w="60" w:type="dxa"/>
            <w:vAlign w:val="bottom"/>
            <w:tcBorders>
              <w:bottom w:val="single" w:sz="8" w:color="CFEBF4"/>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(1,715)</w:t>
            </w: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148.67</w:t>
            </w:r>
          </w:p>
        </w:tc>
        <w:tc>
          <w:tcPr>
            <w:tcW w:w="0" w:type="dxa"/>
            <w:vAlign w:val="bottom"/>
          </w:tcPr>
          <w:p>
            <w:pPr>
              <w:spacing w:after="0"/>
              <w:rPr>
                <w:sz w:val="1"/>
                <w:szCs w:val="1"/>
                <w:color w:val="auto"/>
              </w:rPr>
            </w:pPr>
          </w:p>
        </w:tc>
      </w:tr>
      <w:tr>
        <w:trPr>
          <w:trHeight w:val="295"/>
        </w:trPr>
        <w:tc>
          <w:tcPr>
            <w:tcW w:w="1460" w:type="dxa"/>
            <w:vAlign w:val="bottom"/>
            <w:tcBorders>
              <w:bottom w:val="single" w:sz="8" w:color="CFEBF4"/>
            </w:tcBorders>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End of year</w:t>
            </w: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285,935</w:t>
            </w:r>
          </w:p>
        </w:tc>
        <w:tc>
          <w:tcPr>
            <w:tcW w:w="80" w:type="dxa"/>
            <w:vAlign w:val="bottom"/>
            <w:tcBorders>
              <w:bottom w:val="single" w:sz="8" w:color="CFEBF4"/>
            </w:tcBorders>
            <w:shd w:val="clear" w:color="auto" w:fill="CFEBF4"/>
          </w:tcPr>
          <w:p>
            <w:pPr>
              <w:spacing w:after="0"/>
              <w:rPr>
                <w:sz w:val="24"/>
                <w:szCs w:val="24"/>
                <w:color w:val="auto"/>
              </w:rPr>
            </w:pPr>
          </w:p>
        </w:tc>
        <w:tc>
          <w:tcPr>
            <w:tcW w:w="14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156.62</w:t>
            </w:r>
          </w:p>
        </w:tc>
        <w:tc>
          <w:tcPr>
            <w:tcW w:w="80" w:type="dxa"/>
            <w:vAlign w:val="bottom"/>
            <w:tcBorders>
              <w:bottom w:val="single" w:sz="8" w:color="CFEBF4"/>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60" w:type="dxa"/>
            <w:vAlign w:val="bottom"/>
            <w:tcBorders>
              <w:bottom w:val="single" w:sz="8" w:color="CFEBF4"/>
            </w:tcBorders>
            <w:shd w:val="clear" w:color="auto" w:fill="CFEBF4"/>
          </w:tcPr>
          <w:p>
            <w:pPr>
              <w:spacing w:after="0"/>
              <w:rPr>
                <w:sz w:val="24"/>
                <w:szCs w:val="24"/>
                <w:color w:val="auto"/>
              </w:rPr>
            </w:pPr>
          </w:p>
        </w:tc>
        <w:tc>
          <w:tcPr>
            <w:tcW w:w="10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234,814</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147.08</w:t>
            </w:r>
          </w:p>
        </w:tc>
        <w:tc>
          <w:tcPr>
            <w:tcW w:w="60" w:type="dxa"/>
            <w:vAlign w:val="bottom"/>
            <w:tcBorders>
              <w:bottom w:val="single" w:sz="8" w:color="CFEBF4"/>
            </w:tcBorders>
            <w:shd w:val="clear" w:color="auto" w:fill="CFEBF4"/>
          </w:tcPr>
          <w:p>
            <w:pPr>
              <w:spacing w:after="0"/>
              <w:rPr>
                <w:sz w:val="24"/>
                <w:szCs w:val="24"/>
                <w:color w:val="auto"/>
              </w:rPr>
            </w:pPr>
          </w:p>
        </w:tc>
        <w:tc>
          <w:tcPr>
            <w:tcW w:w="1020" w:type="dxa"/>
            <w:vAlign w:val="bottom"/>
            <w:tcBorders>
              <w:bottom w:val="single" w:sz="8" w:color="231F20"/>
            </w:tcBorders>
            <w:shd w:val="clear" w:color="auto" w:fill="CFEBF4"/>
          </w:tcPr>
          <w:p>
            <w:pPr>
              <w:jc w:val="right"/>
              <w:ind w:right="8"/>
              <w:spacing w:after="0"/>
              <w:rPr>
                <w:sz w:val="20"/>
                <w:szCs w:val="20"/>
                <w:color w:val="auto"/>
              </w:rPr>
            </w:pPr>
            <w:r>
              <w:rPr>
                <w:rFonts w:ascii="Times New Roman" w:cs="Times New Roman" w:eastAsia="Times New Roman" w:hAnsi="Times New Roman"/>
                <w:sz w:val="20"/>
                <w:szCs w:val="20"/>
                <w:color w:val="231F20"/>
              </w:rPr>
              <w:t>163,082</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144.51</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line="189" w:lineRule="exact"/>
              <w:rPr>
                <w:sz w:val="20"/>
                <w:szCs w:val="20"/>
                <w:color w:val="auto"/>
              </w:rPr>
            </w:pPr>
            <w:r>
              <w:rPr>
                <w:rFonts w:ascii="Times New Roman" w:cs="Times New Roman" w:eastAsia="Times New Roman" w:hAnsi="Times New Roman"/>
                <w:sz w:val="20"/>
                <w:szCs w:val="20"/>
                <w:color w:val="231F20"/>
              </w:rPr>
              <w:t>Exercisable at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140,947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142.88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78,399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136.60</w:t>
            </w: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20"/>
                <w:szCs w:val="20"/>
                <w:color w:val="231F20"/>
              </w:rPr>
              <w:t>28,411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121.53</w:t>
            </w:r>
          </w:p>
        </w:tc>
        <w:tc>
          <w:tcPr>
            <w:tcW w:w="0" w:type="dxa"/>
            <w:vAlign w:val="bottom"/>
          </w:tcPr>
          <w:p>
            <w:pPr>
              <w:spacing w:after="0"/>
              <w:rPr>
                <w:sz w:val="1"/>
                <w:szCs w:val="1"/>
                <w:color w:val="auto"/>
              </w:rPr>
            </w:pPr>
          </w:p>
        </w:tc>
      </w:tr>
      <w:tr>
        <w:trPr>
          <w:trHeight w:val="239"/>
        </w:trPr>
        <w:tc>
          <w:tcPr>
            <w:tcW w:w="14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end of year</w:t>
            </w:r>
          </w:p>
        </w:tc>
        <w:tc>
          <w:tcPr>
            <w:tcW w:w="10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-1412875</wp:posOffset>
            </wp:positionV>
            <wp:extent cx="5482590" cy="50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3">
                      <a:extLst>
                        <a:ext uri="{28A0092B-C50C-407E-A947-70E740481C1C}"/>
                      </a:extLst>
                    </a:blip>
                    <a:srcRect/>
                    <a:stretch>
                      <a:fillRect/>
                    </a:stretch>
                  </pic:blipFill>
                  <pic:spPr bwMode="auto">
                    <a:xfrm>
                      <a:off x="0" y="0"/>
                      <a:ext cx="5482590" cy="5016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-540385</wp:posOffset>
            </wp:positionV>
            <wp:extent cx="1372870" cy="501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4">
                      <a:extLst>
                        <a:ext uri="{28A0092B-C50C-407E-A947-70E740481C1C}"/>
                      </a:extLst>
                    </a:blip>
                    <a:srcRect/>
                    <a:stretch>
                      <a:fillRect/>
                    </a:stretch>
                  </pic:blipFill>
                  <pic:spPr bwMode="auto">
                    <a:xfrm>
                      <a:off x="0" y="0"/>
                      <a:ext cx="1372870" cy="50165"/>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-540385</wp:posOffset>
            </wp:positionV>
            <wp:extent cx="2079625" cy="501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5">
                      <a:extLst>
                        <a:ext uri="{28A0092B-C50C-407E-A947-70E740481C1C}"/>
                      </a:extLst>
                    </a:blip>
                    <a:srcRect/>
                    <a:stretch>
                      <a:fillRect/>
                    </a:stretch>
                  </pic:blipFill>
                  <pic:spPr bwMode="auto">
                    <a:xfrm>
                      <a:off x="0" y="0"/>
                      <a:ext cx="2079625" cy="5016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-365125</wp:posOffset>
            </wp:positionV>
            <wp:extent cx="5482590" cy="749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6">
                      <a:extLst>
                        <a:ext uri="{28A0092B-C50C-407E-A947-70E740481C1C}"/>
                      </a:extLst>
                    </a:blip>
                    <a:srcRect/>
                    <a:stretch>
                      <a:fillRect/>
                    </a:stretch>
                  </pic:blipFill>
                  <pic:spPr bwMode="auto">
                    <a:xfrm>
                      <a:off x="0" y="0"/>
                      <a:ext cx="5482590" cy="74930"/>
                    </a:xfrm>
                    <a:prstGeom prst="rect">
                      <a:avLst/>
                    </a:prstGeom>
                    <a:noFill/>
                  </pic:spPr>
                </pic:pic>
              </a:graphicData>
            </a:graphic>
          </wp:anchor>
        </w:drawing>
      </w:r>
    </w:p>
    <w:p>
      <w:pPr>
        <w:spacing w:after="0" w:line="106"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For the year ended December 31, 2025, the aggregate intrinsic value of stock options exercised during such period was $1.4 million.</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120"/>
          </w:cols>
          <w:pgMar w:left="880" w:top="285" w:right="88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ind w:right="260"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a summary of stock-settled stock appreciation rights and related information for the periods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080" w:type="dxa"/>
            <w:vAlign w:val="bottom"/>
            <w:tcBorders>
              <w:bottom w:val="single" w:sz="8" w:color="231F20"/>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231F20"/>
                <w:w w:val="99"/>
              </w:rPr>
              <w:t>Year Ended December 31,</w:t>
            </w:r>
          </w:p>
        </w:tc>
        <w:tc>
          <w:tcPr>
            <w:tcW w:w="8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jc w:val="right"/>
              <w:ind w:right="798"/>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20" w:type="dxa"/>
            <w:vAlign w:val="bottom"/>
            <w:tcBorders>
              <w:top w:val="single" w:sz="8" w:color="231F20"/>
            </w:tcBorders>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1020" w:type="dxa"/>
            <w:vAlign w:val="bottom"/>
            <w:tcBorders>
              <w:top w:val="single" w:sz="8" w:color="231F20"/>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Weighted-</w:t>
            </w:r>
          </w:p>
        </w:tc>
        <w:tc>
          <w:tcPr>
            <w:tcW w:w="6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40" w:type="dxa"/>
            <w:vAlign w:val="bottom"/>
            <w:tcBorders>
              <w:top w:val="single" w:sz="8" w:color="231F20"/>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231F20"/>
            </w:tcBorders>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840" w:type="dxa"/>
            <w:vAlign w:val="bottom"/>
            <w:tcBorders>
              <w:top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0"/>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Intrinsic</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9"/>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20" w:type="dxa"/>
            <w:vAlign w:val="bottom"/>
            <w:vMerge w:val="restart"/>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0"/>
              <w:spacing w:after="0" w:line="158"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6"/>
              </w:rPr>
              <w:t>Life (In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231F20"/>
                <w:w w:val="94"/>
              </w:rPr>
              <w:t>Value</w:t>
            </w:r>
          </w:p>
        </w:tc>
        <w:tc>
          <w:tcPr>
            <w:tcW w:w="60" w:type="dxa"/>
            <w:vAlign w:val="bottom"/>
          </w:tcPr>
          <w:p>
            <w:pPr>
              <w:spacing w:after="0"/>
              <w:rPr>
                <w:sz w:val="13"/>
                <w:szCs w:val="13"/>
                <w:color w:val="auto"/>
              </w:rPr>
            </w:pPr>
          </w:p>
        </w:tc>
        <w:tc>
          <w:tcPr>
            <w:tcW w:w="1000" w:type="dxa"/>
            <w:vAlign w:val="bottom"/>
            <w:vMerge w:val="restart"/>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231F20"/>
                <w:w w:val="96"/>
              </w:rPr>
              <w:t>Exercise</w:t>
            </w:r>
          </w:p>
        </w:tc>
        <w:tc>
          <w:tcPr>
            <w:tcW w:w="100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9"/>
              <w:spacing w:after="0" w:line="158" w:lineRule="exact"/>
              <w:rPr>
                <w:sz w:val="20"/>
                <w:szCs w:val="20"/>
                <w:color w:val="auto"/>
              </w:rPr>
            </w:pPr>
            <w:r>
              <w:rPr>
                <w:rFonts w:ascii="Times New Roman" w:cs="Times New Roman" w:eastAsia="Times New Roman" w:hAnsi="Times New Roman"/>
                <w:sz w:val="16"/>
                <w:szCs w:val="16"/>
                <w:b w:val="1"/>
                <w:bCs w:val="1"/>
                <w:color w:val="231F20"/>
                <w:w w:val="96"/>
              </w:rPr>
              <w:t>Exercise</w:t>
            </w:r>
          </w:p>
        </w:tc>
        <w:tc>
          <w:tcPr>
            <w:tcW w:w="0" w:type="dxa"/>
            <w:vAlign w:val="bottom"/>
          </w:tcPr>
          <w:p>
            <w:pPr>
              <w:spacing w:after="0"/>
              <w:rPr>
                <w:sz w:val="1"/>
                <w:szCs w:val="1"/>
                <w:color w:val="auto"/>
              </w:rPr>
            </w:pPr>
          </w:p>
        </w:tc>
      </w:tr>
      <w:tr>
        <w:trPr>
          <w:trHeight w:val="211"/>
        </w:trPr>
        <w:tc>
          <w:tcPr>
            <w:tcW w:w="1460" w:type="dxa"/>
            <w:vAlign w:val="bottom"/>
            <w:tcBorders>
              <w:bottom w:val="single" w:sz="8" w:color="CFEBF4"/>
            </w:tcBorders>
          </w:tcPr>
          <w:p>
            <w:pPr>
              <w:spacing w:after="0"/>
              <w:rPr>
                <w:sz w:val="18"/>
                <w:szCs w:val="18"/>
                <w:color w:val="auto"/>
              </w:rPr>
            </w:pPr>
          </w:p>
        </w:tc>
        <w:tc>
          <w:tcPr>
            <w:tcW w:w="10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CFEBF4"/>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231F20"/>
                <w:w w:val="95"/>
              </w:rPr>
              <w:t>Price</w:t>
            </w:r>
          </w:p>
        </w:tc>
        <w:tc>
          <w:tcPr>
            <w:tcW w:w="60" w:type="dxa"/>
            <w:vAlign w:val="bottom"/>
            <w:tcBorders>
              <w:bottom w:val="single" w:sz="8" w:color="CFEBF4"/>
            </w:tcBorders>
          </w:tcPr>
          <w:p>
            <w:pPr>
              <w:spacing w:after="0"/>
              <w:rPr>
                <w:sz w:val="18"/>
                <w:szCs w:val="18"/>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years)</w:t>
            </w:r>
          </w:p>
        </w:tc>
        <w:tc>
          <w:tcPr>
            <w:tcW w:w="60" w:type="dxa"/>
            <w:vAlign w:val="bottom"/>
            <w:tcBorders>
              <w:bottom w:val="single" w:sz="8" w:color="CFEBF4"/>
            </w:tcBorders>
          </w:tcPr>
          <w:p>
            <w:pPr>
              <w:spacing w:after="0"/>
              <w:rPr>
                <w:sz w:val="18"/>
                <w:szCs w:val="18"/>
                <w:color w:val="auto"/>
              </w:rPr>
            </w:pPr>
          </w:p>
        </w:tc>
        <w:tc>
          <w:tcPr>
            <w:tcW w:w="10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(In millions)</w:t>
            </w:r>
          </w:p>
        </w:tc>
        <w:tc>
          <w:tcPr>
            <w:tcW w:w="60" w:type="dxa"/>
            <w:vAlign w:val="bottom"/>
            <w:tcBorders>
              <w:bottom w:val="single" w:sz="8" w:color="CFEBF4"/>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FEBF4"/>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5"/>
              </w:rPr>
              <w:t>Price</w:t>
            </w:r>
          </w:p>
        </w:tc>
        <w:tc>
          <w:tcPr>
            <w:tcW w:w="80" w:type="dxa"/>
            <w:vAlign w:val="bottom"/>
            <w:tcBorders>
              <w:bottom w:val="single" w:sz="8" w:color="CFEBF4"/>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CFEBF4"/>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0" w:type="dxa"/>
            <w:vAlign w:val="bottom"/>
          </w:tcPr>
          <w:p>
            <w:pPr>
              <w:spacing w:after="0"/>
              <w:rPr>
                <w:sz w:val="1"/>
                <w:szCs w:val="1"/>
                <w:color w:val="auto"/>
              </w:rPr>
            </w:pPr>
          </w:p>
        </w:tc>
      </w:tr>
      <w:tr>
        <w:trPr>
          <w:trHeight w:val="179"/>
        </w:trPr>
        <w:tc>
          <w:tcPr>
            <w:tcW w:w="1460" w:type="dxa"/>
            <w:vAlign w:val="bottom"/>
            <w:shd w:val="clear" w:color="auto" w:fill="CFEBF4"/>
          </w:tcPr>
          <w:p>
            <w:pPr>
              <w:ind w:left="60"/>
              <w:spacing w:after="0" w:line="180" w:lineRule="exact"/>
              <w:rPr>
                <w:sz w:val="20"/>
                <w:szCs w:val="20"/>
                <w:color w:val="auto"/>
              </w:rPr>
            </w:pPr>
            <w:r>
              <w:rPr>
                <w:rFonts w:ascii="Times New Roman" w:cs="Times New Roman" w:eastAsia="Times New Roman" w:hAnsi="Times New Roman"/>
                <w:sz w:val="20"/>
                <w:szCs w:val="20"/>
                <w:color w:val="231F20"/>
              </w:rPr>
              <w:t>Beginning of</w:t>
            </w:r>
          </w:p>
        </w:tc>
        <w:tc>
          <w:tcPr>
            <w:tcW w:w="102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699,044</w:t>
            </w:r>
          </w:p>
        </w:tc>
        <w:tc>
          <w:tcPr>
            <w:tcW w:w="22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58.90</w:t>
            </w:r>
          </w:p>
        </w:tc>
        <w:tc>
          <w:tcPr>
            <w:tcW w:w="60" w:type="dxa"/>
            <w:vAlign w:val="bottom"/>
            <w:shd w:val="clear" w:color="auto" w:fill="CFEBF4"/>
          </w:tcPr>
          <w:p>
            <w:pPr>
              <w:spacing w:after="0"/>
              <w:rPr>
                <w:sz w:val="15"/>
                <w:szCs w:val="15"/>
                <w:color w:val="auto"/>
              </w:rPr>
            </w:pPr>
          </w:p>
        </w:tc>
        <w:tc>
          <w:tcPr>
            <w:tcW w:w="1020" w:type="dxa"/>
            <w:vAlign w:val="bottom"/>
            <w:shd w:val="clear" w:color="auto" w:fill="CFEBF4"/>
          </w:tcPr>
          <w:p>
            <w:pPr>
              <w:spacing w:after="0"/>
              <w:rPr>
                <w:sz w:val="15"/>
                <w:szCs w:val="15"/>
                <w:color w:val="auto"/>
              </w:rPr>
            </w:pPr>
          </w:p>
        </w:tc>
        <w:tc>
          <w:tcPr>
            <w:tcW w:w="60" w:type="dxa"/>
            <w:vAlign w:val="bottom"/>
            <w:shd w:val="clear" w:color="auto" w:fill="CFEBF4"/>
          </w:tcPr>
          <w:p>
            <w:pPr>
              <w:spacing w:after="0"/>
              <w:rPr>
                <w:sz w:val="15"/>
                <w:szCs w:val="15"/>
                <w:color w:val="auto"/>
              </w:rPr>
            </w:pPr>
          </w:p>
        </w:tc>
        <w:tc>
          <w:tcPr>
            <w:tcW w:w="160" w:type="dxa"/>
            <w:vAlign w:val="bottom"/>
            <w:shd w:val="clear" w:color="auto" w:fill="CFEBF4"/>
          </w:tcPr>
          <w:p>
            <w:pPr>
              <w:spacing w:after="0"/>
              <w:rPr>
                <w:sz w:val="15"/>
                <w:szCs w:val="15"/>
                <w:color w:val="auto"/>
              </w:rPr>
            </w:pPr>
          </w:p>
        </w:tc>
        <w:tc>
          <w:tcPr>
            <w:tcW w:w="860" w:type="dxa"/>
            <w:vAlign w:val="bottom"/>
            <w:shd w:val="clear" w:color="auto" w:fill="CFEBF4"/>
          </w:tcPr>
          <w:p>
            <w:pPr>
              <w:spacing w:after="0"/>
              <w:rPr>
                <w:sz w:val="15"/>
                <w:szCs w:val="15"/>
                <w:color w:val="auto"/>
              </w:rPr>
            </w:pPr>
          </w:p>
        </w:tc>
        <w:tc>
          <w:tcPr>
            <w:tcW w:w="106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818,284</w:t>
            </w:r>
          </w:p>
        </w:tc>
        <w:tc>
          <w:tcPr>
            <w:tcW w:w="24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59.55</w:t>
            </w:r>
          </w:p>
        </w:tc>
        <w:tc>
          <w:tcPr>
            <w:tcW w:w="80" w:type="dxa"/>
            <w:vAlign w:val="bottom"/>
            <w:shd w:val="clear" w:color="auto" w:fill="CFEBF4"/>
          </w:tcPr>
          <w:p>
            <w:pPr>
              <w:spacing w:after="0"/>
              <w:rPr>
                <w:sz w:val="15"/>
                <w:szCs w:val="15"/>
                <w:color w:val="auto"/>
              </w:rPr>
            </w:pPr>
          </w:p>
        </w:tc>
        <w:tc>
          <w:tcPr>
            <w:tcW w:w="100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1,248,115</w:t>
            </w:r>
          </w:p>
        </w:tc>
        <w:tc>
          <w:tcPr>
            <w:tcW w:w="240" w:type="dxa"/>
            <w:vAlign w:val="bottom"/>
            <w:gridSpan w:val="2"/>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62.02</w:t>
            </w:r>
          </w:p>
        </w:tc>
        <w:tc>
          <w:tcPr>
            <w:tcW w:w="0" w:type="dxa"/>
            <w:vAlign w:val="bottom"/>
          </w:tcPr>
          <w:p>
            <w:pPr>
              <w:spacing w:after="0"/>
              <w:rPr>
                <w:sz w:val="1"/>
                <w:szCs w:val="1"/>
                <w:color w:val="auto"/>
              </w:rPr>
            </w:pPr>
          </w:p>
        </w:tc>
      </w:tr>
      <w:tr>
        <w:trPr>
          <w:trHeight w:val="269"/>
        </w:trPr>
        <w:tc>
          <w:tcPr>
            <w:tcW w:w="146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year</w:t>
            </w:r>
          </w:p>
        </w:tc>
        <w:tc>
          <w:tcPr>
            <w:tcW w:w="1020" w:type="dxa"/>
            <w:vAlign w:val="bottom"/>
            <w:vMerge w:val="continue"/>
            <w:shd w:val="clear" w:color="auto" w:fill="CFEBF4"/>
          </w:tcPr>
          <w:p>
            <w:pPr>
              <w:spacing w:after="0"/>
              <w:rPr>
                <w:sz w:val="23"/>
                <w:szCs w:val="23"/>
                <w:color w:val="auto"/>
              </w:rPr>
            </w:pPr>
          </w:p>
        </w:tc>
        <w:tc>
          <w:tcPr>
            <w:tcW w:w="220" w:type="dxa"/>
            <w:vAlign w:val="bottom"/>
            <w:gridSpan w:val="2"/>
            <w:vMerge w:val="continue"/>
            <w:shd w:val="clear" w:color="auto" w:fill="CFEBF4"/>
          </w:tcPr>
          <w:p>
            <w:pPr>
              <w:spacing w:after="0"/>
              <w:rPr>
                <w:sz w:val="23"/>
                <w:szCs w:val="23"/>
                <w:color w:val="auto"/>
              </w:rPr>
            </w:pPr>
          </w:p>
        </w:tc>
        <w:tc>
          <w:tcPr>
            <w:tcW w:w="860" w:type="dxa"/>
            <w:vAlign w:val="bottom"/>
            <w:vMerge w:val="continue"/>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1020" w:type="dxa"/>
            <w:vAlign w:val="bottom"/>
            <w:shd w:val="clear" w:color="auto" w:fill="CFEBF4"/>
          </w:tcPr>
          <w:p>
            <w:pPr>
              <w:spacing w:after="0"/>
              <w:rPr>
                <w:sz w:val="23"/>
                <w:szCs w:val="23"/>
                <w:color w:val="auto"/>
              </w:rPr>
            </w:pPr>
          </w:p>
        </w:tc>
        <w:tc>
          <w:tcPr>
            <w:tcW w:w="60" w:type="dxa"/>
            <w:vAlign w:val="bottom"/>
            <w:shd w:val="clear" w:color="auto" w:fill="CFEBF4"/>
          </w:tcPr>
          <w:p>
            <w:pPr>
              <w:spacing w:after="0"/>
              <w:rPr>
                <w:sz w:val="23"/>
                <w:szCs w:val="23"/>
                <w:color w:val="auto"/>
              </w:rPr>
            </w:pPr>
          </w:p>
        </w:tc>
        <w:tc>
          <w:tcPr>
            <w:tcW w:w="160" w:type="dxa"/>
            <w:vAlign w:val="bottom"/>
            <w:shd w:val="clear" w:color="auto" w:fill="CFEBF4"/>
          </w:tcPr>
          <w:p>
            <w:pPr>
              <w:spacing w:after="0"/>
              <w:rPr>
                <w:sz w:val="23"/>
                <w:szCs w:val="23"/>
                <w:color w:val="auto"/>
              </w:rPr>
            </w:pPr>
          </w:p>
        </w:tc>
        <w:tc>
          <w:tcPr>
            <w:tcW w:w="860" w:type="dxa"/>
            <w:vAlign w:val="bottom"/>
            <w:shd w:val="clear" w:color="auto" w:fill="CFEBF4"/>
          </w:tcPr>
          <w:p>
            <w:pPr>
              <w:spacing w:after="0"/>
              <w:rPr>
                <w:sz w:val="23"/>
                <w:szCs w:val="23"/>
                <w:color w:val="auto"/>
              </w:rPr>
            </w:pPr>
          </w:p>
        </w:tc>
        <w:tc>
          <w:tcPr>
            <w:tcW w:w="1060" w:type="dxa"/>
            <w:vAlign w:val="bottom"/>
            <w:gridSpan w:val="2"/>
            <w:vMerge w:val="continue"/>
            <w:shd w:val="clear" w:color="auto" w:fill="CFEBF4"/>
          </w:tcPr>
          <w:p>
            <w:pPr>
              <w:spacing w:after="0"/>
              <w:rPr>
                <w:sz w:val="23"/>
                <w:szCs w:val="23"/>
                <w:color w:val="auto"/>
              </w:rPr>
            </w:pPr>
          </w:p>
        </w:tc>
        <w:tc>
          <w:tcPr>
            <w:tcW w:w="240" w:type="dxa"/>
            <w:vAlign w:val="bottom"/>
            <w:gridSpan w:val="2"/>
            <w:vMerge w:val="continue"/>
            <w:shd w:val="clear" w:color="auto" w:fill="CFEBF4"/>
          </w:tcPr>
          <w:p>
            <w:pPr>
              <w:spacing w:after="0"/>
              <w:rPr>
                <w:sz w:val="23"/>
                <w:szCs w:val="23"/>
                <w:color w:val="auto"/>
              </w:rPr>
            </w:pPr>
          </w:p>
        </w:tc>
        <w:tc>
          <w:tcPr>
            <w:tcW w:w="84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1000" w:type="dxa"/>
            <w:vAlign w:val="bottom"/>
            <w:vMerge w:val="continue"/>
            <w:shd w:val="clear" w:color="auto" w:fill="CFEBF4"/>
          </w:tcPr>
          <w:p>
            <w:pPr>
              <w:spacing w:after="0"/>
              <w:rPr>
                <w:sz w:val="23"/>
                <w:szCs w:val="23"/>
                <w:color w:val="auto"/>
              </w:rPr>
            </w:pPr>
          </w:p>
        </w:tc>
        <w:tc>
          <w:tcPr>
            <w:tcW w:w="240" w:type="dxa"/>
            <w:vAlign w:val="bottom"/>
            <w:gridSpan w:val="2"/>
            <w:vMerge w:val="continue"/>
            <w:shd w:val="clear" w:color="auto" w:fill="CFEBF4"/>
          </w:tcPr>
          <w:p>
            <w:pPr>
              <w:spacing w:after="0"/>
              <w:rPr>
                <w:sz w:val="23"/>
                <w:szCs w:val="23"/>
                <w:color w:val="auto"/>
              </w:rPr>
            </w:pPr>
          </w:p>
        </w:tc>
        <w:tc>
          <w:tcPr>
            <w:tcW w:w="84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14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301"/>
        </w:trPr>
        <w:tc>
          <w:tcPr>
            <w:tcW w:w="146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Exercised</w:t>
            </w:r>
          </w:p>
        </w:tc>
        <w:tc>
          <w:tcPr>
            <w:tcW w:w="102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(287,285)</w:t>
            </w: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58.60</w:t>
            </w:r>
          </w:p>
        </w:tc>
        <w:tc>
          <w:tcPr>
            <w:tcW w:w="60" w:type="dxa"/>
            <w:vAlign w:val="bottom"/>
            <w:shd w:val="clear" w:color="auto" w:fill="CFEBF4"/>
          </w:tcPr>
          <w:p>
            <w:pPr>
              <w:spacing w:after="0"/>
              <w:rPr>
                <w:sz w:val="24"/>
                <w:szCs w:val="24"/>
                <w:color w:val="auto"/>
              </w:rPr>
            </w:pPr>
          </w:p>
        </w:tc>
        <w:tc>
          <w:tcPr>
            <w:tcW w:w="1020" w:type="dxa"/>
            <w:vAlign w:val="bottom"/>
            <w:shd w:val="clear" w:color="auto" w:fill="CFEBF4"/>
          </w:tcPr>
          <w:p>
            <w:pPr>
              <w:spacing w:after="0"/>
              <w:rPr>
                <w:sz w:val="24"/>
                <w:szCs w:val="24"/>
                <w:color w:val="auto"/>
              </w:rPr>
            </w:pPr>
          </w:p>
        </w:tc>
        <w:tc>
          <w:tcPr>
            <w:tcW w:w="6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60" w:type="dxa"/>
            <w:vAlign w:val="bottom"/>
            <w:shd w:val="clear" w:color="auto" w:fill="CFEBF4"/>
          </w:tcPr>
          <w:p>
            <w:pPr>
              <w:spacing w:after="0"/>
              <w:rPr>
                <w:sz w:val="24"/>
                <w:szCs w:val="24"/>
                <w:color w:val="auto"/>
              </w:rPr>
            </w:pPr>
          </w:p>
        </w:tc>
        <w:tc>
          <w:tcPr>
            <w:tcW w:w="10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(118,513)</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63.29</w:t>
            </w:r>
          </w:p>
        </w:tc>
        <w:tc>
          <w:tcPr>
            <w:tcW w:w="80" w:type="dxa"/>
            <w:vAlign w:val="bottom"/>
            <w:shd w:val="clear" w:color="auto" w:fill="CFEBF4"/>
          </w:tcPr>
          <w:p>
            <w:pPr>
              <w:spacing w:after="0"/>
              <w:rPr>
                <w:sz w:val="24"/>
                <w:szCs w:val="24"/>
                <w:color w:val="auto"/>
              </w:rPr>
            </w:pPr>
          </w:p>
        </w:tc>
        <w:tc>
          <w:tcPr>
            <w:tcW w:w="100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(428,500)</w:t>
            </w:r>
          </w:p>
        </w:tc>
        <w:tc>
          <w:tcPr>
            <w:tcW w:w="80" w:type="dxa"/>
            <w:vAlign w:val="bottom"/>
            <w:shd w:val="clear" w:color="auto" w:fill="CFEBF4"/>
          </w:tcPr>
          <w:p>
            <w:pPr>
              <w:spacing w:after="0"/>
              <w:rPr>
                <w:sz w:val="24"/>
                <w:szCs w:val="24"/>
                <w:color w:val="auto"/>
              </w:rPr>
            </w:pPr>
          </w:p>
        </w:tc>
        <w:tc>
          <w:tcPr>
            <w:tcW w:w="160" w:type="dxa"/>
            <w:vAlign w:val="bottom"/>
            <w:shd w:val="clear" w:color="auto" w:fill="CFEBF4"/>
          </w:tcPr>
          <w:p>
            <w:pPr>
              <w:spacing w:after="0"/>
              <w:rPr>
                <w:sz w:val="24"/>
                <w:szCs w:val="24"/>
                <w:color w:val="auto"/>
              </w:rPr>
            </w:pPr>
          </w:p>
        </w:tc>
        <w:tc>
          <w:tcPr>
            <w:tcW w:w="8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66.70</w:t>
            </w:r>
          </w:p>
        </w:tc>
        <w:tc>
          <w:tcPr>
            <w:tcW w:w="0" w:type="dxa"/>
            <w:vAlign w:val="bottom"/>
          </w:tcPr>
          <w:p>
            <w:pPr>
              <w:spacing w:after="0"/>
              <w:rPr>
                <w:sz w:val="1"/>
                <w:szCs w:val="1"/>
                <w:color w:val="auto"/>
              </w:rPr>
            </w:pPr>
          </w:p>
        </w:tc>
      </w:tr>
      <w:tr>
        <w:trPr>
          <w:trHeight w:val="285"/>
        </w:trPr>
        <w:tc>
          <w:tcPr>
            <w:tcW w:w="1460" w:type="dxa"/>
            <w:vAlign w:val="bottom"/>
            <w:tcBorders>
              <w:bottom w:val="single" w:sz="8" w:color="CFEBF4"/>
            </w:tcBorders>
          </w:tcPr>
          <w:p>
            <w:pPr>
              <w:ind w:left="240"/>
              <w:spacing w:after="0"/>
              <w:rPr>
                <w:sz w:val="20"/>
                <w:szCs w:val="20"/>
                <w:color w:val="auto"/>
              </w:rPr>
            </w:pPr>
            <w:r>
              <w:rPr>
                <w:rFonts w:ascii="Times New Roman" w:cs="Times New Roman" w:eastAsia="Times New Roman" w:hAnsi="Times New Roman"/>
                <w:sz w:val="20"/>
                <w:szCs w:val="20"/>
                <w:color w:val="231F20"/>
              </w:rPr>
              <w:t>Forfeited</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4"/>
                <w:szCs w:val="24"/>
                <w:color w:val="auto"/>
              </w:rPr>
            </w:pPr>
          </w:p>
        </w:tc>
        <w:tc>
          <w:tcPr>
            <w:tcW w:w="1020" w:type="dxa"/>
            <w:vAlign w:val="bottom"/>
            <w:tcBorders>
              <w:bottom w:val="single" w:sz="8" w:color="CFEBF4"/>
            </w:tcBorders>
          </w:tcPr>
          <w:p>
            <w:pPr>
              <w:spacing w:after="0"/>
              <w:rPr>
                <w:sz w:val="24"/>
                <w:szCs w:val="24"/>
                <w:color w:val="auto"/>
              </w:rPr>
            </w:pP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CFEBF4"/>
            </w:tcBorders>
          </w:tcPr>
          <w:p>
            <w:pPr>
              <w:spacing w:after="0"/>
              <w:rPr>
                <w:sz w:val="24"/>
                <w:szCs w:val="24"/>
                <w:color w:val="auto"/>
              </w:rPr>
            </w:pPr>
          </w:p>
        </w:tc>
        <w:tc>
          <w:tcPr>
            <w:tcW w:w="860" w:type="dxa"/>
            <w:vAlign w:val="bottom"/>
            <w:tcBorders>
              <w:bottom w:val="single" w:sz="8" w:color="CFEBF4"/>
            </w:tcBorders>
          </w:tcPr>
          <w:p>
            <w:pPr>
              <w:spacing w:after="0"/>
              <w:rPr>
                <w:sz w:val="24"/>
                <w:szCs w:val="24"/>
                <w:color w:val="auto"/>
              </w:rPr>
            </w:pPr>
          </w:p>
        </w:tc>
        <w:tc>
          <w:tcPr>
            <w:tcW w:w="60" w:type="dxa"/>
            <w:vAlign w:val="bottom"/>
            <w:tcBorders>
              <w:bottom w:val="single" w:sz="8" w:color="CFEBF4"/>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(727)</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76.25</w:t>
            </w:r>
          </w:p>
        </w:tc>
        <w:tc>
          <w:tcPr>
            <w:tcW w:w="80" w:type="dxa"/>
            <w:vAlign w:val="bottom"/>
            <w:tcBorders>
              <w:bottom w:val="single" w:sz="8" w:color="CFEBF4"/>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(1,331)</w:t>
            </w:r>
          </w:p>
        </w:tc>
        <w:tc>
          <w:tcPr>
            <w:tcW w:w="8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74.57</w:t>
            </w:r>
          </w:p>
        </w:tc>
        <w:tc>
          <w:tcPr>
            <w:tcW w:w="0" w:type="dxa"/>
            <w:vAlign w:val="bottom"/>
          </w:tcPr>
          <w:p>
            <w:pPr>
              <w:spacing w:after="0"/>
              <w:rPr>
                <w:sz w:val="1"/>
                <w:szCs w:val="1"/>
                <w:color w:val="auto"/>
              </w:rPr>
            </w:pPr>
          </w:p>
        </w:tc>
      </w:tr>
      <w:tr>
        <w:trPr>
          <w:trHeight w:val="295"/>
        </w:trPr>
        <w:tc>
          <w:tcPr>
            <w:tcW w:w="14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End of year</w:t>
            </w:r>
          </w:p>
        </w:tc>
        <w:tc>
          <w:tcPr>
            <w:tcW w:w="10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411,759</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59.12</w:t>
            </w:r>
          </w:p>
        </w:tc>
        <w:tc>
          <w:tcPr>
            <w:tcW w:w="60" w:type="dxa"/>
            <w:vAlign w:val="bottom"/>
            <w:tcBorders>
              <w:bottom w:val="single" w:sz="8" w:color="CFEBF4"/>
            </w:tcBorders>
            <w:shd w:val="clear" w:color="auto" w:fill="CFEBF4"/>
          </w:tcPr>
          <w:p>
            <w:pPr>
              <w:spacing w:after="0"/>
              <w:rPr>
                <w:sz w:val="24"/>
                <w:szCs w:val="24"/>
                <w:color w:val="auto"/>
              </w:rPr>
            </w:pPr>
          </w:p>
        </w:tc>
        <w:tc>
          <w:tcPr>
            <w:tcW w:w="102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76.4</w:t>
            </w:r>
          </w:p>
        </w:tc>
        <w:tc>
          <w:tcPr>
            <w:tcW w:w="60" w:type="dxa"/>
            <w:vAlign w:val="bottom"/>
            <w:tcBorders>
              <w:bottom w:val="single" w:sz="8" w:color="CFEBF4"/>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699,044</w:t>
            </w:r>
          </w:p>
        </w:tc>
        <w:tc>
          <w:tcPr>
            <w:tcW w:w="8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58.90</w:t>
            </w:r>
          </w:p>
        </w:tc>
        <w:tc>
          <w:tcPr>
            <w:tcW w:w="80" w:type="dxa"/>
            <w:vAlign w:val="bottom"/>
            <w:tcBorders>
              <w:bottom w:val="single" w:sz="8" w:color="CFEBF4"/>
            </w:tcBorders>
            <w:shd w:val="clear" w:color="auto" w:fill="CFEBF4"/>
          </w:tcPr>
          <w:p>
            <w:pPr>
              <w:spacing w:after="0"/>
              <w:rPr>
                <w:sz w:val="24"/>
                <w:szCs w:val="24"/>
                <w:color w:val="auto"/>
              </w:rPr>
            </w:pPr>
          </w:p>
        </w:tc>
        <w:tc>
          <w:tcPr>
            <w:tcW w:w="10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818,284</w:t>
            </w:r>
          </w:p>
        </w:tc>
        <w:tc>
          <w:tcPr>
            <w:tcW w:w="8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spacing w:after="0"/>
              <w:rPr>
                <w:sz w:val="24"/>
                <w:szCs w:val="24"/>
                <w:color w:val="auto"/>
              </w:rPr>
            </w:pPr>
          </w:p>
        </w:tc>
        <w:tc>
          <w:tcPr>
            <w:tcW w:w="8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59.55</w:t>
            </w:r>
          </w:p>
        </w:tc>
        <w:tc>
          <w:tcPr>
            <w:tcW w:w="0" w:type="dxa"/>
            <w:vAlign w:val="bottom"/>
          </w:tcPr>
          <w:p>
            <w:pPr>
              <w:spacing w:after="0"/>
              <w:rPr>
                <w:sz w:val="1"/>
                <w:szCs w:val="1"/>
                <w:color w:val="auto"/>
              </w:rPr>
            </w:pPr>
          </w:p>
        </w:tc>
      </w:tr>
      <w:tr>
        <w:trPr>
          <w:trHeight w:val="189"/>
        </w:trPr>
        <w:tc>
          <w:tcPr>
            <w:tcW w:w="1460" w:type="dxa"/>
            <w:vAlign w:val="bottom"/>
          </w:tcPr>
          <w:p>
            <w:pPr>
              <w:ind w:left="60"/>
              <w:spacing w:after="0" w:line="189" w:lineRule="exact"/>
              <w:rPr>
                <w:sz w:val="20"/>
                <w:szCs w:val="20"/>
                <w:color w:val="auto"/>
              </w:rPr>
            </w:pPr>
            <w:r>
              <w:rPr>
                <w:rFonts w:ascii="Times New Roman" w:cs="Times New Roman" w:eastAsia="Times New Roman" w:hAnsi="Times New Roman"/>
                <w:sz w:val="20"/>
                <w:szCs w:val="20"/>
                <w:color w:val="231F20"/>
              </w:rPr>
              <w:t>Exercisable at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411,759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59.12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76.4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699,044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58.90</w:t>
            </w:r>
          </w:p>
        </w:tc>
        <w:tc>
          <w:tcPr>
            <w:tcW w:w="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777,479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58.64</w:t>
            </w:r>
          </w:p>
        </w:tc>
        <w:tc>
          <w:tcPr>
            <w:tcW w:w="0" w:type="dxa"/>
            <w:vAlign w:val="bottom"/>
          </w:tcPr>
          <w:p>
            <w:pPr>
              <w:spacing w:after="0"/>
              <w:rPr>
                <w:sz w:val="1"/>
                <w:szCs w:val="1"/>
                <w:color w:val="auto"/>
              </w:rPr>
            </w:pPr>
          </w:p>
        </w:tc>
      </w:tr>
      <w:tr>
        <w:trPr>
          <w:trHeight w:val="239"/>
        </w:trPr>
        <w:tc>
          <w:tcPr>
            <w:tcW w:w="14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end of year</w:t>
            </w:r>
          </w:p>
        </w:tc>
        <w:tc>
          <w:tcPr>
            <w:tcW w:w="10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-1394460</wp:posOffset>
            </wp:positionV>
            <wp:extent cx="5482590" cy="501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7">
                      <a:extLst>
                        <a:ext uri="{28A0092B-C50C-407E-A947-70E740481C1C}"/>
                      </a:extLst>
                    </a:blip>
                    <a:srcRect/>
                    <a:stretch>
                      <a:fillRect/>
                    </a:stretch>
                  </pic:blipFill>
                  <pic:spPr bwMode="auto">
                    <a:xfrm>
                      <a:off x="0" y="0"/>
                      <a:ext cx="5482590" cy="5016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-540385</wp:posOffset>
            </wp:positionV>
            <wp:extent cx="1372870" cy="50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8">
                      <a:extLst>
                        <a:ext uri="{28A0092B-C50C-407E-A947-70E740481C1C}"/>
                      </a:extLst>
                    </a:blip>
                    <a:srcRect/>
                    <a:stretch>
                      <a:fillRect/>
                    </a:stretch>
                  </pic:blipFill>
                  <pic:spPr bwMode="auto">
                    <a:xfrm>
                      <a:off x="0" y="0"/>
                      <a:ext cx="1372870" cy="5016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-540385</wp:posOffset>
            </wp:positionV>
            <wp:extent cx="1395095" cy="501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9">
                      <a:extLst>
                        <a:ext uri="{28A0092B-C50C-407E-A947-70E740481C1C}"/>
                      </a:extLst>
                    </a:blip>
                    <a:srcRect/>
                    <a:stretch>
                      <a:fillRect/>
                    </a:stretch>
                  </pic:blipFill>
                  <pic:spPr bwMode="auto">
                    <a:xfrm>
                      <a:off x="0" y="0"/>
                      <a:ext cx="1395095"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5674360</wp:posOffset>
                </wp:positionH>
                <wp:positionV relativeFrom="paragraph">
                  <wp:posOffset>-521970</wp:posOffset>
                </wp:positionV>
                <wp:extent cx="12700" cy="1270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202" o:spid="_x0000_s1227" style="position:absolute;margin-left:446.8pt;margin-top:-41.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5674360</wp:posOffset>
                </wp:positionH>
                <wp:positionV relativeFrom="paragraph">
                  <wp:posOffset>-521970</wp:posOffset>
                </wp:positionV>
                <wp:extent cx="12700" cy="1270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203" o:spid="_x0000_s1228" style="position:absolute;margin-left:446.8pt;margin-top:-41.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mc:AlternateContent>
          <mc:Choice Requires="wps">
            <w:drawing>
              <wp:anchor simplePos="0" relativeHeight="251657728" behindDoc="1" locked="0" layoutInCell="0" allowOverlap="1">
                <wp:simplePos x="0" y="0"/>
                <wp:positionH relativeFrom="column">
                  <wp:posOffset>5720715</wp:posOffset>
                </wp:positionH>
                <wp:positionV relativeFrom="paragraph">
                  <wp:posOffset>-521970</wp:posOffset>
                </wp:positionV>
                <wp:extent cx="12700" cy="1270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204" o:spid="_x0000_s1229" style="position:absolute;margin-left:450.45pt;margin-top:-41.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5720715</wp:posOffset>
                </wp:positionH>
                <wp:positionV relativeFrom="paragraph">
                  <wp:posOffset>-521970</wp:posOffset>
                </wp:positionV>
                <wp:extent cx="12700" cy="1270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205" o:spid="_x0000_s1230" style="position:absolute;margin-left:450.45pt;margin-top:-41.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908050</wp:posOffset>
            </wp:positionH>
            <wp:positionV relativeFrom="paragraph">
              <wp:posOffset>-365125</wp:posOffset>
            </wp:positionV>
            <wp:extent cx="5482590" cy="749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0">
                      <a:extLst>
                        <a:ext uri="{28A0092B-C50C-407E-A947-70E740481C1C}"/>
                      </a:extLst>
                    </a:blip>
                    <a:srcRect/>
                    <a:stretch>
                      <a:fillRect/>
                    </a:stretch>
                  </pic:blipFill>
                  <pic:spPr bwMode="auto">
                    <a:xfrm>
                      <a:off x="0" y="0"/>
                      <a:ext cx="5482590" cy="74930"/>
                    </a:xfrm>
                    <a:prstGeom prst="rect">
                      <a:avLst/>
                    </a:prstGeom>
                    <a:noFill/>
                  </pic:spPr>
                </pic:pic>
              </a:graphicData>
            </a:graphic>
          </wp:anchor>
        </w:drawing>
      </w:r>
    </w:p>
    <w:p>
      <w:pPr>
        <w:spacing w:after="0" w:line="106"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For the year ended December 31, 2025, the aggregate intrinsic value of stock-settled stock appreciation rights exercised during such period was $46.7 million.</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231F20"/>
        </w:rPr>
        <w:t>The following table sets forth a summary of restricted stock units and related information for the periods presented:</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200" w:type="dxa"/>
            <w:vAlign w:val="bottom"/>
            <w:tcBorders>
              <w:bottom w:val="single" w:sz="8" w:color="231F20"/>
            </w:tcBorders>
            <w:gridSpan w:val="4"/>
          </w:tcPr>
          <w:p>
            <w:pPr>
              <w:jc w:val="right"/>
              <w:ind w:right="5"/>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8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8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8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106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1060" w:type="dxa"/>
            <w:vAlign w:val="bottom"/>
            <w:tcBorders>
              <w:top w:val="single" w:sz="8" w:color="231F20"/>
            </w:tcBorders>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231F20"/>
                <w:w w:val="97"/>
              </w:rPr>
              <w:t>Weighted-</w:t>
            </w:r>
          </w:p>
        </w:tc>
        <w:tc>
          <w:tcPr>
            <w:tcW w:w="80" w:type="dxa"/>
            <w:vAlign w:val="bottom"/>
          </w:tcPr>
          <w:p>
            <w:pPr>
              <w:spacing w:after="0"/>
              <w:rPr>
                <w:sz w:val="15"/>
                <w:szCs w:val="15"/>
                <w:color w:val="auto"/>
              </w:rPr>
            </w:pPr>
          </w:p>
        </w:tc>
        <w:tc>
          <w:tcPr>
            <w:tcW w:w="106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1060" w:type="dxa"/>
            <w:vAlign w:val="bottom"/>
            <w:tcBorders>
              <w:top w:val="single" w:sz="8" w:color="231F20"/>
            </w:tcBorders>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231F20"/>
                <w:w w:val="97"/>
              </w:rPr>
              <w:t>Weighted-</w:t>
            </w:r>
          </w:p>
        </w:tc>
        <w:tc>
          <w:tcPr>
            <w:tcW w:w="80" w:type="dxa"/>
            <w:vAlign w:val="bottom"/>
          </w:tcPr>
          <w:p>
            <w:pPr>
              <w:spacing w:after="0"/>
              <w:rPr>
                <w:sz w:val="15"/>
                <w:szCs w:val="15"/>
                <w:color w:val="auto"/>
              </w:rPr>
            </w:pPr>
          </w:p>
        </w:tc>
        <w:tc>
          <w:tcPr>
            <w:tcW w:w="1060" w:type="dxa"/>
            <w:vAlign w:val="bottom"/>
            <w:tcBorders>
              <w:top w:val="single" w:sz="8" w:color="231F20"/>
            </w:tcBorders>
          </w:tcPr>
          <w:p>
            <w:pPr>
              <w:spacing w:after="0"/>
              <w:rPr>
                <w:sz w:val="15"/>
                <w:szCs w:val="15"/>
                <w:color w:val="auto"/>
              </w:rPr>
            </w:pPr>
          </w:p>
        </w:tc>
        <w:tc>
          <w:tcPr>
            <w:tcW w:w="6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231F20"/>
                <w:w w:val="99"/>
              </w:rPr>
              <w:t>Weighted-</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8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Average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8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Average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05"/>
              <w:spacing w:after="0" w:line="177" w:lineRule="exact"/>
              <w:rPr>
                <w:sz w:val="20"/>
                <w:szCs w:val="20"/>
                <w:color w:val="auto"/>
              </w:rPr>
            </w:pPr>
            <w:r>
              <w:rPr>
                <w:rFonts w:ascii="Times New Roman" w:cs="Times New Roman" w:eastAsia="Times New Roman" w:hAnsi="Times New Roman"/>
                <w:sz w:val="18"/>
                <w:szCs w:val="18"/>
                <w:b w:val="1"/>
                <w:bCs w:val="1"/>
                <w:color w:val="231F20"/>
                <w:w w:val="99"/>
              </w:rPr>
              <w:t>Average</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060" w:type="dxa"/>
            <w:vAlign w:val="bottom"/>
            <w:vMerge w:val="restart"/>
          </w:tcPr>
          <w:p>
            <w:pPr>
              <w:jc w:val="right"/>
              <w:ind w:right="144"/>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85"/>
              <w:spacing w:after="0" w:line="177" w:lineRule="exact"/>
              <w:rPr>
                <w:sz w:val="20"/>
                <w:szCs w:val="20"/>
                <w:color w:val="auto"/>
              </w:rPr>
            </w:pPr>
            <w:r>
              <w:rPr>
                <w:rFonts w:ascii="Times New Roman" w:cs="Times New Roman" w:eastAsia="Times New Roman" w:hAnsi="Times New Roman"/>
                <w:sz w:val="18"/>
                <w:szCs w:val="18"/>
                <w:b w:val="1"/>
                <w:bCs w:val="1"/>
                <w:color w:val="231F20"/>
              </w:rPr>
              <w:t>Fair</w:t>
            </w:r>
          </w:p>
        </w:tc>
        <w:tc>
          <w:tcPr>
            <w:tcW w:w="80" w:type="dxa"/>
            <w:vAlign w:val="bottom"/>
          </w:tcPr>
          <w:p>
            <w:pPr>
              <w:spacing w:after="0"/>
              <w:rPr>
                <w:sz w:val="15"/>
                <w:szCs w:val="15"/>
                <w:color w:val="auto"/>
              </w:rPr>
            </w:pPr>
          </w:p>
        </w:tc>
        <w:tc>
          <w:tcPr>
            <w:tcW w:w="1060" w:type="dxa"/>
            <w:vAlign w:val="bottom"/>
            <w:vMerge w:val="restart"/>
          </w:tcPr>
          <w:p>
            <w:pPr>
              <w:jc w:val="right"/>
              <w:ind w:right="146"/>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Fair</w:t>
            </w:r>
          </w:p>
        </w:tc>
        <w:tc>
          <w:tcPr>
            <w:tcW w:w="80" w:type="dxa"/>
            <w:vAlign w:val="bottom"/>
          </w:tcPr>
          <w:p>
            <w:pPr>
              <w:spacing w:after="0"/>
              <w:rPr>
                <w:sz w:val="15"/>
                <w:szCs w:val="15"/>
                <w:color w:val="auto"/>
              </w:rPr>
            </w:pPr>
          </w:p>
        </w:tc>
        <w:tc>
          <w:tcPr>
            <w:tcW w:w="1060" w:type="dxa"/>
            <w:vAlign w:val="bottom"/>
            <w:vMerge w:val="restart"/>
          </w:tcPr>
          <w:p>
            <w:pPr>
              <w:jc w:val="right"/>
              <w:ind w:right="145"/>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0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Fair</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center"/>
              <w:ind w:right="85"/>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8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center"/>
              <w:ind w:right="105"/>
              <w:spacing w:after="0"/>
              <w:rPr>
                <w:sz w:val="20"/>
                <w:szCs w:val="20"/>
                <w:color w:val="auto"/>
              </w:rPr>
            </w:pPr>
            <w:r>
              <w:rPr>
                <w:rFonts w:ascii="Times New Roman" w:cs="Times New Roman" w:eastAsia="Times New Roman" w:hAnsi="Times New Roman"/>
                <w:sz w:val="18"/>
                <w:szCs w:val="18"/>
                <w:b w:val="1"/>
                <w:bCs w:val="1"/>
                <w:color w:val="231F20"/>
                <w:w w:val="97"/>
              </w:rPr>
              <w:t>Value</w:t>
            </w:r>
          </w:p>
        </w:tc>
        <w:tc>
          <w:tcPr>
            <w:tcW w:w="8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vMerge w:val="continue"/>
          </w:tcPr>
          <w:p>
            <w:pPr>
              <w:spacing w:after="0"/>
              <w:rPr>
                <w:sz w:val="20"/>
                <w:szCs w:val="20"/>
                <w:color w:val="auto"/>
              </w:rPr>
            </w:pPr>
          </w:p>
        </w:tc>
        <w:tc>
          <w:tcPr>
            <w:tcW w:w="60" w:type="dxa"/>
            <w:vAlign w:val="bottom"/>
            <w:tcBorders>
              <w:bottom w:val="single" w:sz="8" w:color="CFEBF4"/>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center"/>
              <w:ind w:right="105"/>
              <w:spacing w:after="0"/>
              <w:rPr>
                <w:sz w:val="20"/>
                <w:szCs w:val="20"/>
                <w:color w:val="auto"/>
              </w:rPr>
            </w:pPr>
            <w:r>
              <w:rPr>
                <w:rFonts w:ascii="Times New Roman" w:cs="Times New Roman" w:eastAsia="Times New Roman" w:hAnsi="Times New Roman"/>
                <w:sz w:val="18"/>
                <w:szCs w:val="18"/>
                <w:b w:val="1"/>
                <w:bCs w:val="1"/>
                <w:color w:val="231F20"/>
                <w:w w:val="97"/>
              </w:rPr>
              <w:t>Value</w:t>
            </w:r>
          </w:p>
        </w:tc>
        <w:tc>
          <w:tcPr>
            <w:tcW w:w="0" w:type="dxa"/>
            <w:vAlign w:val="bottom"/>
          </w:tcPr>
          <w:p>
            <w:pPr>
              <w:spacing w:after="0"/>
              <w:rPr>
                <w:sz w:val="1"/>
                <w:szCs w:val="1"/>
                <w:color w:val="auto"/>
              </w:rPr>
            </w:pPr>
          </w:p>
        </w:tc>
      </w:tr>
      <w:tr>
        <w:trPr>
          <w:trHeight w:val="286"/>
        </w:trPr>
        <w:tc>
          <w:tcPr>
            <w:tcW w:w="29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Unvested at beginning of year</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427,570</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149.84</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407,613</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127.49</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774,233</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73.79</w:t>
            </w:r>
          </w:p>
        </w:tc>
        <w:tc>
          <w:tcPr>
            <w:tcW w:w="0" w:type="dxa"/>
            <w:vAlign w:val="bottom"/>
          </w:tcPr>
          <w:p>
            <w:pPr>
              <w:spacing w:after="0"/>
              <w:rPr>
                <w:sz w:val="1"/>
                <w:szCs w:val="1"/>
                <w:color w:val="auto"/>
              </w:rPr>
            </w:pPr>
          </w:p>
        </w:tc>
      </w:tr>
      <w:tr>
        <w:trPr>
          <w:trHeight w:val="290"/>
        </w:trPr>
        <w:tc>
          <w:tcPr>
            <w:tcW w:w="29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241,523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249,757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158.78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177,659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169.65</w:t>
            </w:r>
          </w:p>
        </w:tc>
        <w:tc>
          <w:tcPr>
            <w:tcW w:w="0" w:type="dxa"/>
            <w:vAlign w:val="bottom"/>
          </w:tcPr>
          <w:p>
            <w:pPr>
              <w:spacing w:after="0"/>
              <w:rPr>
                <w:sz w:val="1"/>
                <w:szCs w:val="1"/>
                <w:color w:val="auto"/>
              </w:rPr>
            </w:pPr>
          </w:p>
        </w:tc>
      </w:tr>
      <w:tr>
        <w:trPr>
          <w:trHeight w:val="301"/>
        </w:trPr>
        <w:tc>
          <w:tcPr>
            <w:tcW w:w="296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Vested</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(169,933)</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145.81</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(195,578)</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115.66</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(508,173)</w:t>
            </w:r>
          </w:p>
        </w:tc>
        <w:tc>
          <w:tcPr>
            <w:tcW w:w="6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59.72</w:t>
            </w:r>
          </w:p>
        </w:tc>
        <w:tc>
          <w:tcPr>
            <w:tcW w:w="0" w:type="dxa"/>
            <w:vAlign w:val="bottom"/>
          </w:tcPr>
          <w:p>
            <w:pPr>
              <w:spacing w:after="0"/>
              <w:rPr>
                <w:sz w:val="1"/>
                <w:szCs w:val="1"/>
                <w:color w:val="auto"/>
              </w:rPr>
            </w:pPr>
          </w:p>
        </w:tc>
      </w:tr>
      <w:tr>
        <w:trPr>
          <w:trHeight w:val="285"/>
        </w:trPr>
        <w:tc>
          <w:tcPr>
            <w:tcW w:w="2960" w:type="dxa"/>
            <w:vAlign w:val="bottom"/>
            <w:tcBorders>
              <w:bottom w:val="single" w:sz="8" w:color="CFEBF4"/>
            </w:tcBorders>
          </w:tcPr>
          <w:p>
            <w:pPr>
              <w:ind w:left="240"/>
              <w:spacing w:after="0"/>
              <w:rPr>
                <w:sz w:val="20"/>
                <w:szCs w:val="20"/>
                <w:color w:val="auto"/>
              </w:rPr>
            </w:pPr>
            <w:r>
              <w:rPr>
                <w:rFonts w:ascii="Times New Roman" w:cs="Times New Roman" w:eastAsia="Times New Roman" w:hAnsi="Times New Roman"/>
                <w:sz w:val="20"/>
                <w:szCs w:val="20"/>
                <w:color w:val="231F20"/>
              </w:rPr>
              <w:t>Forfeited</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(41,217)</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176.08</w:t>
            </w:r>
          </w:p>
        </w:tc>
        <w:tc>
          <w:tcPr>
            <w:tcW w:w="80" w:type="dxa"/>
            <w:vAlign w:val="bottom"/>
            <w:tcBorders>
              <w:bottom w:val="single" w:sz="8" w:color="CFEBF4"/>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(34,222)</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141.98</w:t>
            </w:r>
          </w:p>
        </w:tc>
        <w:tc>
          <w:tcPr>
            <w:tcW w:w="80" w:type="dxa"/>
            <w:vAlign w:val="bottom"/>
            <w:tcBorders>
              <w:bottom w:val="single" w:sz="8" w:color="CFEBF4"/>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(36,106)</w:t>
            </w:r>
          </w:p>
        </w:tc>
        <w:tc>
          <w:tcPr>
            <w:tcW w:w="60" w:type="dxa"/>
            <w:vAlign w:val="bottom"/>
            <w:tcBorders>
              <w:bottom w:val="single" w:sz="8" w:color="CFEBF4"/>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137.28</w:t>
            </w:r>
          </w:p>
        </w:tc>
        <w:tc>
          <w:tcPr>
            <w:tcW w:w="0" w:type="dxa"/>
            <w:vAlign w:val="bottom"/>
          </w:tcPr>
          <w:p>
            <w:pPr>
              <w:spacing w:after="0"/>
              <w:rPr>
                <w:sz w:val="1"/>
                <w:szCs w:val="1"/>
                <w:color w:val="auto"/>
              </w:rPr>
            </w:pPr>
          </w:p>
        </w:tc>
      </w:tr>
      <w:tr>
        <w:trPr>
          <w:trHeight w:val="295"/>
        </w:trPr>
        <w:tc>
          <w:tcPr>
            <w:tcW w:w="29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Unvested at end of year</w:t>
            </w: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457,943</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165.89</w:t>
            </w:r>
          </w:p>
        </w:tc>
        <w:tc>
          <w:tcPr>
            <w:tcW w:w="80" w:type="dxa"/>
            <w:vAlign w:val="bottom"/>
            <w:tcBorders>
              <w:bottom w:val="single" w:sz="8" w:color="CFEBF4"/>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427,570</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149.84</w:t>
            </w:r>
          </w:p>
        </w:tc>
        <w:tc>
          <w:tcPr>
            <w:tcW w:w="80" w:type="dxa"/>
            <w:vAlign w:val="bottom"/>
            <w:tcBorders>
              <w:bottom w:val="single" w:sz="8" w:color="CFEBF4"/>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407,613</w:t>
            </w:r>
          </w:p>
        </w:tc>
        <w:tc>
          <w:tcPr>
            <w:tcW w:w="6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1982470</wp:posOffset>
            </wp:positionH>
            <wp:positionV relativeFrom="paragraph">
              <wp:posOffset>-981710</wp:posOffset>
            </wp:positionV>
            <wp:extent cx="4338320" cy="501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1">
                      <a:extLst>
                        <a:ext uri="{28A0092B-C50C-407E-A947-70E740481C1C}"/>
                      </a:extLst>
                    </a:blip>
                    <a:srcRect/>
                    <a:stretch>
                      <a:fillRect/>
                    </a:stretch>
                  </pic:blipFill>
                  <pic:spPr bwMode="auto">
                    <a:xfrm>
                      <a:off x="0" y="0"/>
                      <a:ext cx="4338320" cy="5016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-231140</wp:posOffset>
            </wp:positionV>
            <wp:extent cx="3637280" cy="501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2">
                      <a:extLst>
                        <a:ext uri="{28A0092B-C50C-407E-A947-70E740481C1C}"/>
                      </a:extLst>
                    </a:blip>
                    <a:srcRect/>
                    <a:stretch>
                      <a:fillRect/>
                    </a:stretch>
                  </pic:blipFill>
                  <pic:spPr bwMode="auto">
                    <a:xfrm>
                      <a:off x="0" y="0"/>
                      <a:ext cx="3637280" cy="5016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-55880</wp:posOffset>
            </wp:positionV>
            <wp:extent cx="4338320" cy="749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3">
                      <a:extLst>
                        <a:ext uri="{28A0092B-C50C-407E-A947-70E740481C1C}"/>
                      </a:extLst>
                    </a:blip>
                    <a:srcRect/>
                    <a:stretch>
                      <a:fillRect/>
                    </a:stretch>
                  </pic:blipFill>
                  <pic:spPr bwMode="auto">
                    <a:xfrm>
                      <a:off x="0" y="0"/>
                      <a:ext cx="4338320" cy="7493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The following table sets forth a summary of performance-based awards and related information for the periods presented:</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200" w:type="dxa"/>
            <w:vAlign w:val="bottom"/>
            <w:tcBorders>
              <w:bottom w:val="single" w:sz="8" w:color="231F20"/>
            </w:tcBorders>
            <w:gridSpan w:val="4"/>
          </w:tcPr>
          <w:p>
            <w:pPr>
              <w:jc w:val="right"/>
              <w:ind w:right="5"/>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8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8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8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106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1060" w:type="dxa"/>
            <w:vAlign w:val="bottom"/>
            <w:tcBorders>
              <w:top w:val="single" w:sz="8" w:color="231F20"/>
            </w:tcBorders>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231F20"/>
                <w:w w:val="97"/>
              </w:rPr>
              <w:t>Weighted-</w:t>
            </w:r>
          </w:p>
        </w:tc>
        <w:tc>
          <w:tcPr>
            <w:tcW w:w="80" w:type="dxa"/>
            <w:vAlign w:val="bottom"/>
          </w:tcPr>
          <w:p>
            <w:pPr>
              <w:spacing w:after="0"/>
              <w:rPr>
                <w:sz w:val="15"/>
                <w:szCs w:val="15"/>
                <w:color w:val="auto"/>
              </w:rPr>
            </w:pPr>
          </w:p>
        </w:tc>
        <w:tc>
          <w:tcPr>
            <w:tcW w:w="106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1060" w:type="dxa"/>
            <w:vAlign w:val="bottom"/>
            <w:tcBorders>
              <w:top w:val="single" w:sz="8" w:color="231F20"/>
            </w:tcBorders>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231F20"/>
                <w:w w:val="97"/>
              </w:rPr>
              <w:t>Weighted-</w:t>
            </w:r>
          </w:p>
        </w:tc>
        <w:tc>
          <w:tcPr>
            <w:tcW w:w="80" w:type="dxa"/>
            <w:vAlign w:val="bottom"/>
          </w:tcPr>
          <w:p>
            <w:pPr>
              <w:spacing w:after="0"/>
              <w:rPr>
                <w:sz w:val="15"/>
                <w:szCs w:val="15"/>
                <w:color w:val="auto"/>
              </w:rPr>
            </w:pPr>
          </w:p>
        </w:tc>
        <w:tc>
          <w:tcPr>
            <w:tcW w:w="1060" w:type="dxa"/>
            <w:vAlign w:val="bottom"/>
            <w:tcBorders>
              <w:top w:val="single" w:sz="8" w:color="231F20"/>
            </w:tcBorders>
          </w:tcPr>
          <w:p>
            <w:pPr>
              <w:spacing w:after="0"/>
              <w:rPr>
                <w:sz w:val="15"/>
                <w:szCs w:val="15"/>
                <w:color w:val="auto"/>
              </w:rPr>
            </w:pPr>
          </w:p>
        </w:tc>
        <w:tc>
          <w:tcPr>
            <w:tcW w:w="6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231F20"/>
                <w:w w:val="99"/>
              </w:rPr>
              <w:t>Weighted-</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8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Average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8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Average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05"/>
              <w:spacing w:after="0" w:line="177" w:lineRule="exact"/>
              <w:rPr>
                <w:sz w:val="20"/>
                <w:szCs w:val="20"/>
                <w:color w:val="auto"/>
              </w:rPr>
            </w:pPr>
            <w:r>
              <w:rPr>
                <w:rFonts w:ascii="Times New Roman" w:cs="Times New Roman" w:eastAsia="Times New Roman" w:hAnsi="Times New Roman"/>
                <w:sz w:val="18"/>
                <w:szCs w:val="18"/>
                <w:b w:val="1"/>
                <w:bCs w:val="1"/>
                <w:color w:val="231F20"/>
                <w:w w:val="99"/>
              </w:rPr>
              <w:t>Average</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060" w:type="dxa"/>
            <w:vAlign w:val="bottom"/>
            <w:vMerge w:val="restart"/>
          </w:tcPr>
          <w:p>
            <w:pPr>
              <w:jc w:val="right"/>
              <w:ind w:right="144"/>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85"/>
              <w:spacing w:after="0" w:line="177" w:lineRule="exact"/>
              <w:rPr>
                <w:sz w:val="20"/>
                <w:szCs w:val="20"/>
                <w:color w:val="auto"/>
              </w:rPr>
            </w:pPr>
            <w:r>
              <w:rPr>
                <w:rFonts w:ascii="Times New Roman" w:cs="Times New Roman" w:eastAsia="Times New Roman" w:hAnsi="Times New Roman"/>
                <w:sz w:val="18"/>
                <w:szCs w:val="18"/>
                <w:b w:val="1"/>
                <w:bCs w:val="1"/>
                <w:color w:val="231F20"/>
              </w:rPr>
              <w:t>Fair</w:t>
            </w:r>
          </w:p>
        </w:tc>
        <w:tc>
          <w:tcPr>
            <w:tcW w:w="80" w:type="dxa"/>
            <w:vAlign w:val="bottom"/>
          </w:tcPr>
          <w:p>
            <w:pPr>
              <w:spacing w:after="0"/>
              <w:rPr>
                <w:sz w:val="15"/>
                <w:szCs w:val="15"/>
                <w:color w:val="auto"/>
              </w:rPr>
            </w:pPr>
          </w:p>
        </w:tc>
        <w:tc>
          <w:tcPr>
            <w:tcW w:w="1060" w:type="dxa"/>
            <w:vAlign w:val="bottom"/>
            <w:vMerge w:val="restart"/>
          </w:tcPr>
          <w:p>
            <w:pPr>
              <w:jc w:val="right"/>
              <w:ind w:right="146"/>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Fair</w:t>
            </w:r>
          </w:p>
        </w:tc>
        <w:tc>
          <w:tcPr>
            <w:tcW w:w="80" w:type="dxa"/>
            <w:vAlign w:val="bottom"/>
          </w:tcPr>
          <w:p>
            <w:pPr>
              <w:spacing w:after="0"/>
              <w:rPr>
                <w:sz w:val="15"/>
                <w:szCs w:val="15"/>
                <w:color w:val="auto"/>
              </w:rPr>
            </w:pPr>
          </w:p>
        </w:tc>
        <w:tc>
          <w:tcPr>
            <w:tcW w:w="1060" w:type="dxa"/>
            <w:vAlign w:val="bottom"/>
            <w:vMerge w:val="restart"/>
          </w:tcPr>
          <w:p>
            <w:pPr>
              <w:jc w:val="right"/>
              <w:ind w:right="145"/>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05"/>
              <w:spacing w:after="0" w:line="177" w:lineRule="exact"/>
              <w:rPr>
                <w:sz w:val="20"/>
                <w:szCs w:val="20"/>
                <w:color w:val="auto"/>
              </w:rPr>
            </w:pPr>
            <w:r>
              <w:rPr>
                <w:rFonts w:ascii="Times New Roman" w:cs="Times New Roman" w:eastAsia="Times New Roman" w:hAnsi="Times New Roman"/>
                <w:sz w:val="18"/>
                <w:szCs w:val="18"/>
                <w:b w:val="1"/>
                <w:bCs w:val="1"/>
                <w:color w:val="231F20"/>
                <w:w w:val="96"/>
              </w:rPr>
              <w:t>Fair</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center"/>
              <w:ind w:right="85"/>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8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center"/>
              <w:ind w:right="105"/>
              <w:spacing w:after="0"/>
              <w:rPr>
                <w:sz w:val="20"/>
                <w:szCs w:val="20"/>
                <w:color w:val="auto"/>
              </w:rPr>
            </w:pPr>
            <w:r>
              <w:rPr>
                <w:rFonts w:ascii="Times New Roman" w:cs="Times New Roman" w:eastAsia="Times New Roman" w:hAnsi="Times New Roman"/>
                <w:sz w:val="18"/>
                <w:szCs w:val="18"/>
                <w:b w:val="1"/>
                <w:bCs w:val="1"/>
                <w:color w:val="231F20"/>
                <w:w w:val="97"/>
              </w:rPr>
              <w:t>Value</w:t>
            </w:r>
          </w:p>
        </w:tc>
        <w:tc>
          <w:tcPr>
            <w:tcW w:w="80" w:type="dxa"/>
            <w:vAlign w:val="bottom"/>
            <w:tcBorders>
              <w:bottom w:val="single" w:sz="8" w:color="CFEBF4"/>
            </w:tcBorders>
          </w:tcPr>
          <w:p>
            <w:pPr>
              <w:spacing w:after="0"/>
              <w:rPr>
                <w:sz w:val="20"/>
                <w:szCs w:val="20"/>
                <w:color w:val="auto"/>
              </w:rPr>
            </w:pPr>
          </w:p>
        </w:tc>
        <w:tc>
          <w:tcPr>
            <w:tcW w:w="1060" w:type="dxa"/>
            <w:vAlign w:val="bottom"/>
            <w:tcBorders>
              <w:bottom w:val="single" w:sz="8" w:color="231F20"/>
            </w:tcBorders>
            <w:vMerge w:val="continue"/>
          </w:tcPr>
          <w:p>
            <w:pPr>
              <w:spacing w:after="0"/>
              <w:rPr>
                <w:sz w:val="20"/>
                <w:szCs w:val="20"/>
                <w:color w:val="auto"/>
              </w:rPr>
            </w:pPr>
          </w:p>
        </w:tc>
        <w:tc>
          <w:tcPr>
            <w:tcW w:w="60" w:type="dxa"/>
            <w:vAlign w:val="bottom"/>
            <w:tcBorders>
              <w:bottom w:val="single" w:sz="8" w:color="CFEBF4"/>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center"/>
              <w:ind w:right="105"/>
              <w:spacing w:after="0"/>
              <w:rPr>
                <w:sz w:val="20"/>
                <w:szCs w:val="20"/>
                <w:color w:val="auto"/>
              </w:rPr>
            </w:pPr>
            <w:r>
              <w:rPr>
                <w:rFonts w:ascii="Times New Roman" w:cs="Times New Roman" w:eastAsia="Times New Roman" w:hAnsi="Times New Roman"/>
                <w:sz w:val="18"/>
                <w:szCs w:val="18"/>
                <w:b w:val="1"/>
                <w:bCs w:val="1"/>
                <w:color w:val="231F20"/>
                <w:w w:val="97"/>
              </w:rPr>
              <w:t>Value</w:t>
            </w:r>
          </w:p>
        </w:tc>
        <w:tc>
          <w:tcPr>
            <w:tcW w:w="0" w:type="dxa"/>
            <w:vAlign w:val="bottom"/>
          </w:tcPr>
          <w:p>
            <w:pPr>
              <w:spacing w:after="0"/>
              <w:rPr>
                <w:sz w:val="1"/>
                <w:szCs w:val="1"/>
                <w:color w:val="auto"/>
              </w:rPr>
            </w:pPr>
          </w:p>
        </w:tc>
      </w:tr>
      <w:tr>
        <w:trPr>
          <w:trHeight w:val="286"/>
        </w:trPr>
        <w:tc>
          <w:tcPr>
            <w:tcW w:w="29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Unvested at beginning of year</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214,517</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147.19</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254,859</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115.15</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335,329</w:t>
            </w:r>
          </w:p>
        </w:tc>
        <w:tc>
          <w:tcPr>
            <w:tcW w:w="26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75.26</w:t>
            </w:r>
          </w:p>
        </w:tc>
        <w:tc>
          <w:tcPr>
            <w:tcW w:w="0" w:type="dxa"/>
            <w:vAlign w:val="bottom"/>
          </w:tcPr>
          <w:p>
            <w:pPr>
              <w:spacing w:after="0"/>
              <w:rPr>
                <w:sz w:val="1"/>
                <w:szCs w:val="1"/>
                <w:color w:val="auto"/>
              </w:rPr>
            </w:pPr>
          </w:p>
        </w:tc>
      </w:tr>
      <w:tr>
        <w:trPr>
          <w:trHeight w:val="290"/>
        </w:trPr>
        <w:tc>
          <w:tcPr>
            <w:tcW w:w="29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77,686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194,599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212,656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87.04</w:t>
            </w:r>
          </w:p>
        </w:tc>
        <w:tc>
          <w:tcPr>
            <w:tcW w:w="0" w:type="dxa"/>
            <w:vAlign w:val="bottom"/>
          </w:tcPr>
          <w:p>
            <w:pPr>
              <w:spacing w:after="0"/>
              <w:rPr>
                <w:sz w:val="1"/>
                <w:szCs w:val="1"/>
                <w:color w:val="auto"/>
              </w:rPr>
            </w:pPr>
          </w:p>
        </w:tc>
      </w:tr>
      <w:tr>
        <w:trPr>
          <w:trHeight w:val="301"/>
        </w:trPr>
        <w:tc>
          <w:tcPr>
            <w:tcW w:w="2960" w:type="dxa"/>
            <w:vAlign w:val="bottom"/>
            <w:shd w:val="clear" w:color="auto" w:fill="CFEBF4"/>
          </w:tcPr>
          <w:p>
            <w:pPr>
              <w:ind w:left="240"/>
              <w:spacing w:after="0"/>
              <w:rPr>
                <w:sz w:val="20"/>
                <w:szCs w:val="20"/>
                <w:color w:val="auto"/>
              </w:rPr>
            </w:pPr>
            <w:r>
              <w:rPr>
                <w:rFonts w:ascii="Times New Roman" w:cs="Times New Roman" w:eastAsia="Times New Roman" w:hAnsi="Times New Roman"/>
                <w:sz w:val="20"/>
                <w:szCs w:val="20"/>
                <w:color w:val="231F20"/>
              </w:rPr>
              <w:t>Vested</w:t>
            </w:r>
          </w:p>
        </w:tc>
        <w:tc>
          <w:tcPr>
            <w:tcW w:w="10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(75,189)</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122.09</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(223,042)</w:t>
            </w: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77.08</w:t>
            </w:r>
          </w:p>
        </w:tc>
        <w:tc>
          <w:tcPr>
            <w:tcW w:w="114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(289,394)</w:t>
            </w:r>
          </w:p>
        </w:tc>
        <w:tc>
          <w:tcPr>
            <w:tcW w:w="60" w:type="dxa"/>
            <w:vAlign w:val="bottom"/>
            <w:shd w:val="clear" w:color="auto" w:fill="CFEBF4"/>
          </w:tcPr>
          <w:p>
            <w:pPr>
              <w:spacing w:after="0"/>
              <w:rPr>
                <w:sz w:val="24"/>
                <w:szCs w:val="24"/>
                <w:color w:val="auto"/>
              </w:rPr>
            </w:pPr>
          </w:p>
        </w:tc>
        <w:tc>
          <w:tcPr>
            <w:tcW w:w="200" w:type="dxa"/>
            <w:vAlign w:val="bottom"/>
            <w:shd w:val="clear" w:color="auto" w:fill="CFEBF4"/>
          </w:tcPr>
          <w:p>
            <w:pPr>
              <w:spacing w:after="0"/>
              <w:rPr>
                <w:sz w:val="24"/>
                <w:szCs w:val="24"/>
                <w:color w:val="auto"/>
              </w:rPr>
            </w:pPr>
          </w:p>
        </w:tc>
        <w:tc>
          <w:tcPr>
            <w:tcW w:w="8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48.32</w:t>
            </w:r>
          </w:p>
        </w:tc>
        <w:tc>
          <w:tcPr>
            <w:tcW w:w="0" w:type="dxa"/>
            <w:vAlign w:val="bottom"/>
          </w:tcPr>
          <w:p>
            <w:pPr>
              <w:spacing w:after="0"/>
              <w:rPr>
                <w:sz w:val="1"/>
                <w:szCs w:val="1"/>
                <w:color w:val="auto"/>
              </w:rPr>
            </w:pPr>
          </w:p>
        </w:tc>
      </w:tr>
      <w:tr>
        <w:trPr>
          <w:trHeight w:val="285"/>
        </w:trPr>
        <w:tc>
          <w:tcPr>
            <w:tcW w:w="2960" w:type="dxa"/>
            <w:vAlign w:val="bottom"/>
            <w:tcBorders>
              <w:bottom w:val="single" w:sz="8" w:color="CFEBF4"/>
            </w:tcBorders>
          </w:tcPr>
          <w:p>
            <w:pPr>
              <w:ind w:left="240"/>
              <w:spacing w:after="0"/>
              <w:rPr>
                <w:sz w:val="20"/>
                <w:szCs w:val="20"/>
                <w:color w:val="auto"/>
              </w:rPr>
            </w:pPr>
            <w:r>
              <w:rPr>
                <w:rFonts w:ascii="Times New Roman" w:cs="Times New Roman" w:eastAsia="Times New Roman" w:hAnsi="Times New Roman"/>
                <w:sz w:val="20"/>
                <w:szCs w:val="20"/>
                <w:color w:val="231F20"/>
              </w:rPr>
              <w:t>Forfeited</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(22,379)</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172.54</w:t>
            </w:r>
          </w:p>
        </w:tc>
        <w:tc>
          <w:tcPr>
            <w:tcW w:w="80" w:type="dxa"/>
            <w:vAlign w:val="bottom"/>
            <w:tcBorders>
              <w:bottom w:val="single" w:sz="8" w:color="CFEBF4"/>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(11,899)</w:t>
            </w:r>
          </w:p>
        </w:tc>
        <w:tc>
          <w:tcPr>
            <w:tcW w:w="80" w:type="dxa"/>
            <w:vAlign w:val="bottom"/>
            <w:tcBorders>
              <w:bottom w:val="single" w:sz="8" w:color="CFEBF4"/>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151.11</w:t>
            </w:r>
          </w:p>
        </w:tc>
        <w:tc>
          <w:tcPr>
            <w:tcW w:w="80" w:type="dxa"/>
            <w:vAlign w:val="bottom"/>
            <w:tcBorders>
              <w:bottom w:val="single" w:sz="8" w:color="CFEBF4"/>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(3,732)</w:t>
            </w:r>
          </w:p>
        </w:tc>
        <w:tc>
          <w:tcPr>
            <w:tcW w:w="60" w:type="dxa"/>
            <w:vAlign w:val="bottom"/>
            <w:tcBorders>
              <w:bottom w:val="single" w:sz="8" w:color="CFEBF4"/>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111.00</w:t>
            </w:r>
          </w:p>
        </w:tc>
        <w:tc>
          <w:tcPr>
            <w:tcW w:w="0" w:type="dxa"/>
            <w:vAlign w:val="bottom"/>
          </w:tcPr>
          <w:p>
            <w:pPr>
              <w:spacing w:after="0"/>
              <w:rPr>
                <w:sz w:val="1"/>
                <w:szCs w:val="1"/>
                <w:color w:val="auto"/>
              </w:rPr>
            </w:pPr>
          </w:p>
        </w:tc>
      </w:tr>
      <w:tr>
        <w:trPr>
          <w:trHeight w:val="295"/>
        </w:trPr>
        <w:tc>
          <w:tcPr>
            <w:tcW w:w="29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Unvested at end of year</w:t>
            </w: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194,635</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171.72</w:t>
            </w:r>
          </w:p>
        </w:tc>
        <w:tc>
          <w:tcPr>
            <w:tcW w:w="80" w:type="dxa"/>
            <w:vAlign w:val="bottom"/>
            <w:tcBorders>
              <w:bottom w:val="single" w:sz="8" w:color="CFEBF4"/>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214,517</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147.19</w:t>
            </w:r>
          </w:p>
        </w:tc>
        <w:tc>
          <w:tcPr>
            <w:tcW w:w="80" w:type="dxa"/>
            <w:vAlign w:val="bottom"/>
            <w:tcBorders>
              <w:bottom w:val="single" w:sz="8" w:color="CFEBF4"/>
            </w:tcBorders>
            <w:shd w:val="clear" w:color="auto" w:fill="CFEBF4"/>
          </w:tcPr>
          <w:p>
            <w:pPr>
              <w:spacing w:after="0"/>
              <w:rPr>
                <w:sz w:val="24"/>
                <w:szCs w:val="24"/>
                <w:color w:val="auto"/>
              </w:rPr>
            </w:pPr>
          </w:p>
        </w:tc>
        <w:tc>
          <w:tcPr>
            <w:tcW w:w="10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254,859</w:t>
            </w:r>
          </w:p>
        </w:tc>
        <w:tc>
          <w:tcPr>
            <w:tcW w:w="60" w:type="dxa"/>
            <w:vAlign w:val="bottom"/>
            <w:tcBorders>
              <w:bottom w:val="single" w:sz="8" w:color="CFEBF4"/>
            </w:tcBorders>
            <w:shd w:val="clear" w:color="auto" w:fill="CFEBF4"/>
          </w:tcPr>
          <w:p>
            <w:pPr>
              <w:spacing w:after="0"/>
              <w:rPr>
                <w:sz w:val="24"/>
                <w:szCs w:val="24"/>
                <w:color w:val="auto"/>
              </w:rPr>
            </w:pPr>
          </w:p>
        </w:tc>
        <w:tc>
          <w:tcPr>
            <w:tcW w:w="20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1982470</wp:posOffset>
            </wp:positionH>
            <wp:positionV relativeFrom="paragraph">
              <wp:posOffset>-981710</wp:posOffset>
            </wp:positionV>
            <wp:extent cx="4338320" cy="50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4">
                      <a:extLst>
                        <a:ext uri="{28A0092B-C50C-407E-A947-70E740481C1C}"/>
                      </a:extLst>
                    </a:blip>
                    <a:srcRect/>
                    <a:stretch>
                      <a:fillRect/>
                    </a:stretch>
                  </pic:blipFill>
                  <pic:spPr bwMode="auto">
                    <a:xfrm>
                      <a:off x="0" y="0"/>
                      <a:ext cx="4338320" cy="5016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-231140</wp:posOffset>
            </wp:positionV>
            <wp:extent cx="3637280" cy="501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85">
                      <a:extLst>
                        <a:ext uri="{28A0092B-C50C-407E-A947-70E740481C1C}"/>
                      </a:extLst>
                    </a:blip>
                    <a:srcRect/>
                    <a:stretch>
                      <a:fillRect/>
                    </a:stretch>
                  </pic:blipFill>
                  <pic:spPr bwMode="auto">
                    <a:xfrm>
                      <a:off x="0" y="0"/>
                      <a:ext cx="3637280" cy="5016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-55880</wp:posOffset>
            </wp:positionV>
            <wp:extent cx="4338320" cy="749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6">
                      <a:extLst>
                        <a:ext uri="{28A0092B-C50C-407E-A947-70E740481C1C}"/>
                      </a:extLst>
                    </a:blip>
                    <a:srcRect/>
                    <a:stretch>
                      <a:fillRect/>
                    </a:stretch>
                  </pic:blipFill>
                  <pic:spPr bwMode="auto">
                    <a:xfrm>
                      <a:off x="0" y="0"/>
                      <a:ext cx="4338320" cy="74930"/>
                    </a:xfrm>
                    <a:prstGeom prst="rect">
                      <a:avLst/>
                    </a:prstGeom>
                    <a:noFill/>
                  </pic:spPr>
                </pic:pic>
              </a:graphicData>
            </a:graphic>
          </wp:anchor>
        </w:drawing>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120"/>
          </w:cols>
          <w:pgMar w:left="880" w:top="285" w:right="88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COMMITMENTS AND CONTINGENCIES</w:t>
      </w:r>
    </w:p>
    <w:p>
      <w:pPr>
        <w:spacing w:after="0" w:line="132"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As of December 31, 2025, the Company had $59.9 million in outstanding letters of credit and guarantees.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16. BUSINESS SEGMENTS</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Company has operating segments comprising three strategic business units: EES, CSS and UBS. These operating segments are equivalent to the Company’s reportable segments.</w:t>
      </w:r>
    </w:p>
    <w:p>
      <w:pPr>
        <w:spacing w:after="0" w:line="64"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President and Chief Executive Officer serves as the Company’s Chief Operating Decision Maker (“CODM”). The CODM allocates resources and evaluates the performance of the Company’s reportable segments based on adjusted earnings before interest, taxes, depreciation and amortization (“adjusted EBITDA”), which is the Company’s measure of segment profit or loss. The CODM considers budget-to-actual and year-over-year variances for net sales and adjusted EBITDA when making decisions about allocating resources to the segments.</w:t>
      </w:r>
    </w:p>
    <w:p>
      <w:pPr>
        <w:spacing w:after="0" w:line="8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Company incurs corporate costs primarily related to treasury, tax, information technology, legal and other centralized functions. The Company also has various corporate assets.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spacing w:after="0" w:line="88" w:lineRule="exact"/>
        <w:rPr>
          <w:sz w:val="20"/>
          <w:szCs w:val="20"/>
          <w:color w:val="auto"/>
        </w:rPr>
      </w:pPr>
    </w:p>
    <w:p>
      <w:pPr>
        <w:jc w:val="both"/>
        <w:ind w:firstLine="266"/>
        <w:spacing w:after="0" w:line="302" w:lineRule="auto"/>
        <w:rPr>
          <w:sz w:val="20"/>
          <w:szCs w:val="20"/>
          <w:color w:val="auto"/>
        </w:rPr>
      </w:pPr>
      <w:r>
        <w:rPr>
          <w:rFonts w:ascii="Times New Roman" w:cs="Times New Roman" w:eastAsia="Times New Roman" w:hAnsi="Times New Roman"/>
          <w:sz w:val="19"/>
          <w:szCs w:val="19"/>
          <w:color w:val="231F20"/>
        </w:rPr>
        <w:t>As previously described in Note 2, “Accounting Policies,” the reportable segment information for the years ended December 31, 2024 and 2023 for the EES and CSS reportable segments has been recast to conform to the current year presentation.</w:t>
      </w:r>
    </w:p>
    <w:p>
      <w:pPr>
        <w:spacing w:after="0" w:line="41" w:lineRule="exact"/>
        <w:rPr>
          <w:sz w:val="20"/>
          <w:szCs w:val="20"/>
          <w:color w:val="auto"/>
        </w:rPr>
      </w:pPr>
    </w:p>
    <w:p>
      <w:pPr>
        <w:ind w:left="280" w:right="1500"/>
        <w:spacing w:after="0" w:line="370" w:lineRule="auto"/>
        <w:rPr>
          <w:sz w:val="20"/>
          <w:szCs w:val="20"/>
          <w:color w:val="auto"/>
        </w:rPr>
      </w:pPr>
      <w:r>
        <w:rPr>
          <w:rFonts w:ascii="Times New Roman" w:cs="Times New Roman" w:eastAsia="Times New Roman" w:hAnsi="Times New Roman"/>
          <w:sz w:val="20"/>
          <w:szCs w:val="20"/>
          <w:color w:val="231F20"/>
        </w:rPr>
        <w:t xml:space="preserve">The following is a description of each of the Company’s reportable segments and their business activities. </w:t>
      </w:r>
      <w:r>
        <w:rPr>
          <w:rFonts w:ascii="Times New Roman" w:cs="Times New Roman" w:eastAsia="Times New Roman" w:hAnsi="Times New Roman"/>
          <w:sz w:val="20"/>
          <w:szCs w:val="20"/>
          <w:i w:val="1"/>
          <w:iCs w:val="1"/>
          <w:color w:val="231F20"/>
        </w:rPr>
        <w:t>Electrical &amp; Electronic Solutions</w:t>
      </w: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EES segment serves customers in over 50 countries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231F20"/>
        </w:rPr>
        <w:t>Communications &amp; Security Solutions</w:t>
      </w:r>
    </w:p>
    <w:p>
      <w:pPr>
        <w:spacing w:after="0" w:line="128" w:lineRule="exact"/>
        <w:rPr>
          <w:sz w:val="20"/>
          <w:szCs w:val="20"/>
          <w:color w:val="auto"/>
        </w:rPr>
      </w:pPr>
    </w:p>
    <w:p>
      <w:pPr>
        <w:jc w:val="both"/>
        <w:ind w:firstLine="266"/>
        <w:spacing w:after="0" w:line="251" w:lineRule="auto"/>
        <w:rPr>
          <w:sz w:val="20"/>
          <w:szCs w:val="20"/>
          <w:color w:val="auto"/>
        </w:rPr>
      </w:pPr>
      <w:r>
        <w:rPr>
          <w:rFonts w:ascii="Times New Roman" w:cs="Times New Roman" w:eastAsia="Times New Roman" w:hAnsi="Times New Roman"/>
          <w:sz w:val="20"/>
          <w:szCs w:val="20"/>
          <w:color w:val="231F20"/>
        </w:rPr>
        <w:t>The CSS segment serves customers in over 50 countries and is a global leader in data center, network infrastructure and security solutions. CSS sells directly to end-users or through an extensive network of channel partners, including data communications contractors, security and network integrators, professional audio/visual integrators, and systems integrators. Beyond its core portfolio, CSS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i w:val="1"/>
          <w:iCs w:val="1"/>
          <w:color w:val="231F20"/>
        </w:rPr>
        <w:t>Utility &amp; Broadband Solutions</w:t>
      </w:r>
    </w:p>
    <w:p>
      <w:pPr>
        <w:spacing w:after="0" w:line="128" w:lineRule="exact"/>
        <w:rPr>
          <w:sz w:val="20"/>
          <w:szCs w:val="20"/>
          <w:color w:val="auto"/>
        </w:rPr>
      </w:pPr>
    </w:p>
    <w:p>
      <w:pPr>
        <w:jc w:val="both"/>
        <w:ind w:firstLine="266"/>
        <w:spacing w:after="0" w:line="252" w:lineRule="auto"/>
        <w:rPr>
          <w:sz w:val="20"/>
          <w:szCs w:val="20"/>
          <w:color w:val="auto"/>
        </w:rPr>
      </w:pPr>
      <w:r>
        <w:rPr>
          <w:rFonts w:ascii="Times New Roman" w:cs="Times New Roman" w:eastAsia="Times New Roman" w:hAnsi="Times New Roman"/>
          <w:sz w:val="20"/>
          <w:szCs w:val="20"/>
          <w:color w:val="231F20"/>
        </w:rPr>
        <w:t>The UBS segment serves customers primarily in the U.S. and Canada and provides products and services to investor owned utilities, electric power cooperatives and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power cable, connectivity products, pole line hardware, racks, cabinets, safety and MRO products, and point-to-point wireless devices. The UBS segment also offers a complete set of service solutions to improve customer supply chain efficiencies.</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120"/>
          </w:cols>
          <w:pgMar w:left="880" w:top="285" w:right="88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following tables present information about the Company’s reportable segments and reconcile adjusted EBITDA by segment, which is the Company’s measure of segment profit or loss, to income before income taxes on a consolidated basis for the periods presented: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640" w:type="dxa"/>
            <w:vAlign w:val="bottom"/>
            <w:tcBorders>
              <w:bottom w:val="single" w:sz="8" w:color="231F20"/>
            </w:tcBorders>
            <w:gridSpan w:val="5"/>
          </w:tcPr>
          <w:p>
            <w:pPr>
              <w:jc w:val="right"/>
              <w:ind w:right="23"/>
              <w:spacing w:after="0"/>
              <w:rPr>
                <w:sz w:val="20"/>
                <w:szCs w:val="20"/>
                <w:color w:val="auto"/>
              </w:rPr>
            </w:pPr>
            <w:r>
              <w:rPr>
                <w:rFonts w:ascii="Times New Roman" w:cs="Times New Roman" w:eastAsia="Times New Roman" w:hAnsi="Times New Roman"/>
                <w:sz w:val="18"/>
                <w:szCs w:val="18"/>
                <w:b w:val="1"/>
                <w:bCs w:val="1"/>
                <w:color w:val="231F20"/>
              </w:rPr>
              <w:t>Year Ended December 31, 2025</w:t>
            </w:r>
          </w:p>
        </w:tc>
        <w:tc>
          <w:tcPr>
            <w:tcW w:w="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EES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CSS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UBS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22"/>
              <w:spacing w:after="0" w:line="203" w:lineRule="exact"/>
              <w:rPr>
                <w:sz w:val="20"/>
                <w:szCs w:val="20"/>
                <w:color w:val="auto"/>
              </w:rPr>
            </w:pPr>
            <w:r>
              <w:rPr>
                <w:rFonts w:ascii="Times New Roman" w:cs="Times New Roman" w:eastAsia="Times New Roman" w:hAnsi="Times New Roman"/>
                <w:sz w:val="18"/>
                <w:szCs w:val="18"/>
                <w:b w:val="1"/>
                <w:bCs w:val="1"/>
                <w:color w:val="231F20"/>
                <w:w w:val="99"/>
              </w:rPr>
              <w:t>Reportable</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2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Segments Total</w:t>
            </w:r>
          </w:p>
        </w:tc>
        <w:tc>
          <w:tcPr>
            <w:tcW w:w="0" w:type="dxa"/>
            <w:vAlign w:val="bottom"/>
          </w:tcPr>
          <w:p>
            <w:pPr>
              <w:spacing w:after="0"/>
              <w:rPr>
                <w:sz w:val="1"/>
                <w:szCs w:val="1"/>
                <w:color w:val="auto"/>
              </w:rPr>
            </w:pPr>
          </w:p>
        </w:tc>
      </w:tr>
      <w:tr>
        <w:trPr>
          <w:trHeight w:val="271"/>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Net sales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8,955.5</w:t>
            </w:r>
          </w:p>
        </w:tc>
        <w:tc>
          <w:tcPr>
            <w:tcW w:w="400" w:type="dxa"/>
            <w:vAlign w:val="bottom"/>
            <w:gridSpan w:val="2"/>
            <w:shd w:val="clear" w:color="auto" w:fill="CFEBF4"/>
          </w:tcPr>
          <w:p>
            <w:pPr>
              <w:jc w:val="right"/>
              <w:ind w:right="7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9,101.0</w:t>
            </w:r>
          </w:p>
        </w:tc>
        <w:tc>
          <w:tcPr>
            <w:tcW w:w="40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5,454.4</w:t>
            </w:r>
          </w:p>
        </w:tc>
        <w:tc>
          <w:tcPr>
            <w:tcW w:w="260" w:type="dxa"/>
            <w:vAlign w:val="bottom"/>
            <w:gridSpan w:val="2"/>
            <w:shd w:val="clear" w:color="auto" w:fill="CFEBF4"/>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23,510.9</w:t>
            </w:r>
          </w:p>
        </w:tc>
        <w:tc>
          <w:tcPr>
            <w:tcW w:w="0" w:type="dxa"/>
            <w:vAlign w:val="bottom"/>
          </w:tcPr>
          <w:p>
            <w:pPr>
              <w:spacing w:after="0"/>
              <w:rPr>
                <w:sz w:val="1"/>
                <w:szCs w:val="1"/>
                <w:color w:val="auto"/>
              </w:rPr>
            </w:pPr>
          </w:p>
        </w:tc>
      </w:tr>
      <w:tr>
        <w:trPr>
          <w:trHeight w:val="275"/>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720" w:type="dxa"/>
            <w:vAlign w:val="bottom"/>
            <w:shd w:val="clear" w:color="auto" w:fill="CFEBF4"/>
          </w:tcPr>
          <w:p>
            <w:pPr>
              <w:ind w:left="160"/>
              <w:spacing w:after="0" w:line="195" w:lineRule="exact"/>
              <w:rPr>
                <w:sz w:val="20"/>
                <w:szCs w:val="20"/>
                <w:color w:val="auto"/>
              </w:rPr>
            </w:pPr>
            <w:r>
              <w:rPr>
                <w:rFonts w:ascii="Times New Roman" w:cs="Times New Roman" w:eastAsia="Times New Roman" w:hAnsi="Times New Roman"/>
                <w:sz w:val="20"/>
                <w:szCs w:val="20"/>
                <w:color w:val="231F20"/>
              </w:rPr>
              <w:t>Cost of goods sold (excluding depreciation and</w:t>
            </w: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6,877.0</w:t>
            </w:r>
          </w:p>
        </w:tc>
        <w:tc>
          <w:tcPr>
            <w:tcW w:w="8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7,185.0</w:t>
            </w:r>
          </w:p>
        </w:tc>
        <w:tc>
          <w:tcPr>
            <w:tcW w:w="8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4,476.9</w:t>
            </w:r>
          </w:p>
        </w:tc>
        <w:tc>
          <w:tcPr>
            <w:tcW w:w="80" w:type="dxa"/>
            <w:vAlign w:val="bottom"/>
            <w:shd w:val="clear" w:color="auto" w:fill="CFEBF4"/>
          </w:tcPr>
          <w:p>
            <w:pPr>
              <w:spacing w:after="0"/>
              <w:rPr>
                <w:sz w:val="16"/>
                <w:szCs w:val="16"/>
                <w:color w:val="auto"/>
              </w:rPr>
            </w:pPr>
          </w:p>
        </w:tc>
        <w:tc>
          <w:tcPr>
            <w:tcW w:w="180" w:type="dxa"/>
            <w:vAlign w:val="bottom"/>
            <w:shd w:val="clear" w:color="auto" w:fill="CFEBF4"/>
          </w:tcPr>
          <w:p>
            <w:pPr>
              <w:spacing w:after="0"/>
              <w:rPr>
                <w:sz w:val="16"/>
                <w:szCs w:val="16"/>
                <w:color w:val="auto"/>
              </w:rPr>
            </w:pPr>
          </w:p>
        </w:tc>
        <w:tc>
          <w:tcPr>
            <w:tcW w:w="1100" w:type="dxa"/>
            <w:vAlign w:val="bottom"/>
            <w:vMerge w:val="restart"/>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18,538.9</w:t>
            </w:r>
          </w:p>
        </w:tc>
        <w:tc>
          <w:tcPr>
            <w:tcW w:w="0" w:type="dxa"/>
            <w:vAlign w:val="bottom"/>
          </w:tcPr>
          <w:p>
            <w:pPr>
              <w:spacing w:after="0"/>
              <w:rPr>
                <w:sz w:val="1"/>
                <w:szCs w:val="1"/>
                <w:color w:val="auto"/>
              </w:rPr>
            </w:pPr>
          </w:p>
        </w:tc>
      </w:tr>
      <w:tr>
        <w:trPr>
          <w:trHeight w:val="269"/>
        </w:trPr>
        <w:tc>
          <w:tcPr>
            <w:tcW w:w="4720" w:type="dxa"/>
            <w:vAlign w:val="bottom"/>
            <w:shd w:val="clear" w:color="auto" w:fill="CFEBF4"/>
          </w:tcPr>
          <w:p>
            <w:pPr>
              <w:ind w:left="160"/>
              <w:spacing w:after="0"/>
              <w:rPr>
                <w:sz w:val="20"/>
                <w:szCs w:val="20"/>
                <w:color w:val="auto"/>
              </w:rPr>
            </w:pPr>
            <w:r>
              <w:rPr>
                <w:rFonts w:ascii="Times New Roman" w:cs="Times New Roman" w:eastAsia="Times New Roman" w:hAnsi="Times New Roman"/>
                <w:sz w:val="20"/>
                <w:szCs w:val="20"/>
                <w:color w:val="231F20"/>
              </w:rPr>
              <w:t>amortization)</w:t>
            </w: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180" w:type="dxa"/>
            <w:vAlign w:val="bottom"/>
            <w:shd w:val="clear" w:color="auto" w:fill="CFEBF4"/>
          </w:tcPr>
          <w:p>
            <w:pPr>
              <w:spacing w:after="0"/>
              <w:rPr>
                <w:sz w:val="23"/>
                <w:szCs w:val="23"/>
                <w:color w:val="auto"/>
              </w:rPr>
            </w:pPr>
          </w:p>
        </w:tc>
        <w:tc>
          <w:tcPr>
            <w:tcW w:w="110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720" w:type="dxa"/>
            <w:vAlign w:val="bottom"/>
          </w:tcPr>
          <w:p>
            <w:pPr>
              <w:ind w:left="160"/>
              <w:spacing w:after="0" w:line="281" w:lineRule="exact"/>
              <w:rPr>
                <w:sz w:val="20"/>
                <w:szCs w:val="20"/>
                <w:color w:val="auto"/>
              </w:rPr>
            </w:pPr>
            <w:r>
              <w:rPr>
                <w:rFonts w:ascii="Times New Roman" w:cs="Times New Roman" w:eastAsia="Times New Roman" w:hAnsi="Times New Roman"/>
                <w:sz w:val="20"/>
                <w:szCs w:val="20"/>
                <w:color w:val="231F20"/>
                <w:w w:val="99"/>
              </w:rPr>
              <w:t>Selling, general and administrative payroll expenses</w:t>
            </w:r>
            <w:r>
              <w:rPr>
                <w:rFonts w:ascii="Times New Roman" w:cs="Times New Roman" w:eastAsia="Times New Roman" w:hAnsi="Times New Roman"/>
                <w:sz w:val="25"/>
                <w:szCs w:val="25"/>
                <w:color w:val="231F20"/>
                <w:w w:val="99"/>
                <w:vertAlign w:val="superscript"/>
              </w:rPr>
              <w:t>(1)(3)</w:t>
            </w: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885.1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683.7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236.1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1,804.9</w:t>
            </w:r>
          </w:p>
        </w:tc>
        <w:tc>
          <w:tcPr>
            <w:tcW w:w="0" w:type="dxa"/>
            <w:vAlign w:val="bottom"/>
          </w:tcPr>
          <w:p>
            <w:pPr>
              <w:spacing w:after="0"/>
              <w:rPr>
                <w:sz w:val="1"/>
                <w:szCs w:val="1"/>
                <w:color w:val="auto"/>
              </w:rPr>
            </w:pPr>
          </w:p>
        </w:tc>
      </w:tr>
      <w:tr>
        <w:trPr>
          <w:trHeight w:val="291"/>
        </w:trPr>
        <w:tc>
          <w:tcPr>
            <w:tcW w:w="4720" w:type="dxa"/>
            <w:vAlign w:val="bottom"/>
            <w:tcBorders>
              <w:bottom w:val="single" w:sz="8" w:color="CFEBF4"/>
            </w:tcBorders>
            <w:shd w:val="clear" w:color="auto" w:fill="CFEBF4"/>
          </w:tcPr>
          <w:p>
            <w:pPr>
              <w:ind w:left="160"/>
              <w:spacing w:after="0" w:line="271" w:lineRule="exact"/>
              <w:rPr>
                <w:sz w:val="20"/>
                <w:szCs w:val="20"/>
                <w:color w:val="auto"/>
              </w:rPr>
            </w:pPr>
            <w:r>
              <w:rPr>
                <w:rFonts w:ascii="Times New Roman" w:cs="Times New Roman" w:eastAsia="Times New Roman" w:hAnsi="Times New Roman"/>
                <w:sz w:val="20"/>
                <w:szCs w:val="20"/>
                <w:color w:val="231F20"/>
              </w:rPr>
              <w:t>Other segment items</w:t>
            </w:r>
            <w:r>
              <w:rPr>
                <w:rFonts w:ascii="Times New Roman" w:cs="Times New Roman" w:eastAsia="Times New Roman" w:hAnsi="Times New Roman"/>
                <w:sz w:val="25"/>
                <w:szCs w:val="25"/>
                <w:color w:val="231F20"/>
                <w:vertAlign w:val="superscript"/>
              </w:rPr>
              <w:t>(2)</w:t>
            </w: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475.8</w:t>
            </w: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432.9</w:t>
            </w: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178.6</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1100" w:type="dxa"/>
            <w:vAlign w:val="bottom"/>
            <w:tcBorders>
              <w:bottom w:val="single" w:sz="8" w:color="231F20"/>
            </w:tcBorders>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1,087.3</w:t>
            </w:r>
          </w:p>
        </w:tc>
        <w:tc>
          <w:tcPr>
            <w:tcW w:w="0" w:type="dxa"/>
            <w:vAlign w:val="bottom"/>
          </w:tcPr>
          <w:p>
            <w:pPr>
              <w:spacing w:after="0"/>
              <w:rPr>
                <w:sz w:val="1"/>
                <w:szCs w:val="1"/>
                <w:color w:val="auto"/>
              </w:rPr>
            </w:pPr>
          </w:p>
        </w:tc>
      </w:tr>
      <w:tr>
        <w:trPr>
          <w:trHeight w:val="260"/>
        </w:trPr>
        <w:tc>
          <w:tcPr>
            <w:tcW w:w="4720" w:type="dxa"/>
            <w:vAlign w:val="bottom"/>
          </w:tcPr>
          <w:p>
            <w:pPr>
              <w:ind w:left="280"/>
              <w:spacing w:after="0" w:line="221" w:lineRule="exact"/>
              <w:rPr>
                <w:sz w:val="20"/>
                <w:szCs w:val="20"/>
                <w:color w:val="auto"/>
              </w:rPr>
            </w:pPr>
            <w:r>
              <w:rPr>
                <w:rFonts w:ascii="Times New Roman" w:cs="Times New Roman" w:eastAsia="Times New Roman" w:hAnsi="Times New Roman"/>
                <w:sz w:val="20"/>
                <w:szCs w:val="20"/>
                <w:color w:val="231F20"/>
              </w:rPr>
              <w:t>Adjusted EBITDA</w:t>
            </w:r>
          </w:p>
        </w:tc>
        <w:tc>
          <w:tcPr>
            <w:tcW w:w="320" w:type="dxa"/>
            <w:vAlign w:val="bottom"/>
          </w:tcPr>
          <w:p>
            <w:pPr>
              <w:jc w:val="right"/>
              <w:ind w:right="61"/>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717.6</w:t>
            </w:r>
          </w:p>
        </w:tc>
        <w:tc>
          <w:tcPr>
            <w:tcW w:w="400" w:type="dxa"/>
            <w:vAlign w:val="bottom"/>
            <w:gridSpan w:val="2"/>
          </w:tcPr>
          <w:p>
            <w:pPr>
              <w:jc w:val="right"/>
              <w:ind w:right="71"/>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799.4</w:t>
            </w:r>
          </w:p>
        </w:tc>
        <w:tc>
          <w:tcPr>
            <w:tcW w:w="400" w:type="dxa"/>
            <w:vAlign w:val="bottom"/>
            <w:gridSpan w:val="2"/>
          </w:tcPr>
          <w:p>
            <w:pPr>
              <w:jc w:val="right"/>
              <w:ind w:right="16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562.8</w:t>
            </w:r>
          </w:p>
        </w:tc>
        <w:tc>
          <w:tcPr>
            <w:tcW w:w="260" w:type="dxa"/>
            <w:vAlign w:val="bottom"/>
            <w:gridSpan w:val="2"/>
          </w:tcPr>
          <w:p>
            <w:pPr>
              <w:ind w:left="1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tcPr>
          <w:p>
            <w:pPr>
              <w:jc w:val="right"/>
              <w:ind w:right="22"/>
              <w:spacing w:after="0" w:line="221" w:lineRule="exact"/>
              <w:rPr>
                <w:sz w:val="20"/>
                <w:szCs w:val="20"/>
                <w:color w:val="auto"/>
              </w:rPr>
            </w:pPr>
            <w:r>
              <w:rPr>
                <w:rFonts w:ascii="Times New Roman" w:cs="Times New Roman" w:eastAsia="Times New Roman" w:hAnsi="Times New Roman"/>
                <w:sz w:val="20"/>
                <w:szCs w:val="20"/>
                <w:color w:val="231F20"/>
              </w:rPr>
              <w:t>2,079.8</w:t>
            </w:r>
          </w:p>
        </w:tc>
        <w:tc>
          <w:tcPr>
            <w:tcW w:w="0" w:type="dxa"/>
            <w:vAlign w:val="bottom"/>
          </w:tcPr>
          <w:p>
            <w:pPr>
              <w:spacing w:after="0"/>
              <w:rPr>
                <w:sz w:val="1"/>
                <w:szCs w:val="1"/>
                <w:color w:val="auto"/>
              </w:rPr>
            </w:pPr>
          </w:p>
        </w:tc>
      </w:tr>
      <w:tr>
        <w:trPr>
          <w:trHeight w:val="251"/>
        </w:trPr>
        <w:tc>
          <w:tcPr>
            <w:tcW w:w="4720" w:type="dxa"/>
            <w:vAlign w:val="bottom"/>
            <w:tcBorders>
              <w:top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8.0 %</w:t>
            </w:r>
          </w:p>
        </w:tc>
        <w:tc>
          <w:tcPr>
            <w:tcW w:w="80" w:type="dxa"/>
            <w:vAlign w:val="bottom"/>
            <w:tcBorders>
              <w:top w:val="single" w:sz="8" w:color="CFEBF4"/>
            </w:tcBorders>
            <w:shd w:val="clear" w:color="auto" w:fill="CFEBF4"/>
          </w:tcPr>
          <w:p>
            <w:pPr>
              <w:spacing w:after="0"/>
              <w:rPr>
                <w:sz w:val="21"/>
                <w:szCs w:val="21"/>
                <w:color w:val="auto"/>
              </w:rPr>
            </w:pP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8.8 %</w:t>
            </w:r>
          </w:p>
        </w:tc>
        <w:tc>
          <w:tcPr>
            <w:tcW w:w="80" w:type="dxa"/>
            <w:vAlign w:val="bottom"/>
            <w:tcBorders>
              <w:top w:val="single" w:sz="8" w:color="CFEBF4"/>
            </w:tcBorders>
            <w:shd w:val="clear" w:color="auto" w:fill="CFEBF4"/>
          </w:tcPr>
          <w:p>
            <w:pPr>
              <w:spacing w:after="0"/>
              <w:rPr>
                <w:sz w:val="21"/>
                <w:szCs w:val="21"/>
                <w:color w:val="auto"/>
              </w:rPr>
            </w:pP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10.3 %</w:t>
            </w:r>
          </w:p>
        </w:tc>
        <w:tc>
          <w:tcPr>
            <w:tcW w:w="80" w:type="dxa"/>
            <w:vAlign w:val="bottom"/>
            <w:tcBorders>
              <w:top w:val="single" w:sz="8" w:color="CFEBF4"/>
            </w:tcBorders>
            <w:shd w:val="clear" w:color="auto" w:fill="CFEBF4"/>
          </w:tcPr>
          <w:p>
            <w:pPr>
              <w:spacing w:after="0"/>
              <w:rPr>
                <w:sz w:val="21"/>
                <w:szCs w:val="21"/>
                <w:color w:val="auto"/>
              </w:rPr>
            </w:pPr>
          </w:p>
        </w:tc>
        <w:tc>
          <w:tcPr>
            <w:tcW w:w="180" w:type="dxa"/>
            <w:vAlign w:val="bottom"/>
            <w:tcBorders>
              <w:top w:val="single" w:sz="8" w:color="231F20"/>
            </w:tcBorders>
            <w:shd w:val="clear" w:color="auto" w:fill="CFEBF4"/>
          </w:tcPr>
          <w:p>
            <w:pPr>
              <w:spacing w:after="0"/>
              <w:rPr>
                <w:sz w:val="21"/>
                <w:szCs w:val="21"/>
                <w:color w:val="auto"/>
              </w:rPr>
            </w:pPr>
          </w:p>
        </w:tc>
        <w:tc>
          <w:tcPr>
            <w:tcW w:w="1100" w:type="dxa"/>
            <w:vAlign w:val="bottom"/>
            <w:tcBorders>
              <w:top w:val="single" w:sz="8" w:color="231F20"/>
            </w:tcBorders>
            <w:shd w:val="clear" w:color="auto" w:fill="CFEBF4"/>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i w:val="1"/>
                <w:iCs w:val="1"/>
                <w:color w:val="231F20"/>
              </w:rPr>
              <w:t>Reconciliation of adjusted EBITDA</w:t>
            </w: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160.8</w:t>
            </w:r>
          </w:p>
        </w:tc>
        <w:tc>
          <w:tcPr>
            <w:tcW w:w="0" w:type="dxa"/>
            <w:vAlign w:val="bottom"/>
          </w:tcPr>
          <w:p>
            <w:pPr>
              <w:spacing w:after="0"/>
              <w:rPr>
                <w:sz w:val="1"/>
                <w:szCs w:val="1"/>
                <w:color w:val="auto"/>
              </w:rPr>
            </w:pPr>
          </w:p>
        </w:tc>
      </w:tr>
      <w:tr>
        <w:trPr>
          <w:trHeight w:val="287"/>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Other expense, net</w:t>
            </w: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77.8</w:t>
            </w:r>
          </w:p>
        </w:tc>
        <w:tc>
          <w:tcPr>
            <w:tcW w:w="0" w:type="dxa"/>
            <w:vAlign w:val="bottom"/>
          </w:tcPr>
          <w:p>
            <w:pPr>
              <w:spacing w:after="0"/>
              <w:rPr>
                <w:sz w:val="1"/>
                <w:szCs w:val="1"/>
                <w:color w:val="auto"/>
              </w:rPr>
            </w:pPr>
          </w:p>
        </w:tc>
      </w:tr>
      <w:tr>
        <w:trPr>
          <w:trHeight w:val="281"/>
        </w:trPr>
        <w:tc>
          <w:tcPr>
            <w:tcW w:w="4720" w:type="dxa"/>
            <w:vAlign w:val="bottom"/>
          </w:tcPr>
          <w:p>
            <w:pPr>
              <w:ind w:left="40"/>
              <w:spacing w:after="0" w:line="281" w:lineRule="exact"/>
              <w:rPr>
                <w:sz w:val="20"/>
                <w:szCs w:val="20"/>
                <w:color w:val="auto"/>
              </w:rPr>
            </w:pPr>
            <w:r>
              <w:rPr>
                <w:rFonts w:ascii="Times New Roman" w:cs="Times New Roman" w:eastAsia="Times New Roman" w:hAnsi="Times New Roman"/>
                <w:sz w:val="20"/>
                <w:szCs w:val="20"/>
                <w:color w:val="231F20"/>
              </w:rPr>
              <w:t>Stock-based compensation expense</w:t>
            </w:r>
            <w:r>
              <w:rPr>
                <w:rFonts w:ascii="Times New Roman" w:cs="Times New Roman" w:eastAsia="Times New Roman" w:hAnsi="Times New Roman"/>
                <w:sz w:val="25"/>
                <w:szCs w:val="25"/>
                <w:color w:val="231F20"/>
                <w:vertAlign w:val="superscript"/>
              </w:rPr>
              <w:t>(3)</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11.2</w:t>
            </w:r>
          </w:p>
        </w:tc>
        <w:tc>
          <w:tcPr>
            <w:tcW w:w="0" w:type="dxa"/>
            <w:vAlign w:val="bottom"/>
          </w:tcPr>
          <w:p>
            <w:pPr>
              <w:spacing w:after="0"/>
              <w:rPr>
                <w:sz w:val="1"/>
                <w:szCs w:val="1"/>
                <w:color w:val="auto"/>
              </w:rPr>
            </w:pPr>
          </w:p>
        </w:tc>
      </w:tr>
      <w:tr>
        <w:trPr>
          <w:trHeight w:val="281"/>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Unallocated amounts (Corporate):</w:t>
            </w: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7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638.0</w:t>
            </w:r>
          </w:p>
        </w:tc>
        <w:tc>
          <w:tcPr>
            <w:tcW w:w="0" w:type="dxa"/>
            <w:vAlign w:val="bottom"/>
          </w:tcPr>
          <w:p>
            <w:pPr>
              <w:spacing w:after="0"/>
              <w:rPr>
                <w:sz w:val="1"/>
                <w:szCs w:val="1"/>
                <w:color w:val="auto"/>
              </w:rPr>
            </w:pPr>
          </w:p>
        </w:tc>
      </w:tr>
      <w:tr>
        <w:trPr>
          <w:trHeight w:val="287"/>
        </w:trPr>
        <w:tc>
          <w:tcPr>
            <w:tcW w:w="4720" w:type="dxa"/>
            <w:vAlign w:val="bottom"/>
            <w:shd w:val="clear" w:color="auto" w:fill="CFEBF4"/>
          </w:tcPr>
          <w:p>
            <w:pPr>
              <w:ind w:left="160"/>
              <w:spacing w:after="0"/>
              <w:rPr>
                <w:sz w:val="20"/>
                <w:szCs w:val="20"/>
                <w:color w:val="auto"/>
              </w:rPr>
            </w:pPr>
            <w:r>
              <w:rPr>
                <w:rFonts w:ascii="Times New Roman" w:cs="Times New Roman" w:eastAsia="Times New Roman" w:hAnsi="Times New Roman"/>
                <w:sz w:val="20"/>
                <w:szCs w:val="20"/>
                <w:color w:val="231F20"/>
              </w:rPr>
              <w:t>Interest expense, net</w:t>
            </w:r>
            <w:r>
              <w:rPr>
                <w:rFonts w:ascii="Times New Roman" w:cs="Times New Roman" w:eastAsia="Times New Roman" w:hAnsi="Times New Roman"/>
                <w:sz w:val="25"/>
                <w:szCs w:val="25"/>
                <w:color w:val="231F20"/>
                <w:vertAlign w:val="superscript"/>
              </w:rPr>
              <w:t>(4)</w:t>
            </w: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320" w:type="dxa"/>
            <w:vAlign w:val="bottom"/>
            <w:shd w:val="clear" w:color="auto" w:fill="CFEBF4"/>
          </w:tcPr>
          <w:p>
            <w:pPr>
              <w:spacing w:after="0"/>
              <w:rPr>
                <w:sz w:val="24"/>
                <w:szCs w:val="24"/>
                <w:color w:val="auto"/>
              </w:rPr>
            </w:pPr>
          </w:p>
        </w:tc>
        <w:tc>
          <w:tcPr>
            <w:tcW w:w="960" w:type="dxa"/>
            <w:vAlign w:val="bottom"/>
            <w:shd w:val="clear" w:color="auto" w:fill="CFEBF4"/>
          </w:tcPr>
          <w:p>
            <w:pPr>
              <w:spacing w:after="0"/>
              <w:rPr>
                <w:sz w:val="24"/>
                <w:szCs w:val="24"/>
                <w:color w:val="auto"/>
              </w:rPr>
            </w:pPr>
          </w:p>
        </w:tc>
        <w:tc>
          <w:tcPr>
            <w:tcW w:w="80" w:type="dxa"/>
            <w:vAlign w:val="bottom"/>
            <w:shd w:val="clear" w:color="auto" w:fill="CFEBF4"/>
          </w:tcPr>
          <w:p>
            <w:pPr>
              <w:spacing w:after="0"/>
              <w:rPr>
                <w:sz w:val="24"/>
                <w:szCs w:val="24"/>
                <w:color w:val="auto"/>
              </w:rPr>
            </w:pPr>
          </w:p>
        </w:tc>
        <w:tc>
          <w:tcPr>
            <w:tcW w:w="180" w:type="dxa"/>
            <w:vAlign w:val="bottom"/>
            <w:shd w:val="clear" w:color="auto" w:fill="CFEBF4"/>
          </w:tcPr>
          <w:p>
            <w:pPr>
              <w:spacing w:after="0"/>
              <w:rPr>
                <w:sz w:val="24"/>
                <w:szCs w:val="24"/>
                <w:color w:val="auto"/>
              </w:rPr>
            </w:pPr>
          </w:p>
        </w:tc>
        <w:tc>
          <w:tcPr>
            <w:tcW w:w="1100" w:type="dxa"/>
            <w:vAlign w:val="bottom"/>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386.7</w:t>
            </w:r>
          </w:p>
        </w:tc>
        <w:tc>
          <w:tcPr>
            <w:tcW w:w="0" w:type="dxa"/>
            <w:vAlign w:val="bottom"/>
          </w:tcPr>
          <w:p>
            <w:pPr>
              <w:spacing w:after="0"/>
              <w:rPr>
                <w:sz w:val="1"/>
                <w:szCs w:val="1"/>
                <w:color w:val="auto"/>
              </w:rPr>
            </w:pPr>
          </w:p>
        </w:tc>
      </w:tr>
      <w:tr>
        <w:trPr>
          <w:trHeight w:val="275"/>
        </w:trPr>
        <w:tc>
          <w:tcPr>
            <w:tcW w:w="47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36.8</w:t>
            </w:r>
          </w:p>
        </w:tc>
        <w:tc>
          <w:tcPr>
            <w:tcW w:w="0" w:type="dxa"/>
            <w:vAlign w:val="bottom"/>
          </w:tcPr>
          <w:p>
            <w:pPr>
              <w:spacing w:after="0"/>
              <w:rPr>
                <w:sz w:val="1"/>
                <w:szCs w:val="1"/>
                <w:color w:val="auto"/>
              </w:rPr>
            </w:pPr>
          </w:p>
        </w:tc>
      </w:tr>
      <w:tr>
        <w:trPr>
          <w:trHeight w:val="296"/>
        </w:trPr>
        <w:tc>
          <w:tcPr>
            <w:tcW w:w="4720" w:type="dxa"/>
            <w:vAlign w:val="bottom"/>
            <w:tcBorders>
              <w:bottom w:val="single" w:sz="8" w:color="CFEBF4"/>
            </w:tcBorders>
            <w:shd w:val="clear" w:color="auto" w:fill="CFEBF4"/>
          </w:tcPr>
          <w:p>
            <w:pPr>
              <w:ind w:left="160"/>
              <w:spacing w:after="0"/>
              <w:rPr>
                <w:sz w:val="20"/>
                <w:szCs w:val="20"/>
                <w:color w:val="auto"/>
              </w:rPr>
            </w:pPr>
            <w:r>
              <w:rPr>
                <w:rFonts w:ascii="Times New Roman" w:cs="Times New Roman" w:eastAsia="Times New Roman" w:hAnsi="Times New Roman"/>
                <w:sz w:val="20"/>
                <w:szCs w:val="20"/>
                <w:color w:val="231F20"/>
              </w:rPr>
              <w:t>Other income, net</w:t>
            </w:r>
          </w:p>
        </w:tc>
        <w:tc>
          <w:tcPr>
            <w:tcW w:w="320" w:type="dxa"/>
            <w:vAlign w:val="bottom"/>
            <w:tcBorders>
              <w:bottom w:val="single" w:sz="8" w:color="CFEBF4"/>
            </w:tcBorders>
            <w:shd w:val="clear" w:color="auto" w:fill="CFEBF4"/>
          </w:tcPr>
          <w:p>
            <w:pPr>
              <w:spacing w:after="0"/>
              <w:rPr>
                <w:sz w:val="24"/>
                <w:szCs w:val="24"/>
                <w:color w:val="auto"/>
              </w:rPr>
            </w:pPr>
          </w:p>
        </w:tc>
        <w:tc>
          <w:tcPr>
            <w:tcW w:w="960" w:type="dxa"/>
            <w:vAlign w:val="bottom"/>
            <w:tcBorders>
              <w:bottom w:val="single" w:sz="8" w:color="CFEBF4"/>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CFEBF4"/>
            </w:tcBorders>
            <w:shd w:val="clear" w:color="auto" w:fill="CFEBF4"/>
          </w:tcPr>
          <w:p>
            <w:pPr>
              <w:spacing w:after="0"/>
              <w:rPr>
                <w:sz w:val="24"/>
                <w:szCs w:val="24"/>
                <w:color w:val="auto"/>
              </w:rPr>
            </w:pPr>
          </w:p>
        </w:tc>
        <w:tc>
          <w:tcPr>
            <w:tcW w:w="960" w:type="dxa"/>
            <w:vAlign w:val="bottom"/>
            <w:tcBorders>
              <w:bottom w:val="single" w:sz="8" w:color="CFEBF4"/>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CFEBF4"/>
            </w:tcBorders>
            <w:shd w:val="clear" w:color="auto" w:fill="CFEBF4"/>
          </w:tcPr>
          <w:p>
            <w:pPr>
              <w:spacing w:after="0"/>
              <w:rPr>
                <w:sz w:val="24"/>
                <w:szCs w:val="24"/>
                <w:color w:val="auto"/>
              </w:rPr>
            </w:pPr>
          </w:p>
        </w:tc>
        <w:tc>
          <w:tcPr>
            <w:tcW w:w="960" w:type="dxa"/>
            <w:vAlign w:val="bottom"/>
            <w:tcBorders>
              <w:bottom w:val="single" w:sz="8" w:color="CFEBF4"/>
            </w:tcBorders>
            <w:shd w:val="clear" w:color="auto" w:fill="CFEBF4"/>
          </w:tcPr>
          <w:p>
            <w:pPr>
              <w:spacing w:after="0"/>
              <w:rPr>
                <w:sz w:val="24"/>
                <w:szCs w:val="24"/>
                <w:color w:val="auto"/>
              </w:rPr>
            </w:pP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1100" w:type="dxa"/>
            <w:vAlign w:val="bottom"/>
            <w:tcBorders>
              <w:bottom w:val="single" w:sz="8" w:color="231F20"/>
            </w:tcBorders>
            <w:shd w:val="clear" w:color="auto" w:fill="CFEBF4"/>
          </w:tcPr>
          <w:p>
            <w:pPr>
              <w:jc w:val="right"/>
              <w:ind w:right="22"/>
              <w:spacing w:after="0"/>
              <w:rPr>
                <w:sz w:val="20"/>
                <w:szCs w:val="20"/>
                <w:color w:val="auto"/>
              </w:rPr>
            </w:pPr>
            <w:r>
              <w:rPr>
                <w:rFonts w:ascii="Times New Roman" w:cs="Times New Roman" w:eastAsia="Times New Roman" w:hAnsi="Times New Roman"/>
                <w:sz w:val="20"/>
                <w:szCs w:val="20"/>
                <w:color w:val="231F20"/>
              </w:rPr>
              <w:t>(87.4)</w:t>
            </w:r>
          </w:p>
        </w:tc>
        <w:tc>
          <w:tcPr>
            <w:tcW w:w="0" w:type="dxa"/>
            <w:vAlign w:val="bottom"/>
          </w:tcPr>
          <w:p>
            <w:pPr>
              <w:spacing w:after="0"/>
              <w:rPr>
                <w:sz w:val="1"/>
                <w:szCs w:val="1"/>
                <w:color w:val="auto"/>
              </w:rPr>
            </w:pPr>
          </w:p>
        </w:tc>
      </w:tr>
      <w:tr>
        <w:trPr>
          <w:trHeight w:val="222"/>
        </w:trPr>
        <w:tc>
          <w:tcPr>
            <w:tcW w:w="4720" w:type="dxa"/>
            <w:vAlign w:val="bottom"/>
          </w:tcPr>
          <w:p>
            <w:pPr>
              <w:ind w:left="280"/>
              <w:spacing w:after="0" w:line="222" w:lineRule="exact"/>
              <w:rPr>
                <w:sz w:val="20"/>
                <w:szCs w:val="20"/>
                <w:color w:val="auto"/>
              </w:rPr>
            </w:pPr>
            <w:r>
              <w:rPr>
                <w:rFonts w:ascii="Times New Roman" w:cs="Times New Roman" w:eastAsia="Times New Roman" w:hAnsi="Times New Roman"/>
                <w:sz w:val="20"/>
                <w:szCs w:val="20"/>
                <w:color w:val="231F20"/>
              </w:rPr>
              <w:t>Income before income taxes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231F20"/>
            </w:tcBorders>
          </w:tcPr>
          <w:p>
            <w:pPr>
              <w:ind w:left="60"/>
              <w:spacing w:after="0" w:line="222" w:lineRule="exact"/>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tcBorders>
              <w:bottom w:val="single" w:sz="8" w:color="231F20"/>
            </w:tcBorders>
          </w:tcPr>
          <w:p>
            <w:pPr>
              <w:jc w:val="right"/>
              <w:ind w:right="22"/>
              <w:spacing w:after="0" w:line="222" w:lineRule="exact"/>
              <w:rPr>
                <w:sz w:val="20"/>
                <w:szCs w:val="20"/>
                <w:color w:val="auto"/>
              </w:rPr>
            </w:pPr>
            <w:r>
              <w:rPr>
                <w:rFonts w:ascii="Times New Roman" w:cs="Times New Roman" w:eastAsia="Times New Roman" w:hAnsi="Times New Roman"/>
                <w:sz w:val="20"/>
                <w:szCs w:val="20"/>
                <w:color w:val="231F20"/>
              </w:rPr>
              <w:t>855.9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-3358515</wp:posOffset>
            </wp:positionV>
            <wp:extent cx="3456305" cy="501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7">
                      <a:extLst>
                        <a:ext uri="{28A0092B-C50C-407E-A947-70E740481C1C}"/>
                      </a:extLst>
                    </a:blip>
                    <a:srcRect/>
                    <a:stretch>
                      <a:fillRect/>
                    </a:stretch>
                  </pic:blipFill>
                  <pic:spPr bwMode="auto">
                    <a:xfrm>
                      <a:off x="0" y="0"/>
                      <a:ext cx="3456305" cy="5016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-2354580</wp:posOffset>
            </wp:positionV>
            <wp:extent cx="2614930" cy="50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8">
                      <a:extLst>
                        <a:ext uri="{28A0092B-C50C-407E-A947-70E740481C1C}"/>
                      </a:extLst>
                    </a:blip>
                    <a:srcRect/>
                    <a:stretch>
                      <a:fillRect/>
                    </a:stretch>
                  </pic:blipFill>
                  <pic:spPr bwMode="auto">
                    <a:xfrm>
                      <a:off x="0" y="0"/>
                      <a:ext cx="2614930" cy="5016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-2188845</wp:posOffset>
            </wp:positionV>
            <wp:extent cx="3456305" cy="749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9">
                      <a:extLst>
                        <a:ext uri="{28A0092B-C50C-407E-A947-70E740481C1C}"/>
                      </a:extLst>
                    </a:blip>
                    <a:srcRect/>
                    <a:stretch>
                      <a:fillRect/>
                    </a:stretch>
                  </pic:blipFill>
                  <pic:spPr bwMode="auto">
                    <a:xfrm>
                      <a:off x="0" y="0"/>
                      <a:ext cx="3456305" cy="749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5594350</wp:posOffset>
                </wp:positionH>
                <wp:positionV relativeFrom="paragraph">
                  <wp:posOffset>-177800</wp:posOffset>
                </wp:positionV>
                <wp:extent cx="12700" cy="1270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CFEBF4"/>
                        </a:solidFill>
                      </wps:spPr>
                      <wps:bodyPr/>
                    </wps:wsp>
                  </a:graphicData>
                </a:graphic>
              </wp:anchor>
            </w:drawing>
          </mc:Choice>
          <mc:Fallback>
            <w:pict>
              <v:rect id="Shape 216" o:spid="_x0000_s1241" style="position:absolute;margin-left:440.5pt;margin-top:-14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ind w:left="600" w:right="60" w:hanging="268"/>
        <w:spacing w:after="0" w:line="221" w:lineRule="auto"/>
        <w:tabs>
          <w:tab w:leader="none" w:pos="524" w:val="left"/>
        </w:tabs>
        <w:numPr>
          <w:ilvl w:val="0"/>
          <w:numId w:val="34"/>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Selling, general and administrative payroll expenses includes salaries, benefits, commissions, incentives, temporary labor, and other payroll expenses.</w:t>
      </w:r>
    </w:p>
    <w:p>
      <w:pPr>
        <w:spacing w:after="0" w:line="26" w:lineRule="exact"/>
        <w:rPr>
          <w:rFonts w:ascii="Times New Roman" w:cs="Times New Roman" w:eastAsia="Times New Roman" w:hAnsi="Times New Roman"/>
          <w:sz w:val="23"/>
          <w:szCs w:val="23"/>
          <w:color w:val="231F20"/>
          <w:vertAlign w:val="superscript"/>
        </w:rPr>
      </w:pPr>
    </w:p>
    <w:p>
      <w:pPr>
        <w:ind w:left="600" w:right="60" w:hanging="268"/>
        <w:spacing w:after="0" w:line="257" w:lineRule="auto"/>
        <w:tabs>
          <w:tab w:leader="none" w:pos="497" w:val="left"/>
        </w:tabs>
        <w:numPr>
          <w:ilvl w:val="0"/>
          <w:numId w:val="34"/>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Other segment items primarily includes allocated expenses (which includes employee-related allocations), transportation costs, facility costs (including rent and utilities), employee expenses (including travel and entertainment), credit losses, real estate and personal property taxes, professional and consulting fees, supplies, and sales promotion expenses.</w:t>
      </w:r>
    </w:p>
    <w:p>
      <w:pPr>
        <w:spacing w:after="0" w:line="9" w:lineRule="exact"/>
        <w:rPr>
          <w:rFonts w:ascii="Times New Roman" w:cs="Times New Roman" w:eastAsia="Times New Roman" w:hAnsi="Times New Roman"/>
          <w:sz w:val="21"/>
          <w:szCs w:val="21"/>
          <w:color w:val="231F20"/>
          <w:vertAlign w:val="superscript"/>
        </w:rPr>
      </w:pPr>
    </w:p>
    <w:p>
      <w:pPr>
        <w:ind w:left="600" w:right="60" w:hanging="268"/>
        <w:spacing w:after="0" w:line="233" w:lineRule="auto"/>
        <w:tabs>
          <w:tab w:leader="none" w:pos="507" w:val="left"/>
        </w:tabs>
        <w:numPr>
          <w:ilvl w:val="0"/>
          <w:numId w:val="34"/>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Stock-based compensation expense is excluded from selling, general and administrative payroll expenses, as this is an adjustment to calculate adjusted EBITDA.</w:t>
      </w:r>
    </w:p>
    <w:p>
      <w:pPr>
        <w:spacing w:after="0" w:line="10" w:lineRule="exact"/>
        <w:rPr>
          <w:rFonts w:ascii="Times New Roman" w:cs="Times New Roman" w:eastAsia="Times New Roman" w:hAnsi="Times New Roman"/>
          <w:sz w:val="22"/>
          <w:szCs w:val="22"/>
          <w:color w:val="231F20"/>
          <w:vertAlign w:val="superscript"/>
        </w:rPr>
      </w:pPr>
    </w:p>
    <w:p>
      <w:pPr>
        <w:ind w:left="500" w:hanging="168"/>
        <w:spacing w:after="0"/>
        <w:tabs>
          <w:tab w:leader="none" w:pos="500" w:val="left"/>
        </w:tabs>
        <w:numPr>
          <w:ilvl w:val="0"/>
          <w:numId w:val="34"/>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5600700</wp:posOffset>
                </wp:positionH>
                <wp:positionV relativeFrom="paragraph">
                  <wp:posOffset>-1141730</wp:posOffset>
                </wp:positionV>
                <wp:extent cx="81597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975"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pt,-89.8999pt" to="505.25pt,-89.8999pt" o:allowincell="f" strokecolor="#231F20" strokeweight="0.985pt"/>
            </w:pict>
          </mc:Fallback>
        </mc:AlternateConten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120"/>
          </w:cols>
          <w:pgMar w:left="880" w:top="285" w:right="88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640" w:type="dxa"/>
            <w:vAlign w:val="bottom"/>
            <w:tcBorders>
              <w:bottom w:val="single" w:sz="8" w:color="231F20"/>
            </w:tcBorders>
            <w:gridSpan w:val="5"/>
          </w:tcPr>
          <w:p>
            <w:pPr>
              <w:jc w:val="right"/>
              <w:ind w:right="23"/>
              <w:spacing w:after="0"/>
              <w:rPr>
                <w:sz w:val="20"/>
                <w:szCs w:val="20"/>
                <w:color w:val="auto"/>
              </w:rPr>
            </w:pPr>
            <w:r>
              <w:rPr>
                <w:rFonts w:ascii="Times New Roman" w:cs="Times New Roman" w:eastAsia="Times New Roman" w:hAnsi="Times New Roman"/>
                <w:sz w:val="18"/>
                <w:szCs w:val="18"/>
                <w:b w:val="1"/>
                <w:bCs w:val="1"/>
                <w:color w:val="231F20"/>
              </w:rPr>
              <w:t>Year Ended December 31, 2024</w:t>
            </w:r>
          </w:p>
        </w:tc>
        <w:tc>
          <w:tcPr>
            <w:tcW w:w="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EES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CSS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UBS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23"/>
              <w:spacing w:after="0" w:line="203" w:lineRule="exact"/>
              <w:rPr>
                <w:sz w:val="20"/>
                <w:szCs w:val="20"/>
                <w:color w:val="auto"/>
              </w:rPr>
            </w:pPr>
            <w:r>
              <w:rPr>
                <w:rFonts w:ascii="Times New Roman" w:cs="Times New Roman" w:eastAsia="Times New Roman" w:hAnsi="Times New Roman"/>
                <w:sz w:val="18"/>
                <w:szCs w:val="18"/>
                <w:b w:val="1"/>
                <w:bCs w:val="1"/>
                <w:color w:val="231F20"/>
                <w:w w:val="99"/>
              </w:rPr>
              <w:t>Reportable</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2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Segments Total</w:t>
            </w:r>
          </w:p>
        </w:tc>
        <w:tc>
          <w:tcPr>
            <w:tcW w:w="0" w:type="dxa"/>
            <w:vAlign w:val="bottom"/>
          </w:tcPr>
          <w:p>
            <w:pPr>
              <w:spacing w:after="0"/>
              <w:rPr>
                <w:sz w:val="1"/>
                <w:szCs w:val="1"/>
                <w:color w:val="auto"/>
              </w:rPr>
            </w:pPr>
          </w:p>
        </w:tc>
      </w:tr>
      <w:tr>
        <w:trPr>
          <w:trHeight w:val="271"/>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Net sales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8,391.7</w:t>
            </w:r>
          </w:p>
        </w:tc>
        <w:tc>
          <w:tcPr>
            <w:tcW w:w="400" w:type="dxa"/>
            <w:vAlign w:val="bottom"/>
            <w:gridSpan w:val="2"/>
            <w:shd w:val="clear" w:color="auto" w:fill="CFEBF4"/>
          </w:tcPr>
          <w:p>
            <w:pPr>
              <w:jc w:val="right"/>
              <w:ind w:right="7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7,692.1</w:t>
            </w:r>
          </w:p>
        </w:tc>
        <w:tc>
          <w:tcPr>
            <w:tcW w:w="40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5,735.0</w:t>
            </w:r>
          </w:p>
        </w:tc>
        <w:tc>
          <w:tcPr>
            <w:tcW w:w="260" w:type="dxa"/>
            <w:vAlign w:val="bottom"/>
            <w:gridSpan w:val="2"/>
            <w:shd w:val="clear" w:color="auto" w:fill="CFEBF4"/>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21,818.8</w:t>
            </w:r>
          </w:p>
        </w:tc>
        <w:tc>
          <w:tcPr>
            <w:tcW w:w="0" w:type="dxa"/>
            <w:vAlign w:val="bottom"/>
          </w:tcPr>
          <w:p>
            <w:pPr>
              <w:spacing w:after="0"/>
              <w:rPr>
                <w:sz w:val="1"/>
                <w:szCs w:val="1"/>
                <w:color w:val="auto"/>
              </w:rPr>
            </w:pPr>
          </w:p>
        </w:tc>
      </w:tr>
      <w:tr>
        <w:trPr>
          <w:trHeight w:val="275"/>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720" w:type="dxa"/>
            <w:vAlign w:val="bottom"/>
            <w:shd w:val="clear" w:color="auto" w:fill="CFEBF4"/>
          </w:tcPr>
          <w:p>
            <w:pPr>
              <w:ind w:left="160"/>
              <w:spacing w:after="0" w:line="195" w:lineRule="exact"/>
              <w:rPr>
                <w:sz w:val="20"/>
                <w:szCs w:val="20"/>
                <w:color w:val="auto"/>
              </w:rPr>
            </w:pPr>
            <w:r>
              <w:rPr>
                <w:rFonts w:ascii="Times New Roman" w:cs="Times New Roman" w:eastAsia="Times New Roman" w:hAnsi="Times New Roman"/>
                <w:sz w:val="20"/>
                <w:szCs w:val="20"/>
                <w:color w:val="231F20"/>
              </w:rPr>
              <w:t>Cost of goods sold (excluding depreciation and</w:t>
            </w: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6,401.0</w:t>
            </w:r>
          </w:p>
        </w:tc>
        <w:tc>
          <w:tcPr>
            <w:tcW w:w="8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6,035.2</w:t>
            </w:r>
          </w:p>
        </w:tc>
        <w:tc>
          <w:tcPr>
            <w:tcW w:w="8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4,670.0</w:t>
            </w:r>
          </w:p>
        </w:tc>
        <w:tc>
          <w:tcPr>
            <w:tcW w:w="80" w:type="dxa"/>
            <w:vAlign w:val="bottom"/>
            <w:shd w:val="clear" w:color="auto" w:fill="CFEBF4"/>
          </w:tcPr>
          <w:p>
            <w:pPr>
              <w:spacing w:after="0"/>
              <w:rPr>
                <w:sz w:val="16"/>
                <w:szCs w:val="16"/>
                <w:color w:val="auto"/>
              </w:rPr>
            </w:pPr>
          </w:p>
        </w:tc>
        <w:tc>
          <w:tcPr>
            <w:tcW w:w="180" w:type="dxa"/>
            <w:vAlign w:val="bottom"/>
            <w:shd w:val="clear" w:color="auto" w:fill="CFEBF4"/>
          </w:tcPr>
          <w:p>
            <w:pPr>
              <w:spacing w:after="0"/>
              <w:rPr>
                <w:sz w:val="16"/>
                <w:szCs w:val="16"/>
                <w:color w:val="auto"/>
              </w:rPr>
            </w:pPr>
          </w:p>
        </w:tc>
        <w:tc>
          <w:tcPr>
            <w:tcW w:w="110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17,106.2</w:t>
            </w:r>
          </w:p>
        </w:tc>
        <w:tc>
          <w:tcPr>
            <w:tcW w:w="0" w:type="dxa"/>
            <w:vAlign w:val="bottom"/>
          </w:tcPr>
          <w:p>
            <w:pPr>
              <w:spacing w:after="0"/>
              <w:rPr>
                <w:sz w:val="1"/>
                <w:szCs w:val="1"/>
                <w:color w:val="auto"/>
              </w:rPr>
            </w:pPr>
          </w:p>
        </w:tc>
      </w:tr>
      <w:tr>
        <w:trPr>
          <w:trHeight w:val="269"/>
        </w:trPr>
        <w:tc>
          <w:tcPr>
            <w:tcW w:w="4720" w:type="dxa"/>
            <w:vAlign w:val="bottom"/>
            <w:shd w:val="clear" w:color="auto" w:fill="CFEBF4"/>
          </w:tcPr>
          <w:p>
            <w:pPr>
              <w:ind w:left="160"/>
              <w:spacing w:after="0"/>
              <w:rPr>
                <w:sz w:val="20"/>
                <w:szCs w:val="20"/>
                <w:color w:val="auto"/>
              </w:rPr>
            </w:pPr>
            <w:r>
              <w:rPr>
                <w:rFonts w:ascii="Times New Roman" w:cs="Times New Roman" w:eastAsia="Times New Roman" w:hAnsi="Times New Roman"/>
                <w:sz w:val="20"/>
                <w:szCs w:val="20"/>
                <w:color w:val="231F20"/>
              </w:rPr>
              <w:t>amortization)</w:t>
            </w: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180" w:type="dxa"/>
            <w:vAlign w:val="bottom"/>
            <w:shd w:val="clear" w:color="auto" w:fill="CFEBF4"/>
          </w:tcPr>
          <w:p>
            <w:pPr>
              <w:spacing w:after="0"/>
              <w:rPr>
                <w:sz w:val="23"/>
                <w:szCs w:val="23"/>
                <w:color w:val="auto"/>
              </w:rPr>
            </w:pPr>
          </w:p>
        </w:tc>
        <w:tc>
          <w:tcPr>
            <w:tcW w:w="110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720" w:type="dxa"/>
            <w:vAlign w:val="bottom"/>
          </w:tcPr>
          <w:p>
            <w:pPr>
              <w:ind w:left="160"/>
              <w:spacing w:after="0" w:line="281" w:lineRule="exact"/>
              <w:rPr>
                <w:sz w:val="20"/>
                <w:szCs w:val="20"/>
                <w:color w:val="auto"/>
              </w:rPr>
            </w:pPr>
            <w:r>
              <w:rPr>
                <w:rFonts w:ascii="Times New Roman" w:cs="Times New Roman" w:eastAsia="Times New Roman" w:hAnsi="Times New Roman"/>
                <w:sz w:val="20"/>
                <w:szCs w:val="20"/>
                <w:color w:val="231F20"/>
                <w:w w:val="99"/>
              </w:rPr>
              <w:t>Selling, general and administrative payroll expenses</w:t>
            </w:r>
            <w:r>
              <w:rPr>
                <w:rFonts w:ascii="Times New Roman" w:cs="Times New Roman" w:eastAsia="Times New Roman" w:hAnsi="Times New Roman"/>
                <w:sz w:val="25"/>
                <w:szCs w:val="25"/>
                <w:color w:val="231F20"/>
                <w:w w:val="99"/>
                <w:vertAlign w:val="superscript"/>
              </w:rPr>
              <w:t>(1)(3)</w:t>
            </w: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842.1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626.6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244.9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1,713.6</w:t>
            </w:r>
          </w:p>
        </w:tc>
        <w:tc>
          <w:tcPr>
            <w:tcW w:w="0" w:type="dxa"/>
            <w:vAlign w:val="bottom"/>
          </w:tcPr>
          <w:p>
            <w:pPr>
              <w:spacing w:after="0"/>
              <w:rPr>
                <w:sz w:val="1"/>
                <w:szCs w:val="1"/>
                <w:color w:val="auto"/>
              </w:rPr>
            </w:pPr>
          </w:p>
        </w:tc>
      </w:tr>
      <w:tr>
        <w:trPr>
          <w:trHeight w:val="291"/>
        </w:trPr>
        <w:tc>
          <w:tcPr>
            <w:tcW w:w="4720" w:type="dxa"/>
            <w:vAlign w:val="bottom"/>
            <w:tcBorders>
              <w:bottom w:val="single" w:sz="8" w:color="CFEBF4"/>
            </w:tcBorders>
            <w:shd w:val="clear" w:color="auto" w:fill="CFEBF4"/>
          </w:tcPr>
          <w:p>
            <w:pPr>
              <w:ind w:left="160"/>
              <w:spacing w:after="0" w:line="271" w:lineRule="exact"/>
              <w:rPr>
                <w:sz w:val="20"/>
                <w:szCs w:val="20"/>
                <w:color w:val="auto"/>
              </w:rPr>
            </w:pPr>
            <w:r>
              <w:rPr>
                <w:rFonts w:ascii="Times New Roman" w:cs="Times New Roman" w:eastAsia="Times New Roman" w:hAnsi="Times New Roman"/>
                <w:sz w:val="20"/>
                <w:szCs w:val="20"/>
                <w:color w:val="231F20"/>
              </w:rPr>
              <w:t>Other segment items</w:t>
            </w:r>
            <w:r>
              <w:rPr>
                <w:rFonts w:ascii="Times New Roman" w:cs="Times New Roman" w:eastAsia="Times New Roman" w:hAnsi="Times New Roman"/>
                <w:sz w:val="25"/>
                <w:szCs w:val="25"/>
                <w:color w:val="231F20"/>
                <w:vertAlign w:val="superscript"/>
              </w:rPr>
              <w:t>(2)</w:t>
            </w: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448.8</w:t>
            </w: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391.5</w:t>
            </w: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176.7</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110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1,017.0</w:t>
            </w:r>
          </w:p>
        </w:tc>
        <w:tc>
          <w:tcPr>
            <w:tcW w:w="0" w:type="dxa"/>
            <w:vAlign w:val="bottom"/>
          </w:tcPr>
          <w:p>
            <w:pPr>
              <w:spacing w:after="0"/>
              <w:rPr>
                <w:sz w:val="1"/>
                <w:szCs w:val="1"/>
                <w:color w:val="auto"/>
              </w:rPr>
            </w:pPr>
          </w:p>
        </w:tc>
      </w:tr>
      <w:tr>
        <w:trPr>
          <w:trHeight w:val="260"/>
        </w:trPr>
        <w:tc>
          <w:tcPr>
            <w:tcW w:w="4720" w:type="dxa"/>
            <w:vAlign w:val="bottom"/>
          </w:tcPr>
          <w:p>
            <w:pPr>
              <w:ind w:left="280"/>
              <w:spacing w:after="0" w:line="221" w:lineRule="exact"/>
              <w:rPr>
                <w:sz w:val="20"/>
                <w:szCs w:val="20"/>
                <w:color w:val="auto"/>
              </w:rPr>
            </w:pPr>
            <w:r>
              <w:rPr>
                <w:rFonts w:ascii="Times New Roman" w:cs="Times New Roman" w:eastAsia="Times New Roman" w:hAnsi="Times New Roman"/>
                <w:sz w:val="20"/>
                <w:szCs w:val="20"/>
                <w:color w:val="231F20"/>
              </w:rPr>
              <w:t>Adjusted EBITDA</w:t>
            </w:r>
          </w:p>
        </w:tc>
        <w:tc>
          <w:tcPr>
            <w:tcW w:w="320" w:type="dxa"/>
            <w:vAlign w:val="bottom"/>
          </w:tcPr>
          <w:p>
            <w:pPr>
              <w:jc w:val="right"/>
              <w:ind w:right="61"/>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699.8</w:t>
            </w:r>
          </w:p>
        </w:tc>
        <w:tc>
          <w:tcPr>
            <w:tcW w:w="400" w:type="dxa"/>
            <w:vAlign w:val="bottom"/>
            <w:gridSpan w:val="2"/>
          </w:tcPr>
          <w:p>
            <w:pPr>
              <w:jc w:val="right"/>
              <w:ind w:right="71"/>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638.8</w:t>
            </w:r>
          </w:p>
        </w:tc>
        <w:tc>
          <w:tcPr>
            <w:tcW w:w="400" w:type="dxa"/>
            <w:vAlign w:val="bottom"/>
            <w:gridSpan w:val="2"/>
          </w:tcPr>
          <w:p>
            <w:pPr>
              <w:jc w:val="right"/>
              <w:ind w:right="16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643.4</w:t>
            </w:r>
          </w:p>
        </w:tc>
        <w:tc>
          <w:tcPr>
            <w:tcW w:w="260" w:type="dxa"/>
            <w:vAlign w:val="bottom"/>
            <w:gridSpan w:val="2"/>
          </w:tcPr>
          <w:p>
            <w:pPr>
              <w:ind w:left="1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1,982.0</w:t>
            </w:r>
          </w:p>
        </w:tc>
        <w:tc>
          <w:tcPr>
            <w:tcW w:w="0" w:type="dxa"/>
            <w:vAlign w:val="bottom"/>
          </w:tcPr>
          <w:p>
            <w:pPr>
              <w:spacing w:after="0"/>
              <w:rPr>
                <w:sz w:val="1"/>
                <w:szCs w:val="1"/>
                <w:color w:val="auto"/>
              </w:rPr>
            </w:pPr>
          </w:p>
        </w:tc>
      </w:tr>
      <w:tr>
        <w:trPr>
          <w:trHeight w:val="251"/>
        </w:trPr>
        <w:tc>
          <w:tcPr>
            <w:tcW w:w="4720" w:type="dxa"/>
            <w:vAlign w:val="bottom"/>
            <w:tcBorders>
              <w:top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8.3 %</w:t>
            </w:r>
          </w:p>
        </w:tc>
        <w:tc>
          <w:tcPr>
            <w:tcW w:w="80" w:type="dxa"/>
            <w:vAlign w:val="bottom"/>
            <w:tcBorders>
              <w:top w:val="single" w:sz="8" w:color="CFEBF4"/>
            </w:tcBorders>
            <w:shd w:val="clear" w:color="auto" w:fill="CFEBF4"/>
          </w:tcPr>
          <w:p>
            <w:pPr>
              <w:spacing w:after="0"/>
              <w:rPr>
                <w:sz w:val="21"/>
                <w:szCs w:val="21"/>
                <w:color w:val="auto"/>
              </w:rPr>
            </w:pP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8.3 %</w:t>
            </w:r>
          </w:p>
        </w:tc>
        <w:tc>
          <w:tcPr>
            <w:tcW w:w="80" w:type="dxa"/>
            <w:vAlign w:val="bottom"/>
            <w:tcBorders>
              <w:top w:val="single" w:sz="8" w:color="CFEBF4"/>
            </w:tcBorders>
            <w:shd w:val="clear" w:color="auto" w:fill="CFEBF4"/>
          </w:tcPr>
          <w:p>
            <w:pPr>
              <w:spacing w:after="0"/>
              <w:rPr>
                <w:sz w:val="21"/>
                <w:szCs w:val="21"/>
                <w:color w:val="auto"/>
              </w:rPr>
            </w:pP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11.2 %</w:t>
            </w:r>
          </w:p>
        </w:tc>
        <w:tc>
          <w:tcPr>
            <w:tcW w:w="80" w:type="dxa"/>
            <w:vAlign w:val="bottom"/>
            <w:tcBorders>
              <w:top w:val="single" w:sz="8" w:color="CFEBF4"/>
            </w:tcBorders>
            <w:shd w:val="clear" w:color="auto" w:fill="CFEBF4"/>
          </w:tcPr>
          <w:p>
            <w:pPr>
              <w:spacing w:after="0"/>
              <w:rPr>
                <w:sz w:val="21"/>
                <w:szCs w:val="21"/>
                <w:color w:val="auto"/>
              </w:rPr>
            </w:pPr>
          </w:p>
        </w:tc>
        <w:tc>
          <w:tcPr>
            <w:tcW w:w="180" w:type="dxa"/>
            <w:vAlign w:val="bottom"/>
            <w:tcBorders>
              <w:top w:val="single" w:sz="8" w:color="231F20"/>
            </w:tcBorders>
            <w:shd w:val="clear" w:color="auto" w:fill="CFEBF4"/>
          </w:tcPr>
          <w:p>
            <w:pPr>
              <w:spacing w:after="0"/>
              <w:rPr>
                <w:sz w:val="21"/>
                <w:szCs w:val="21"/>
                <w:color w:val="auto"/>
              </w:rPr>
            </w:pPr>
          </w:p>
        </w:tc>
        <w:tc>
          <w:tcPr>
            <w:tcW w:w="1100" w:type="dxa"/>
            <w:vAlign w:val="bottom"/>
            <w:tcBorders>
              <w:top w:val="single" w:sz="8" w:color="231F20"/>
            </w:tcBorders>
            <w:shd w:val="clear" w:color="auto" w:fill="CFEBF4"/>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196850</wp:posOffset>
                </wp:positionV>
                <wp:extent cx="6407785" cy="17843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8435"/>
                        </a:xfrm>
                        <a:prstGeom prst="rect">
                          <a:avLst/>
                        </a:prstGeom>
                        <a:solidFill>
                          <a:srgbClr val="CFEBF4"/>
                        </a:solidFill>
                      </wps:spPr>
                      <wps:bodyPr/>
                    </wps:wsp>
                  </a:graphicData>
                </a:graphic>
              </wp:anchor>
            </w:drawing>
          </mc:Choice>
          <mc:Fallback>
            <w:pict>
              <v:rect id="Shape 218" o:spid="_x0000_s1243" style="position:absolute;margin-left:-0.2499pt;margin-top:15.5pt;width:504.5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2973705</wp:posOffset>
            </wp:positionH>
            <wp:positionV relativeFrom="paragraph">
              <wp:posOffset>-1384935</wp:posOffset>
            </wp:positionV>
            <wp:extent cx="3456305" cy="501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90">
                      <a:extLst>
                        <a:ext uri="{28A0092B-C50C-407E-A947-70E740481C1C}"/>
                      </a:extLst>
                    </a:blip>
                    <a:srcRect/>
                    <a:stretch>
                      <a:fillRect/>
                    </a:stretch>
                  </pic:blipFill>
                  <pic:spPr bwMode="auto">
                    <a:xfrm>
                      <a:off x="0" y="0"/>
                      <a:ext cx="3456305" cy="5016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-381000</wp:posOffset>
            </wp:positionV>
            <wp:extent cx="2614930" cy="50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91">
                      <a:extLst>
                        <a:ext uri="{28A0092B-C50C-407E-A947-70E740481C1C}"/>
                      </a:extLst>
                    </a:blip>
                    <a:srcRect/>
                    <a:stretch>
                      <a:fillRect/>
                    </a:stretch>
                  </pic:blipFill>
                  <pic:spPr bwMode="auto">
                    <a:xfrm>
                      <a:off x="0" y="0"/>
                      <a:ext cx="2614930" cy="5016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-215265</wp:posOffset>
            </wp:positionV>
            <wp:extent cx="3456305" cy="749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2">
                      <a:extLst>
                        <a:ext uri="{28A0092B-C50C-407E-A947-70E740481C1C}"/>
                      </a:extLst>
                    </a:blip>
                    <a:srcRect/>
                    <a:stretch>
                      <a:fillRect/>
                    </a:stretch>
                  </pic:blipFill>
                  <pic:spPr bwMode="auto">
                    <a:xfrm>
                      <a:off x="0" y="0"/>
                      <a:ext cx="3456305" cy="74930"/>
                    </a:xfrm>
                    <a:prstGeom prst="rect">
                      <a:avLst/>
                    </a:prstGeom>
                    <a:noFill/>
                  </pic:spPr>
                </pic:pic>
              </a:graphicData>
            </a:graphic>
          </wp:anchor>
        </w:drawing>
      </w:r>
    </w:p>
    <w:p>
      <w:pPr>
        <w:sectPr>
          <w:pgSz w:w="11880" w:h="15480" w:orient="portrait"/>
          <w:cols w:equalWidth="0" w:num="1">
            <w:col w:w="10080"/>
          </w:cols>
          <w:pgMar w:left="900" w:top="285" w:right="900"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231F20"/>
        </w:rPr>
        <w:t>Reconciliation of adjusted EBITDA</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Depreciation and amortization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24765</wp:posOffset>
                </wp:positionV>
                <wp:extent cx="6407785" cy="178435"/>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8435"/>
                        </a:xfrm>
                        <a:prstGeom prst="rect">
                          <a:avLst/>
                        </a:prstGeom>
                        <a:solidFill>
                          <a:srgbClr val="CFEBF4"/>
                        </a:solidFill>
                      </wps:spPr>
                      <wps:bodyPr/>
                    </wps:wsp>
                  </a:graphicData>
                </a:graphic>
              </wp:anchor>
            </w:drawing>
          </mc:Choice>
          <mc:Fallback>
            <w:pict>
              <v:rect id="Shape 222" o:spid="_x0000_s1247" style="position:absolute;margin-left:-0.2499pt;margin-top:1.95pt;width:504.5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Other income, net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Stock-based compensation expense</w:t>
      </w:r>
      <w:r>
        <w:rPr>
          <w:rFonts w:ascii="Times New Roman" w:cs="Times New Roman" w:eastAsia="Times New Roman" w:hAnsi="Times New Roman"/>
          <w:sz w:val="25"/>
          <w:szCs w:val="25"/>
          <w:color w:val="231F20"/>
          <w:vertAlign w:val="superscript"/>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-10795</wp:posOffset>
                </wp:positionV>
                <wp:extent cx="6407785" cy="17780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7800"/>
                        </a:xfrm>
                        <a:prstGeom prst="rect">
                          <a:avLst/>
                        </a:prstGeom>
                        <a:solidFill>
                          <a:srgbClr val="CFEBF4"/>
                        </a:solidFill>
                      </wps:spPr>
                      <wps:bodyPr/>
                    </wps:wsp>
                  </a:graphicData>
                </a:graphic>
              </wp:anchor>
            </w:drawing>
          </mc:Choice>
          <mc:Fallback>
            <w:pict>
              <v:rect id="Shape 223" o:spid="_x0000_s1248" style="position:absolute;margin-left:-0.2499pt;margin-top:-0.8499pt;width:504.5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ind w:left="40"/>
        <w:spacing w:after="0"/>
        <w:rPr>
          <w:sz w:val="20"/>
          <w:szCs w:val="20"/>
          <w:color w:val="auto"/>
        </w:rPr>
      </w:pPr>
      <w:r>
        <w:rPr>
          <w:rFonts w:ascii="Times New Roman" w:cs="Times New Roman" w:eastAsia="Times New Roman" w:hAnsi="Times New Roman"/>
          <w:sz w:val="20"/>
          <w:szCs w:val="20"/>
          <w:color w:val="231F20"/>
        </w:rPr>
        <w:t>Unallocated amounts (Corporate):</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231F20"/>
        </w:rPr>
        <w:t>Selling, general and administrative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32385</wp:posOffset>
                </wp:positionV>
                <wp:extent cx="6407785" cy="17843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8435"/>
                        </a:xfrm>
                        <a:prstGeom prst="rect">
                          <a:avLst/>
                        </a:prstGeom>
                        <a:solidFill>
                          <a:srgbClr val="CFEBF4"/>
                        </a:solidFill>
                      </wps:spPr>
                      <wps:bodyPr/>
                    </wps:wsp>
                  </a:graphicData>
                </a:graphic>
              </wp:anchor>
            </w:drawing>
          </mc:Choice>
          <mc:Fallback>
            <w:pict>
              <v:rect id="Shape 224" o:spid="_x0000_s1249" style="position:absolute;margin-left:-0.2499pt;margin-top:2.55pt;width:504.5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Interest expense, net</w:t>
      </w:r>
      <w:r>
        <w:rPr>
          <w:rFonts w:ascii="Times New Roman" w:cs="Times New Roman" w:eastAsia="Times New Roman" w:hAnsi="Times New Roman"/>
          <w:sz w:val="25"/>
          <w:szCs w:val="25"/>
          <w:color w:val="231F20"/>
          <w:vertAlign w:val="superscript"/>
        </w:rPr>
        <w:t>(4)</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408420" cy="1847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3">
                      <a:extLst>
                        <a:ext uri="{28A0092B-C50C-407E-A947-70E740481C1C}"/>
                      </a:extLst>
                    </a:blip>
                    <a:srcRect/>
                    <a:stretch>
                      <a:fillRect/>
                    </a:stretch>
                  </pic:blipFill>
                  <pic:spPr bwMode="auto">
                    <a:xfrm>
                      <a:off x="0" y="0"/>
                      <a:ext cx="6408420" cy="18478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Other income, net</w:t>
      </w:r>
    </w:p>
    <w:p>
      <w:pPr>
        <w:spacing w:after="0" w:line="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146.8</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(50.9)</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14.1</w:t>
      </w:r>
    </w:p>
    <w:p>
      <w:pPr>
        <w:spacing w:after="0" w:line="3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561.5</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364.9</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36.4</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(41.8)</w:t>
      </w:r>
    </w:p>
    <w:p>
      <w:pPr>
        <w:spacing w:after="0" w:line="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951.0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6350</wp:posOffset>
            </wp:positionV>
            <wp:extent cx="81597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4">
                      <a:extLst>
                        <a:ext uri="{28A0092B-C50C-407E-A947-70E740481C1C}"/>
                      </a:extLst>
                    </a:blip>
                    <a:srcRect/>
                    <a:stretch>
                      <a:fillRect/>
                    </a:stretch>
                  </pic:blipFill>
                  <pic:spPr bwMode="auto">
                    <a:xfrm>
                      <a:off x="0" y="0"/>
                      <a:ext cx="815975" cy="12700"/>
                    </a:xfrm>
                    <a:prstGeom prst="rect">
                      <a:avLst/>
                    </a:prstGeom>
                    <a:noFill/>
                  </pic:spPr>
                </pic:pic>
              </a:graphicData>
            </a:graphic>
          </wp:anchor>
        </w:drawing>
      </w:r>
    </w:p>
    <w:p>
      <w:pPr>
        <w:spacing w:after="0" w:line="48" w:lineRule="exact"/>
        <w:rPr>
          <w:sz w:val="20"/>
          <w:szCs w:val="20"/>
          <w:color w:val="auto"/>
        </w:rPr>
      </w:pPr>
    </w:p>
    <w:p>
      <w:pPr>
        <w:sectPr>
          <w:pgSz w:w="11880" w:h="15480" w:orient="portrait"/>
          <w:cols w:equalWidth="0" w:num="2">
            <w:col w:w="8140" w:space="720"/>
            <w:col w:w="1220"/>
          </w:cols>
          <w:pgMar w:left="900" w:top="285" w:right="900" w:bottom="0" w:gutter="0" w:footer="0" w:header="0"/>
          <w:type w:val="continuous"/>
        </w:sectPr>
      </w:pPr>
    </w:p>
    <w:p>
      <w:pPr>
        <w:ind w:left="580" w:right="40" w:hanging="268"/>
        <w:spacing w:after="0" w:line="221" w:lineRule="auto"/>
        <w:tabs>
          <w:tab w:leader="none" w:pos="504" w:val="left"/>
        </w:tabs>
        <w:numPr>
          <w:ilvl w:val="0"/>
          <w:numId w:val="35"/>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Selling, general and administrative payroll expenses includes salaries, benefits, commissions, incentives, temporary labor, and other payroll expenses.</w:t>
      </w:r>
    </w:p>
    <w:p>
      <w:pPr>
        <w:spacing w:after="0" w:line="44" w:lineRule="exact"/>
        <w:rPr>
          <w:rFonts w:ascii="Times New Roman" w:cs="Times New Roman" w:eastAsia="Times New Roman" w:hAnsi="Times New Roman"/>
          <w:sz w:val="23"/>
          <w:szCs w:val="23"/>
          <w:color w:val="231F20"/>
          <w:vertAlign w:val="superscript"/>
        </w:rPr>
      </w:pPr>
    </w:p>
    <w:p>
      <w:pPr>
        <w:ind w:left="580" w:right="40" w:hanging="268"/>
        <w:spacing w:after="0" w:line="253" w:lineRule="auto"/>
        <w:tabs>
          <w:tab w:leader="none" w:pos="477" w:val="left"/>
        </w:tabs>
        <w:numPr>
          <w:ilvl w:val="0"/>
          <w:numId w:val="35"/>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spacing w:after="0" w:line="223" w:lineRule="exact"/>
        <w:rPr>
          <w:rFonts w:ascii="Times New Roman" w:cs="Times New Roman" w:eastAsia="Times New Roman" w:hAnsi="Times New Roman"/>
          <w:sz w:val="21"/>
          <w:szCs w:val="21"/>
          <w:color w:val="231F20"/>
          <w:vertAlign w:val="superscript"/>
        </w:rPr>
      </w:pPr>
    </w:p>
    <w:p>
      <w:pPr>
        <w:ind w:left="580" w:right="40" w:hanging="268"/>
        <w:spacing w:after="0" w:line="233" w:lineRule="auto"/>
        <w:tabs>
          <w:tab w:leader="none" w:pos="487" w:val="left"/>
        </w:tabs>
        <w:numPr>
          <w:ilvl w:val="0"/>
          <w:numId w:val="35"/>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Stock-based compensation expense is excluded from selling, general and administrative payroll expenses, as this is an adjustment to calculate adjusted EBITDA.</w:t>
      </w:r>
    </w:p>
    <w:p>
      <w:pPr>
        <w:spacing w:after="0" w:line="39" w:lineRule="exact"/>
        <w:rPr>
          <w:rFonts w:ascii="Times New Roman" w:cs="Times New Roman" w:eastAsia="Times New Roman" w:hAnsi="Times New Roman"/>
          <w:sz w:val="22"/>
          <w:szCs w:val="22"/>
          <w:color w:val="231F20"/>
          <w:vertAlign w:val="superscript"/>
        </w:rPr>
      </w:pPr>
    </w:p>
    <w:p>
      <w:pPr>
        <w:ind w:left="480" w:hanging="168"/>
        <w:spacing w:after="0"/>
        <w:tabs>
          <w:tab w:leader="none" w:pos="480" w:val="left"/>
        </w:tabs>
        <w:numPr>
          <w:ilvl w:val="0"/>
          <w:numId w:val="35"/>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5588000</wp:posOffset>
                </wp:positionH>
                <wp:positionV relativeFrom="paragraph">
                  <wp:posOffset>-1301115</wp:posOffset>
                </wp:positionV>
                <wp:extent cx="81597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975"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102.4499pt" to="504.25pt,-102.4499pt" o:allowincell="f" strokecolor="#231F20" strokeweight="0.985pt"/>
            </w:pict>
          </mc:Fallback>
        </mc:AlternateContent>
      </w:r>
    </w:p>
    <w:p>
      <w:pPr>
        <w:sectPr>
          <w:pgSz w:w="11880" w:h="15480" w:orient="portrait"/>
          <w:cols w:equalWidth="0" w:num="1">
            <w:col w:w="10080"/>
          </w:cols>
          <w:pgMar w:left="900" w:top="285"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080"/>
          </w:cols>
          <w:pgMar w:left="900" w:top="285" w:right="90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2640" w:type="dxa"/>
            <w:vAlign w:val="bottom"/>
            <w:tcBorders>
              <w:bottom w:val="single" w:sz="8" w:color="231F20"/>
            </w:tcBorders>
            <w:gridSpan w:val="5"/>
          </w:tcPr>
          <w:p>
            <w:pPr>
              <w:jc w:val="right"/>
              <w:ind w:right="3"/>
              <w:spacing w:after="0"/>
              <w:rPr>
                <w:sz w:val="20"/>
                <w:szCs w:val="20"/>
                <w:color w:val="auto"/>
              </w:rPr>
            </w:pPr>
            <w:r>
              <w:rPr>
                <w:rFonts w:ascii="Times New Roman" w:cs="Times New Roman" w:eastAsia="Times New Roman" w:hAnsi="Times New Roman"/>
                <w:sz w:val="18"/>
                <w:szCs w:val="18"/>
                <w:b w:val="1"/>
                <w:bCs w:val="1"/>
                <w:color w:val="231F20"/>
              </w:rPr>
              <w:t>Year Ended December 31, 2023</w:t>
            </w:r>
          </w:p>
        </w:tc>
        <w:tc>
          <w:tcPr>
            <w:tcW w:w="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EES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CSS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UBS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23"/>
              <w:spacing w:after="0" w:line="203" w:lineRule="exact"/>
              <w:rPr>
                <w:sz w:val="20"/>
                <w:szCs w:val="20"/>
                <w:color w:val="auto"/>
              </w:rPr>
            </w:pPr>
            <w:r>
              <w:rPr>
                <w:rFonts w:ascii="Times New Roman" w:cs="Times New Roman" w:eastAsia="Times New Roman" w:hAnsi="Times New Roman"/>
                <w:sz w:val="18"/>
                <w:szCs w:val="18"/>
                <w:b w:val="1"/>
                <w:bCs w:val="1"/>
                <w:color w:val="231F20"/>
                <w:w w:val="99"/>
              </w:rPr>
              <w:t>Reportable</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FEBF4"/>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vMerge w:val="continue"/>
          </w:tcPr>
          <w:p>
            <w:pPr>
              <w:spacing w:after="0"/>
              <w:rPr>
                <w:sz w:val="20"/>
                <w:szCs w:val="20"/>
                <w:color w:val="auto"/>
              </w:rPr>
            </w:pPr>
          </w:p>
        </w:tc>
        <w:tc>
          <w:tcPr>
            <w:tcW w:w="80" w:type="dxa"/>
            <w:vAlign w:val="bottom"/>
            <w:tcBorders>
              <w:bottom w:val="single" w:sz="8" w:color="CFEBF4"/>
            </w:tcBorders>
          </w:tcPr>
          <w:p>
            <w:pPr>
              <w:spacing w:after="0"/>
              <w:rPr>
                <w:sz w:val="20"/>
                <w:szCs w:val="20"/>
                <w:color w:val="auto"/>
              </w:rPr>
            </w:pPr>
          </w:p>
        </w:tc>
        <w:tc>
          <w:tcPr>
            <w:tcW w:w="12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Segments Total</w:t>
            </w:r>
          </w:p>
        </w:tc>
        <w:tc>
          <w:tcPr>
            <w:tcW w:w="0" w:type="dxa"/>
            <w:vAlign w:val="bottom"/>
          </w:tcPr>
          <w:p>
            <w:pPr>
              <w:spacing w:after="0"/>
              <w:rPr>
                <w:sz w:val="1"/>
                <w:szCs w:val="1"/>
                <w:color w:val="auto"/>
              </w:rPr>
            </w:pPr>
          </w:p>
        </w:tc>
      </w:tr>
      <w:tr>
        <w:trPr>
          <w:trHeight w:val="271"/>
        </w:trPr>
        <w:tc>
          <w:tcPr>
            <w:tcW w:w="472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Net sales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8,449.8</w:t>
            </w:r>
          </w:p>
        </w:tc>
        <w:tc>
          <w:tcPr>
            <w:tcW w:w="400" w:type="dxa"/>
            <w:vAlign w:val="bottom"/>
            <w:gridSpan w:val="2"/>
            <w:shd w:val="clear" w:color="auto" w:fill="CFEBF4"/>
          </w:tcPr>
          <w:p>
            <w:pPr>
              <w:jc w:val="right"/>
              <w:ind w:right="71"/>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7,312.7</w:t>
            </w:r>
          </w:p>
        </w:tc>
        <w:tc>
          <w:tcPr>
            <w:tcW w:w="40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6,622.7</w:t>
            </w:r>
          </w:p>
        </w:tc>
        <w:tc>
          <w:tcPr>
            <w:tcW w:w="260" w:type="dxa"/>
            <w:vAlign w:val="bottom"/>
            <w:gridSpan w:val="2"/>
            <w:shd w:val="clear" w:color="auto" w:fill="CFEBF4"/>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22,385.2</w:t>
            </w:r>
          </w:p>
        </w:tc>
        <w:tc>
          <w:tcPr>
            <w:tcW w:w="0" w:type="dxa"/>
            <w:vAlign w:val="bottom"/>
          </w:tcPr>
          <w:p>
            <w:pPr>
              <w:spacing w:after="0"/>
              <w:rPr>
                <w:sz w:val="1"/>
                <w:szCs w:val="1"/>
                <w:color w:val="auto"/>
              </w:rPr>
            </w:pPr>
          </w:p>
        </w:tc>
      </w:tr>
      <w:tr>
        <w:trPr>
          <w:trHeight w:val="275"/>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720" w:type="dxa"/>
            <w:vAlign w:val="bottom"/>
            <w:shd w:val="clear" w:color="auto" w:fill="CFEBF4"/>
          </w:tcPr>
          <w:p>
            <w:pPr>
              <w:ind w:left="160"/>
              <w:spacing w:after="0" w:line="195" w:lineRule="exact"/>
              <w:rPr>
                <w:sz w:val="20"/>
                <w:szCs w:val="20"/>
                <w:color w:val="auto"/>
              </w:rPr>
            </w:pPr>
            <w:r>
              <w:rPr>
                <w:rFonts w:ascii="Times New Roman" w:cs="Times New Roman" w:eastAsia="Times New Roman" w:hAnsi="Times New Roman"/>
                <w:sz w:val="20"/>
                <w:szCs w:val="20"/>
                <w:color w:val="231F20"/>
              </w:rPr>
              <w:t>Cost of goods sold (excluding depreciation and</w:t>
            </w: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6,455.7</w:t>
            </w:r>
          </w:p>
        </w:tc>
        <w:tc>
          <w:tcPr>
            <w:tcW w:w="8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5,645.1</w:t>
            </w:r>
          </w:p>
        </w:tc>
        <w:tc>
          <w:tcPr>
            <w:tcW w:w="80" w:type="dxa"/>
            <w:vAlign w:val="bottom"/>
            <w:shd w:val="clear" w:color="auto" w:fill="CFEBF4"/>
          </w:tcPr>
          <w:p>
            <w:pPr>
              <w:spacing w:after="0"/>
              <w:rPr>
                <w:sz w:val="16"/>
                <w:szCs w:val="16"/>
                <w:color w:val="auto"/>
              </w:rPr>
            </w:pPr>
          </w:p>
        </w:tc>
        <w:tc>
          <w:tcPr>
            <w:tcW w:w="320" w:type="dxa"/>
            <w:vAlign w:val="bottom"/>
            <w:shd w:val="clear" w:color="auto" w:fill="CFEBF4"/>
          </w:tcPr>
          <w:p>
            <w:pPr>
              <w:spacing w:after="0"/>
              <w:rPr>
                <w:sz w:val="16"/>
                <w:szCs w:val="16"/>
                <w:color w:val="auto"/>
              </w:rPr>
            </w:pPr>
          </w:p>
        </w:tc>
        <w:tc>
          <w:tcPr>
            <w:tcW w:w="96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5,440.7</w:t>
            </w:r>
          </w:p>
        </w:tc>
        <w:tc>
          <w:tcPr>
            <w:tcW w:w="80" w:type="dxa"/>
            <w:vAlign w:val="bottom"/>
            <w:shd w:val="clear" w:color="auto" w:fill="CFEBF4"/>
          </w:tcPr>
          <w:p>
            <w:pPr>
              <w:spacing w:after="0"/>
              <w:rPr>
                <w:sz w:val="16"/>
                <w:szCs w:val="16"/>
                <w:color w:val="auto"/>
              </w:rPr>
            </w:pPr>
          </w:p>
        </w:tc>
        <w:tc>
          <w:tcPr>
            <w:tcW w:w="180" w:type="dxa"/>
            <w:vAlign w:val="bottom"/>
            <w:shd w:val="clear" w:color="auto" w:fill="CFEBF4"/>
          </w:tcPr>
          <w:p>
            <w:pPr>
              <w:spacing w:after="0"/>
              <w:rPr>
                <w:sz w:val="16"/>
                <w:szCs w:val="16"/>
                <w:color w:val="auto"/>
              </w:rPr>
            </w:pPr>
          </w:p>
        </w:tc>
        <w:tc>
          <w:tcPr>
            <w:tcW w:w="1100" w:type="dxa"/>
            <w:vAlign w:val="bottom"/>
            <w:vMerge w:val="restart"/>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17,541.5</w:t>
            </w:r>
          </w:p>
        </w:tc>
        <w:tc>
          <w:tcPr>
            <w:tcW w:w="0" w:type="dxa"/>
            <w:vAlign w:val="bottom"/>
          </w:tcPr>
          <w:p>
            <w:pPr>
              <w:spacing w:after="0"/>
              <w:rPr>
                <w:sz w:val="1"/>
                <w:szCs w:val="1"/>
                <w:color w:val="auto"/>
              </w:rPr>
            </w:pPr>
          </w:p>
        </w:tc>
      </w:tr>
      <w:tr>
        <w:trPr>
          <w:trHeight w:val="269"/>
        </w:trPr>
        <w:tc>
          <w:tcPr>
            <w:tcW w:w="4720" w:type="dxa"/>
            <w:vAlign w:val="bottom"/>
            <w:shd w:val="clear" w:color="auto" w:fill="CFEBF4"/>
          </w:tcPr>
          <w:p>
            <w:pPr>
              <w:ind w:left="160"/>
              <w:spacing w:after="0"/>
              <w:rPr>
                <w:sz w:val="20"/>
                <w:szCs w:val="20"/>
                <w:color w:val="auto"/>
              </w:rPr>
            </w:pPr>
            <w:r>
              <w:rPr>
                <w:rFonts w:ascii="Times New Roman" w:cs="Times New Roman" w:eastAsia="Times New Roman" w:hAnsi="Times New Roman"/>
                <w:sz w:val="20"/>
                <w:szCs w:val="20"/>
                <w:color w:val="231F20"/>
              </w:rPr>
              <w:t>amortization)</w:t>
            </w: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320" w:type="dxa"/>
            <w:vAlign w:val="bottom"/>
            <w:shd w:val="clear" w:color="auto" w:fill="CFEBF4"/>
          </w:tcPr>
          <w:p>
            <w:pPr>
              <w:spacing w:after="0"/>
              <w:rPr>
                <w:sz w:val="23"/>
                <w:szCs w:val="23"/>
                <w:color w:val="auto"/>
              </w:rPr>
            </w:pPr>
          </w:p>
        </w:tc>
        <w:tc>
          <w:tcPr>
            <w:tcW w:w="960" w:type="dxa"/>
            <w:vAlign w:val="bottom"/>
            <w:vMerge w:val="continue"/>
            <w:shd w:val="clear" w:color="auto" w:fill="CFEBF4"/>
          </w:tcPr>
          <w:p>
            <w:pPr>
              <w:spacing w:after="0"/>
              <w:rPr>
                <w:sz w:val="23"/>
                <w:szCs w:val="23"/>
                <w:color w:val="auto"/>
              </w:rPr>
            </w:pPr>
          </w:p>
        </w:tc>
        <w:tc>
          <w:tcPr>
            <w:tcW w:w="80" w:type="dxa"/>
            <w:vAlign w:val="bottom"/>
            <w:shd w:val="clear" w:color="auto" w:fill="CFEBF4"/>
          </w:tcPr>
          <w:p>
            <w:pPr>
              <w:spacing w:after="0"/>
              <w:rPr>
                <w:sz w:val="23"/>
                <w:szCs w:val="23"/>
                <w:color w:val="auto"/>
              </w:rPr>
            </w:pPr>
          </w:p>
        </w:tc>
        <w:tc>
          <w:tcPr>
            <w:tcW w:w="180" w:type="dxa"/>
            <w:vAlign w:val="bottom"/>
            <w:shd w:val="clear" w:color="auto" w:fill="CFEBF4"/>
          </w:tcPr>
          <w:p>
            <w:pPr>
              <w:spacing w:after="0"/>
              <w:rPr>
                <w:sz w:val="23"/>
                <w:szCs w:val="23"/>
                <w:color w:val="auto"/>
              </w:rPr>
            </w:pPr>
          </w:p>
        </w:tc>
        <w:tc>
          <w:tcPr>
            <w:tcW w:w="1100" w:type="dxa"/>
            <w:vAlign w:val="bottom"/>
            <w:vMerge w:val="continue"/>
            <w:shd w:val="clear" w:color="auto" w:fill="CFEBF4"/>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720" w:type="dxa"/>
            <w:vAlign w:val="bottom"/>
          </w:tcPr>
          <w:p>
            <w:pPr>
              <w:ind w:left="160"/>
              <w:spacing w:after="0" w:line="281" w:lineRule="exact"/>
              <w:rPr>
                <w:sz w:val="20"/>
                <w:szCs w:val="20"/>
                <w:color w:val="auto"/>
              </w:rPr>
            </w:pPr>
            <w:r>
              <w:rPr>
                <w:rFonts w:ascii="Times New Roman" w:cs="Times New Roman" w:eastAsia="Times New Roman" w:hAnsi="Times New Roman"/>
                <w:sz w:val="20"/>
                <w:szCs w:val="20"/>
                <w:color w:val="231F20"/>
                <w:w w:val="99"/>
              </w:rPr>
              <w:t>Selling, general and administrative payroll expenses</w:t>
            </w:r>
            <w:r>
              <w:rPr>
                <w:rFonts w:ascii="Times New Roman" w:cs="Times New Roman" w:eastAsia="Times New Roman" w:hAnsi="Times New Roman"/>
                <w:sz w:val="25"/>
                <w:szCs w:val="25"/>
                <w:color w:val="231F20"/>
                <w:w w:val="99"/>
                <w:vertAlign w:val="superscript"/>
              </w:rPr>
              <w:t>(1)(3)</w:t>
            </w: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861.0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605.2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275.5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1,741.7</w:t>
            </w:r>
          </w:p>
        </w:tc>
        <w:tc>
          <w:tcPr>
            <w:tcW w:w="0" w:type="dxa"/>
            <w:vAlign w:val="bottom"/>
          </w:tcPr>
          <w:p>
            <w:pPr>
              <w:spacing w:after="0"/>
              <w:rPr>
                <w:sz w:val="1"/>
                <w:szCs w:val="1"/>
                <w:color w:val="auto"/>
              </w:rPr>
            </w:pPr>
          </w:p>
        </w:tc>
      </w:tr>
      <w:tr>
        <w:trPr>
          <w:trHeight w:val="291"/>
        </w:trPr>
        <w:tc>
          <w:tcPr>
            <w:tcW w:w="4720" w:type="dxa"/>
            <w:vAlign w:val="bottom"/>
            <w:tcBorders>
              <w:bottom w:val="single" w:sz="8" w:color="CFEBF4"/>
            </w:tcBorders>
            <w:shd w:val="clear" w:color="auto" w:fill="CFEBF4"/>
          </w:tcPr>
          <w:p>
            <w:pPr>
              <w:ind w:left="160"/>
              <w:spacing w:after="0" w:line="271" w:lineRule="exact"/>
              <w:rPr>
                <w:sz w:val="20"/>
                <w:szCs w:val="20"/>
                <w:color w:val="auto"/>
              </w:rPr>
            </w:pPr>
            <w:r>
              <w:rPr>
                <w:rFonts w:ascii="Times New Roman" w:cs="Times New Roman" w:eastAsia="Times New Roman" w:hAnsi="Times New Roman"/>
                <w:sz w:val="20"/>
                <w:szCs w:val="20"/>
                <w:color w:val="231F20"/>
              </w:rPr>
              <w:t>Other segment items</w:t>
            </w:r>
            <w:r>
              <w:rPr>
                <w:rFonts w:ascii="Times New Roman" w:cs="Times New Roman" w:eastAsia="Times New Roman" w:hAnsi="Times New Roman"/>
                <w:sz w:val="25"/>
                <w:szCs w:val="25"/>
                <w:color w:val="231F20"/>
                <w:vertAlign w:val="superscript"/>
              </w:rPr>
              <w:t>(2)</w:t>
            </w: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426.9</w:t>
            </w: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357.4</w:t>
            </w:r>
          </w:p>
        </w:tc>
        <w:tc>
          <w:tcPr>
            <w:tcW w:w="8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6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167.2</w:t>
            </w:r>
          </w:p>
        </w:tc>
        <w:tc>
          <w:tcPr>
            <w:tcW w:w="80" w:type="dxa"/>
            <w:vAlign w:val="bottom"/>
            <w:tcBorders>
              <w:bottom w:val="single" w:sz="8" w:color="CFEBF4"/>
            </w:tcBorders>
            <w:shd w:val="clear" w:color="auto" w:fill="CFEBF4"/>
          </w:tcPr>
          <w:p>
            <w:pPr>
              <w:spacing w:after="0"/>
              <w:rPr>
                <w:sz w:val="24"/>
                <w:szCs w:val="24"/>
                <w:color w:val="auto"/>
              </w:rPr>
            </w:pPr>
          </w:p>
        </w:tc>
        <w:tc>
          <w:tcPr>
            <w:tcW w:w="180" w:type="dxa"/>
            <w:vAlign w:val="bottom"/>
            <w:tcBorders>
              <w:bottom w:val="single" w:sz="8" w:color="231F20"/>
            </w:tcBorders>
            <w:shd w:val="clear" w:color="auto" w:fill="CFEBF4"/>
          </w:tcPr>
          <w:p>
            <w:pPr>
              <w:spacing w:after="0"/>
              <w:rPr>
                <w:sz w:val="24"/>
                <w:szCs w:val="24"/>
                <w:color w:val="auto"/>
              </w:rPr>
            </w:pPr>
          </w:p>
        </w:tc>
        <w:tc>
          <w:tcPr>
            <w:tcW w:w="1100" w:type="dxa"/>
            <w:vAlign w:val="bottom"/>
            <w:tcBorders>
              <w:bottom w:val="single" w:sz="8" w:color="231F20"/>
            </w:tcBorders>
            <w:shd w:val="clear" w:color="auto" w:fill="CFEBF4"/>
          </w:tcPr>
          <w:p>
            <w:pPr>
              <w:jc w:val="right"/>
              <w:ind w:right="23"/>
              <w:spacing w:after="0"/>
              <w:rPr>
                <w:sz w:val="20"/>
                <w:szCs w:val="20"/>
                <w:color w:val="auto"/>
              </w:rPr>
            </w:pPr>
            <w:r>
              <w:rPr>
                <w:rFonts w:ascii="Times New Roman" w:cs="Times New Roman" w:eastAsia="Times New Roman" w:hAnsi="Times New Roman"/>
                <w:sz w:val="20"/>
                <w:szCs w:val="20"/>
                <w:color w:val="231F20"/>
              </w:rPr>
              <w:t>951.5</w:t>
            </w:r>
          </w:p>
        </w:tc>
        <w:tc>
          <w:tcPr>
            <w:tcW w:w="0" w:type="dxa"/>
            <w:vAlign w:val="bottom"/>
          </w:tcPr>
          <w:p>
            <w:pPr>
              <w:spacing w:after="0"/>
              <w:rPr>
                <w:sz w:val="1"/>
                <w:szCs w:val="1"/>
                <w:color w:val="auto"/>
              </w:rPr>
            </w:pPr>
          </w:p>
        </w:tc>
      </w:tr>
      <w:tr>
        <w:trPr>
          <w:trHeight w:val="260"/>
        </w:trPr>
        <w:tc>
          <w:tcPr>
            <w:tcW w:w="4720" w:type="dxa"/>
            <w:vAlign w:val="bottom"/>
          </w:tcPr>
          <w:p>
            <w:pPr>
              <w:ind w:left="280"/>
              <w:spacing w:after="0" w:line="221" w:lineRule="exact"/>
              <w:rPr>
                <w:sz w:val="20"/>
                <w:szCs w:val="20"/>
                <w:color w:val="auto"/>
              </w:rPr>
            </w:pPr>
            <w:r>
              <w:rPr>
                <w:rFonts w:ascii="Times New Roman" w:cs="Times New Roman" w:eastAsia="Times New Roman" w:hAnsi="Times New Roman"/>
                <w:sz w:val="20"/>
                <w:szCs w:val="20"/>
                <w:color w:val="231F20"/>
              </w:rPr>
              <w:t>Adjusted EBITDA</w:t>
            </w:r>
          </w:p>
        </w:tc>
        <w:tc>
          <w:tcPr>
            <w:tcW w:w="320" w:type="dxa"/>
            <w:vAlign w:val="bottom"/>
          </w:tcPr>
          <w:p>
            <w:pPr>
              <w:jc w:val="right"/>
              <w:ind w:right="61"/>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706.2</w:t>
            </w:r>
          </w:p>
        </w:tc>
        <w:tc>
          <w:tcPr>
            <w:tcW w:w="400" w:type="dxa"/>
            <w:vAlign w:val="bottom"/>
            <w:gridSpan w:val="2"/>
          </w:tcPr>
          <w:p>
            <w:pPr>
              <w:jc w:val="right"/>
              <w:ind w:right="71"/>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705.0</w:t>
            </w:r>
          </w:p>
        </w:tc>
        <w:tc>
          <w:tcPr>
            <w:tcW w:w="400" w:type="dxa"/>
            <w:vAlign w:val="bottom"/>
            <w:gridSpan w:val="2"/>
          </w:tcPr>
          <w:p>
            <w:pPr>
              <w:jc w:val="right"/>
              <w:ind w:right="16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739.3</w:t>
            </w:r>
          </w:p>
        </w:tc>
        <w:tc>
          <w:tcPr>
            <w:tcW w:w="260" w:type="dxa"/>
            <w:vAlign w:val="bottom"/>
            <w:gridSpan w:val="2"/>
          </w:tcPr>
          <w:p>
            <w:pPr>
              <w:ind w:left="1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tcPr>
          <w:p>
            <w:pPr>
              <w:jc w:val="right"/>
              <w:ind w:right="23"/>
              <w:spacing w:after="0" w:line="221" w:lineRule="exact"/>
              <w:rPr>
                <w:sz w:val="20"/>
                <w:szCs w:val="20"/>
                <w:color w:val="auto"/>
              </w:rPr>
            </w:pPr>
            <w:r>
              <w:rPr>
                <w:rFonts w:ascii="Times New Roman" w:cs="Times New Roman" w:eastAsia="Times New Roman" w:hAnsi="Times New Roman"/>
                <w:sz w:val="20"/>
                <w:szCs w:val="20"/>
                <w:color w:val="231F20"/>
              </w:rPr>
              <w:t>2,150.5</w:t>
            </w:r>
          </w:p>
        </w:tc>
        <w:tc>
          <w:tcPr>
            <w:tcW w:w="0" w:type="dxa"/>
            <w:vAlign w:val="bottom"/>
          </w:tcPr>
          <w:p>
            <w:pPr>
              <w:spacing w:after="0"/>
              <w:rPr>
                <w:sz w:val="1"/>
                <w:szCs w:val="1"/>
                <w:color w:val="auto"/>
              </w:rPr>
            </w:pPr>
          </w:p>
        </w:tc>
      </w:tr>
      <w:tr>
        <w:trPr>
          <w:trHeight w:val="251"/>
        </w:trPr>
        <w:tc>
          <w:tcPr>
            <w:tcW w:w="4720" w:type="dxa"/>
            <w:vAlign w:val="bottom"/>
            <w:tcBorders>
              <w:top w:val="single" w:sz="8" w:color="CFEBF4"/>
            </w:tcBorders>
            <w:shd w:val="clear" w:color="auto" w:fill="CFEBF4"/>
          </w:tcPr>
          <w:p>
            <w:pPr>
              <w:ind w:left="280"/>
              <w:spacing w:after="0"/>
              <w:rPr>
                <w:sz w:val="20"/>
                <w:szCs w:val="20"/>
                <w:color w:val="auto"/>
              </w:rPr>
            </w:pPr>
            <w:r>
              <w:rPr>
                <w:rFonts w:ascii="Times New Roman" w:cs="Times New Roman" w:eastAsia="Times New Roman" w:hAnsi="Times New Roman"/>
                <w:sz w:val="20"/>
                <w:szCs w:val="20"/>
                <w:color w:val="231F20"/>
              </w:rPr>
              <w:t>Adjusted EBITDA margin %</w:t>
            </w: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8.4 %</w:t>
            </w:r>
          </w:p>
        </w:tc>
        <w:tc>
          <w:tcPr>
            <w:tcW w:w="80" w:type="dxa"/>
            <w:vAlign w:val="bottom"/>
            <w:tcBorders>
              <w:top w:val="single" w:sz="8" w:color="CFEBF4"/>
            </w:tcBorders>
            <w:shd w:val="clear" w:color="auto" w:fill="CFEBF4"/>
          </w:tcPr>
          <w:p>
            <w:pPr>
              <w:spacing w:after="0"/>
              <w:rPr>
                <w:sz w:val="21"/>
                <w:szCs w:val="21"/>
                <w:color w:val="auto"/>
              </w:rPr>
            </w:pP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9.6 %</w:t>
            </w:r>
          </w:p>
        </w:tc>
        <w:tc>
          <w:tcPr>
            <w:tcW w:w="80" w:type="dxa"/>
            <w:vAlign w:val="bottom"/>
            <w:tcBorders>
              <w:top w:val="single" w:sz="8" w:color="CFEBF4"/>
            </w:tcBorders>
            <w:shd w:val="clear" w:color="auto" w:fill="CFEBF4"/>
          </w:tcPr>
          <w:p>
            <w:pPr>
              <w:spacing w:after="0"/>
              <w:rPr>
                <w:sz w:val="21"/>
                <w:szCs w:val="21"/>
                <w:color w:val="auto"/>
              </w:rPr>
            </w:pPr>
          </w:p>
        </w:tc>
        <w:tc>
          <w:tcPr>
            <w:tcW w:w="320" w:type="dxa"/>
            <w:vAlign w:val="bottom"/>
            <w:tcBorders>
              <w:top w:val="single" w:sz="8" w:color="231F20"/>
            </w:tcBorders>
            <w:shd w:val="clear" w:color="auto" w:fill="CFEBF4"/>
          </w:tcPr>
          <w:p>
            <w:pPr>
              <w:spacing w:after="0"/>
              <w:rPr>
                <w:sz w:val="21"/>
                <w:szCs w:val="21"/>
                <w:color w:val="auto"/>
              </w:rPr>
            </w:pPr>
          </w:p>
        </w:tc>
        <w:tc>
          <w:tcPr>
            <w:tcW w:w="960" w:type="dxa"/>
            <w:vAlign w:val="bottom"/>
            <w:tcBorders>
              <w:top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11.2 %</w:t>
            </w:r>
          </w:p>
        </w:tc>
        <w:tc>
          <w:tcPr>
            <w:tcW w:w="80" w:type="dxa"/>
            <w:vAlign w:val="bottom"/>
            <w:tcBorders>
              <w:top w:val="single" w:sz="8" w:color="CFEBF4"/>
            </w:tcBorders>
            <w:shd w:val="clear" w:color="auto" w:fill="CFEBF4"/>
          </w:tcPr>
          <w:p>
            <w:pPr>
              <w:spacing w:after="0"/>
              <w:rPr>
                <w:sz w:val="21"/>
                <w:szCs w:val="21"/>
                <w:color w:val="auto"/>
              </w:rPr>
            </w:pPr>
          </w:p>
        </w:tc>
        <w:tc>
          <w:tcPr>
            <w:tcW w:w="180" w:type="dxa"/>
            <w:vAlign w:val="bottom"/>
            <w:tcBorders>
              <w:top w:val="single" w:sz="8" w:color="231F20"/>
            </w:tcBorders>
            <w:shd w:val="clear" w:color="auto" w:fill="CFEBF4"/>
          </w:tcPr>
          <w:p>
            <w:pPr>
              <w:spacing w:after="0"/>
              <w:rPr>
                <w:sz w:val="21"/>
                <w:szCs w:val="21"/>
                <w:color w:val="auto"/>
              </w:rPr>
            </w:pPr>
          </w:p>
        </w:tc>
        <w:tc>
          <w:tcPr>
            <w:tcW w:w="1100" w:type="dxa"/>
            <w:vAlign w:val="bottom"/>
            <w:tcBorders>
              <w:top w:val="single" w:sz="8" w:color="231F20"/>
            </w:tcBorders>
            <w:shd w:val="clear" w:color="auto" w:fill="CFEBF4"/>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196850</wp:posOffset>
                </wp:positionV>
                <wp:extent cx="6407785" cy="17843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8435"/>
                        </a:xfrm>
                        <a:prstGeom prst="rect">
                          <a:avLst/>
                        </a:prstGeom>
                        <a:solidFill>
                          <a:srgbClr val="CFEBF4"/>
                        </a:solidFill>
                      </wps:spPr>
                      <wps:bodyPr/>
                    </wps:wsp>
                  </a:graphicData>
                </a:graphic>
              </wp:anchor>
            </w:drawing>
          </mc:Choice>
          <mc:Fallback>
            <w:pict>
              <v:rect id="Shape 228" o:spid="_x0000_s1253" style="position:absolute;margin-left:-0.2499pt;margin-top:15.5pt;width:504.5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drawing>
          <wp:anchor simplePos="0" relativeHeight="251657728" behindDoc="1" locked="0" layoutInCell="0" allowOverlap="1">
            <wp:simplePos x="0" y="0"/>
            <wp:positionH relativeFrom="column">
              <wp:posOffset>2973705</wp:posOffset>
            </wp:positionH>
            <wp:positionV relativeFrom="paragraph">
              <wp:posOffset>-1384935</wp:posOffset>
            </wp:positionV>
            <wp:extent cx="3456305" cy="501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95">
                      <a:extLst>
                        <a:ext uri="{28A0092B-C50C-407E-A947-70E740481C1C}"/>
                      </a:extLst>
                    </a:blip>
                    <a:srcRect/>
                    <a:stretch>
                      <a:fillRect/>
                    </a:stretch>
                  </pic:blipFill>
                  <pic:spPr bwMode="auto">
                    <a:xfrm>
                      <a:off x="0" y="0"/>
                      <a:ext cx="3456305" cy="5016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-381000</wp:posOffset>
            </wp:positionV>
            <wp:extent cx="2614930" cy="501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96">
                      <a:extLst>
                        <a:ext uri="{28A0092B-C50C-407E-A947-70E740481C1C}"/>
                      </a:extLst>
                    </a:blip>
                    <a:srcRect/>
                    <a:stretch>
                      <a:fillRect/>
                    </a:stretch>
                  </pic:blipFill>
                  <pic:spPr bwMode="auto">
                    <a:xfrm>
                      <a:off x="0" y="0"/>
                      <a:ext cx="2614930" cy="5016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-215265</wp:posOffset>
            </wp:positionV>
            <wp:extent cx="3456305" cy="749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97">
                      <a:extLst>
                        <a:ext uri="{28A0092B-C50C-407E-A947-70E740481C1C}"/>
                      </a:extLst>
                    </a:blip>
                    <a:srcRect/>
                    <a:stretch>
                      <a:fillRect/>
                    </a:stretch>
                  </pic:blipFill>
                  <pic:spPr bwMode="auto">
                    <a:xfrm>
                      <a:off x="0" y="0"/>
                      <a:ext cx="3456305" cy="74930"/>
                    </a:xfrm>
                    <a:prstGeom prst="rect">
                      <a:avLst/>
                    </a:prstGeom>
                    <a:noFill/>
                  </pic:spPr>
                </pic:pic>
              </a:graphicData>
            </a:graphic>
          </wp:anchor>
        </w:drawing>
      </w:r>
    </w:p>
    <w:p>
      <w:pPr>
        <w:sectPr>
          <w:pgSz w:w="11880" w:h="15480" w:orient="portrait"/>
          <w:cols w:equalWidth="0" w:num="1">
            <w:col w:w="10080"/>
          </w:cols>
          <w:pgMar w:left="900" w:top="285" w:right="900"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231F20"/>
        </w:rPr>
        <w:t>Reconciliation of adjusted EBITDA</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Depreciation and amortization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24765</wp:posOffset>
                </wp:positionV>
                <wp:extent cx="6407785" cy="178435"/>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8435"/>
                        </a:xfrm>
                        <a:prstGeom prst="rect">
                          <a:avLst/>
                        </a:prstGeom>
                        <a:solidFill>
                          <a:srgbClr val="CFEBF4"/>
                        </a:solidFill>
                      </wps:spPr>
                      <wps:bodyPr/>
                    </wps:wsp>
                  </a:graphicData>
                </a:graphic>
              </wp:anchor>
            </w:drawing>
          </mc:Choice>
          <mc:Fallback>
            <w:pict>
              <v:rect id="Shape 232" o:spid="_x0000_s1257" style="position:absolute;margin-left:-0.2499pt;margin-top:1.95pt;width:504.5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Other expense, net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Stock-based compensation expense</w:t>
      </w:r>
      <w:r>
        <w:rPr>
          <w:rFonts w:ascii="Times New Roman" w:cs="Times New Roman" w:eastAsia="Times New Roman" w:hAnsi="Times New Roman"/>
          <w:sz w:val="25"/>
          <w:szCs w:val="25"/>
          <w:color w:val="231F20"/>
          <w:vertAlign w:val="superscript"/>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-10795</wp:posOffset>
                </wp:positionV>
                <wp:extent cx="6407785" cy="17780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7800"/>
                        </a:xfrm>
                        <a:prstGeom prst="rect">
                          <a:avLst/>
                        </a:prstGeom>
                        <a:solidFill>
                          <a:srgbClr val="CFEBF4"/>
                        </a:solidFill>
                      </wps:spPr>
                      <wps:bodyPr/>
                    </wps:wsp>
                  </a:graphicData>
                </a:graphic>
              </wp:anchor>
            </w:drawing>
          </mc:Choice>
          <mc:Fallback>
            <w:pict>
              <v:rect id="Shape 233" o:spid="_x0000_s1258" style="position:absolute;margin-left:-0.2499pt;margin-top:-0.8499pt;width:504.5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ind w:left="40"/>
        <w:spacing w:after="0"/>
        <w:rPr>
          <w:sz w:val="20"/>
          <w:szCs w:val="20"/>
          <w:color w:val="auto"/>
        </w:rPr>
      </w:pPr>
      <w:r>
        <w:rPr>
          <w:rFonts w:ascii="Times New Roman" w:cs="Times New Roman" w:eastAsia="Times New Roman" w:hAnsi="Times New Roman"/>
          <w:sz w:val="20"/>
          <w:szCs w:val="20"/>
          <w:color w:val="231F20"/>
        </w:rPr>
        <w:t>Unallocated amounts (Corporate):</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231F20"/>
        </w:rPr>
        <w:t>Selling, general and administrative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32385</wp:posOffset>
                </wp:positionV>
                <wp:extent cx="6407785" cy="17843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785" cy="178435"/>
                        </a:xfrm>
                        <a:prstGeom prst="rect">
                          <a:avLst/>
                        </a:prstGeom>
                        <a:solidFill>
                          <a:srgbClr val="CFEBF4"/>
                        </a:solidFill>
                      </wps:spPr>
                      <wps:bodyPr/>
                    </wps:wsp>
                  </a:graphicData>
                </a:graphic>
              </wp:anchor>
            </w:drawing>
          </mc:Choice>
          <mc:Fallback>
            <w:pict>
              <v:rect id="Shape 234" o:spid="_x0000_s1259" style="position:absolute;margin-left:-0.2499pt;margin-top:2.55pt;width:504.5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BF4" stroked="f"/>
            </w:pict>
          </mc:Fallback>
        </mc:AlternateConten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Interest expense, net</w:t>
      </w:r>
      <w:r>
        <w:rPr>
          <w:rFonts w:ascii="Times New Roman" w:cs="Times New Roman" w:eastAsia="Times New Roman" w:hAnsi="Times New Roman"/>
          <w:sz w:val="25"/>
          <w:szCs w:val="25"/>
          <w:color w:val="231F20"/>
          <w:vertAlign w:val="superscript"/>
        </w:rPr>
        <w:t>(4)</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408420" cy="1847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98">
                      <a:extLst>
                        <a:ext uri="{28A0092B-C50C-407E-A947-70E740481C1C}"/>
                      </a:extLst>
                    </a:blip>
                    <a:srcRect/>
                    <a:stretch>
                      <a:fillRect/>
                    </a:stretch>
                  </pic:blipFill>
                  <pic:spPr bwMode="auto">
                    <a:xfrm>
                      <a:off x="0" y="0"/>
                      <a:ext cx="6408420" cy="18478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Other income, net</w:t>
      </w:r>
    </w:p>
    <w:p>
      <w:pPr>
        <w:spacing w:after="0" w:line="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140.0</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82.9</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14.2</w:t>
      </w:r>
    </w:p>
    <w:p>
      <w:pPr>
        <w:spacing w:after="0" w:line="3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548.6</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389.3</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41.3</w:t>
      </w:r>
    </w:p>
    <w:p>
      <w:pPr>
        <w:spacing w:after="0" w:line="5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(57.8)</w:t>
      </w:r>
    </w:p>
    <w:p>
      <w:pPr>
        <w:spacing w:after="0" w:line="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6350</wp:posOffset>
            </wp:positionV>
            <wp:extent cx="81597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99">
                      <a:extLst>
                        <a:ext uri="{28A0092B-C50C-407E-A947-70E740481C1C}"/>
                      </a:extLst>
                    </a:blip>
                    <a:srcRect/>
                    <a:stretch>
                      <a:fillRect/>
                    </a:stretch>
                  </pic:blipFill>
                  <pic:spPr bwMode="auto">
                    <a:xfrm>
                      <a:off x="0" y="0"/>
                      <a:ext cx="815975" cy="12700"/>
                    </a:xfrm>
                    <a:prstGeom prst="rect">
                      <a:avLst/>
                    </a:prstGeom>
                    <a:noFill/>
                  </pic:spPr>
                </pic:pic>
              </a:graphicData>
            </a:graphic>
          </wp:anchor>
        </w:drawing>
      </w:r>
    </w:p>
    <w:p>
      <w:pPr>
        <w:spacing w:after="0" w:line="48" w:lineRule="exact"/>
        <w:rPr>
          <w:sz w:val="20"/>
          <w:szCs w:val="20"/>
          <w:color w:val="auto"/>
        </w:rPr>
      </w:pPr>
    </w:p>
    <w:p>
      <w:pPr>
        <w:sectPr>
          <w:pgSz w:w="11880" w:h="15480" w:orient="portrait"/>
          <w:cols w:equalWidth="0" w:num="2">
            <w:col w:w="8140" w:space="720"/>
            <w:col w:w="1220"/>
          </w:cols>
          <w:pgMar w:left="900" w:top="285" w:right="900" w:bottom="0" w:gutter="0" w:footer="0" w:header="0"/>
          <w:type w:val="continuous"/>
        </w:sectPr>
      </w:pPr>
    </w:p>
    <w:p>
      <w:pPr>
        <w:ind w:left="580" w:right="40" w:hanging="268"/>
        <w:spacing w:after="0" w:line="221" w:lineRule="auto"/>
        <w:tabs>
          <w:tab w:leader="none" w:pos="504" w:val="left"/>
        </w:tabs>
        <w:numPr>
          <w:ilvl w:val="0"/>
          <w:numId w:val="36"/>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Selling, general and administrative payroll expenses includes salaries, benefits, commissions, incentives, temporary labor, and other payroll expenses.</w:t>
      </w:r>
    </w:p>
    <w:p>
      <w:pPr>
        <w:spacing w:after="0" w:line="44" w:lineRule="exact"/>
        <w:rPr>
          <w:rFonts w:ascii="Times New Roman" w:cs="Times New Roman" w:eastAsia="Times New Roman" w:hAnsi="Times New Roman"/>
          <w:sz w:val="23"/>
          <w:szCs w:val="23"/>
          <w:color w:val="231F20"/>
          <w:vertAlign w:val="superscript"/>
        </w:rPr>
      </w:pPr>
    </w:p>
    <w:p>
      <w:pPr>
        <w:ind w:left="580" w:right="40" w:hanging="268"/>
        <w:spacing w:after="0" w:line="253" w:lineRule="auto"/>
        <w:tabs>
          <w:tab w:leader="none" w:pos="477" w:val="left"/>
        </w:tabs>
        <w:numPr>
          <w:ilvl w:val="0"/>
          <w:numId w:val="36"/>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spacing w:after="0" w:line="223" w:lineRule="exact"/>
        <w:rPr>
          <w:rFonts w:ascii="Times New Roman" w:cs="Times New Roman" w:eastAsia="Times New Roman" w:hAnsi="Times New Roman"/>
          <w:sz w:val="21"/>
          <w:szCs w:val="21"/>
          <w:color w:val="231F20"/>
          <w:vertAlign w:val="superscript"/>
        </w:rPr>
      </w:pPr>
    </w:p>
    <w:p>
      <w:pPr>
        <w:ind w:left="580" w:right="40" w:hanging="268"/>
        <w:spacing w:after="0" w:line="233" w:lineRule="auto"/>
        <w:tabs>
          <w:tab w:leader="none" w:pos="487" w:val="left"/>
        </w:tabs>
        <w:numPr>
          <w:ilvl w:val="0"/>
          <w:numId w:val="36"/>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Stock-based compensation expense is excluded from selling, general and administrative payroll expenses, as this is an adjustment to calculate adjusted EBITDA.</w:t>
      </w:r>
    </w:p>
    <w:p>
      <w:pPr>
        <w:spacing w:after="0" w:line="39" w:lineRule="exact"/>
        <w:rPr>
          <w:rFonts w:ascii="Times New Roman" w:cs="Times New Roman" w:eastAsia="Times New Roman" w:hAnsi="Times New Roman"/>
          <w:sz w:val="22"/>
          <w:szCs w:val="22"/>
          <w:color w:val="231F20"/>
          <w:vertAlign w:val="superscript"/>
        </w:rPr>
      </w:pPr>
    </w:p>
    <w:p>
      <w:pPr>
        <w:ind w:left="480" w:hanging="168"/>
        <w:spacing w:after="0"/>
        <w:tabs>
          <w:tab w:leader="none" w:pos="480" w:val="left"/>
        </w:tabs>
        <w:numPr>
          <w:ilvl w:val="0"/>
          <w:numId w:val="36"/>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5588000</wp:posOffset>
                </wp:positionH>
                <wp:positionV relativeFrom="paragraph">
                  <wp:posOffset>-1301115</wp:posOffset>
                </wp:positionV>
                <wp:extent cx="81597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975"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102.4499pt" to="504.25pt,-102.4499pt" o:allowincell="f" strokecolor="#231F20" strokeweight="0.985pt"/>
            </w:pict>
          </mc:Fallback>
        </mc:AlternateConten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The following table sets forth depreciation and amortization by reportable segment for the periods presented:</w:t>
      </w:r>
    </w:p>
    <w:p>
      <w:pPr>
        <w:spacing w:after="0" w:line="233"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80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900" w:type="dxa"/>
            <w:vAlign w:val="bottom"/>
            <w:tcBorders>
              <w:bottom w:val="single" w:sz="8" w:color="231F20"/>
            </w:tcBorders>
          </w:tcPr>
          <w:p>
            <w:pPr>
              <w:spacing w:after="0"/>
              <w:rPr>
                <w:sz w:val="20"/>
                <w:szCs w:val="20"/>
                <w:color w:val="auto"/>
              </w:rPr>
            </w:pPr>
          </w:p>
        </w:tc>
      </w:tr>
      <w:tr>
        <w:trPr>
          <w:trHeight w:val="276"/>
        </w:trPr>
        <w:tc>
          <w:tcPr>
            <w:tcW w:w="33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Borders>
              <w:bottom w:val="single" w:sz="8" w:color="CFEBF4"/>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33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EES</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50.5</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46.4</w:t>
            </w:r>
          </w:p>
        </w:tc>
        <w:tc>
          <w:tcPr>
            <w:tcW w:w="460" w:type="dxa"/>
            <w:vAlign w:val="bottom"/>
            <w:gridSpan w:val="2"/>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42.9</w:t>
            </w:r>
          </w:p>
        </w:tc>
      </w:tr>
      <w:tr>
        <w:trPr>
          <w:trHeight w:val="290"/>
        </w:trPr>
        <w:tc>
          <w:tcPr>
            <w:tcW w:w="33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CSS</w:t>
            </w:r>
          </w:p>
        </w:tc>
        <w:tc>
          <w:tcPr>
            <w:tcW w:w="300" w:type="dxa"/>
            <w:vAlign w:val="bottom"/>
          </w:tcPr>
          <w:p>
            <w:pPr>
              <w:spacing w:after="0"/>
              <w:rPr>
                <w:sz w:val="24"/>
                <w:szCs w:val="2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77.7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71.9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72.1</w:t>
            </w:r>
          </w:p>
        </w:tc>
      </w:tr>
      <w:tr>
        <w:trPr>
          <w:trHeight w:val="291"/>
        </w:trPr>
        <w:tc>
          <w:tcPr>
            <w:tcW w:w="33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UBS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32.6</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28.5</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25.0</w:t>
            </w:r>
          </w:p>
        </w:tc>
      </w:tr>
      <w:tr>
        <w:trPr>
          <w:trHeight w:val="280"/>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Reportable segments total</w:t>
            </w:r>
          </w:p>
        </w:tc>
        <w:tc>
          <w:tcPr>
            <w:tcW w:w="300" w:type="dxa"/>
            <w:vAlign w:val="bottom"/>
          </w:tcPr>
          <w:p>
            <w:pPr>
              <w:spacing w:after="0"/>
              <w:rPr>
                <w:sz w:val="24"/>
                <w:szCs w:val="2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160.8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146.8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140.0</w:t>
            </w:r>
          </w:p>
        </w:tc>
      </w:tr>
      <w:tr>
        <w:trPr>
          <w:trHeight w:val="291"/>
        </w:trPr>
        <w:tc>
          <w:tcPr>
            <w:tcW w:w="33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Corporate</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36.8</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36.4</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41.3</w:t>
            </w:r>
          </w:p>
        </w:tc>
      </w:tr>
      <w:tr>
        <w:trPr>
          <w:trHeight w:val="256"/>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Total</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197.6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183.2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181.3</w:t>
            </w:r>
          </w:p>
        </w:tc>
      </w:tr>
      <w:tr>
        <w:trPr>
          <w:trHeight w:val="20"/>
        </w:trPr>
        <w:tc>
          <w:tcPr>
            <w:tcW w:w="33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-1169035</wp:posOffset>
            </wp:positionV>
            <wp:extent cx="2592705" cy="501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0">
                      <a:extLst>
                        <a:ext uri="{28A0092B-C50C-407E-A947-70E740481C1C}"/>
                      </a:extLst>
                    </a:blip>
                    <a:srcRect/>
                    <a:stretch>
                      <a:fillRect/>
                    </a:stretch>
                  </pic:blipFill>
                  <pic:spPr bwMode="auto">
                    <a:xfrm>
                      <a:off x="0" y="0"/>
                      <a:ext cx="2592705" cy="5016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-606425</wp:posOffset>
            </wp:positionV>
            <wp:extent cx="1751330" cy="501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1">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-231140</wp:posOffset>
            </wp:positionV>
            <wp:extent cx="1751330" cy="501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2">
                      <a:extLst>
                        <a:ext uri="{28A0092B-C50C-407E-A947-70E740481C1C}"/>
                      </a:extLst>
                    </a:blip>
                    <a:srcRect/>
                    <a:stretch>
                      <a:fillRect/>
                    </a:stretch>
                  </pic:blipFill>
                  <pic:spPr bwMode="auto">
                    <a:xfrm>
                      <a:off x="0" y="0"/>
                      <a:ext cx="1751330" cy="50165"/>
                    </a:xfrm>
                    <a:prstGeom prst="rect">
                      <a:avLst/>
                    </a:prstGeom>
                    <a:noFill/>
                  </pic:spPr>
                </pic:pic>
              </a:graphicData>
            </a:graphic>
          </wp:anchor>
        </w:drawing>
      </w:r>
    </w:p>
    <w:p>
      <w:pPr>
        <w:sectPr>
          <w:pgSz w:w="11880" w:h="15480" w:orient="portrait"/>
          <w:cols w:equalWidth="0" w:num="1">
            <w:col w:w="10080"/>
          </w:cols>
          <w:pgMar w:left="900" w:top="285"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080"/>
          </w:cols>
          <w:pgMar w:left="900" w:top="285" w:right="90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231F20"/>
        </w:rPr>
        <w:t>WESCO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STATEMENTS—(CONTINUED)</w:t>
      </w:r>
    </w:p>
    <w:p>
      <w:pPr>
        <w:spacing w:after="0" w:line="302"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following table sets forth other (income) expense, net by reportable segment for the periods presented, which primarily consists of net foreign currency exchange (gains) losses and the gain on the divestiture of the WIS business for the year ended December 31, 2024:</w:t>
      </w:r>
    </w:p>
    <w:p>
      <w:pPr>
        <w:spacing w:after="0" w:line="186"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80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900" w:type="dxa"/>
            <w:vAlign w:val="bottom"/>
            <w:tcBorders>
              <w:bottom w:val="single" w:sz="8" w:color="231F20"/>
            </w:tcBorders>
          </w:tcPr>
          <w:p>
            <w:pPr>
              <w:spacing w:after="0"/>
              <w:rPr>
                <w:sz w:val="20"/>
                <w:szCs w:val="20"/>
                <w:color w:val="auto"/>
              </w:rPr>
            </w:pPr>
          </w:p>
        </w:tc>
      </w:tr>
      <w:tr>
        <w:trPr>
          <w:trHeight w:val="276"/>
        </w:trPr>
        <w:tc>
          <w:tcPr>
            <w:tcW w:w="33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Borders>
              <w:bottom w:val="single" w:sz="8" w:color="CFEBF4"/>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33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EES</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16.0</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9.1</w:t>
            </w:r>
          </w:p>
        </w:tc>
        <w:tc>
          <w:tcPr>
            <w:tcW w:w="460" w:type="dxa"/>
            <w:vAlign w:val="bottom"/>
            <w:gridSpan w:val="2"/>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10.1</w:t>
            </w:r>
          </w:p>
        </w:tc>
      </w:tr>
      <w:tr>
        <w:trPr>
          <w:trHeight w:val="290"/>
        </w:trPr>
        <w:tc>
          <w:tcPr>
            <w:tcW w:w="33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CSS</w:t>
            </w:r>
          </w:p>
        </w:tc>
        <w:tc>
          <w:tcPr>
            <w:tcW w:w="300" w:type="dxa"/>
            <w:vAlign w:val="bottom"/>
          </w:tcPr>
          <w:p>
            <w:pPr>
              <w:spacing w:after="0"/>
              <w:rPr>
                <w:sz w:val="24"/>
                <w:szCs w:val="2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64.4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61.2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74.2</w:t>
            </w:r>
          </w:p>
        </w:tc>
      </w:tr>
      <w:tr>
        <w:trPr>
          <w:trHeight w:val="291"/>
        </w:trPr>
        <w:tc>
          <w:tcPr>
            <w:tcW w:w="33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UBS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(2.6)</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(121.2)</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(1.4)</w:t>
            </w:r>
          </w:p>
        </w:tc>
      </w:tr>
      <w:tr>
        <w:trPr>
          <w:trHeight w:val="280"/>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Reportable segments total</w:t>
            </w:r>
          </w:p>
        </w:tc>
        <w:tc>
          <w:tcPr>
            <w:tcW w:w="300" w:type="dxa"/>
            <w:vAlign w:val="bottom"/>
          </w:tcPr>
          <w:p>
            <w:pPr>
              <w:spacing w:after="0"/>
              <w:rPr>
                <w:sz w:val="24"/>
                <w:szCs w:val="2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77.8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(50.9)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82.9</w:t>
            </w:r>
          </w:p>
        </w:tc>
      </w:tr>
      <w:tr>
        <w:trPr>
          <w:trHeight w:val="291"/>
        </w:trPr>
        <w:tc>
          <w:tcPr>
            <w:tcW w:w="33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Corporate</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(87.4)</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(41.8)</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(57.8)</w:t>
            </w:r>
          </w:p>
        </w:tc>
      </w:tr>
      <w:tr>
        <w:trPr>
          <w:trHeight w:val="256"/>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Total</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(9.6)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(92.7)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25.1</w:t>
            </w:r>
          </w:p>
        </w:tc>
      </w:tr>
      <w:tr>
        <w:trPr>
          <w:trHeight w:val="20"/>
        </w:trPr>
        <w:tc>
          <w:tcPr>
            <w:tcW w:w="33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-1169035</wp:posOffset>
            </wp:positionV>
            <wp:extent cx="2592705" cy="501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03">
                      <a:extLst>
                        <a:ext uri="{28A0092B-C50C-407E-A947-70E740481C1C}"/>
                      </a:extLst>
                    </a:blip>
                    <a:srcRect/>
                    <a:stretch>
                      <a:fillRect/>
                    </a:stretch>
                  </pic:blipFill>
                  <pic:spPr bwMode="auto">
                    <a:xfrm>
                      <a:off x="0" y="0"/>
                      <a:ext cx="2592705" cy="5016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-606425</wp:posOffset>
            </wp:positionV>
            <wp:extent cx="1751330" cy="501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4">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-231140</wp:posOffset>
            </wp:positionV>
            <wp:extent cx="1751330" cy="501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05">
                      <a:extLst>
                        <a:ext uri="{28A0092B-C50C-407E-A947-70E740481C1C}"/>
                      </a:extLst>
                    </a:blip>
                    <a:srcRect/>
                    <a:stretch>
                      <a:fillRect/>
                    </a:stretch>
                  </pic:blipFill>
                  <pic:spPr bwMode="auto">
                    <a:xfrm>
                      <a:off x="0" y="0"/>
                      <a:ext cx="1751330" cy="50165"/>
                    </a:xfrm>
                    <a:prstGeom prst="rect">
                      <a:avLst/>
                    </a:prstGeom>
                    <a:noFill/>
                  </pic:spPr>
                </pic:pic>
              </a:graphicData>
            </a:graphic>
          </wp:anchor>
        </w:drawing>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capital expenditures by reportable segment for the periods presented:</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80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900" w:type="dxa"/>
            <w:vAlign w:val="bottom"/>
            <w:tcBorders>
              <w:bottom w:val="single" w:sz="8" w:color="231F20"/>
            </w:tcBorders>
          </w:tcPr>
          <w:p>
            <w:pPr>
              <w:spacing w:after="0"/>
              <w:rPr>
                <w:sz w:val="20"/>
                <w:szCs w:val="20"/>
                <w:color w:val="auto"/>
              </w:rPr>
            </w:pPr>
          </w:p>
        </w:tc>
      </w:tr>
      <w:tr>
        <w:trPr>
          <w:trHeight w:val="275"/>
        </w:trPr>
        <w:tc>
          <w:tcPr>
            <w:tcW w:w="33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Borders>
              <w:bottom w:val="single" w:sz="8" w:color="CFEBF4"/>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CFEBF4"/>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86"/>
        </w:trPr>
        <w:tc>
          <w:tcPr>
            <w:tcW w:w="33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EES</w:t>
            </w:r>
          </w:p>
        </w:tc>
        <w:tc>
          <w:tcPr>
            <w:tcW w:w="30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6.0</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4.5</w:t>
            </w:r>
          </w:p>
        </w:tc>
        <w:tc>
          <w:tcPr>
            <w:tcW w:w="460" w:type="dxa"/>
            <w:vAlign w:val="bottom"/>
            <w:gridSpan w:val="2"/>
            <w:shd w:val="clear" w:color="auto" w:fill="CFEBF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10.3</w:t>
            </w:r>
          </w:p>
        </w:tc>
      </w:tr>
      <w:tr>
        <w:trPr>
          <w:trHeight w:val="290"/>
        </w:trPr>
        <w:tc>
          <w:tcPr>
            <w:tcW w:w="33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CSS</w:t>
            </w:r>
          </w:p>
        </w:tc>
        <w:tc>
          <w:tcPr>
            <w:tcW w:w="300" w:type="dxa"/>
            <w:vAlign w:val="bottom"/>
          </w:tcPr>
          <w:p>
            <w:pPr>
              <w:spacing w:after="0"/>
              <w:rPr>
                <w:sz w:val="24"/>
                <w:szCs w:val="2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19.2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7.9</w:t>
            </w:r>
          </w:p>
        </w:tc>
      </w:tr>
      <w:tr>
        <w:trPr>
          <w:trHeight w:val="291"/>
        </w:trPr>
        <w:tc>
          <w:tcPr>
            <w:tcW w:w="33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UBS</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18.3</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15.8</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19.5</w:t>
            </w:r>
          </w:p>
        </w:tc>
      </w:tr>
      <w:tr>
        <w:trPr>
          <w:trHeight w:val="280"/>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Reportable segments total</w:t>
            </w:r>
          </w:p>
        </w:tc>
        <w:tc>
          <w:tcPr>
            <w:tcW w:w="300" w:type="dxa"/>
            <w:vAlign w:val="bottom"/>
          </w:tcPr>
          <w:p>
            <w:pPr>
              <w:spacing w:after="0"/>
              <w:rPr>
                <w:sz w:val="24"/>
                <w:szCs w:val="2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32.4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39.5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37.7</w:t>
            </w:r>
          </w:p>
        </w:tc>
      </w:tr>
      <w:tr>
        <w:trPr>
          <w:trHeight w:val="291"/>
        </w:trPr>
        <w:tc>
          <w:tcPr>
            <w:tcW w:w="33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Corporate</w:t>
            </w: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4"/>
              <w:spacing w:after="0"/>
              <w:rPr>
                <w:sz w:val="20"/>
                <w:szCs w:val="20"/>
                <w:color w:val="auto"/>
              </w:rPr>
            </w:pPr>
            <w:r>
              <w:rPr>
                <w:rFonts w:ascii="Times New Roman" w:cs="Times New Roman" w:eastAsia="Times New Roman" w:hAnsi="Times New Roman"/>
                <w:sz w:val="20"/>
                <w:szCs w:val="20"/>
                <w:color w:val="231F20"/>
              </w:rPr>
              <w:t>67.4</w:t>
            </w:r>
          </w:p>
        </w:tc>
        <w:tc>
          <w:tcPr>
            <w:tcW w:w="80" w:type="dxa"/>
            <w:vAlign w:val="bottom"/>
            <w:tcBorders>
              <w:bottom w:val="single" w:sz="8" w:color="CFEBF4"/>
            </w:tcBorders>
            <w:shd w:val="clear" w:color="auto" w:fill="CFEBF4"/>
          </w:tcPr>
          <w:p>
            <w:pPr>
              <w:spacing w:after="0"/>
              <w:rPr>
                <w:sz w:val="24"/>
                <w:szCs w:val="24"/>
                <w:color w:val="auto"/>
              </w:rPr>
            </w:pPr>
          </w:p>
        </w:tc>
        <w:tc>
          <w:tcPr>
            <w:tcW w:w="30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55.2</w:t>
            </w:r>
          </w:p>
        </w:tc>
        <w:tc>
          <w:tcPr>
            <w:tcW w:w="80" w:type="dxa"/>
            <w:vAlign w:val="bottom"/>
            <w:tcBorders>
              <w:bottom w:val="single" w:sz="8" w:color="CFEBF4"/>
            </w:tcBorders>
            <w:shd w:val="clear" w:color="auto" w:fill="CFEBF4"/>
          </w:tcPr>
          <w:p>
            <w:pPr>
              <w:spacing w:after="0"/>
              <w:rPr>
                <w:sz w:val="24"/>
                <w:szCs w:val="24"/>
                <w:color w:val="auto"/>
              </w:rPr>
            </w:pPr>
          </w:p>
        </w:tc>
        <w:tc>
          <w:tcPr>
            <w:tcW w:w="380" w:type="dxa"/>
            <w:vAlign w:val="bottom"/>
            <w:tcBorders>
              <w:bottom w:val="single" w:sz="8" w:color="231F20"/>
            </w:tcBorders>
            <w:shd w:val="clear" w:color="auto" w:fill="CFEBF4"/>
          </w:tcPr>
          <w:p>
            <w:pPr>
              <w:spacing w:after="0"/>
              <w:rPr>
                <w:sz w:val="24"/>
                <w:szCs w:val="24"/>
                <w:color w:val="auto"/>
              </w:rPr>
            </w:pPr>
          </w:p>
        </w:tc>
        <w:tc>
          <w:tcPr>
            <w:tcW w:w="900" w:type="dxa"/>
            <w:vAlign w:val="bottom"/>
            <w:tcBorders>
              <w:bottom w:val="single" w:sz="8" w:color="231F20"/>
            </w:tcBorders>
            <w:shd w:val="clear" w:color="auto" w:fill="CFEBF4"/>
          </w:tcPr>
          <w:p>
            <w:pPr>
              <w:jc w:val="right"/>
              <w:ind w:right="43"/>
              <w:spacing w:after="0"/>
              <w:rPr>
                <w:sz w:val="20"/>
                <w:szCs w:val="20"/>
                <w:color w:val="auto"/>
              </w:rPr>
            </w:pPr>
            <w:r>
              <w:rPr>
                <w:rFonts w:ascii="Times New Roman" w:cs="Times New Roman" w:eastAsia="Times New Roman" w:hAnsi="Times New Roman"/>
                <w:sz w:val="20"/>
                <w:szCs w:val="20"/>
                <w:color w:val="231F20"/>
              </w:rPr>
              <w:t>54.6</w:t>
            </w:r>
          </w:p>
        </w:tc>
      </w:tr>
      <w:tr>
        <w:trPr>
          <w:trHeight w:val="256"/>
        </w:trPr>
        <w:tc>
          <w:tcPr>
            <w:tcW w:w="33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Total</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rPr>
              <w:t>99.8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94.7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92.3</w:t>
            </w:r>
          </w:p>
        </w:tc>
      </w:tr>
      <w:tr>
        <w:trPr>
          <w:trHeight w:val="20"/>
        </w:trPr>
        <w:tc>
          <w:tcPr>
            <w:tcW w:w="33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-1169035</wp:posOffset>
            </wp:positionV>
            <wp:extent cx="2592705" cy="501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06">
                      <a:extLst>
                        <a:ext uri="{28A0092B-C50C-407E-A947-70E740481C1C}"/>
                      </a:extLst>
                    </a:blip>
                    <a:srcRect/>
                    <a:stretch>
                      <a:fillRect/>
                    </a:stretch>
                  </pic:blipFill>
                  <pic:spPr bwMode="auto">
                    <a:xfrm>
                      <a:off x="0" y="0"/>
                      <a:ext cx="2592705" cy="5016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-606425</wp:posOffset>
            </wp:positionV>
            <wp:extent cx="1751330" cy="501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07">
                      <a:extLst>
                        <a:ext uri="{28A0092B-C50C-407E-A947-70E740481C1C}"/>
                      </a:extLst>
                    </a:blip>
                    <a:srcRect/>
                    <a:stretch>
                      <a:fillRect/>
                    </a:stretch>
                  </pic:blipFill>
                  <pic:spPr bwMode="auto">
                    <a:xfrm>
                      <a:off x="0" y="0"/>
                      <a:ext cx="1751330" cy="5016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-231140</wp:posOffset>
            </wp:positionV>
            <wp:extent cx="1751330" cy="501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08">
                      <a:extLst>
                        <a:ext uri="{28A0092B-C50C-407E-A947-70E740481C1C}"/>
                      </a:extLst>
                    </a:blip>
                    <a:srcRect/>
                    <a:stretch>
                      <a:fillRect/>
                    </a:stretch>
                  </pic:blipFill>
                  <pic:spPr bwMode="auto">
                    <a:xfrm>
                      <a:off x="0" y="0"/>
                      <a:ext cx="1751330" cy="50165"/>
                    </a:xfrm>
                    <a:prstGeom prst="rect">
                      <a:avLst/>
                    </a:prstGeom>
                    <a:noFill/>
                  </pic:spPr>
                </pic:pic>
              </a:graphicData>
            </a:graphic>
          </wp:anchor>
        </w:drawing>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The following table sets forth total assets by reportable segment for the periods presented:</w:t>
      </w:r>
    </w:p>
    <w:p>
      <w:pPr>
        <w:spacing w:after="0" w:line="1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231F20"/>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3217545</wp:posOffset>
                </wp:positionH>
                <wp:positionV relativeFrom="paragraph">
                  <wp:posOffset>25400</wp:posOffset>
                </wp:positionV>
                <wp:extent cx="167957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9575" cy="4763"/>
                        </a:xfrm>
                        <a:prstGeom prst="line">
                          <a:avLst/>
                        </a:prstGeom>
                        <a:solidFill>
                          <a:srgbClr val="FFFFFF"/>
                        </a:solidFill>
                        <a:ln w="12515">
                          <a:solidFill>
                            <a:srgbClr val="231F2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35pt,2pt" to="385.6pt,2pt" o:allowincell="f" strokecolor="#231F20" strokeweight="0.9854pt"/>
            </w:pict>
          </mc:Fallback>
        </mc:AlternateContent>
      </w:r>
    </w:p>
    <w:p>
      <w:pPr>
        <w:spacing w:after="0" w:line="69" w:lineRule="exact"/>
        <w:rPr>
          <w:sz w:val="20"/>
          <w:szCs w:val="20"/>
          <w:color w:val="auto"/>
        </w:rPr>
      </w:pPr>
    </w:p>
    <w:tbl>
      <w:tblPr>
        <w:tblLayout w:type="fixed"/>
        <w:tblInd w:w="2400" w:type="dxa"/>
        <w:tblCellMar>
          <w:top w:w="0" w:type="dxa"/>
          <w:left w:w="0" w:type="dxa"/>
          <w:bottom w:w="0" w:type="dxa"/>
          <w:right w:w="0" w:type="dxa"/>
        </w:tblCellMar>
      </w:tblPr>
      <w:tr>
        <w:trPr>
          <w:trHeight w:val="238"/>
        </w:trPr>
        <w:tc>
          <w:tcPr>
            <w:tcW w:w="266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Borders>
              <w:bottom w:val="single" w:sz="8" w:color="CFEBF4"/>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300"/>
        </w:trPr>
        <w:tc>
          <w:tcPr>
            <w:tcW w:w="26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4,860.8</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4,431.8</w:t>
            </w:r>
          </w:p>
        </w:tc>
      </w:tr>
      <w:tr>
        <w:trPr>
          <w:trHeight w:val="304"/>
        </w:trPr>
        <w:tc>
          <w:tcPr>
            <w:tcW w:w="26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CSS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6,827.0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6,034.7</w:t>
            </w:r>
          </w:p>
        </w:tc>
      </w:tr>
      <w:tr>
        <w:trPr>
          <w:trHeight w:val="306"/>
        </w:trPr>
        <w:tc>
          <w:tcPr>
            <w:tcW w:w="26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UBS</w:t>
            </w: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3,798.6</w:t>
            </w:r>
          </w:p>
        </w:tc>
        <w:tc>
          <w:tcPr>
            <w:tcW w:w="6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3,497.5</w:t>
            </w:r>
          </w:p>
        </w:tc>
      </w:tr>
      <w:tr>
        <w:trPr>
          <w:trHeight w:val="294"/>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Reportable segments total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15,486.4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13,964.0</w:t>
            </w:r>
          </w:p>
        </w:tc>
      </w:tr>
      <w:tr>
        <w:trPr>
          <w:trHeight w:val="306"/>
        </w:trPr>
        <w:tc>
          <w:tcPr>
            <w:tcW w:w="26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Corporate</w:t>
            </w:r>
            <w:r>
              <w:rPr>
                <w:rFonts w:ascii="Times New Roman" w:cs="Times New Roman" w:eastAsia="Times New Roman" w:hAnsi="Times New Roman"/>
                <w:sz w:val="25"/>
                <w:szCs w:val="25"/>
                <w:color w:val="231F20"/>
                <w:vertAlign w:val="superscript"/>
              </w:rPr>
              <w:t>(1)</w:t>
            </w: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1,008.5</w:t>
            </w:r>
          </w:p>
        </w:tc>
        <w:tc>
          <w:tcPr>
            <w:tcW w:w="6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1,097.4</w:t>
            </w:r>
          </w:p>
        </w:tc>
      </w:tr>
      <w:tr>
        <w:trPr>
          <w:trHeight w:val="271"/>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Total</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16,494.9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15,061.4</w:t>
            </w:r>
          </w:p>
        </w:tc>
      </w:tr>
      <w:tr>
        <w:trPr>
          <w:trHeight w:val="20"/>
        </w:trPr>
        <w:tc>
          <w:tcPr>
            <w:tcW w:w="26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-1225550</wp:posOffset>
            </wp:positionV>
            <wp:extent cx="1729740" cy="501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09">
                      <a:extLst>
                        <a:ext uri="{28A0092B-C50C-407E-A947-70E740481C1C}"/>
                      </a:extLst>
                    </a:blip>
                    <a:srcRect/>
                    <a:stretch>
                      <a:fillRect/>
                    </a:stretch>
                  </pic:blipFill>
                  <pic:spPr bwMode="auto">
                    <a:xfrm>
                      <a:off x="0" y="0"/>
                      <a:ext cx="1729740" cy="5016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-634365</wp:posOffset>
            </wp:positionV>
            <wp:extent cx="888365" cy="501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10">
                      <a:extLst>
                        <a:ext uri="{28A0092B-C50C-407E-A947-70E740481C1C}"/>
                      </a:extLst>
                    </a:blip>
                    <a:srcRect/>
                    <a:stretch>
                      <a:fillRect/>
                    </a:stretch>
                  </pic:blipFill>
                  <pic:spPr bwMode="auto">
                    <a:xfrm>
                      <a:off x="0" y="0"/>
                      <a:ext cx="888365" cy="5016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-240030</wp:posOffset>
            </wp:positionV>
            <wp:extent cx="888365" cy="501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11">
                      <a:extLst>
                        <a:ext uri="{28A0092B-C50C-407E-A947-70E740481C1C}"/>
                      </a:extLst>
                    </a:blip>
                    <a:srcRect/>
                    <a:stretch>
                      <a:fillRect/>
                    </a:stretch>
                  </pic:blipFill>
                  <pic:spPr bwMode="auto">
                    <a:xfrm>
                      <a:off x="0" y="0"/>
                      <a:ext cx="888365" cy="50165"/>
                    </a:xfrm>
                    <a:prstGeom prst="rect">
                      <a:avLst/>
                    </a:prstGeom>
                    <a:noFill/>
                  </pic:spPr>
                </pic:pic>
              </a:graphicData>
            </a:graphic>
          </wp:anchor>
        </w:drawing>
      </w:r>
    </w:p>
    <w:p>
      <w:pPr>
        <w:spacing w:after="0" w:line="4" w:lineRule="exact"/>
        <w:rPr>
          <w:sz w:val="20"/>
          <w:szCs w:val="20"/>
          <w:color w:val="auto"/>
        </w:rPr>
      </w:pPr>
    </w:p>
    <w:p>
      <w:pPr>
        <w:ind w:left="540" w:right="200" w:hanging="267"/>
        <w:spacing w:after="0" w:line="211" w:lineRule="auto"/>
        <w:tabs>
          <w:tab w:leader="none" w:pos="540" w:val="left"/>
        </w:tabs>
        <w:numPr>
          <w:ilvl w:val="0"/>
          <w:numId w:val="37"/>
        </w:numPr>
        <w:rPr>
          <w:rFonts w:ascii="Calibri" w:cs="Calibri" w:eastAsia="Calibri" w:hAnsi="Calibri"/>
          <w:sz w:val="23"/>
          <w:szCs w:val="23"/>
          <w:color w:val="231F20"/>
          <w:vertAlign w:val="superscript"/>
        </w:rPr>
      </w:pPr>
      <w:r>
        <w:rPr>
          <w:rFonts w:ascii="Times New Roman" w:cs="Times New Roman" w:eastAsia="Times New Roman" w:hAnsi="Times New Roman"/>
          <w:sz w:val="18"/>
          <w:szCs w:val="18"/>
          <w:color w:val="231F20"/>
        </w:rPr>
        <w:t>Total assets for Corporate primarily consist of cash and cash equivalents, deferred income taxes, property, buildings and equipment, capitalized cloud computing arrangement costs and pension assets.</w:t>
      </w:r>
    </w:p>
    <w:p>
      <w:pPr>
        <w:spacing w:after="0" w:line="71" w:lineRule="exact"/>
        <w:rPr>
          <w:sz w:val="20"/>
          <w:szCs w:val="20"/>
          <w:color w:val="auto"/>
        </w:rPr>
      </w:pPr>
    </w:p>
    <w:p>
      <w:pPr>
        <w:ind w:right="320"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sets forth tangible long-lived assets, which include property, buildings and equipment, and operating lease assets, by geographic area:</w:t>
      </w:r>
    </w:p>
    <w:p>
      <w:pPr>
        <w:spacing w:after="0" w:line="212" w:lineRule="exact"/>
        <w:rPr>
          <w:sz w:val="20"/>
          <w:szCs w:val="20"/>
          <w:color w:val="auto"/>
        </w:rPr>
      </w:pPr>
    </w:p>
    <w:tbl>
      <w:tblPr>
        <w:tblLayout w:type="fixed"/>
        <w:tblInd w:w="240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340" w:type="dxa"/>
            <w:vAlign w:val="bottom"/>
            <w:tcBorders>
              <w:bottom w:val="single" w:sz="8" w:color="231F20"/>
            </w:tcBorders>
            <w:gridSpan w:val="4"/>
          </w:tcPr>
          <w:p>
            <w:pPr>
              <w:jc w:val="right"/>
              <w:ind w:right="503"/>
              <w:spacing w:after="0"/>
              <w:rPr>
                <w:sz w:val="20"/>
                <w:szCs w:val="20"/>
                <w:color w:val="auto"/>
              </w:rPr>
            </w:pPr>
            <w:r>
              <w:rPr>
                <w:rFonts w:ascii="Times New Roman" w:cs="Times New Roman" w:eastAsia="Times New Roman" w:hAnsi="Times New Roman"/>
                <w:sz w:val="18"/>
                <w:szCs w:val="18"/>
                <w:b w:val="1"/>
                <w:bCs w:val="1"/>
                <w:color w:val="231F20"/>
              </w:rPr>
              <w:t>As of December 31,</w:t>
            </w:r>
          </w:p>
        </w:tc>
      </w:tr>
      <w:tr>
        <w:trPr>
          <w:trHeight w:val="276"/>
        </w:trPr>
        <w:tc>
          <w:tcPr>
            <w:tcW w:w="26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34"/>
        </w:trPr>
        <w:tc>
          <w:tcPr>
            <w:tcW w:w="26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3"/>
        </w:trPr>
        <w:tc>
          <w:tcPr>
            <w:tcW w:w="26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United States</w:t>
            </w:r>
          </w:p>
        </w:tc>
        <w:tc>
          <w:tcPr>
            <w:tcW w:w="320" w:type="dxa"/>
            <w:vAlign w:val="bottom"/>
            <w:shd w:val="clear" w:color="auto" w:fill="CFEBF4"/>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1,046.9</w:t>
            </w:r>
          </w:p>
        </w:tc>
        <w:tc>
          <w:tcPr>
            <w:tcW w:w="380" w:type="dxa"/>
            <w:vAlign w:val="bottom"/>
            <w:gridSpan w:val="2"/>
            <w:shd w:val="clear" w:color="auto" w:fill="CFEBF4"/>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893.9</w:t>
            </w:r>
          </w:p>
        </w:tc>
      </w:tr>
      <w:tr>
        <w:trPr>
          <w:trHeight w:val="290"/>
        </w:trPr>
        <w:tc>
          <w:tcPr>
            <w:tcW w:w="26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Canada</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177.5</w:t>
            </w:r>
          </w:p>
        </w:tc>
      </w:tr>
      <w:tr>
        <w:trPr>
          <w:trHeight w:val="292"/>
        </w:trPr>
        <w:tc>
          <w:tcPr>
            <w:tcW w:w="266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Other International</w:t>
            </w:r>
            <w:r>
              <w:rPr>
                <w:rFonts w:ascii="Times New Roman" w:cs="Times New Roman" w:eastAsia="Times New Roman" w:hAnsi="Times New Roman"/>
                <w:sz w:val="25"/>
                <w:szCs w:val="25"/>
                <w:color w:val="231F20"/>
                <w:vertAlign w:val="superscript"/>
              </w:rPr>
              <w:t>(1)</w:t>
            </w: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140.9</w:t>
            </w:r>
          </w:p>
        </w:tc>
        <w:tc>
          <w:tcPr>
            <w:tcW w:w="60" w:type="dxa"/>
            <w:vAlign w:val="bottom"/>
            <w:tcBorders>
              <w:bottom w:val="single" w:sz="8" w:color="CFEBF4"/>
            </w:tcBorders>
            <w:shd w:val="clear" w:color="auto" w:fill="CFEBF4"/>
          </w:tcPr>
          <w:p>
            <w:pPr>
              <w:spacing w:after="0"/>
              <w:rPr>
                <w:sz w:val="24"/>
                <w:szCs w:val="24"/>
                <w:color w:val="auto"/>
              </w:rPr>
            </w:pPr>
          </w:p>
        </w:tc>
        <w:tc>
          <w:tcPr>
            <w:tcW w:w="320" w:type="dxa"/>
            <w:vAlign w:val="bottom"/>
            <w:tcBorders>
              <w:bottom w:val="single" w:sz="8" w:color="231F20"/>
            </w:tcBorders>
            <w:shd w:val="clear" w:color="auto" w:fill="CFEBF4"/>
          </w:tcPr>
          <w:p>
            <w:pPr>
              <w:spacing w:after="0"/>
              <w:rPr>
                <w:sz w:val="24"/>
                <w:szCs w:val="24"/>
                <w:color w:val="auto"/>
              </w:rPr>
            </w:pPr>
          </w:p>
        </w:tc>
        <w:tc>
          <w:tcPr>
            <w:tcW w:w="9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106.6</w:t>
            </w:r>
          </w:p>
        </w:tc>
      </w:tr>
      <w:tr>
        <w:trPr>
          <w:trHeight w:val="256"/>
        </w:trPr>
        <w:tc>
          <w:tcPr>
            <w:tcW w:w="26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Total</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1,178.0</w:t>
            </w:r>
          </w:p>
        </w:tc>
      </w:tr>
      <w:tr>
        <w:trPr>
          <w:trHeight w:val="20"/>
        </w:trPr>
        <w:tc>
          <w:tcPr>
            <w:tcW w:w="26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-231140</wp:posOffset>
            </wp:positionV>
            <wp:extent cx="888365" cy="50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12">
                      <a:extLst>
                        <a:ext uri="{28A0092B-C50C-407E-A947-70E740481C1C}"/>
                      </a:extLst>
                    </a:blip>
                    <a:srcRect/>
                    <a:stretch>
                      <a:fillRect/>
                    </a:stretch>
                  </pic:blipFill>
                  <pic:spPr bwMode="auto">
                    <a:xfrm>
                      <a:off x="0" y="0"/>
                      <a:ext cx="888365" cy="50165"/>
                    </a:xfrm>
                    <a:prstGeom prst="rect">
                      <a:avLst/>
                    </a:prstGeom>
                    <a:noFill/>
                  </pic:spPr>
                </pic:pic>
              </a:graphicData>
            </a:graphic>
          </wp:anchor>
        </w:drawing>
      </w:r>
    </w:p>
    <w:p>
      <w:pPr>
        <w:spacing w:after="0" w:line="21" w:lineRule="exact"/>
        <w:rPr>
          <w:sz w:val="20"/>
          <w:szCs w:val="20"/>
          <w:color w:val="auto"/>
        </w:rPr>
      </w:pPr>
    </w:p>
    <w:p>
      <w:pPr>
        <w:ind w:left="540" w:hanging="267"/>
        <w:spacing w:after="0"/>
        <w:tabs>
          <w:tab w:leader="none" w:pos="540" w:val="left"/>
        </w:tabs>
        <w:numPr>
          <w:ilvl w:val="0"/>
          <w:numId w:val="38"/>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No individual other international country’s tangible long-lived assets are material.</w:t>
      </w:r>
    </w:p>
    <w:p>
      <w:pPr>
        <w:sectPr>
          <w:pgSz w:w="11880" w:h="15480" w:orient="portrait"/>
          <w:cols w:equalWidth="0" w:num="1">
            <w:col w:w="10120"/>
          </w:cols>
          <w:pgMar w:left="880" w:top="28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120"/>
          </w:cols>
          <w:pgMar w:left="880" w:top="285" w:right="8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Conclusion Regarding the Effectiveness of Disclosure Controls and Procedures</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Under the supervision and with the participation of our management, including our principal executive officer and principal financial officer, we conducted an evaluation of our disclosure controls and procedures (as defined in Exchange Act Rules 13a-15(e) and 15d-15(e)). Based on this evaluation, our principal executive officer and our principal financial officer concluded that our disclosure controls and procedures were effective as of the end of the period covered by this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32" w:lineRule="exact"/>
        <w:rPr>
          <w:sz w:val="20"/>
          <w:szCs w:val="20"/>
          <w:color w:val="auto"/>
        </w:rPr>
      </w:pPr>
    </w:p>
    <w:p>
      <w:pPr>
        <w:jc w:val="both"/>
        <w:ind w:firstLine="266"/>
        <w:spacing w:after="0" w:line="249" w:lineRule="auto"/>
        <w:rPr>
          <w:sz w:val="20"/>
          <w:szCs w:val="20"/>
          <w:color w:val="auto"/>
        </w:rPr>
      </w:pPr>
      <w:r>
        <w:rPr>
          <w:rFonts w:ascii="Times New Roman" w:cs="Times New Roman" w:eastAsia="Times New Roman" w:hAnsi="Times New Roman"/>
          <w:sz w:val="20"/>
          <w:szCs w:val="20"/>
          <w:color w:val="231F20"/>
        </w:rPr>
        <w:t xml:space="preserve">Our management is responsible for establishing and maintaining adequate internal control over financial reporting as such term is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updated framework in </w:t>
      </w:r>
      <w:r>
        <w:rPr>
          <w:rFonts w:ascii="Times New Roman" w:cs="Times New Roman" w:eastAsia="Times New Roman" w:hAnsi="Times New Roman"/>
          <w:sz w:val="20"/>
          <w:szCs w:val="20"/>
          <w:i w:val="1"/>
          <w:iCs w:val="1"/>
          <w:color w:val="231F20"/>
        </w:rPr>
        <w:t>Internal Control — Integrated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Framework (2013) </w:t>
      </w:r>
      <w:r>
        <w:rPr>
          <w:rFonts w:ascii="Times New Roman" w:cs="Times New Roman" w:eastAsia="Times New Roman" w:hAnsi="Times New Roman"/>
          <w:sz w:val="20"/>
          <w:szCs w:val="20"/>
          <w:color w:val="231F20"/>
        </w:rPr>
        <w:t>(2013 Framework) issued by the Committee of Sponsoring Organizations of the Treadway Commission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May 14, 2013. Based on our evaluation under the 2013 Framework, our management concluded that our internal control over financial reporting was effective as of December 31, 2025.</w:t>
      </w:r>
    </w:p>
    <w:p>
      <w:pPr>
        <w:spacing w:after="0" w:line="96"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effectiveness of the Company’s internal control over financial reporting as of December 31, 2025 has been audited by PricewaterhouseCoopers LLP, an independent registered public accounting firm, as stated in their report, which is included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During the last fiscal quarter of 2025, there were no changes in the Company’s internal control over financial reporting identified in connection with management’s evaluation of the effectiveness of the Company’s internal control over financial reporting that have materially affected, or are reasonably likely to materially affect, the Company’s internal control over financial reporting.</w:t>
      </w:r>
    </w:p>
    <w:p>
      <w:pPr>
        <w:spacing w:after="0" w:line="8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During the last fiscal quarter of 2025, the Company continued its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spacing w:after="0" w:line="8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17" w:lineRule="exact"/>
        <w:rPr>
          <w:sz w:val="20"/>
          <w:szCs w:val="20"/>
          <w:color w:val="auto"/>
        </w:rPr>
      </w:pPr>
    </w:p>
    <w:p>
      <w:pPr>
        <w:jc w:val="both"/>
        <w:ind w:firstLine="266"/>
        <w:spacing w:after="0" w:line="267" w:lineRule="auto"/>
        <w:rPr>
          <w:sz w:val="20"/>
          <w:szCs w:val="20"/>
          <w:color w:val="auto"/>
        </w:rPr>
      </w:pPr>
      <w:r>
        <w:rPr>
          <w:rFonts w:ascii="Times New Roman" w:cs="Times New Roman" w:eastAsia="Times New Roman" w:hAnsi="Times New Roman"/>
          <w:sz w:val="20"/>
          <w:szCs w:val="20"/>
          <w:color w:val="231F20"/>
        </w:rPr>
        <w:t>During the three months ended December 31, 2025, none of our officers or Directors (as defined in Rule 16a</w:t>
      </w:r>
      <w:r>
        <w:rPr>
          <w:rFonts w:ascii="Arial" w:cs="Arial" w:eastAsia="Arial" w:hAnsi="Arial"/>
          <w:sz w:val="20"/>
          <w:szCs w:val="20"/>
          <w:color w:val="231F20"/>
        </w:rPr>
        <w:t>-</w:t>
      </w:r>
      <w:r>
        <w:rPr>
          <w:rFonts w:ascii="Times New Roman" w:cs="Times New Roman" w:eastAsia="Times New Roman" w:hAnsi="Times New Roman"/>
          <w:sz w:val="20"/>
          <w:szCs w:val="20"/>
          <w:color w:val="231F20"/>
        </w:rPr>
        <w:t>1(f)) adopted, modified and/or terminated a “Rule 10b5</w:t>
      </w:r>
      <w:r>
        <w:rPr>
          <w:rFonts w:ascii="Arial" w:cs="Arial" w:eastAsia="Arial" w:hAnsi="Arial"/>
          <w:sz w:val="20"/>
          <w:szCs w:val="20"/>
          <w:color w:val="231F20"/>
        </w:rPr>
        <w:t>-</w:t>
      </w:r>
      <w:r>
        <w:rPr>
          <w:rFonts w:ascii="Times New Roman" w:cs="Times New Roman" w:eastAsia="Times New Roman" w:hAnsi="Times New Roman"/>
          <w:sz w:val="20"/>
          <w:szCs w:val="20"/>
          <w:color w:val="231F20"/>
        </w:rPr>
        <w:t>1 trading arrangement” or a “non-Rule 10b5-1 trading arrangement,” as defined in Regulation S-K Item 408.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120"/>
          </w:cols>
          <w:pgMar w:left="880" w:top="6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120"/>
          </w:cols>
          <w:pgMar w:left="880" w:top="675" w:right="88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9"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information set forth under the captions “Board of Directors” and “Executive Officers” in our definitive Proxy Statement for our 2026 Annual Meeting of Stockholders is incorporated herein by reference.</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231F20"/>
        </w:rPr>
        <w:t>Codes of Business Conduct</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 xml:space="preserve">We have adopted a Code of Business Conduct (“Code of Conduct”) that applies to our Directors, officers and employees that is available on our website at </w:t>
      </w:r>
      <w:r>
        <w:rPr>
          <w:rFonts w:ascii="Times New Roman" w:cs="Times New Roman" w:eastAsia="Times New Roman" w:hAnsi="Times New Roman"/>
          <w:sz w:val="20"/>
          <w:szCs w:val="20"/>
          <w:u w:val="single" w:color="auto"/>
          <w:color w:val="231F20"/>
        </w:rPr>
        <w:t>www.wesco.com</w:t>
      </w:r>
      <w:r>
        <w:rPr>
          <w:rFonts w:ascii="Times New Roman" w:cs="Times New Roman" w:eastAsia="Times New Roman" w:hAnsi="Times New Roman"/>
          <w:sz w:val="20"/>
          <w:szCs w:val="20"/>
          <w:color w:val="231F20"/>
        </w:rPr>
        <w:t xml:space="preserve"> by selecting the “Our Company” tab followed by the “Leadership” heading. Any amendment or waiver of the Code of Conduct for our officers or Directors will be disclosed promptly at that location on our website.</w:t>
      </w:r>
    </w:p>
    <w:p>
      <w:pPr>
        <w:spacing w:after="0" w:line="8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We also have adopted a Code of Principles for Senior Financial Executives (“Senior Financial Executive Code”) that applies to our principal executive officer, principal financial officer, principal accounting officer or controller, or persons performing these functions. The Senior Financial Executive Code is also available at that same location on our website. We intend to timely disclose any amendment or waiver of the Senior Financial Executive Code on our website and will retain such information on our website as required by applicable SEC rules.</w:t>
      </w:r>
    </w:p>
    <w:p>
      <w:pPr>
        <w:spacing w:after="0" w:line="8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20"/>
          <w:szCs w:val="20"/>
          <w:color w:val="231F20"/>
        </w:rPr>
        <w:t>A copy of the Code of Conduct and/or Senior Financial Executive Code may also be obtained upon request by any stockholder, without charge, by writing to us at WESCO International, Inc., 225 West Station Square Drive, Suite 700, Pittsburgh, Pennsylvania 15219, Attention: Corporate Secretary.</w:t>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231F20"/>
        </w:rPr>
        <w:t>Insider Trading Policy</w:t>
      </w:r>
    </w:p>
    <w:p>
      <w:pPr>
        <w:spacing w:after="0" w:line="132"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20"/>
          <w:szCs w:val="20"/>
          <w:color w:val="231F20"/>
        </w:rPr>
        <w:t>We have adopted an Insider Trading Policy governing the purchase, sale and other dispositions of our securities by our Directors, officers and employees that we believe is reasonably designed to promote compliance with insider trading laws, rules and regulations, and applicable listing standards. A copy of our Insider Trading Policy is available at Exhibit 19.1 to this Annual Report on Form 10-K.</w:t>
      </w:r>
    </w:p>
    <w:p>
      <w:pPr>
        <w:spacing w:after="0" w:line="83"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231F20"/>
        </w:rPr>
        <w:t>The information required by Item 10 that relates to our Directors and executive officers, including the Audit Committee and its financial expert, required by this item, is incorporated by reference from the information appearing under the captions “Corporate Governance,” “Board and Committee Meetings” and “Security Ownership” in our definitive Proxy Statement for our 2026 Annual Meeting of Stockholders that is to be filed with the SEC pursuant to the Exchange Act within 120 days of the end of our fiscal year on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information set forth under the captions “Compensation Discussion and Analysis” and “Director Compensation” in our definitive Proxy Statement for our 2026 Annual Meeting of Stockholders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32"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information set forth under the caption “Security Ownership” in our definitive Proxy Statement for our 2026 Annual Meeting of Stockholders is incorporated herein by reference.</w:t>
      </w:r>
    </w:p>
    <w:p>
      <w:pPr>
        <w:spacing w:after="0" w:line="64" w:lineRule="exact"/>
        <w:rPr>
          <w:sz w:val="20"/>
          <w:szCs w:val="20"/>
          <w:color w:val="auto"/>
        </w:rPr>
      </w:pPr>
    </w:p>
    <w:p>
      <w:pPr>
        <w:jc w:val="both"/>
        <w:ind w:firstLine="266"/>
        <w:spacing w:after="0" w:line="275" w:lineRule="auto"/>
        <w:rPr>
          <w:sz w:val="20"/>
          <w:szCs w:val="20"/>
          <w:color w:val="auto"/>
        </w:rPr>
      </w:pPr>
      <w:r>
        <w:rPr>
          <w:rFonts w:ascii="Times New Roman" w:cs="Times New Roman" w:eastAsia="Times New Roman" w:hAnsi="Times New Roman"/>
          <w:sz w:val="20"/>
          <w:szCs w:val="20"/>
          <w:color w:val="231F20"/>
        </w:rPr>
        <w:t>The following table provides information as of December 31, 2025 with respect to the shares of our common stock that may be issued under our existing equity compensation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 of securities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b w:val="1"/>
                <w:bCs w:val="1"/>
                <w:color w:val="231F20"/>
                <w:w w:val="98"/>
              </w:rPr>
              <w:t>Weighted-average</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 of securities</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to be issued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remaining available</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7"/>
              </w:rPr>
              <w:t>upon exercise 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51"/>
              <w:spacing w:after="0" w:line="158" w:lineRule="exact"/>
              <w:rPr>
                <w:sz w:val="20"/>
                <w:szCs w:val="20"/>
                <w:color w:val="auto"/>
              </w:rPr>
            </w:pPr>
            <w:r>
              <w:rPr>
                <w:rFonts w:ascii="Times New Roman" w:cs="Times New Roman" w:eastAsia="Times New Roman" w:hAnsi="Times New Roman"/>
                <w:sz w:val="16"/>
                <w:szCs w:val="16"/>
                <w:b w:val="1"/>
                <w:bCs w:val="1"/>
                <w:color w:val="231F20"/>
                <w:w w:val="99"/>
              </w:rPr>
              <w:t>exercise price of</w:t>
            </w:r>
          </w:p>
        </w:tc>
        <w:tc>
          <w:tcPr>
            <w:tcW w:w="8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for future issuance</w:t>
            </w:r>
          </w:p>
        </w:tc>
        <w:tc>
          <w:tcPr>
            <w:tcW w:w="0" w:type="dxa"/>
            <w:vAlign w:val="bottom"/>
          </w:tcPr>
          <w:p>
            <w:pPr>
              <w:spacing w:after="0"/>
              <w:rPr>
                <w:sz w:val="1"/>
                <w:szCs w:val="1"/>
                <w:color w:val="auto"/>
              </w:rPr>
            </w:pPr>
          </w:p>
        </w:tc>
      </w:tr>
      <w:tr>
        <w:trPr>
          <w:trHeight w:val="158"/>
        </w:trPr>
        <w:tc>
          <w:tcPr>
            <w:tcW w:w="5020" w:type="dxa"/>
            <w:vAlign w:val="bottom"/>
            <w:vMerge w:val="restart"/>
          </w:tcPr>
          <w:p>
            <w:pPr>
              <w:ind w:left="2020"/>
              <w:spacing w:after="0"/>
              <w:rPr>
                <w:sz w:val="20"/>
                <w:szCs w:val="20"/>
                <w:color w:val="auto"/>
              </w:rPr>
            </w:pPr>
            <w:r>
              <w:rPr>
                <w:rFonts w:ascii="Times New Roman" w:cs="Times New Roman" w:eastAsia="Times New Roman" w:hAnsi="Times New Roman"/>
                <w:sz w:val="16"/>
                <w:szCs w:val="16"/>
                <w:b w:val="1"/>
                <w:bCs w:val="1"/>
                <w:color w:val="231F20"/>
              </w:rPr>
              <w:t>Plan Category</w:t>
            </w: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outstanding options,</w:t>
            </w:r>
          </w:p>
        </w:tc>
        <w:tc>
          <w:tcPr>
            <w:tcW w:w="60" w:type="dxa"/>
            <w:vAlign w:val="bottom"/>
          </w:tcPr>
          <w:p>
            <w:pPr>
              <w:spacing w:after="0"/>
              <w:rPr>
                <w:sz w:val="13"/>
                <w:szCs w:val="13"/>
                <w:color w:val="auto"/>
              </w:rPr>
            </w:pPr>
          </w:p>
        </w:tc>
        <w:tc>
          <w:tcPr>
            <w:tcW w:w="16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9"/>
              </w:rPr>
              <w:t>outstanding options,</w:t>
            </w:r>
          </w:p>
        </w:tc>
        <w:tc>
          <w:tcPr>
            <w:tcW w:w="8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231F20"/>
                <w:w w:val="98"/>
              </w:rPr>
              <w:t>under equity</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231F20"/>
            </w:tcBorders>
            <w:vMerge w:val="continue"/>
          </w:tcPr>
          <w:p>
            <w:pPr>
              <w:spacing w:after="0"/>
              <w:rPr>
                <w:sz w:val="18"/>
                <w:szCs w:val="18"/>
                <w:color w:val="auto"/>
              </w:rPr>
            </w:pPr>
          </w:p>
        </w:tc>
        <w:tc>
          <w:tcPr>
            <w:tcW w:w="16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warrants and rights</w:t>
            </w:r>
          </w:p>
        </w:tc>
        <w:tc>
          <w:tcPr>
            <w:tcW w:w="60" w:type="dxa"/>
            <w:vAlign w:val="bottom"/>
            <w:tcBorders>
              <w:bottom w:val="single" w:sz="8" w:color="CFEBF4"/>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231F20"/>
                <w:w w:val="98"/>
              </w:rPr>
              <w:t>warrants and rights</w:t>
            </w:r>
          </w:p>
        </w:tc>
        <w:tc>
          <w:tcPr>
            <w:tcW w:w="80" w:type="dxa"/>
            <w:vAlign w:val="bottom"/>
            <w:tcBorders>
              <w:bottom w:val="single" w:sz="8" w:color="CFEBF4"/>
            </w:tcBorders>
          </w:tcPr>
          <w:p>
            <w:pPr>
              <w:spacing w:after="0"/>
              <w:rPr>
                <w:sz w:val="18"/>
                <w:szCs w:val="18"/>
                <w:color w:val="auto"/>
              </w:rPr>
            </w:pPr>
          </w:p>
        </w:tc>
        <w:tc>
          <w:tcPr>
            <w:tcW w:w="16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compensation plans</w:t>
            </w:r>
          </w:p>
        </w:tc>
        <w:tc>
          <w:tcPr>
            <w:tcW w:w="0" w:type="dxa"/>
            <w:vAlign w:val="bottom"/>
          </w:tcPr>
          <w:p>
            <w:pPr>
              <w:spacing w:after="0"/>
              <w:rPr>
                <w:sz w:val="1"/>
                <w:szCs w:val="1"/>
                <w:color w:val="auto"/>
              </w:rPr>
            </w:pPr>
          </w:p>
        </w:tc>
      </w:tr>
      <w:tr>
        <w:trPr>
          <w:trHeight w:val="286"/>
        </w:trPr>
        <w:tc>
          <w:tcPr>
            <w:tcW w:w="502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Equity compensation plans approved by security holders</w:t>
            </w:r>
          </w:p>
        </w:tc>
        <w:tc>
          <w:tcPr>
            <w:tcW w:w="16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1,350,272</w:t>
            </w:r>
          </w:p>
        </w:tc>
        <w:tc>
          <w:tcPr>
            <w:tcW w:w="2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51.19</w:t>
            </w:r>
          </w:p>
        </w:tc>
        <w:tc>
          <w:tcPr>
            <w:tcW w:w="1720" w:type="dxa"/>
            <w:vAlign w:val="bottom"/>
            <w:gridSpan w:val="2"/>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1,330,662</w:t>
            </w:r>
          </w:p>
        </w:tc>
        <w:tc>
          <w:tcPr>
            <w:tcW w:w="0" w:type="dxa"/>
            <w:vAlign w:val="bottom"/>
          </w:tcPr>
          <w:p>
            <w:pPr>
              <w:spacing w:after="0"/>
              <w:rPr>
                <w:sz w:val="1"/>
                <w:szCs w:val="1"/>
                <w:color w:val="auto"/>
              </w:rPr>
            </w:pPr>
          </w:p>
        </w:tc>
      </w:tr>
      <w:tr>
        <w:trPr>
          <w:trHeight w:val="285"/>
        </w:trPr>
        <w:tc>
          <w:tcPr>
            <w:tcW w:w="5020" w:type="dxa"/>
            <w:vAlign w:val="bottom"/>
            <w:tcBorders>
              <w:bottom w:val="single" w:sz="8" w:color="CFEBF4"/>
            </w:tcBorders>
          </w:tcPr>
          <w:p>
            <w:pPr>
              <w:ind w:left="60"/>
              <w:spacing w:after="0"/>
              <w:rPr>
                <w:sz w:val="20"/>
                <w:szCs w:val="20"/>
                <w:color w:val="auto"/>
              </w:rPr>
            </w:pPr>
            <w:r>
              <w:rPr>
                <w:rFonts w:ascii="Times New Roman" w:cs="Times New Roman" w:eastAsia="Times New Roman" w:hAnsi="Times New Roman"/>
                <w:sz w:val="20"/>
                <w:szCs w:val="20"/>
                <w:color w:val="231F20"/>
              </w:rPr>
              <w:t>Equity compensation plans not approved by security holders</w:t>
            </w:r>
          </w:p>
        </w:tc>
        <w:tc>
          <w:tcPr>
            <w:tcW w:w="1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CFEBF4"/>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BF4"/>
            </w:tcBorders>
          </w:tcPr>
          <w:p>
            <w:pPr>
              <w:spacing w:after="0"/>
              <w:rPr>
                <w:sz w:val="24"/>
                <w:szCs w:val="24"/>
                <w:color w:val="auto"/>
              </w:rPr>
            </w:pPr>
          </w:p>
        </w:tc>
        <w:tc>
          <w:tcPr>
            <w:tcW w:w="1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5"/>
        </w:trPr>
        <w:tc>
          <w:tcPr>
            <w:tcW w:w="5020" w:type="dxa"/>
            <w:vAlign w:val="bottom"/>
            <w:tcBorders>
              <w:bottom w:val="single" w:sz="8" w:color="CFEBF4"/>
            </w:tcBorders>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rPr>
              <w:t>Total</w:t>
            </w:r>
          </w:p>
        </w:tc>
        <w:tc>
          <w:tcPr>
            <w:tcW w:w="16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1,350,272</w:t>
            </w:r>
          </w:p>
        </w:tc>
        <w:tc>
          <w:tcPr>
            <w:tcW w:w="60" w:type="dxa"/>
            <w:vAlign w:val="bottom"/>
            <w:tcBorders>
              <w:bottom w:val="single" w:sz="8" w:color="CFEBF4"/>
            </w:tcBorders>
            <w:shd w:val="clear" w:color="auto" w:fill="CFEBF4"/>
          </w:tcPr>
          <w:p>
            <w:pPr>
              <w:spacing w:after="0"/>
              <w:rPr>
                <w:sz w:val="24"/>
                <w:szCs w:val="24"/>
                <w:color w:val="auto"/>
              </w:rPr>
            </w:pPr>
          </w:p>
        </w:tc>
        <w:tc>
          <w:tcPr>
            <w:tcW w:w="16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51.19</w:t>
            </w:r>
          </w:p>
        </w:tc>
        <w:tc>
          <w:tcPr>
            <w:tcW w:w="80" w:type="dxa"/>
            <w:vAlign w:val="bottom"/>
            <w:tcBorders>
              <w:bottom w:val="single" w:sz="8" w:color="CFEBF4"/>
            </w:tcBorders>
            <w:shd w:val="clear" w:color="auto" w:fill="CFEBF4"/>
          </w:tcPr>
          <w:p>
            <w:pPr>
              <w:spacing w:after="0"/>
              <w:rPr>
                <w:sz w:val="24"/>
                <w:szCs w:val="24"/>
                <w:color w:val="auto"/>
              </w:rPr>
            </w:pPr>
          </w:p>
        </w:tc>
        <w:tc>
          <w:tcPr>
            <w:tcW w:w="1640" w:type="dxa"/>
            <w:vAlign w:val="bottom"/>
            <w:tcBorders>
              <w:bottom w:val="single" w:sz="8" w:color="231F20"/>
            </w:tcBorders>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1,330,662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-606425</wp:posOffset>
            </wp:positionV>
            <wp:extent cx="6436360" cy="50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3">
                      <a:extLst>
                        <a:ext uri="{28A0092B-C50C-407E-A947-70E740481C1C}"/>
                      </a:extLst>
                    </a:blip>
                    <a:srcRect/>
                    <a:stretch>
                      <a:fillRect/>
                    </a:stretch>
                  </pic:blipFill>
                  <pic:spPr bwMode="auto">
                    <a:xfrm>
                      <a:off x="0" y="0"/>
                      <a:ext cx="6436360" cy="5016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-231140</wp:posOffset>
            </wp:positionV>
            <wp:extent cx="3243580" cy="50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14">
                      <a:extLst>
                        <a:ext uri="{28A0092B-C50C-407E-A947-70E740481C1C}"/>
                      </a:extLst>
                    </a:blip>
                    <a:srcRect/>
                    <a:stretch>
                      <a:fillRect/>
                    </a:stretch>
                  </pic:blipFill>
                  <pic:spPr bwMode="auto">
                    <a:xfrm>
                      <a:off x="0" y="0"/>
                      <a:ext cx="3243580" cy="5016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-55880</wp:posOffset>
            </wp:positionV>
            <wp:extent cx="3268345" cy="749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15">
                      <a:extLst>
                        <a:ext uri="{28A0092B-C50C-407E-A947-70E740481C1C}"/>
                      </a:extLst>
                    </a:blip>
                    <a:srcRect/>
                    <a:stretch>
                      <a:fillRect/>
                    </a:stretch>
                  </pic:blipFill>
                  <pic:spPr bwMode="auto">
                    <a:xfrm>
                      <a:off x="0" y="0"/>
                      <a:ext cx="3268345" cy="7493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32"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The information set forth under the captions “Transactions with Related Persons” and “Corporate Governance” in our definitive Proxy Statement for our 2026 Annual Meeting of Stockholders is incorporated herein by reference.</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120"/>
          </w:cols>
          <w:pgMar w:left="880" w:top="672" w:right="8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32" w:lineRule="exact"/>
        <w:rPr>
          <w:sz w:val="20"/>
          <w:szCs w:val="20"/>
          <w:color w:val="auto"/>
        </w:rPr>
      </w:pPr>
    </w:p>
    <w:p>
      <w:pPr>
        <w:ind w:firstLine="266"/>
        <w:spacing w:after="0" w:line="275" w:lineRule="auto"/>
        <w:rPr>
          <w:sz w:val="20"/>
          <w:szCs w:val="20"/>
          <w:color w:val="auto"/>
        </w:rPr>
      </w:pPr>
      <w:r>
        <w:rPr>
          <w:rFonts w:ascii="Times New Roman" w:cs="Times New Roman" w:eastAsia="Times New Roman" w:hAnsi="Times New Roman"/>
          <w:sz w:val="20"/>
          <w:szCs w:val="20"/>
          <w:color w:val="231F20"/>
        </w:rPr>
        <w:t>The information set forth under the caption “Independent Registered Public Accounting Firm Fees and Services” in our definitive Proxy Statement for our 2026 Annual Meeting of Stockholders is incorporated herein by reference.</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120"/>
          </w:cols>
          <w:pgMar w:left="880" w:top="672" w:right="880" w:bottom="0" w:gutter="0" w:footer="0" w:header="0"/>
          <w:type w:val="continuous"/>
        </w:sectPr>
      </w:pPr>
    </w:p>
    <w:bookmarkStart w:id="101" w:name="page102"/>
    <w:bookmarkEnd w:id="101"/>
    <w:p>
      <w:pPr>
        <w:jc w:val="center"/>
        <w:ind w:right="-11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financial statements, financial statement schedule and exhibits listed below are filed as part of this annual report:</w:t>
      </w:r>
    </w:p>
    <w:p>
      <w:pPr>
        <w:spacing w:after="0" w:line="121" w:lineRule="exact"/>
        <w:rPr>
          <w:sz w:val="20"/>
          <w:szCs w:val="20"/>
          <w:color w:val="auto"/>
        </w:rPr>
      </w:pPr>
    </w:p>
    <w:p>
      <w:pPr>
        <w:ind w:left="720" w:hanging="713"/>
        <w:spacing w:after="0"/>
        <w:tabs>
          <w:tab w:leader="none" w:pos="720" w:val="left"/>
        </w:tabs>
        <w:numPr>
          <w:ilvl w:val="0"/>
          <w:numId w:val="39"/>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 xml:space="preserve">(1) </w:t>
      </w:r>
      <w:r>
        <w:rPr>
          <w:rFonts w:ascii="Times New Roman" w:cs="Times New Roman" w:eastAsia="Times New Roman" w:hAnsi="Times New Roman"/>
          <w:sz w:val="20"/>
          <w:szCs w:val="20"/>
          <w:b w:val="1"/>
          <w:bCs w:val="1"/>
          <w:i w:val="1"/>
          <w:iCs w:val="1"/>
          <w:color w:val="231F20"/>
        </w:rPr>
        <w:t>Financial Statements</w:t>
      </w:r>
    </w:p>
    <w:p>
      <w:pPr>
        <w:spacing w:after="0" w:line="125" w:lineRule="exact"/>
        <w:rPr>
          <w:sz w:val="20"/>
          <w:szCs w:val="20"/>
          <w:color w:val="auto"/>
        </w:rPr>
      </w:pPr>
    </w:p>
    <w:p>
      <w:pPr>
        <w:ind w:left="720" w:right="100"/>
        <w:spacing w:after="0" w:line="279" w:lineRule="auto"/>
        <w:rPr>
          <w:sz w:val="20"/>
          <w:szCs w:val="20"/>
          <w:color w:val="auto"/>
        </w:rPr>
      </w:pPr>
      <w:r>
        <w:rPr>
          <w:rFonts w:ascii="Times New Roman" w:cs="Times New Roman" w:eastAsia="Times New Roman" w:hAnsi="Times New Roman"/>
          <w:sz w:val="20"/>
          <w:szCs w:val="20"/>
          <w:i w:val="1"/>
          <w:iCs w:val="1"/>
          <w:color w:val="231F20"/>
        </w:rPr>
        <w:t>The list of financial statements required by this item is set forth in Item 8, “Financial Statements and Supplementary Data,” and is incorporated herein by reference.</w:t>
      </w:r>
    </w:p>
    <w:p>
      <w:pPr>
        <w:spacing w:after="0" w:line="56" w:lineRule="exact"/>
        <w:rPr>
          <w:sz w:val="20"/>
          <w:szCs w:val="20"/>
          <w:color w:val="auto"/>
        </w:rPr>
      </w:pPr>
    </w:p>
    <w:p>
      <w:pPr>
        <w:ind w:left="1000" w:hanging="284"/>
        <w:spacing w:after="0"/>
        <w:tabs>
          <w:tab w:leader="none" w:pos="1000" w:val="left"/>
        </w:tabs>
        <w:numPr>
          <w:ilvl w:val="0"/>
          <w:numId w:val="40"/>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b w:val="1"/>
          <w:bCs w:val="1"/>
          <w:i w:val="1"/>
          <w:iCs w:val="1"/>
          <w:color w:val="231F20"/>
        </w:rPr>
        <w:t>Financial Statement Schedule</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Schedule II — Valuation and Qualifying Accounts</w:t>
      </w:r>
    </w:p>
    <w:p>
      <w:pPr>
        <w:spacing w:after="0" w:line="125" w:lineRule="exact"/>
        <w:rPr>
          <w:sz w:val="20"/>
          <w:szCs w:val="20"/>
          <w:color w:val="auto"/>
        </w:rPr>
      </w:pPr>
    </w:p>
    <w:p>
      <w:pPr>
        <w:ind w:left="720" w:hanging="713"/>
        <w:spacing w:after="0"/>
        <w:tabs>
          <w:tab w:leader="none" w:pos="720" w:val="left"/>
        </w:tabs>
        <w:numPr>
          <w:ilvl w:val="0"/>
          <w:numId w:val="41"/>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b w:val="1"/>
          <w:bCs w:val="1"/>
          <w:i w:val="1"/>
          <w:iCs w:val="1"/>
          <w:color w:val="231F20"/>
        </w:rPr>
        <w:t>Exhibits</w:t>
      </w:r>
    </w:p>
    <w:p>
      <w:pPr>
        <w:spacing w:after="0" w:line="199" w:lineRule="exact"/>
        <w:rPr>
          <w:sz w:val="20"/>
          <w:szCs w:val="20"/>
          <w:color w:val="auto"/>
        </w:rPr>
      </w:pPr>
    </w:p>
    <w:p>
      <w:pPr>
        <w:ind w:left="60"/>
        <w:spacing w:after="0"/>
        <w:tabs>
          <w:tab w:leader="none" w:pos="1020" w:val="left"/>
          <w:tab w:leader="none" w:pos="5600" w:val="left"/>
        </w:tabs>
        <w:rPr>
          <w:sz w:val="20"/>
          <w:szCs w:val="20"/>
          <w:color w:val="auto"/>
        </w:rPr>
      </w:pPr>
      <w:r>
        <w:rPr>
          <w:rFonts w:ascii="Times New Roman" w:cs="Times New Roman" w:eastAsia="Times New Roman" w:hAnsi="Times New Roman"/>
          <w:sz w:val="16"/>
          <w:szCs w:val="16"/>
          <w:color w:val="231F20"/>
        </w:rPr>
        <w:t>Exhibit No.</w:t>
        <w:tab/>
        <w:t>Description of Exhibit</w:t>
      </w:r>
      <w:r>
        <w:rPr>
          <w:sz w:val="20"/>
          <w:szCs w:val="20"/>
          <w:color w:val="auto"/>
        </w:rPr>
        <w:tab/>
      </w:r>
      <w:r>
        <w:rPr>
          <w:rFonts w:ascii="Times New Roman" w:cs="Times New Roman" w:eastAsia="Times New Roman" w:hAnsi="Times New Roman"/>
          <w:sz w:val="15"/>
          <w:szCs w:val="15"/>
          <w:color w:val="231F20"/>
        </w:rPr>
        <w:t>Prior Filing or Sequential Page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23495</wp:posOffset>
                </wp:positionV>
                <wp:extent cx="639000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0005"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85pt" to="503.45pt,1.85pt" o:allowincell="f" strokecolor="#231F20" strokeweight="0.985pt"/>
            </w:pict>
          </mc:Fallback>
        </mc:AlternateContent>
      </w:r>
    </w:p>
    <w:p>
      <w:pPr>
        <w:sectPr>
          <w:pgSz w:w="11880" w:h="15480" w:orient="portrait"/>
          <w:cols w:equalWidth="0" w:num="1">
            <w:col w:w="10000"/>
          </w:cols>
          <w:pgMar w:left="880" w:top="672" w:right="1000" w:bottom="0" w:gutter="0" w:footer="0" w:header="0"/>
        </w:sectPr>
      </w:pPr>
    </w:p>
    <w:tbl>
      <w:tblPr>
        <w:tblLayout w:type="fixed"/>
        <w:tblInd w:w="60" w:type="dxa"/>
        <w:tblCellMar>
          <w:top w:w="0" w:type="dxa"/>
          <w:left w:w="0" w:type="dxa"/>
          <w:bottom w:w="0" w:type="dxa"/>
          <w:right w:w="0" w:type="dxa"/>
        </w:tblCellMar>
      </w:tblPr>
      <w:tr>
        <w:trPr>
          <w:trHeight w:val="226"/>
        </w:trPr>
        <w:tc>
          <w:tcPr>
            <w:tcW w:w="600" w:type="dxa"/>
            <w:vAlign w:val="bottom"/>
          </w:tcPr>
          <w:p>
            <w:pPr>
              <w:jc w:val="right"/>
              <w:ind w:right="261"/>
              <w:spacing w:after="0" w:line="227" w:lineRule="exact"/>
              <w:rPr>
                <w:sz w:val="20"/>
                <w:szCs w:val="20"/>
                <w:color w:val="auto"/>
              </w:rPr>
            </w:pPr>
            <w:r>
              <w:rPr>
                <w:rFonts w:ascii="Times New Roman" w:cs="Times New Roman" w:eastAsia="Times New Roman" w:hAnsi="Times New Roman"/>
                <w:sz w:val="20"/>
                <w:szCs w:val="20"/>
                <w:color w:val="231F20"/>
                <w:w w:val="87"/>
              </w:rPr>
              <w:t>2.1</w:t>
            </w:r>
          </w:p>
        </w:tc>
        <w:tc>
          <w:tcPr>
            <w:tcW w:w="4780" w:type="dxa"/>
            <w:vAlign w:val="bottom"/>
          </w:tcPr>
          <w:p>
            <w:pPr>
              <w:ind w:left="380"/>
              <w:spacing w:after="0" w:line="227" w:lineRule="exact"/>
              <w:rPr>
                <w:sz w:val="20"/>
                <w:szCs w:val="20"/>
                <w:color w:val="auto"/>
              </w:rPr>
            </w:pPr>
            <w:r>
              <w:rPr>
                <w:rFonts w:ascii="Times New Roman" w:cs="Times New Roman" w:eastAsia="Times New Roman" w:hAnsi="Times New Roman"/>
                <w:sz w:val="20"/>
                <w:szCs w:val="20"/>
                <w:color w:val="231F20"/>
                <w:w w:val="98"/>
              </w:rPr>
              <w:t>Agreement and Plan of Merger, dated as of January 10,</w:t>
            </w:r>
          </w:p>
        </w:tc>
      </w:tr>
      <w:tr>
        <w:trPr>
          <w:trHeight w:val="197"/>
        </w:trPr>
        <w:tc>
          <w:tcPr>
            <w:tcW w:w="600" w:type="dxa"/>
            <w:vAlign w:val="bottom"/>
          </w:tcPr>
          <w:p>
            <w:pPr>
              <w:spacing w:after="0"/>
              <w:rPr>
                <w:sz w:val="17"/>
                <w:szCs w:val="17"/>
                <w:color w:val="auto"/>
              </w:rPr>
            </w:pPr>
          </w:p>
        </w:tc>
        <w:tc>
          <w:tcPr>
            <w:tcW w:w="4780" w:type="dxa"/>
            <w:vAlign w:val="bottom"/>
          </w:tcPr>
          <w:p>
            <w:pPr>
              <w:ind w:left="380"/>
              <w:spacing w:after="0" w:line="197" w:lineRule="exact"/>
              <w:rPr>
                <w:sz w:val="20"/>
                <w:szCs w:val="20"/>
                <w:color w:val="auto"/>
              </w:rPr>
            </w:pPr>
            <w:r>
              <w:rPr>
                <w:rFonts w:ascii="Times New Roman" w:cs="Times New Roman" w:eastAsia="Times New Roman" w:hAnsi="Times New Roman"/>
                <w:sz w:val="20"/>
                <w:szCs w:val="20"/>
                <w:color w:val="231F20"/>
              </w:rPr>
              <w:t>2020, by and among WESCO International, Inc.,</w:t>
            </w:r>
          </w:p>
        </w:tc>
      </w:tr>
      <w:tr>
        <w:trPr>
          <w:trHeight w:val="258"/>
        </w:trPr>
        <w:tc>
          <w:tcPr>
            <w:tcW w:w="600" w:type="dxa"/>
            <w:vAlign w:val="bottom"/>
          </w:tcPr>
          <w:p>
            <w:pPr>
              <w:spacing w:after="0"/>
              <w:rPr>
                <w:sz w:val="22"/>
                <w:szCs w:val="22"/>
                <w:color w:val="auto"/>
              </w:rPr>
            </w:pPr>
          </w:p>
        </w:tc>
        <w:tc>
          <w:tcPr>
            <w:tcW w:w="4780" w:type="dxa"/>
            <w:vAlign w:val="bottom"/>
          </w:tcPr>
          <w:p>
            <w:pPr>
              <w:ind w:left="380"/>
              <w:spacing w:after="0"/>
              <w:rPr>
                <w:sz w:val="20"/>
                <w:szCs w:val="20"/>
                <w:color w:val="auto"/>
              </w:rPr>
            </w:pPr>
            <w:r>
              <w:rPr>
                <w:rFonts w:ascii="Times New Roman" w:cs="Times New Roman" w:eastAsia="Times New Roman" w:hAnsi="Times New Roman"/>
                <w:sz w:val="20"/>
                <w:szCs w:val="20"/>
                <w:color w:val="231F20"/>
                <w:w w:val="98"/>
              </w:rPr>
              <w:t>Warrior Merger Sub, Inc. and Anixter International Inc.</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2.1 to Wesco’s Current Report on Form 8-K, dated January 13, 2020</w:t>
      </w:r>
    </w:p>
    <w:p>
      <w:pPr>
        <w:spacing w:after="0" w:line="234" w:lineRule="exact"/>
        <w:rPr>
          <w:sz w:val="20"/>
          <w:szCs w:val="20"/>
          <w:color w:val="auto"/>
        </w:rPr>
      </w:pPr>
    </w:p>
    <w:p>
      <w:pPr>
        <w:sectPr>
          <w:pgSz w:w="11880" w:h="15480" w:orient="portrait"/>
          <w:cols w:equalWidth="0" w:num="2">
            <w:col w:w="5440" w:space="180"/>
            <w:col w:w="4380"/>
          </w:cols>
          <w:pgMar w:left="880" w:top="672" w:right="1000" w:bottom="0" w:gutter="0" w:footer="0" w:header="0"/>
          <w:type w:val="continuous"/>
        </w:sectPr>
      </w:pPr>
    </w:p>
    <w:tbl>
      <w:tblPr>
        <w:tblLayout w:type="fixed"/>
        <w:tblInd w:w="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3.1</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Restated Certificate of Incorporation of WESCO</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International, Inc.</w:t>
            </w: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Amended and Restated By-laws of WESCO</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International, Inc., effective July 16, 2025</w:t>
            </w:r>
          </w:p>
        </w:tc>
      </w:tr>
      <w:tr>
        <w:trPr>
          <w:trHeight w:val="27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7"/>
              </w:rPr>
              <w:t>Indenture, dated as of June 12, 2020, between WESCO</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w w:val="98"/>
              </w:rPr>
              <w:t>International, Inc., WESCO Distribution, Inc. and U.S.</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Bank National Association, as trustee</w:t>
            </w: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4.2</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of 7.125% Senior Note due 2025</w:t>
            </w:r>
          </w:p>
        </w:tc>
      </w:tr>
      <w:tr>
        <w:trPr>
          <w:trHeight w:val="72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4.3</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of 7.250% Senior Note due 2028</w:t>
            </w:r>
          </w:p>
        </w:tc>
      </w:tr>
      <w:tr>
        <w:trPr>
          <w:trHeight w:val="66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4.4</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Deposit Agreement, dated as of June 19, 2020, among</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rPr>
              <w:t>WESCO International, Inc., Computershare Inc. and</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rPr>
              <w:t>Computershare Trust Company, N.A., jointly as the</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rPr>
              <w:t>Depositary, and the holders from time to time of the</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Depositary Receipts described therein</w:t>
            </w: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4.5</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of Depositary Receipt</w:t>
            </w:r>
          </w:p>
        </w:tc>
      </w:tr>
      <w:tr>
        <w:trPr>
          <w:trHeight w:val="66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4.6</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Indenture, dated as of March 7, 2024, among WESCO</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w w:val="97"/>
              </w:rPr>
              <w:t>Distribution, Inc., WESCO International, Inc., Anixter,</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rPr>
              <w:t>Inc., and U.S. Bank Trust Company, National</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Association, as Trustee</w:t>
            </w:r>
          </w:p>
        </w:tc>
      </w:tr>
      <w:tr>
        <w:trPr>
          <w:trHeight w:val="33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4.7</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of 6.375% Senior Note due 2029</w:t>
            </w:r>
          </w:p>
        </w:tc>
      </w:tr>
      <w:tr>
        <w:trPr>
          <w:trHeight w:val="72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4.8</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of 6.625% Senior Note due 2032</w:t>
            </w:r>
          </w:p>
        </w:tc>
      </w:tr>
      <w:tr>
        <w:trPr>
          <w:trHeight w:val="66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4.9</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Indenture, dated as of March 6, 2025, among WESCO</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w w:val="97"/>
              </w:rPr>
              <w:t>Distribution, Inc., WESCO International, Inc., Anixter,</w:t>
            </w:r>
          </w:p>
        </w:tc>
      </w:tr>
      <w:tr>
        <w:trPr>
          <w:trHeight w:val="197"/>
        </w:trPr>
        <w:tc>
          <w:tcPr>
            <w:tcW w:w="660" w:type="dxa"/>
            <w:vAlign w:val="bottom"/>
          </w:tcPr>
          <w:p>
            <w:pPr>
              <w:spacing w:after="0"/>
              <w:rPr>
                <w:sz w:val="17"/>
                <w:szCs w:val="17"/>
                <w:color w:val="auto"/>
              </w:rPr>
            </w:pPr>
          </w:p>
        </w:tc>
        <w:tc>
          <w:tcPr>
            <w:tcW w:w="4660" w:type="dxa"/>
            <w:vAlign w:val="bottom"/>
          </w:tcPr>
          <w:p>
            <w:pPr>
              <w:ind w:left="320"/>
              <w:spacing w:after="0" w:line="197" w:lineRule="exact"/>
              <w:rPr>
                <w:sz w:val="20"/>
                <w:szCs w:val="20"/>
                <w:color w:val="auto"/>
              </w:rPr>
            </w:pPr>
            <w:r>
              <w:rPr>
                <w:rFonts w:ascii="Times New Roman" w:cs="Times New Roman" w:eastAsia="Times New Roman" w:hAnsi="Times New Roman"/>
                <w:sz w:val="20"/>
                <w:szCs w:val="20"/>
                <w:color w:val="231F20"/>
              </w:rPr>
              <w:t>Inc., and U.S. Bank Trust Company, National</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Association, as Trustee.</w:t>
            </w:r>
          </w:p>
        </w:tc>
      </w:tr>
      <w:tr>
        <w:trPr>
          <w:trHeight w:val="2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4.10</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Form of 6.375% Senior Note due 2033 (included as</w:t>
            </w:r>
          </w:p>
        </w:tc>
      </w:tr>
      <w:tr>
        <w:trPr>
          <w:trHeight w:val="258"/>
        </w:trPr>
        <w:tc>
          <w:tcPr>
            <w:tcW w:w="660" w:type="dxa"/>
            <w:vAlign w:val="bottom"/>
          </w:tcPr>
          <w:p>
            <w:pPr>
              <w:spacing w:after="0"/>
              <w:rPr>
                <w:sz w:val="22"/>
                <w:szCs w:val="22"/>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Exhibit A to the Indenture filed as Exhibit 4.9 hereto).</w:t>
            </w:r>
          </w:p>
        </w:tc>
      </w:tr>
      <w:tr>
        <w:trPr>
          <w:trHeight w:val="52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4.11</w:t>
            </w:r>
          </w:p>
        </w:tc>
        <w:tc>
          <w:tcPr>
            <w:tcW w:w="466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Description of WESCO International, Inc.’s securities</w:t>
            </w: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9"/>
          <w:szCs w:val="19"/>
          <w:color w:val="231F20"/>
        </w:rPr>
        <w:t>Incorporated by reference to Exhibit 3.2 to Wesco's Current Report on Form 8-K, dated July 16, 2025</w:t>
      </w:r>
    </w:p>
    <w:p>
      <w:pPr>
        <w:spacing w:after="0" w:line="32"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3.3 to Wesco’s Current Report on Form 8-K, dated July 16, 2025</w:t>
      </w:r>
    </w:p>
    <w:p>
      <w:pPr>
        <w:spacing w:after="0" w:line="6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4.1 to Wesco’s Current Report on Form 8-K, dated June 12, 2020</w:t>
      </w:r>
    </w:p>
    <w:p>
      <w:pPr>
        <w:spacing w:after="0" w:line="25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A-1 to Exhibit 4.1 to Wesco’s Current Report on Form 8-K, dated June 12, 2020</w:t>
      </w:r>
    </w:p>
    <w:p>
      <w:pPr>
        <w:spacing w:after="0" w:line="7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A-2 to Exhibit 4.1 to Wesco’s Current Report on Form 8-K, dated June 12, 2020</w:t>
      </w:r>
    </w:p>
    <w:p>
      <w:pPr>
        <w:spacing w:after="0" w:line="74" w:lineRule="exact"/>
        <w:rPr>
          <w:sz w:val="20"/>
          <w:szCs w:val="20"/>
          <w:color w:val="auto"/>
        </w:rPr>
      </w:pPr>
    </w:p>
    <w:p>
      <w:pPr>
        <w:jc w:val="both"/>
        <w:ind w:right="2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4.2 to Wesco’s Registration Statement on Form 8-A, dated June 19, 2020</w:t>
      </w:r>
    </w:p>
    <w:p>
      <w:pPr>
        <w:spacing w:after="0" w:line="200" w:lineRule="exact"/>
        <w:rPr>
          <w:sz w:val="20"/>
          <w:szCs w:val="20"/>
          <w:color w:val="auto"/>
        </w:rPr>
      </w:pPr>
    </w:p>
    <w:p>
      <w:pPr>
        <w:spacing w:after="0" w:line="25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A to Exhibit 4.2 to Wesco’s Registration Statement on Form 8-A, dated June 19, 2020</w:t>
      </w:r>
    </w:p>
    <w:p>
      <w:pPr>
        <w:spacing w:after="0" w:line="7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4.1 to Wesco’s Current Report on Form 8-K, dated March 7, 2024</w:t>
      </w:r>
    </w:p>
    <w:p>
      <w:pPr>
        <w:spacing w:after="0" w:line="200" w:lineRule="exact"/>
        <w:rPr>
          <w:sz w:val="20"/>
          <w:szCs w:val="20"/>
          <w:color w:val="auto"/>
        </w:rPr>
      </w:pPr>
    </w:p>
    <w:p>
      <w:pPr>
        <w:spacing w:after="0" w:line="259"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A-1 to Exhibit 4.1 to Wesco’s Current Report on Form 8-K, dated March 7, 2024</w:t>
      </w:r>
    </w:p>
    <w:p>
      <w:pPr>
        <w:spacing w:after="0" w:line="74"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A-2 to Exhibit 4.1 to Wesco’s Current Report on Form 8-K, dated March 7, 2024</w:t>
      </w:r>
    </w:p>
    <w:p>
      <w:pPr>
        <w:spacing w:after="0" w:line="7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4.1 to Wesco's Current Report on Form 8-K, dated March 6, 2025</w:t>
      </w:r>
    </w:p>
    <w:p>
      <w:pPr>
        <w:spacing w:after="0" w:line="200" w:lineRule="exact"/>
        <w:rPr>
          <w:sz w:val="20"/>
          <w:szCs w:val="20"/>
          <w:color w:val="auto"/>
        </w:rPr>
      </w:pPr>
    </w:p>
    <w:p>
      <w:pPr>
        <w:spacing w:after="0" w:line="25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A to Exhibit 4.1 to Wesco's Current Report on Form 8-K, dated March 6,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Filed herewith</w:t>
      </w:r>
    </w:p>
    <w:p>
      <w:pPr>
        <w:spacing w:after="0" w:line="227" w:lineRule="exact"/>
        <w:rPr>
          <w:sz w:val="20"/>
          <w:szCs w:val="20"/>
          <w:color w:val="auto"/>
        </w:rPr>
      </w:pPr>
    </w:p>
    <w:p>
      <w:pPr>
        <w:sectPr>
          <w:pgSz w:w="11880" w:h="15480" w:orient="portrait"/>
          <w:cols w:equalWidth="0" w:num="2">
            <w:col w:w="5380" w:space="240"/>
            <w:col w:w="4380"/>
          </w:cols>
          <w:pgMar w:left="880" w:top="672" w:right="1000"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000"/>
          </w:cols>
          <w:pgMar w:left="880" w:top="672" w:right="1000" w:bottom="0" w:gutter="0" w:footer="0" w:header="0"/>
          <w:type w:val="continuous"/>
        </w:sectPr>
      </w:pPr>
    </w:p>
    <w:bookmarkStart w:id="102" w:name="page103"/>
    <w:bookmarkEnd w:id="102"/>
    <w:p>
      <w:pPr>
        <w:spacing w:after="0"/>
        <w:tabs>
          <w:tab w:leader="none" w:pos="960" w:val="left"/>
          <w:tab w:leader="none" w:pos="5540" w:val="left"/>
        </w:tabs>
        <w:rPr>
          <w:sz w:val="20"/>
          <w:szCs w:val="20"/>
          <w:color w:val="auto"/>
        </w:rPr>
      </w:pPr>
      <w:r>
        <w:rPr>
          <w:rFonts w:ascii="Times New Roman" w:cs="Times New Roman" w:eastAsia="Times New Roman" w:hAnsi="Times New Roman"/>
          <w:sz w:val="16"/>
          <w:szCs w:val="16"/>
          <w:color w:val="231F20"/>
        </w:rPr>
        <w:t>Exhibit No.</w:t>
        <w:tab/>
        <w:t>Description of Exhibit</w:t>
      </w:r>
      <w:r>
        <w:rPr>
          <w:sz w:val="20"/>
          <w:szCs w:val="20"/>
          <w:color w:val="auto"/>
        </w:rPr>
        <w:tab/>
      </w:r>
      <w:r>
        <w:rPr>
          <w:rFonts w:ascii="Times New Roman" w:cs="Times New Roman" w:eastAsia="Times New Roman" w:hAnsi="Times New Roman"/>
          <w:sz w:val="15"/>
          <w:szCs w:val="15"/>
          <w:color w:val="231F20"/>
        </w:rPr>
        <w:t>Prior Filing or Sequential Page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23495</wp:posOffset>
                </wp:positionV>
                <wp:extent cx="638937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937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pt,1.85pt" to="500.45pt,1.85pt" o:allowincell="f" strokecolor="#231F20" strokeweight="0.985pt"/>
            </w:pict>
          </mc:Fallback>
        </mc:AlternateContent>
      </w:r>
    </w:p>
    <w:p>
      <w:pPr>
        <w:sectPr>
          <w:pgSz w:w="11880" w:h="15480" w:orient="portrait"/>
          <w:cols w:equalWidth="0" w:num="1">
            <w:col w:w="9860"/>
          </w:cols>
          <w:pgMar w:left="940" w:top="769" w:right="1080" w:bottom="0" w:gutter="0" w:footer="0" w:header="0"/>
        </w:sectPr>
      </w:pPr>
    </w:p>
    <w:p>
      <w:pPr>
        <w:spacing w:after="0" w:line="29" w:lineRule="exact"/>
        <w:rPr>
          <w:sz w:val="20"/>
          <w:szCs w:val="20"/>
          <w:color w:val="auto"/>
        </w:rPr>
      </w:pPr>
    </w:p>
    <w:p>
      <w:pPr>
        <w:ind w:left="980" w:hanging="974"/>
        <w:spacing w:after="0" w:line="259" w:lineRule="auto"/>
        <w:tabs>
          <w:tab w:leader="none" w:pos="960" w:val="left"/>
        </w:tabs>
        <w:rPr>
          <w:sz w:val="20"/>
          <w:szCs w:val="20"/>
          <w:color w:val="auto"/>
        </w:rPr>
      </w:pP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19"/>
          <w:szCs w:val="19"/>
          <w:color w:val="231F20"/>
        </w:rPr>
        <w:t>1999 Deferred Compensation Plan for Non-Employee Directors, as amended and restated September 20, 2007</w:t>
      </w:r>
    </w:p>
    <w:p>
      <w:pPr>
        <w:spacing w:after="0" w:line="252" w:lineRule="exact"/>
        <w:rPr>
          <w:sz w:val="20"/>
          <w:szCs w:val="20"/>
          <w:color w:val="auto"/>
        </w:rPr>
      </w:pPr>
    </w:p>
    <w:p>
      <w:pPr>
        <w:ind w:left="980" w:right="40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10.2</w:t>
      </w:r>
      <w:r>
        <w:rPr>
          <w:sz w:val="20"/>
          <w:szCs w:val="20"/>
          <w:color w:val="auto"/>
        </w:rPr>
        <w:tab/>
      </w:r>
      <w:r>
        <w:rPr>
          <w:rFonts w:ascii="Times New Roman" w:cs="Times New Roman" w:eastAsia="Times New Roman" w:hAnsi="Times New Roman"/>
          <w:sz w:val="20"/>
          <w:szCs w:val="20"/>
          <w:color w:val="231F20"/>
        </w:rPr>
        <w:t>Form of Stock Appreciation Rights Agreement for Employees</w:t>
      </w:r>
    </w:p>
    <w:p>
      <w:pPr>
        <w:spacing w:after="0" w:line="2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231F20"/>
        </w:rPr>
        <w:t>10.3</w:t>
      </w:r>
      <w:r>
        <w:rPr>
          <w:sz w:val="20"/>
          <w:szCs w:val="20"/>
          <w:color w:val="auto"/>
        </w:rPr>
        <w:tab/>
      </w:r>
      <w:r>
        <w:rPr>
          <w:rFonts w:ascii="Times New Roman" w:cs="Times New Roman" w:eastAsia="Times New Roman" w:hAnsi="Times New Roman"/>
          <w:sz w:val="19"/>
          <w:szCs w:val="19"/>
          <w:color w:val="231F20"/>
        </w:rPr>
        <w:t>Amended and Restated Employment Agreement, dated</w:t>
      </w:r>
    </w:p>
    <w:p>
      <w:pPr>
        <w:ind w:left="980" w:right="980"/>
        <w:spacing w:after="0" w:line="237" w:lineRule="auto"/>
        <w:rPr>
          <w:sz w:val="20"/>
          <w:szCs w:val="20"/>
          <w:color w:val="auto"/>
        </w:rPr>
      </w:pPr>
      <w:r>
        <w:rPr>
          <w:rFonts w:ascii="Times New Roman" w:cs="Times New Roman" w:eastAsia="Times New Roman" w:hAnsi="Times New Roman"/>
          <w:sz w:val="19"/>
          <w:szCs w:val="19"/>
          <w:color w:val="231F20"/>
        </w:rPr>
        <w:t>as of September 1, 2009, between WESCO International Inc. and John J. Engel</w:t>
      </w:r>
    </w:p>
    <w:p>
      <w:pPr>
        <w:spacing w:after="0" w:line="73" w:lineRule="exact"/>
        <w:rPr>
          <w:sz w:val="20"/>
          <w:szCs w:val="20"/>
          <w:color w:val="auto"/>
        </w:rPr>
      </w:pPr>
    </w:p>
    <w:p>
      <w:pPr>
        <w:ind w:left="980" w:right="20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1999 Long-Term Incentive Plan, as restated effective as of May 30, 2013</w:t>
      </w:r>
    </w:p>
    <w:p>
      <w:pPr>
        <w:spacing w:after="0" w:line="63" w:lineRule="exact"/>
        <w:rPr>
          <w:sz w:val="20"/>
          <w:szCs w:val="20"/>
          <w:color w:val="auto"/>
        </w:rPr>
      </w:pPr>
    </w:p>
    <w:p>
      <w:pPr>
        <w:ind w:left="980" w:right="40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10.5</w:t>
      </w:r>
      <w:r>
        <w:rPr>
          <w:sz w:val="20"/>
          <w:szCs w:val="20"/>
          <w:color w:val="auto"/>
        </w:rPr>
        <w:tab/>
      </w:r>
      <w:r>
        <w:rPr>
          <w:rFonts w:ascii="Times New Roman" w:cs="Times New Roman" w:eastAsia="Times New Roman" w:hAnsi="Times New Roman"/>
          <w:sz w:val="20"/>
          <w:szCs w:val="20"/>
          <w:color w:val="231F20"/>
        </w:rPr>
        <w:t>Form of Stock Appreciation Rights Agreement for Employees</w:t>
      </w:r>
    </w:p>
    <w:p>
      <w:pPr>
        <w:spacing w:after="0" w:line="270" w:lineRule="exact"/>
        <w:rPr>
          <w:sz w:val="20"/>
          <w:szCs w:val="20"/>
          <w:color w:val="auto"/>
        </w:rPr>
      </w:pPr>
    </w:p>
    <w:p>
      <w:pPr>
        <w:ind w:left="980" w:right="18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Fourth Amended and Restated Receivables Purchase Agreement, dated as of September 24, 2015, by and among WESCO Receivables Corp., WESCO Distribution, Inc., the various Purchaser Groups from time to time party thereto and PNC Bank, National Association, as Administrator</w:t>
      </w:r>
    </w:p>
    <w:p>
      <w:pPr>
        <w:spacing w:after="0" w:line="73" w:lineRule="exact"/>
        <w:rPr>
          <w:sz w:val="20"/>
          <w:szCs w:val="20"/>
          <w:color w:val="auto"/>
        </w:rPr>
      </w:pPr>
    </w:p>
    <w:p>
      <w:pPr>
        <w:ind w:left="980" w:right="60" w:hanging="974"/>
        <w:spacing w:after="0" w:line="221" w:lineRule="auto"/>
        <w:tabs>
          <w:tab w:leader="none" w:pos="960" w:val="left"/>
        </w:tabs>
        <w:rPr>
          <w:sz w:val="20"/>
          <w:szCs w:val="20"/>
          <w:color w:val="auto"/>
        </w:rPr>
      </w:pPr>
      <w:r>
        <w:rPr>
          <w:rFonts w:ascii="Times New Roman" w:cs="Times New Roman" w:eastAsia="Times New Roman" w:hAnsi="Times New Roman"/>
          <w:sz w:val="20"/>
          <w:szCs w:val="20"/>
          <w:color w:val="231F20"/>
        </w:rPr>
        <w:t>10.7</w:t>
      </w:r>
      <w:r>
        <w:rPr>
          <w:sz w:val="20"/>
          <w:szCs w:val="20"/>
          <w:color w:val="auto"/>
        </w:rPr>
        <w:tab/>
      </w:r>
      <w:r>
        <w:rPr>
          <w:rFonts w:ascii="Times New Roman" w:cs="Times New Roman" w:eastAsia="Times New Roman" w:hAnsi="Times New Roman"/>
          <w:sz w:val="20"/>
          <w:szCs w:val="20"/>
          <w:color w:val="231F20"/>
        </w:rPr>
        <w:t>Form of Director and Officer Indemnification Agreement, entered among WESCO International, Inc. and certain of its executive officers and directors listed on a schedule attached thereto</w:t>
      </w:r>
    </w:p>
    <w:p>
      <w:pPr>
        <w:spacing w:after="0" w:line="84" w:lineRule="exact"/>
        <w:rPr>
          <w:sz w:val="20"/>
          <w:szCs w:val="20"/>
          <w:color w:val="auto"/>
        </w:rPr>
      </w:pPr>
    </w:p>
    <w:p>
      <w:pPr>
        <w:ind w:left="980" w:right="36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color w:val="231F20"/>
        </w:rPr>
        <w:t>First Amendment to Fourth Amended and Restated Receivables Purchase Agreement, dated as of December 18, 2015</w:t>
      </w:r>
    </w:p>
    <w:p>
      <w:pPr>
        <w:spacing w:after="0" w:line="74" w:lineRule="exact"/>
        <w:rPr>
          <w:sz w:val="20"/>
          <w:szCs w:val="20"/>
          <w:color w:val="auto"/>
        </w:rPr>
      </w:pPr>
    </w:p>
    <w:p>
      <w:pPr>
        <w:jc w:val="both"/>
        <w:ind w:left="980" w:right="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color w:val="231F20"/>
        </w:rPr>
        <w:t>Second Amendment to Fourth Amended and Restated Receivables Purchase Agreement, dated as of April 19, 2016</w:t>
      </w:r>
    </w:p>
    <w:p>
      <w:pPr>
        <w:spacing w:after="0" w:line="74" w:lineRule="exact"/>
        <w:rPr>
          <w:sz w:val="20"/>
          <w:szCs w:val="20"/>
          <w:color w:val="auto"/>
        </w:rPr>
      </w:pPr>
    </w:p>
    <w:p>
      <w:pPr>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Third Amendment to Fourth Amended and Restated Receivables Purchase Agreement, dated as of May 10, 2016</w:t>
      </w:r>
    </w:p>
    <w:p>
      <w:pPr>
        <w:spacing w:after="0" w:line="74" w:lineRule="exact"/>
        <w:rPr>
          <w:sz w:val="20"/>
          <w:szCs w:val="20"/>
          <w:color w:val="auto"/>
        </w:rPr>
      </w:pPr>
    </w:p>
    <w:p>
      <w:pPr>
        <w:jc w:val="both"/>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Fourth Amendment to Fourth Amended and Restated Receivables Purchase Agreement, dated as of May 27, 2016</w:t>
      </w:r>
    </w:p>
    <w:p>
      <w:pPr>
        <w:spacing w:after="0" w:line="74" w:lineRule="exact"/>
        <w:rPr>
          <w:sz w:val="20"/>
          <w:szCs w:val="20"/>
          <w:color w:val="auto"/>
        </w:rPr>
      </w:pPr>
    </w:p>
    <w:p>
      <w:pPr>
        <w:ind w:left="980" w:right="32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Fifth Amendment to Fourth Amended and Restated Receivables Purchase Agreement, dated as of November 8, 2017</w:t>
      </w:r>
    </w:p>
    <w:p>
      <w:pPr>
        <w:spacing w:after="0" w:line="74" w:lineRule="exact"/>
        <w:rPr>
          <w:sz w:val="20"/>
          <w:szCs w:val="20"/>
          <w:color w:val="auto"/>
        </w:rPr>
      </w:pPr>
    </w:p>
    <w:p>
      <w:pPr>
        <w:ind w:left="980" w:right="3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color w:val="231F20"/>
        </w:rPr>
        <w:t>Sixth Amendment to Fourth Amended and Restated Receivables Purchase Agreement, dated as of December 29, 2017</w:t>
      </w:r>
    </w:p>
    <w:p>
      <w:pPr>
        <w:spacing w:after="0" w:line="74" w:lineRule="exact"/>
        <w:rPr>
          <w:sz w:val="20"/>
          <w:szCs w:val="20"/>
          <w:color w:val="auto"/>
        </w:rPr>
      </w:pPr>
    </w:p>
    <w:p>
      <w:pPr>
        <w:ind w:left="980" w:right="4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color w:val="231F20"/>
        </w:rPr>
        <w:t>Form of Non-Employee Director Restricted Stock Unit Agreement</w:t>
      </w:r>
    </w:p>
    <w:p>
      <w:pPr>
        <w:spacing w:after="0" w:line="270" w:lineRule="exact"/>
        <w:rPr>
          <w:sz w:val="20"/>
          <w:szCs w:val="20"/>
          <w:color w:val="auto"/>
        </w:rPr>
      </w:pPr>
    </w:p>
    <w:p>
      <w:pPr>
        <w:ind w:left="980" w:right="80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color w:val="231F20"/>
        </w:rPr>
        <w:t>Form of Restricted Stock Unit Agreement for Employees</w:t>
      </w:r>
    </w:p>
    <w:p>
      <w:pPr>
        <w:spacing w:after="0" w:line="270" w:lineRule="exact"/>
        <w:rPr>
          <w:sz w:val="20"/>
          <w:szCs w:val="20"/>
          <w:color w:val="auto"/>
        </w:rPr>
      </w:pPr>
    </w:p>
    <w:p>
      <w:pPr>
        <w:ind w:left="980" w:right="40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Form of Stock Appreciation Rights Agreement for Employees</w:t>
      </w:r>
    </w:p>
    <w:p>
      <w:pPr>
        <w:spacing w:after="0" w:line="270" w:lineRule="exact"/>
        <w:rPr>
          <w:sz w:val="20"/>
          <w:szCs w:val="20"/>
          <w:color w:val="auto"/>
        </w:rPr>
      </w:pPr>
    </w:p>
    <w:p>
      <w:pPr>
        <w:jc w:val="both"/>
        <w:ind w:left="98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Form of Notice of Performance Share Award Under the WESCO International, Inc. 1999 Long-Term Incentive Plan, as restated May 31, 2017</w:t>
      </w:r>
    </w:p>
    <w:p>
      <w:pPr>
        <w:spacing w:after="0" w:line="74" w:lineRule="exact"/>
        <w:rPr>
          <w:sz w:val="20"/>
          <w:szCs w:val="20"/>
          <w:color w:val="auto"/>
        </w:rPr>
      </w:pPr>
    </w:p>
    <w:p>
      <w:pPr>
        <w:ind w:left="980" w:right="20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color w:val="231F20"/>
        </w:rPr>
        <w:t>1999 Long-Term Incentive Plan, as restated effective as of May 31, 2017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10.5 to Wesco’s Annual Report on Form 10-K for the year ended December 31, 2011</w:t>
      </w:r>
    </w:p>
    <w:p>
      <w:pPr>
        <w:spacing w:after="0" w:line="74"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10.7 to Wesco’s Annual Report on Form 10-K for the year ended December 31, 2011</w:t>
      </w:r>
    </w:p>
    <w:p>
      <w:pPr>
        <w:spacing w:after="0" w:line="74"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Quarterly Report on Form 10-Q for the quarter ended September 30, 2009</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Incorporated by reference to Appendix A to the Proxy Statement filed on Schedule 14A on April 16, 2013</w:t>
      </w:r>
    </w:p>
    <w:p>
      <w:pPr>
        <w:spacing w:after="0" w:line="4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10.33 to Wesco’s Annual Report on Form 10-K for the year ended December 31, 2014</w:t>
      </w:r>
    </w:p>
    <w:p>
      <w:pPr>
        <w:spacing w:after="0" w:line="74"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Current Report on Form 8-K, dated September 24,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10.24 to Wesco’s Annual Report on Form 10-K for the year ended December 31, 2015</w:t>
      </w:r>
    </w:p>
    <w:p>
      <w:pPr>
        <w:spacing w:after="0" w:line="281"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June 30, 2016</w:t>
      </w:r>
    </w:p>
    <w:p>
      <w:pPr>
        <w:spacing w:after="0" w:line="74"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Quarterly Report on Form 10-Q for the quarter ended June 30, 2016</w:t>
      </w:r>
    </w:p>
    <w:p>
      <w:pPr>
        <w:spacing w:after="0" w:line="74"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10.3 to Wesco’s Quarterly Report on Form 10-Q for the quarter ended June 30, 2016</w:t>
      </w:r>
    </w:p>
    <w:p>
      <w:pPr>
        <w:spacing w:after="0" w:line="74"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10.4 to Wesco’s Quarterly Report on Form 10-Q for the quarter ended June 30, 2016</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November 8, 2017</w:t>
      </w:r>
    </w:p>
    <w:p>
      <w:pPr>
        <w:spacing w:after="0" w:line="25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10.22 to Wesco’s Annual Report on Form 10-K for the year ended December 31, 2017</w:t>
      </w:r>
    </w:p>
    <w:p>
      <w:pPr>
        <w:spacing w:after="0" w:line="7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10.23 to Wesco’s Annual Report on Form 10-K for the year ended December 31, 2017</w:t>
      </w:r>
    </w:p>
    <w:p>
      <w:pPr>
        <w:spacing w:after="0" w:line="7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10.24 to Wesco’s Annual Report on Form 10-K for the year ended December 31, 2017</w:t>
      </w:r>
    </w:p>
    <w:p>
      <w:pPr>
        <w:spacing w:after="0" w:line="7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10.25 to Wesco’s Annual Report on Form 10-K for the year ended December 31, 2017</w:t>
      </w:r>
    </w:p>
    <w:p>
      <w:pPr>
        <w:spacing w:after="0" w:line="7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10.26 to Wesco’s Annual Report on Form 10-K for the year ended December 31, 2017</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Incorporated by reference to Appendix A to the Proxy Statement filed on Schedule 14A on April 17, 2017</w:t>
      </w:r>
    </w:p>
    <w:p>
      <w:pPr>
        <w:spacing w:after="0" w:line="200" w:lineRule="exact"/>
        <w:rPr>
          <w:sz w:val="20"/>
          <w:szCs w:val="20"/>
          <w:color w:val="auto"/>
        </w:rPr>
      </w:pPr>
    </w:p>
    <w:p>
      <w:pPr>
        <w:sectPr>
          <w:pgSz w:w="11880" w:h="15480" w:orient="portrait"/>
          <w:cols w:equalWidth="0" w:num="2">
            <w:col w:w="5360" w:space="200"/>
            <w:col w:w="4300"/>
          </w:cols>
          <w:pgMar w:left="940" w:top="769" w:right="1080"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860"/>
          </w:cols>
          <w:pgMar w:left="940" w:top="769" w:right="1080" w:bottom="0" w:gutter="0" w:footer="0" w:header="0"/>
          <w:type w:val="continuous"/>
        </w:sectPr>
      </w:pPr>
    </w:p>
    <w:bookmarkStart w:id="103" w:name="page104"/>
    <w:bookmarkEnd w:id="103"/>
    <w:p>
      <w:pPr>
        <w:spacing w:after="0"/>
        <w:tabs>
          <w:tab w:leader="none" w:pos="960" w:val="left"/>
          <w:tab w:leader="none" w:pos="5540" w:val="left"/>
        </w:tabs>
        <w:rPr>
          <w:sz w:val="20"/>
          <w:szCs w:val="20"/>
          <w:color w:val="auto"/>
        </w:rPr>
      </w:pPr>
      <w:r>
        <w:rPr>
          <w:rFonts w:ascii="Times New Roman" w:cs="Times New Roman" w:eastAsia="Times New Roman" w:hAnsi="Times New Roman"/>
          <w:sz w:val="16"/>
          <w:szCs w:val="16"/>
          <w:color w:val="231F20"/>
        </w:rPr>
        <w:t>Exhibit No.</w:t>
        <w:tab/>
        <w:t>Description of Exhibit</w:t>
      </w:r>
      <w:r>
        <w:rPr>
          <w:sz w:val="20"/>
          <w:szCs w:val="20"/>
          <w:color w:val="auto"/>
        </w:rPr>
        <w:tab/>
      </w:r>
      <w:r>
        <w:rPr>
          <w:rFonts w:ascii="Times New Roman" w:cs="Times New Roman" w:eastAsia="Times New Roman" w:hAnsi="Times New Roman"/>
          <w:sz w:val="15"/>
          <w:szCs w:val="15"/>
          <w:color w:val="231F20"/>
        </w:rPr>
        <w:t>Prior Filing or Sequential Page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23495</wp:posOffset>
                </wp:positionV>
                <wp:extent cx="638937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937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pt,1.85pt" to="500.45pt,1.85pt" o:allowincell="f" strokecolor="#231F20" strokeweight="0.985pt"/>
            </w:pict>
          </mc:Fallback>
        </mc:AlternateContent>
      </w:r>
    </w:p>
    <w:p>
      <w:pPr>
        <w:sectPr>
          <w:pgSz w:w="11880" w:h="15480" w:orient="portrait"/>
          <w:cols w:equalWidth="0" w:num="1">
            <w:col w:w="9840"/>
          </w:cols>
          <w:pgMar w:left="940" w:top="769" w:right="1100" w:bottom="0" w:gutter="0" w:footer="0" w:header="0"/>
        </w:sectPr>
      </w:pPr>
    </w:p>
    <w:p>
      <w:pPr>
        <w:spacing w:after="0" w:line="29" w:lineRule="exact"/>
        <w:rPr>
          <w:sz w:val="20"/>
          <w:szCs w:val="20"/>
          <w:color w:val="auto"/>
        </w:rPr>
      </w:pPr>
    </w:p>
    <w:p>
      <w:pPr>
        <w:jc w:val="both"/>
        <w:ind w:left="980" w:right="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color w:val="231F20"/>
        </w:rPr>
        <w:t>Seventh Amendment to Fourth Amended and Restated Receivables Purchase Agreement, dated as of April 23, 2018</w:t>
      </w:r>
    </w:p>
    <w:p>
      <w:pPr>
        <w:spacing w:after="0" w:line="74" w:lineRule="exact"/>
        <w:rPr>
          <w:sz w:val="20"/>
          <w:szCs w:val="20"/>
          <w:color w:val="auto"/>
        </w:rPr>
      </w:pPr>
    </w:p>
    <w:p>
      <w:pPr>
        <w:ind w:left="980" w:right="18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color w:val="231F20"/>
        </w:rPr>
        <w:t>Eighth Amendment to Fourth Amended and Restated Receivables Purchase Agreement, dated as of December 21, 2018</w:t>
      </w:r>
    </w:p>
    <w:p>
      <w:pPr>
        <w:spacing w:after="0" w:line="74" w:lineRule="exact"/>
        <w:rPr>
          <w:sz w:val="20"/>
          <w:szCs w:val="20"/>
          <w:color w:val="auto"/>
        </w:rPr>
      </w:pPr>
    </w:p>
    <w:p>
      <w:pPr>
        <w:ind w:left="980" w:hanging="974"/>
        <w:spacing w:after="0" w:line="212" w:lineRule="auto"/>
        <w:tabs>
          <w:tab w:leader="none" w:pos="96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color w:val="231F20"/>
        </w:rPr>
        <w:t>Third Amended and Restated Credit Agreement, dated as of September 26, 2019 among WESCO Distribution, Inc., the other U.S. Borrowers party thereto, WESCO Distribution Canada LP, the other Canadian Borrowers party thereto, WESCO International, Inc., the Lenders party thereto, JPMorgan Chase Bank, N.A., as Administrative Agent, and JPMorgan Chase Bank, N.A., Toronto Branch, as Canadian Administrative Agent</w:t>
      </w:r>
    </w:p>
    <w:p>
      <w:pPr>
        <w:spacing w:after="0" w:line="78" w:lineRule="exact"/>
        <w:rPr>
          <w:sz w:val="20"/>
          <w:szCs w:val="20"/>
          <w:color w:val="auto"/>
        </w:rPr>
      </w:pPr>
    </w:p>
    <w:p>
      <w:pPr>
        <w:ind w:left="980" w:right="26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10.22</w:t>
      </w:r>
      <w:r>
        <w:rPr>
          <w:sz w:val="20"/>
          <w:szCs w:val="20"/>
          <w:color w:val="auto"/>
        </w:rPr>
        <w:tab/>
      </w:r>
      <w:r>
        <w:rPr>
          <w:rFonts w:ascii="Times New Roman" w:cs="Times New Roman" w:eastAsia="Times New Roman" w:hAnsi="Times New Roman"/>
          <w:sz w:val="20"/>
          <w:szCs w:val="20"/>
          <w:color w:val="231F20"/>
        </w:rPr>
        <w:t>Ninth Amendment to Fourth Amended and Restated Receivables Purchase Agreement, dated as of September 26, 2019</w:t>
      </w:r>
    </w:p>
    <w:p>
      <w:pPr>
        <w:spacing w:after="0" w:line="74" w:lineRule="exact"/>
        <w:rPr>
          <w:sz w:val="20"/>
          <w:szCs w:val="20"/>
          <w:color w:val="auto"/>
        </w:rPr>
      </w:pPr>
    </w:p>
    <w:p>
      <w:pPr>
        <w:ind w:left="980" w:hanging="974"/>
        <w:spacing w:after="0" w:line="214" w:lineRule="auto"/>
        <w:tabs>
          <w:tab w:leader="none" w:pos="960" w:val="left"/>
        </w:tabs>
        <w:rPr>
          <w:sz w:val="20"/>
          <w:szCs w:val="20"/>
          <w:color w:val="auto"/>
        </w:rPr>
      </w:pPr>
      <w:r>
        <w:rPr>
          <w:rFonts w:ascii="Times New Roman" w:cs="Times New Roman" w:eastAsia="Times New Roman" w:hAnsi="Times New Roman"/>
          <w:sz w:val="20"/>
          <w:szCs w:val="20"/>
          <w:color w:val="231F20"/>
        </w:rPr>
        <w:t>10.23</w:t>
      </w:r>
      <w:r>
        <w:rPr>
          <w:sz w:val="20"/>
          <w:szCs w:val="20"/>
          <w:color w:val="auto"/>
        </w:rPr>
        <w:tab/>
      </w:r>
      <w:r>
        <w:rPr>
          <w:rFonts w:ascii="Times New Roman" w:cs="Times New Roman" w:eastAsia="Times New Roman" w:hAnsi="Times New Roman"/>
          <w:sz w:val="20"/>
          <w:szCs w:val="20"/>
          <w:color w:val="231F20"/>
        </w:rPr>
        <w:t>Fourth Amended and Restated Credit Agreement, dated as of June 22, 2020,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86" w:lineRule="exact"/>
        <w:rPr>
          <w:sz w:val="20"/>
          <w:szCs w:val="20"/>
          <w:color w:val="auto"/>
        </w:rPr>
      </w:pPr>
    </w:p>
    <w:p>
      <w:pPr>
        <w:ind w:left="980" w:right="1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10.24</w:t>
      </w:r>
      <w:r>
        <w:rPr>
          <w:sz w:val="20"/>
          <w:szCs w:val="20"/>
          <w:color w:val="auto"/>
        </w:rPr>
        <w:tab/>
      </w:r>
      <w:r>
        <w:rPr>
          <w:rFonts w:ascii="Times New Roman" w:cs="Times New Roman" w:eastAsia="Times New Roman" w:hAnsi="Times New Roman"/>
          <w:sz w:val="20"/>
          <w:szCs w:val="20"/>
          <w:color w:val="231F20"/>
        </w:rPr>
        <w:t>Fifth Amended and Restated Receivables Purchase Agreement, dated as of June 22, 2020, by and among WESCO Receivables Corp., WESCO Distribution, Inc., the various purchaser groups from time to time party thereto and PNC Bank, National Association, as administrator</w:t>
      </w:r>
    </w:p>
    <w:p>
      <w:pPr>
        <w:spacing w:after="0" w:line="73" w:lineRule="exact"/>
        <w:rPr>
          <w:sz w:val="20"/>
          <w:szCs w:val="20"/>
          <w:color w:val="auto"/>
        </w:rPr>
      </w:pPr>
    </w:p>
    <w:p>
      <w:pPr>
        <w:ind w:left="980" w:right="38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10.25</w:t>
      </w:r>
      <w:r>
        <w:rPr>
          <w:sz w:val="20"/>
          <w:szCs w:val="20"/>
          <w:color w:val="auto"/>
        </w:rPr>
        <w:tab/>
      </w:r>
      <w:r>
        <w:rPr>
          <w:rFonts w:ascii="Times New Roman" w:cs="Times New Roman" w:eastAsia="Times New Roman" w:hAnsi="Times New Roman"/>
          <w:sz w:val="20"/>
          <w:szCs w:val="20"/>
          <w:color w:val="231F20"/>
        </w:rPr>
        <w:t>Form of Restricted Stock Unit Agreement (Special Awards)</w:t>
      </w:r>
    </w:p>
    <w:p>
      <w:pPr>
        <w:spacing w:after="0" w:line="63" w:lineRule="exact"/>
        <w:rPr>
          <w:sz w:val="20"/>
          <w:szCs w:val="20"/>
          <w:color w:val="auto"/>
        </w:rPr>
      </w:pPr>
    </w:p>
    <w:p>
      <w:pPr>
        <w:ind w:left="980" w:right="74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10.26</w:t>
      </w:r>
      <w:r>
        <w:rPr>
          <w:sz w:val="20"/>
          <w:szCs w:val="20"/>
          <w:color w:val="auto"/>
        </w:rPr>
        <w:tab/>
      </w:r>
      <w:r>
        <w:rPr>
          <w:rFonts w:ascii="Times New Roman" w:cs="Times New Roman" w:eastAsia="Times New Roman" w:hAnsi="Times New Roman"/>
          <w:sz w:val="20"/>
          <w:szCs w:val="20"/>
          <w:color w:val="231F20"/>
        </w:rPr>
        <w:t>WESCO International, Inc. Change in Control Severance Plan</w:t>
      </w:r>
    </w:p>
    <w:p>
      <w:pPr>
        <w:spacing w:after="0" w:line="63" w:lineRule="exact"/>
        <w:rPr>
          <w:sz w:val="20"/>
          <w:szCs w:val="20"/>
          <w:color w:val="auto"/>
        </w:rPr>
      </w:pPr>
    </w:p>
    <w:p>
      <w:pPr>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10.27</w:t>
      </w:r>
      <w:r>
        <w:rPr>
          <w:sz w:val="20"/>
          <w:szCs w:val="20"/>
          <w:color w:val="auto"/>
        </w:rPr>
        <w:tab/>
      </w:r>
      <w:r>
        <w:rPr>
          <w:rFonts w:ascii="Times New Roman" w:cs="Times New Roman" w:eastAsia="Times New Roman" w:hAnsi="Times New Roman"/>
          <w:sz w:val="20"/>
          <w:szCs w:val="20"/>
          <w:color w:val="231F20"/>
        </w:rPr>
        <w:t>Agreement, dated June 22, 2020, memorializing terms of employment of David Schulz by WESCO International, Inc.</w:t>
      </w:r>
    </w:p>
    <w:p>
      <w:pPr>
        <w:spacing w:after="0" w:line="133" w:lineRule="exact"/>
        <w:rPr>
          <w:sz w:val="20"/>
          <w:szCs w:val="20"/>
          <w:color w:val="auto"/>
        </w:rPr>
      </w:pPr>
    </w:p>
    <w:p>
      <w:pPr>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10.28</w:t>
      </w:r>
      <w:r>
        <w:rPr>
          <w:sz w:val="20"/>
          <w:szCs w:val="20"/>
          <w:color w:val="auto"/>
        </w:rPr>
        <w:tab/>
      </w:r>
      <w:r>
        <w:rPr>
          <w:rFonts w:ascii="Times New Roman" w:cs="Times New Roman" w:eastAsia="Times New Roman" w:hAnsi="Times New Roman"/>
          <w:sz w:val="20"/>
          <w:szCs w:val="20"/>
          <w:color w:val="231F20"/>
        </w:rPr>
        <w:t>Agreement, dated June 22, 2020, memorializing terms of employment of Nelson Squires by WESCO International, Inc.</w:t>
      </w:r>
    </w:p>
    <w:p>
      <w:pPr>
        <w:spacing w:after="0" w:line="74" w:lineRule="exact"/>
        <w:rPr>
          <w:sz w:val="20"/>
          <w:szCs w:val="20"/>
          <w:color w:val="auto"/>
        </w:rPr>
      </w:pPr>
    </w:p>
    <w:p>
      <w:pPr>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10.29</w:t>
      </w:r>
      <w:r>
        <w:rPr>
          <w:sz w:val="20"/>
          <w:szCs w:val="20"/>
          <w:color w:val="auto"/>
        </w:rPr>
        <w:tab/>
      </w:r>
      <w:r>
        <w:rPr>
          <w:rFonts w:ascii="Times New Roman" w:cs="Times New Roman" w:eastAsia="Times New Roman" w:hAnsi="Times New Roman"/>
          <w:sz w:val="20"/>
          <w:szCs w:val="20"/>
          <w:color w:val="231F20"/>
        </w:rPr>
        <w:t>Agreement, dated June 22, 2020, memorializing terms of employment of Christine Wolf by WESCO International, Inc.</w:t>
      </w:r>
    </w:p>
    <w:p>
      <w:pPr>
        <w:spacing w:after="0" w:line="74" w:lineRule="exact"/>
        <w:rPr>
          <w:sz w:val="20"/>
          <w:szCs w:val="20"/>
          <w:color w:val="auto"/>
        </w:rPr>
      </w:pPr>
    </w:p>
    <w:p>
      <w:pPr>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10.30</w:t>
      </w:r>
      <w:r>
        <w:rPr>
          <w:sz w:val="20"/>
          <w:szCs w:val="20"/>
          <w:color w:val="auto"/>
        </w:rPr>
        <w:tab/>
      </w:r>
      <w:r>
        <w:rPr>
          <w:rFonts w:ascii="Times New Roman" w:cs="Times New Roman" w:eastAsia="Times New Roman" w:hAnsi="Times New Roman"/>
          <w:sz w:val="20"/>
          <w:szCs w:val="20"/>
          <w:color w:val="231F20"/>
        </w:rPr>
        <w:t>Agreement, dated June 22, 2020, memorializing terms of employment of Diane Lazzaris by WESCO International, Inc.</w:t>
      </w:r>
    </w:p>
    <w:p>
      <w:pPr>
        <w:spacing w:after="0" w:line="74" w:lineRule="exact"/>
        <w:rPr>
          <w:sz w:val="20"/>
          <w:szCs w:val="20"/>
          <w:color w:val="auto"/>
        </w:rPr>
      </w:pPr>
    </w:p>
    <w:p>
      <w:pPr>
        <w:ind w:left="980" w:right="12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10.31</w:t>
      </w:r>
      <w:r>
        <w:rPr>
          <w:sz w:val="20"/>
          <w:szCs w:val="20"/>
          <w:color w:val="auto"/>
        </w:rPr>
        <w:tab/>
      </w:r>
      <w:r>
        <w:rPr>
          <w:rFonts w:ascii="Times New Roman" w:cs="Times New Roman" w:eastAsia="Times New Roman" w:hAnsi="Times New Roman"/>
          <w:sz w:val="19"/>
          <w:szCs w:val="19"/>
          <w:color w:val="231F20"/>
        </w:rPr>
        <w:t>First Amendment to Fourth Amended and Restated Credit Agreement, dated as of December 14, 2020, among WESCO Distribution, Inc., the other U.S. borrowers party thereto, WESCO Distribution Canada LP, the other Canadian borrowers party thereto, WESCO International, Inc., the lenders party thereto and Barclays Bank PLC, as administrative agent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September 30, 2018</w:t>
      </w:r>
    </w:p>
    <w:p>
      <w:pPr>
        <w:spacing w:after="0" w:line="7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10.30 to Wesco’s Annual Report on Form 10-K for the year ended December 31, 2018</w:t>
      </w:r>
    </w:p>
    <w:p>
      <w:pPr>
        <w:spacing w:after="0" w:line="7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Current Report on Form 8-K, dated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Current Report on Form 8-K, dated September 30, 2019</w:t>
      </w:r>
    </w:p>
    <w:p>
      <w:pPr>
        <w:spacing w:after="0" w:line="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June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June 24,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June 25, 2020</w:t>
      </w:r>
    </w:p>
    <w:p>
      <w:pPr>
        <w:spacing w:after="0" w:line="4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June 25, 2020</w:t>
      </w:r>
    </w:p>
    <w:p>
      <w:pPr>
        <w:spacing w:after="0" w:line="4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June 30, 2020</w:t>
      </w:r>
    </w:p>
    <w:p>
      <w:pPr>
        <w:spacing w:after="0" w:line="64"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Quarterly Report on Form 10-Q for the quarter ended June 30, 2020</w:t>
      </w:r>
    </w:p>
    <w:p>
      <w:pPr>
        <w:spacing w:after="0" w:line="74"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10.3 to Wesco’s Quarterly Report on Form 10-Q for the quarter ended June 30, 2020</w:t>
      </w:r>
    </w:p>
    <w:p>
      <w:pPr>
        <w:spacing w:after="0" w:line="74"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10.4 to Wesco’s Quarterly Report on Form 10-Q for the quarter ended June 30, 2020</w:t>
      </w:r>
    </w:p>
    <w:p>
      <w:pPr>
        <w:spacing w:after="0" w:line="7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10.40 to Wesco’s Annual Report on Form 10-K for the year ended December 31, 2020</w:t>
      </w:r>
    </w:p>
    <w:p>
      <w:pPr>
        <w:spacing w:after="0" w:line="984" w:lineRule="exact"/>
        <w:rPr>
          <w:sz w:val="20"/>
          <w:szCs w:val="20"/>
          <w:color w:val="auto"/>
        </w:rPr>
      </w:pPr>
    </w:p>
    <w:p>
      <w:pPr>
        <w:sectPr>
          <w:pgSz w:w="11880" w:h="15480" w:orient="portrait"/>
          <w:cols w:equalWidth="0" w:num="2">
            <w:col w:w="5360" w:space="200"/>
            <w:col w:w="4280"/>
          </w:cols>
          <w:pgMar w:left="940" w:top="769"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840"/>
          </w:cols>
          <w:pgMar w:left="940" w:top="769" w:right="1100" w:bottom="0" w:gutter="0" w:footer="0" w:header="0"/>
          <w:type w:val="continuous"/>
        </w:sectPr>
      </w:pPr>
    </w:p>
    <w:bookmarkStart w:id="104" w:name="page105"/>
    <w:bookmarkEnd w:id="104"/>
    <w:p>
      <w:pPr>
        <w:spacing w:after="0"/>
        <w:tabs>
          <w:tab w:leader="none" w:pos="960" w:val="left"/>
          <w:tab w:leader="none" w:pos="5540" w:val="left"/>
        </w:tabs>
        <w:rPr>
          <w:sz w:val="20"/>
          <w:szCs w:val="20"/>
          <w:color w:val="auto"/>
        </w:rPr>
      </w:pPr>
      <w:r>
        <w:rPr>
          <w:rFonts w:ascii="Times New Roman" w:cs="Times New Roman" w:eastAsia="Times New Roman" w:hAnsi="Times New Roman"/>
          <w:sz w:val="16"/>
          <w:szCs w:val="16"/>
          <w:color w:val="231F20"/>
        </w:rPr>
        <w:t>Exhibit No.</w:t>
        <w:tab/>
        <w:t>Description of Exhibit</w:t>
      </w:r>
      <w:r>
        <w:rPr>
          <w:sz w:val="20"/>
          <w:szCs w:val="20"/>
          <w:color w:val="auto"/>
        </w:rPr>
        <w:tab/>
      </w:r>
      <w:r>
        <w:rPr>
          <w:rFonts w:ascii="Times New Roman" w:cs="Times New Roman" w:eastAsia="Times New Roman" w:hAnsi="Times New Roman"/>
          <w:sz w:val="15"/>
          <w:szCs w:val="15"/>
          <w:color w:val="231F20"/>
        </w:rPr>
        <w:t>Prior Filing or Sequential Page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23495</wp:posOffset>
                </wp:positionV>
                <wp:extent cx="638937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937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pt,1.85pt" to="500.45pt,1.85pt" o:allowincell="f" strokecolor="#231F20" strokeweight="0.985pt"/>
            </w:pict>
          </mc:Fallback>
        </mc:AlternateContent>
      </w:r>
    </w:p>
    <w:p>
      <w:pPr>
        <w:sectPr>
          <w:pgSz w:w="11880" w:h="15480" w:orient="portrait"/>
          <w:cols w:equalWidth="0" w:num="1">
            <w:col w:w="9840"/>
          </w:cols>
          <w:pgMar w:left="940" w:top="769" w:right="1100" w:bottom="0" w:gutter="0" w:footer="0" w:header="0"/>
        </w:sectPr>
      </w:pPr>
    </w:p>
    <w:p>
      <w:pPr>
        <w:spacing w:after="0" w:line="29" w:lineRule="exact"/>
        <w:rPr>
          <w:sz w:val="20"/>
          <w:szCs w:val="20"/>
          <w:color w:val="auto"/>
        </w:rPr>
      </w:pPr>
    </w:p>
    <w:p>
      <w:pPr>
        <w:ind w:left="980" w:right="420" w:hanging="974"/>
        <w:spacing w:after="0" w:line="214" w:lineRule="auto"/>
        <w:tabs>
          <w:tab w:leader="none" w:pos="960" w:val="left"/>
        </w:tabs>
        <w:rPr>
          <w:sz w:val="20"/>
          <w:szCs w:val="20"/>
          <w:color w:val="auto"/>
        </w:rPr>
      </w:pPr>
      <w:r>
        <w:rPr>
          <w:rFonts w:ascii="Times New Roman" w:cs="Times New Roman" w:eastAsia="Times New Roman" w:hAnsi="Times New Roman"/>
          <w:sz w:val="20"/>
          <w:szCs w:val="20"/>
          <w:color w:val="231F20"/>
        </w:rPr>
        <w:t>10.32</w:t>
      </w:r>
      <w:r>
        <w:rPr>
          <w:sz w:val="20"/>
          <w:szCs w:val="20"/>
          <w:color w:val="auto"/>
        </w:rPr>
        <w:tab/>
      </w:r>
      <w:r>
        <w:rPr>
          <w:rFonts w:ascii="Times New Roman" w:cs="Times New Roman" w:eastAsia="Times New Roman" w:hAnsi="Times New Roman"/>
          <w:sz w:val="20"/>
          <w:szCs w:val="20"/>
          <w:color w:val="231F20"/>
        </w:rPr>
        <w:t>First Amendment to Fifth Amended and Restated Receivables Purchase Agreement, dated as of December 14, 2020, by and among WESCO Receivables Corp., WESCO Distribution, Inc., the various purchaser groups from time to time party thereto and PNC Bank, National Association, as administrator</w:t>
      </w:r>
    </w:p>
    <w:p>
      <w:pPr>
        <w:spacing w:after="0" w:line="86" w:lineRule="exact"/>
        <w:rPr>
          <w:sz w:val="20"/>
          <w:szCs w:val="20"/>
          <w:color w:val="auto"/>
        </w:rPr>
      </w:pPr>
    </w:p>
    <w:p>
      <w:pPr>
        <w:ind w:left="980" w:right="240" w:hanging="974"/>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231F20"/>
        </w:rPr>
        <w:t>10.33</w:t>
      </w:r>
      <w:r>
        <w:rPr>
          <w:sz w:val="20"/>
          <w:szCs w:val="20"/>
          <w:color w:val="auto"/>
        </w:rPr>
        <w:tab/>
      </w:r>
      <w:r>
        <w:rPr>
          <w:rFonts w:ascii="Times New Roman" w:cs="Times New Roman" w:eastAsia="Times New Roman" w:hAnsi="Times New Roman"/>
          <w:sz w:val="20"/>
          <w:szCs w:val="20"/>
          <w:color w:val="231F20"/>
        </w:rPr>
        <w:t>WESCO International, Inc. 2021 Omnibus Incentive Plan</w:t>
      </w:r>
    </w:p>
    <w:p>
      <w:pPr>
        <w:spacing w:after="0" w:line="63" w:lineRule="exact"/>
        <w:rPr>
          <w:sz w:val="20"/>
          <w:szCs w:val="20"/>
          <w:color w:val="auto"/>
        </w:rPr>
      </w:pPr>
    </w:p>
    <w:p>
      <w:pPr>
        <w:ind w:left="980" w:right="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10.34</w:t>
      </w:r>
      <w:r>
        <w:rPr>
          <w:sz w:val="20"/>
          <w:szCs w:val="20"/>
          <w:color w:val="auto"/>
        </w:rPr>
        <w:tab/>
      </w:r>
      <w:r>
        <w:rPr>
          <w:rFonts w:ascii="Times New Roman" w:cs="Times New Roman" w:eastAsia="Times New Roman" w:hAnsi="Times New Roman"/>
          <w:sz w:val="20"/>
          <w:szCs w:val="20"/>
          <w:color w:val="231F20"/>
        </w:rPr>
        <w:t>Second Amendment to Fifth Amended and Restated Receivables Purchase Agreement, dated as of March 8, 2021, by and among WESCO Receivables Corp., WESCO Distribution, Inc., the various purchaser groups from time to time party thereto and PNC Bank, National Association, as administrator</w:t>
      </w:r>
    </w:p>
    <w:p>
      <w:pPr>
        <w:spacing w:after="0" w:line="73" w:lineRule="exact"/>
        <w:rPr>
          <w:sz w:val="20"/>
          <w:szCs w:val="20"/>
          <w:color w:val="auto"/>
        </w:rPr>
      </w:pPr>
    </w:p>
    <w:p>
      <w:pPr>
        <w:ind w:left="98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10.35</w:t>
      </w:r>
      <w:r>
        <w:rPr>
          <w:sz w:val="20"/>
          <w:szCs w:val="20"/>
          <w:color w:val="auto"/>
        </w:rPr>
        <w:tab/>
      </w:r>
      <w:r>
        <w:rPr>
          <w:rFonts w:ascii="Times New Roman" w:cs="Times New Roman" w:eastAsia="Times New Roman" w:hAnsi="Times New Roman"/>
          <w:sz w:val="20"/>
          <w:szCs w:val="20"/>
          <w:color w:val="231F20"/>
        </w:rPr>
        <w:t>Form of WESCO International, Inc. 2021 Omnibus Incentive Plan Restricted Stock Unit Award Agreement (for employees)</w:t>
      </w:r>
    </w:p>
    <w:p>
      <w:pPr>
        <w:spacing w:after="0" w:line="74" w:lineRule="exact"/>
        <w:rPr>
          <w:sz w:val="20"/>
          <w:szCs w:val="20"/>
          <w:color w:val="auto"/>
        </w:rPr>
      </w:pPr>
    </w:p>
    <w:p>
      <w:pPr>
        <w:ind w:left="98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10.36</w:t>
      </w:r>
      <w:r>
        <w:rPr>
          <w:sz w:val="20"/>
          <w:szCs w:val="20"/>
          <w:color w:val="auto"/>
        </w:rPr>
        <w:tab/>
      </w:r>
      <w:r>
        <w:rPr>
          <w:rFonts w:ascii="Times New Roman" w:cs="Times New Roman" w:eastAsia="Times New Roman" w:hAnsi="Times New Roman"/>
          <w:sz w:val="20"/>
          <w:szCs w:val="20"/>
          <w:color w:val="231F20"/>
        </w:rPr>
        <w:t>Form of WESCO International, Inc. 2021 Omnibus Incentive Plan Restricted Stock Unit Award Agreement (for non-employee directors)</w:t>
      </w:r>
    </w:p>
    <w:p>
      <w:pPr>
        <w:spacing w:after="0" w:line="74" w:lineRule="exact"/>
        <w:rPr>
          <w:sz w:val="20"/>
          <w:szCs w:val="20"/>
          <w:color w:val="auto"/>
        </w:rPr>
      </w:pPr>
    </w:p>
    <w:p>
      <w:pPr>
        <w:ind w:left="980" w:right="3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10.37</w:t>
      </w:r>
      <w:r>
        <w:rPr>
          <w:sz w:val="20"/>
          <w:szCs w:val="20"/>
          <w:color w:val="auto"/>
        </w:rPr>
        <w:tab/>
      </w:r>
      <w:r>
        <w:rPr>
          <w:rFonts w:ascii="Times New Roman" w:cs="Times New Roman" w:eastAsia="Times New Roman" w:hAnsi="Times New Roman"/>
          <w:sz w:val="20"/>
          <w:szCs w:val="20"/>
          <w:color w:val="231F20"/>
        </w:rPr>
        <w:t>Form of WESCO International, Inc. 2021 Omnibus Incentive Plan Stock Appreciation Right Award Agreement</w:t>
      </w:r>
    </w:p>
    <w:p>
      <w:pPr>
        <w:spacing w:after="0" w:line="74" w:lineRule="exact"/>
        <w:rPr>
          <w:sz w:val="20"/>
          <w:szCs w:val="20"/>
          <w:color w:val="auto"/>
        </w:rPr>
      </w:pPr>
    </w:p>
    <w:p>
      <w:pPr>
        <w:ind w:left="980" w:right="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10.38</w:t>
      </w:r>
      <w:r>
        <w:rPr>
          <w:sz w:val="20"/>
          <w:szCs w:val="20"/>
          <w:color w:val="auto"/>
        </w:rPr>
        <w:tab/>
      </w:r>
      <w:r>
        <w:rPr>
          <w:rFonts w:ascii="Times New Roman" w:cs="Times New Roman" w:eastAsia="Times New Roman" w:hAnsi="Times New Roman"/>
          <w:sz w:val="20"/>
          <w:szCs w:val="20"/>
          <w:color w:val="231F20"/>
        </w:rPr>
        <w:t>Third Amendment to Fifth Amended and Restated Receivables Purchase Agreement, dated as of June 1, 2021, by and among WESCO Receivables Corp., WESCO Distribution, Inc., the various purchaser groups from time to time party thereto, and PNC Bank, National Association, as administrator</w:t>
      </w:r>
    </w:p>
    <w:p>
      <w:pPr>
        <w:spacing w:after="0" w:line="73" w:lineRule="exact"/>
        <w:rPr>
          <w:sz w:val="20"/>
          <w:szCs w:val="20"/>
          <w:color w:val="auto"/>
        </w:rPr>
      </w:pPr>
    </w:p>
    <w:p>
      <w:pPr>
        <w:ind w:left="980" w:right="3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10.39</w:t>
      </w:r>
      <w:r>
        <w:rPr>
          <w:sz w:val="20"/>
          <w:szCs w:val="20"/>
          <w:color w:val="auto"/>
        </w:rPr>
        <w:tab/>
      </w:r>
      <w:r>
        <w:rPr>
          <w:rFonts w:ascii="Times New Roman" w:cs="Times New Roman" w:eastAsia="Times New Roman" w:hAnsi="Times New Roman"/>
          <w:sz w:val="20"/>
          <w:szCs w:val="20"/>
          <w:color w:val="231F20"/>
        </w:rPr>
        <w:t>Form of WESCO International, Inc. 2021 Omnibus Incentive Plan Nonqualified Stock Option Award Agreement</w:t>
      </w:r>
    </w:p>
    <w:p>
      <w:pPr>
        <w:spacing w:after="0" w:line="74" w:lineRule="exact"/>
        <w:rPr>
          <w:sz w:val="20"/>
          <w:szCs w:val="20"/>
          <w:color w:val="auto"/>
        </w:rPr>
      </w:pPr>
    </w:p>
    <w:p>
      <w:pPr>
        <w:ind w:left="980" w:right="3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10.40</w:t>
      </w:r>
      <w:r>
        <w:rPr>
          <w:sz w:val="20"/>
          <w:szCs w:val="20"/>
          <w:color w:val="auto"/>
        </w:rPr>
        <w:tab/>
      </w:r>
      <w:r>
        <w:rPr>
          <w:rFonts w:ascii="Times New Roman" w:cs="Times New Roman" w:eastAsia="Times New Roman" w:hAnsi="Times New Roman"/>
          <w:sz w:val="20"/>
          <w:szCs w:val="20"/>
          <w:color w:val="231F20"/>
        </w:rPr>
        <w:t>Form of WESCO International, Inc. 2021 Omnibus Incentive Plan Performance Share Unit Award Agreement</w:t>
      </w:r>
    </w:p>
    <w:p>
      <w:pPr>
        <w:spacing w:after="0" w:line="74" w:lineRule="exact"/>
        <w:rPr>
          <w:sz w:val="20"/>
          <w:szCs w:val="20"/>
          <w:color w:val="auto"/>
        </w:rPr>
      </w:pPr>
    </w:p>
    <w:p>
      <w:pPr>
        <w:ind w:left="980" w:right="12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10.41</w:t>
      </w:r>
      <w:r>
        <w:rPr>
          <w:sz w:val="20"/>
          <w:szCs w:val="20"/>
          <w:color w:val="auto"/>
        </w:rPr>
        <w:tab/>
      </w:r>
      <w:r>
        <w:rPr>
          <w:rFonts w:ascii="Times New Roman" w:cs="Times New Roman" w:eastAsia="Times New Roman" w:hAnsi="Times New Roman"/>
          <w:sz w:val="19"/>
          <w:szCs w:val="19"/>
          <w:color w:val="231F20"/>
        </w:rPr>
        <w:t>Second Amendment to Fourth Amended and Restated Credit Agreement, dated as of March 1, 2022,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88" w:lineRule="exact"/>
        <w:rPr>
          <w:sz w:val="20"/>
          <w:szCs w:val="20"/>
          <w:color w:val="auto"/>
        </w:rPr>
      </w:pPr>
    </w:p>
    <w:p>
      <w:pPr>
        <w:ind w:left="980" w:right="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10.42</w:t>
      </w:r>
      <w:r>
        <w:rPr>
          <w:sz w:val="20"/>
          <w:szCs w:val="20"/>
          <w:color w:val="auto"/>
        </w:rPr>
        <w:tab/>
      </w:r>
      <w:r>
        <w:rPr>
          <w:rFonts w:ascii="Times New Roman" w:cs="Times New Roman" w:eastAsia="Times New Roman" w:hAnsi="Times New Roman"/>
          <w:sz w:val="20"/>
          <w:szCs w:val="20"/>
          <w:color w:val="231F20"/>
        </w:rPr>
        <w:t>Fourth Amendment to Fifth Amended and Restated Receivables Purchase Agreement, dated as of March 1, 2022, by and among WESCO Distribution, Inc., WESCO Receivables Corp., the various purchaser groups party thereto and PNC Bank, National Association, as administrator</w:t>
      </w:r>
    </w:p>
    <w:p>
      <w:pPr>
        <w:spacing w:after="0" w:line="73" w:lineRule="exact"/>
        <w:rPr>
          <w:sz w:val="20"/>
          <w:szCs w:val="20"/>
          <w:color w:val="auto"/>
        </w:rPr>
      </w:pPr>
    </w:p>
    <w:p>
      <w:pPr>
        <w:ind w:left="980" w:right="10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10.43</w:t>
      </w:r>
      <w:r>
        <w:rPr>
          <w:sz w:val="20"/>
          <w:szCs w:val="20"/>
          <w:color w:val="auto"/>
        </w:rPr>
        <w:tab/>
      </w:r>
      <w:r>
        <w:rPr>
          <w:rFonts w:ascii="Times New Roman" w:cs="Times New Roman" w:eastAsia="Times New Roman" w:hAnsi="Times New Roman"/>
          <w:sz w:val="20"/>
          <w:szCs w:val="20"/>
          <w:color w:val="231F20"/>
        </w:rPr>
        <w:t>Agreement, dated May 28, 2020, memorializing terms of employment of William Geary by WESCO International, Inc.</w:t>
      </w:r>
    </w:p>
    <w:p>
      <w:pPr>
        <w:spacing w:after="0" w:line="74" w:lineRule="exact"/>
        <w:rPr>
          <w:sz w:val="20"/>
          <w:szCs w:val="20"/>
          <w:color w:val="auto"/>
        </w:rPr>
      </w:pPr>
    </w:p>
    <w:p>
      <w:pPr>
        <w:ind w:left="980" w:right="12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10.44</w:t>
      </w:r>
      <w:r>
        <w:rPr>
          <w:sz w:val="20"/>
          <w:szCs w:val="20"/>
          <w:color w:val="auto"/>
        </w:rPr>
        <w:tab/>
      </w:r>
      <w:r>
        <w:rPr>
          <w:rFonts w:ascii="Times New Roman" w:cs="Times New Roman" w:eastAsia="Times New Roman" w:hAnsi="Times New Roman"/>
          <w:sz w:val="19"/>
          <w:szCs w:val="19"/>
          <w:color w:val="231F20"/>
        </w:rPr>
        <w:t>Third Amendment to Fourth Amended and Restated Credit Agreement, dated as of August 2, 2022,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10.41 to Wesco’s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Incorporated by reference to Appendix A to the Proxy Statement on Schedule 14A, filed on April 12, 2021</w:t>
      </w:r>
    </w:p>
    <w:p>
      <w:pPr>
        <w:spacing w:after="0" w:line="46"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Quarterly Report on Form 10-Q for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May 27, 2021</w:t>
      </w:r>
    </w:p>
    <w:p>
      <w:pPr>
        <w:spacing w:after="0" w:line="25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10.3 to Wesco’s Current Report on Form 8-K, dated May 27, 2021</w:t>
      </w:r>
    </w:p>
    <w:p>
      <w:pPr>
        <w:spacing w:after="0" w:line="25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10.4 to Wesco’s Current Report on Form 8-K, dated May 27, 2021</w:t>
      </w:r>
    </w:p>
    <w:p>
      <w:pPr>
        <w:spacing w:after="0" w:line="252"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June 30,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February 16, 2022</w:t>
      </w:r>
    </w:p>
    <w:p>
      <w:pPr>
        <w:spacing w:after="0" w:line="2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February 16, 2022</w:t>
      </w:r>
    </w:p>
    <w:p>
      <w:pPr>
        <w:spacing w:after="0" w:line="25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March 31, 2022</w:t>
      </w:r>
    </w:p>
    <w:p>
      <w:pPr>
        <w:spacing w:after="0" w:line="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August 2, 2022</w:t>
      </w:r>
    </w:p>
    <w:p>
      <w:pPr>
        <w:spacing w:after="0" w:line="1162" w:lineRule="exact"/>
        <w:rPr>
          <w:sz w:val="20"/>
          <w:szCs w:val="20"/>
          <w:color w:val="auto"/>
        </w:rPr>
      </w:pPr>
    </w:p>
    <w:p>
      <w:pPr>
        <w:sectPr>
          <w:pgSz w:w="11880" w:h="15480" w:orient="portrait"/>
          <w:cols w:equalWidth="0" w:num="2">
            <w:col w:w="5360" w:space="200"/>
            <w:col w:w="4280"/>
          </w:cols>
          <w:pgMar w:left="940" w:top="769" w:right="110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840"/>
          </w:cols>
          <w:pgMar w:left="940" w:top="769" w:right="1100" w:bottom="0" w:gutter="0" w:footer="0" w:header="0"/>
          <w:type w:val="continuous"/>
        </w:sectPr>
      </w:pPr>
    </w:p>
    <w:bookmarkStart w:id="105" w:name="page106"/>
    <w:bookmarkEnd w:id="105"/>
    <w:p>
      <w:pPr>
        <w:spacing w:after="0"/>
        <w:tabs>
          <w:tab w:leader="none" w:pos="960" w:val="left"/>
          <w:tab w:leader="none" w:pos="5540" w:val="left"/>
        </w:tabs>
        <w:rPr>
          <w:sz w:val="20"/>
          <w:szCs w:val="20"/>
          <w:color w:val="auto"/>
        </w:rPr>
      </w:pPr>
      <w:r>
        <w:rPr>
          <w:rFonts w:ascii="Times New Roman" w:cs="Times New Roman" w:eastAsia="Times New Roman" w:hAnsi="Times New Roman"/>
          <w:sz w:val="16"/>
          <w:szCs w:val="16"/>
          <w:color w:val="231F20"/>
        </w:rPr>
        <w:t>Exhibit No.</w:t>
        <w:tab/>
        <w:t>Description of Exhibit</w:t>
      </w:r>
      <w:r>
        <w:rPr>
          <w:sz w:val="20"/>
          <w:szCs w:val="20"/>
          <w:color w:val="auto"/>
        </w:rPr>
        <w:tab/>
      </w:r>
      <w:r>
        <w:rPr>
          <w:rFonts w:ascii="Times New Roman" w:cs="Times New Roman" w:eastAsia="Times New Roman" w:hAnsi="Times New Roman"/>
          <w:sz w:val="15"/>
          <w:szCs w:val="15"/>
          <w:color w:val="231F20"/>
        </w:rPr>
        <w:t>Prior Filing or Sequential Page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23495</wp:posOffset>
                </wp:positionV>
                <wp:extent cx="638937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937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pt,1.85pt" to="500.45pt,1.85pt" o:allowincell="f" strokecolor="#231F20" strokeweight="0.985pt"/>
            </w:pict>
          </mc:Fallback>
        </mc:AlternateContent>
      </w:r>
    </w:p>
    <w:p>
      <w:pPr>
        <w:sectPr>
          <w:pgSz w:w="11880" w:h="15480" w:orient="portrait"/>
          <w:cols w:equalWidth="0" w:num="1">
            <w:col w:w="9840"/>
          </w:cols>
          <w:pgMar w:left="940" w:top="769" w:right="1100" w:bottom="0" w:gutter="0" w:footer="0" w:header="0"/>
        </w:sectPr>
      </w:pPr>
    </w:p>
    <w:p>
      <w:pPr>
        <w:spacing w:after="0" w:line="29" w:lineRule="exact"/>
        <w:rPr>
          <w:sz w:val="20"/>
          <w:szCs w:val="20"/>
          <w:color w:val="auto"/>
        </w:rPr>
      </w:pPr>
    </w:p>
    <w:p>
      <w:pPr>
        <w:ind w:left="98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10.45</w:t>
      </w:r>
      <w:r>
        <w:rPr>
          <w:sz w:val="20"/>
          <w:szCs w:val="20"/>
          <w:color w:val="auto"/>
        </w:rPr>
        <w:tab/>
      </w:r>
      <w:r>
        <w:rPr>
          <w:rFonts w:ascii="Times New Roman" w:cs="Times New Roman" w:eastAsia="Times New Roman" w:hAnsi="Times New Roman"/>
          <w:sz w:val="20"/>
          <w:szCs w:val="20"/>
          <w:color w:val="231F20"/>
        </w:rPr>
        <w:t>Fifth Amendment to Fifth Amended and Restated Receivables Purchase Agreement, dated as of August 2, 2022, by and among WESCO Distribution, Inc., WESCO Receivables Corp., the various purchaser groups party thereto and PNC Bank, National Association, as administrator</w:t>
      </w:r>
    </w:p>
    <w:p>
      <w:pPr>
        <w:spacing w:after="0" w:line="73" w:lineRule="exact"/>
        <w:rPr>
          <w:sz w:val="20"/>
          <w:szCs w:val="20"/>
          <w:color w:val="auto"/>
        </w:rPr>
      </w:pPr>
    </w:p>
    <w:p>
      <w:pPr>
        <w:ind w:left="980" w:right="14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10.46</w:t>
      </w:r>
      <w:r>
        <w:rPr>
          <w:sz w:val="20"/>
          <w:szCs w:val="20"/>
          <w:color w:val="auto"/>
        </w:rPr>
        <w:tab/>
      </w:r>
      <w:r>
        <w:rPr>
          <w:rFonts w:ascii="Times New Roman" w:cs="Times New Roman" w:eastAsia="Times New Roman" w:hAnsi="Times New Roman"/>
          <w:sz w:val="19"/>
          <w:szCs w:val="19"/>
          <w:color w:val="231F20"/>
        </w:rPr>
        <w:t>Fourth Amendment to Fourth Amended and Restated Credit Agreement, dated as of October 31, 2022,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88" w:lineRule="exact"/>
        <w:rPr>
          <w:sz w:val="20"/>
          <w:szCs w:val="20"/>
          <w:color w:val="auto"/>
        </w:rPr>
      </w:pPr>
    </w:p>
    <w:p>
      <w:pPr>
        <w:ind w:left="980" w:right="1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10.47</w:t>
      </w:r>
      <w:r>
        <w:rPr>
          <w:sz w:val="20"/>
          <w:szCs w:val="20"/>
          <w:color w:val="auto"/>
        </w:rPr>
        <w:tab/>
      </w:r>
      <w:r>
        <w:rPr>
          <w:rFonts w:ascii="Times New Roman" w:cs="Times New Roman" w:eastAsia="Times New Roman" w:hAnsi="Times New Roman"/>
          <w:sz w:val="20"/>
          <w:szCs w:val="20"/>
          <w:color w:val="231F20"/>
        </w:rPr>
        <w:t>Sixth Amendment to Fifth Amended and Restated Receivables Purchase Agreement, dated as of October 31, 2022, by and among WESCO Distribution, Inc., WESCO Receivables Corp., the various purchaser groups party thereto and PNC Bank, National Association, as administrator</w:t>
      </w:r>
    </w:p>
    <w:p>
      <w:pPr>
        <w:spacing w:after="0" w:line="73" w:lineRule="exact"/>
        <w:rPr>
          <w:sz w:val="20"/>
          <w:szCs w:val="20"/>
          <w:color w:val="auto"/>
        </w:rPr>
      </w:pPr>
    </w:p>
    <w:p>
      <w:pPr>
        <w:ind w:left="980" w:right="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10.48</w:t>
      </w:r>
      <w:r>
        <w:rPr>
          <w:sz w:val="20"/>
          <w:szCs w:val="20"/>
          <w:color w:val="auto"/>
        </w:rPr>
        <w:tab/>
      </w:r>
      <w:r>
        <w:rPr>
          <w:rFonts w:ascii="Times New Roman" w:cs="Times New Roman" w:eastAsia="Times New Roman" w:hAnsi="Times New Roman"/>
          <w:sz w:val="20"/>
          <w:szCs w:val="20"/>
          <w:color w:val="231F20"/>
        </w:rPr>
        <w:t>WESCO International, Inc. Non-Employee Directors’ Deferred Compensation Plan, effective as of December 8, 2022</w:t>
      </w:r>
    </w:p>
    <w:p>
      <w:pPr>
        <w:spacing w:after="0" w:line="89" w:lineRule="exact"/>
        <w:rPr>
          <w:sz w:val="20"/>
          <w:szCs w:val="20"/>
          <w:color w:val="auto"/>
        </w:rPr>
      </w:pPr>
    </w:p>
    <w:p>
      <w:pPr>
        <w:jc w:val="both"/>
        <w:ind w:left="980" w:right="24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10.49</w:t>
      </w:r>
      <w:r>
        <w:rPr>
          <w:sz w:val="20"/>
          <w:szCs w:val="20"/>
          <w:color w:val="auto"/>
        </w:rPr>
        <w:tab/>
      </w:r>
      <w:r>
        <w:rPr>
          <w:rFonts w:ascii="Times New Roman" w:cs="Times New Roman" w:eastAsia="Times New Roman" w:hAnsi="Times New Roman"/>
          <w:sz w:val="20"/>
          <w:szCs w:val="20"/>
          <w:color w:val="231F20"/>
        </w:rPr>
        <w:t>Agreement, dated October 20, 2020, memorializing terms of employment of Akash Khurana by WESCO International, Inc.</w:t>
      </w:r>
    </w:p>
    <w:p>
      <w:pPr>
        <w:spacing w:after="0" w:line="74" w:lineRule="exact"/>
        <w:rPr>
          <w:sz w:val="20"/>
          <w:szCs w:val="20"/>
          <w:color w:val="auto"/>
        </w:rPr>
      </w:pPr>
    </w:p>
    <w:p>
      <w:pPr>
        <w:ind w:left="980" w:right="12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10.50</w:t>
      </w:r>
      <w:r>
        <w:rPr>
          <w:sz w:val="20"/>
          <w:szCs w:val="20"/>
          <w:color w:val="auto"/>
        </w:rPr>
        <w:tab/>
      </w:r>
      <w:r>
        <w:rPr>
          <w:rFonts w:ascii="Times New Roman" w:cs="Times New Roman" w:eastAsia="Times New Roman" w:hAnsi="Times New Roman"/>
          <w:sz w:val="20"/>
          <w:szCs w:val="20"/>
          <w:color w:val="231F20"/>
        </w:rPr>
        <w:t>Agreement, dated June 22, 2020, memorializing terms of employment of James Cameron by WESCO International, Inc.</w:t>
      </w:r>
    </w:p>
    <w:p>
      <w:pPr>
        <w:spacing w:after="0" w:line="74" w:lineRule="exact"/>
        <w:rPr>
          <w:sz w:val="20"/>
          <w:szCs w:val="20"/>
          <w:color w:val="auto"/>
        </w:rPr>
      </w:pPr>
    </w:p>
    <w:p>
      <w:pPr>
        <w:ind w:left="980" w:right="14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10.51</w:t>
      </w:r>
      <w:r>
        <w:rPr>
          <w:sz w:val="20"/>
          <w:szCs w:val="20"/>
          <w:color w:val="auto"/>
        </w:rPr>
        <w:tab/>
      </w:r>
      <w:r>
        <w:rPr>
          <w:rFonts w:ascii="Times New Roman" w:cs="Times New Roman" w:eastAsia="Times New Roman" w:hAnsi="Times New Roman"/>
          <w:sz w:val="19"/>
          <w:szCs w:val="19"/>
          <w:color w:val="231F20"/>
        </w:rPr>
        <w:t>Fifth Amendment to Fourth Amended and Restated Credit Agreement, dated as of April 14, 2023,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88" w:lineRule="exact"/>
        <w:rPr>
          <w:sz w:val="20"/>
          <w:szCs w:val="20"/>
          <w:color w:val="auto"/>
        </w:rPr>
      </w:pPr>
    </w:p>
    <w:p>
      <w:pPr>
        <w:ind w:left="980" w:right="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10.52</w:t>
      </w:r>
      <w:r>
        <w:rPr>
          <w:sz w:val="20"/>
          <w:szCs w:val="20"/>
          <w:color w:val="auto"/>
        </w:rPr>
        <w:tab/>
      </w:r>
      <w:r>
        <w:rPr>
          <w:rFonts w:ascii="Times New Roman" w:cs="Times New Roman" w:eastAsia="Times New Roman" w:hAnsi="Times New Roman"/>
          <w:sz w:val="20"/>
          <w:szCs w:val="20"/>
          <w:color w:val="231F20"/>
        </w:rPr>
        <w:t>Seventh Amendment to Fifth Amended and Restated Receivables Purchase Agreement, dated as of April 26, 2023, by and among WESCO Distribution, Inc., WESCO Receivables Corp., the various purchasers and purchaser agents party thereto and PNC Bank, National Association, as administrator</w:t>
      </w:r>
    </w:p>
    <w:p>
      <w:pPr>
        <w:spacing w:after="0" w:line="73" w:lineRule="exact"/>
        <w:rPr>
          <w:sz w:val="20"/>
          <w:szCs w:val="20"/>
          <w:color w:val="auto"/>
        </w:rPr>
      </w:pPr>
    </w:p>
    <w:p>
      <w:pPr>
        <w:ind w:left="980" w:right="14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10.53</w:t>
      </w:r>
      <w:r>
        <w:rPr>
          <w:sz w:val="20"/>
          <w:szCs w:val="20"/>
          <w:color w:val="auto"/>
        </w:rPr>
        <w:tab/>
      </w:r>
      <w:r>
        <w:rPr>
          <w:rFonts w:ascii="Times New Roman" w:cs="Times New Roman" w:eastAsia="Times New Roman" w:hAnsi="Times New Roman"/>
          <w:sz w:val="19"/>
          <w:szCs w:val="19"/>
          <w:color w:val="231F20"/>
        </w:rPr>
        <w:t>Sixth Amendment to Fourth Amended and Restated Credit Agreement, dated as of March 6, 2024,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88" w:lineRule="exact"/>
        <w:rPr>
          <w:sz w:val="20"/>
          <w:szCs w:val="20"/>
          <w:color w:val="auto"/>
        </w:rPr>
      </w:pPr>
    </w:p>
    <w:p>
      <w:pPr>
        <w:ind w:left="980" w:right="40" w:hanging="974"/>
        <w:spacing w:after="0" w:line="216" w:lineRule="auto"/>
        <w:tabs>
          <w:tab w:leader="none" w:pos="960" w:val="left"/>
        </w:tabs>
        <w:rPr>
          <w:sz w:val="20"/>
          <w:szCs w:val="20"/>
          <w:color w:val="auto"/>
        </w:rPr>
      </w:pPr>
      <w:r>
        <w:rPr>
          <w:rFonts w:ascii="Times New Roman" w:cs="Times New Roman" w:eastAsia="Times New Roman" w:hAnsi="Times New Roman"/>
          <w:sz w:val="20"/>
          <w:szCs w:val="20"/>
          <w:color w:val="231F20"/>
        </w:rPr>
        <w:t>10.54</w:t>
      </w:r>
      <w:r>
        <w:rPr>
          <w:sz w:val="20"/>
          <w:szCs w:val="20"/>
          <w:color w:val="auto"/>
        </w:rPr>
        <w:tab/>
      </w:r>
      <w:r>
        <w:rPr>
          <w:rFonts w:ascii="Times New Roman" w:cs="Times New Roman" w:eastAsia="Times New Roman" w:hAnsi="Times New Roman"/>
          <w:sz w:val="20"/>
          <w:szCs w:val="20"/>
          <w:color w:val="231F20"/>
        </w:rPr>
        <w:t>Eighth Amendment to Fifth Amended and Restated Receivables Purchase Agreement, dated as of March 8, 2024, by and among WESCO Distribution, Inc., WESCO Receivables Corp., the various purchasers and purchaser agents party thereto and PNC Bank, National Association, as administrator</w:t>
      </w:r>
    </w:p>
    <w:p>
      <w:pPr>
        <w:spacing w:after="0" w:line="73" w:lineRule="exact"/>
        <w:rPr>
          <w:sz w:val="20"/>
          <w:szCs w:val="20"/>
          <w:color w:val="auto"/>
        </w:rPr>
      </w:pPr>
    </w:p>
    <w:p>
      <w:pPr>
        <w:ind w:left="980" w:right="100" w:hanging="974"/>
        <w:spacing w:after="0" w:line="225" w:lineRule="auto"/>
        <w:tabs>
          <w:tab w:leader="none" w:pos="960" w:val="left"/>
        </w:tabs>
        <w:rPr>
          <w:sz w:val="20"/>
          <w:szCs w:val="20"/>
          <w:color w:val="auto"/>
        </w:rPr>
      </w:pPr>
      <w:r>
        <w:rPr>
          <w:rFonts w:ascii="Times New Roman" w:cs="Times New Roman" w:eastAsia="Times New Roman" w:hAnsi="Times New Roman"/>
          <w:sz w:val="20"/>
          <w:szCs w:val="20"/>
          <w:color w:val="231F20"/>
        </w:rPr>
        <w:t>10.55</w:t>
      </w:r>
      <w:r>
        <w:rPr>
          <w:sz w:val="20"/>
          <w:szCs w:val="20"/>
          <w:color w:val="auto"/>
        </w:rPr>
        <w:tab/>
      </w:r>
      <w:r>
        <w:rPr>
          <w:rFonts w:ascii="Times New Roman" w:cs="Times New Roman" w:eastAsia="Times New Roman" w:hAnsi="Times New Roman"/>
          <w:sz w:val="19"/>
          <w:szCs w:val="19"/>
          <w:color w:val="231F20"/>
        </w:rPr>
        <w:t>Seventh Amendment to Fourth Amended and Restated Credit Agreement, dated as of February 28, 2025, by and among Wesco Distribution, Inc., the other U.S. borrowers party thereto, WESCO Distribution Canada LP, the other Canadian borrowers party thereto, WESCO International, Inc., the lenders party thereto and Barclays Bank PLC, as administrative agent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10.49 to Wesco’s Annual Report on Form 10-K for the year ended December 31, 2022</w:t>
      </w:r>
    </w:p>
    <w:p>
      <w:pPr>
        <w:spacing w:after="0" w:line="89"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March 31, 2023</w:t>
      </w:r>
    </w:p>
    <w:p>
      <w:pPr>
        <w:spacing w:after="0" w:line="74"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March 31, 2024</w:t>
      </w:r>
    </w:p>
    <w:p>
      <w:pPr>
        <w:spacing w:after="0" w:line="74"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10.2 to Wesco’s Quarterly Report on Form 10-Q for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10.3 to Wesco’s Quarterly Report on Form 10-Q for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10.4 to Wesco’s Quarterly Report on Form 10-Q for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10.1 to Wesco’s Current Report on Form 8-K, dated March 6, 2025</w:t>
      </w:r>
    </w:p>
    <w:p>
      <w:pPr>
        <w:spacing w:after="0" w:line="1162" w:lineRule="exact"/>
        <w:rPr>
          <w:sz w:val="20"/>
          <w:szCs w:val="20"/>
          <w:color w:val="auto"/>
        </w:rPr>
      </w:pPr>
    </w:p>
    <w:p>
      <w:pPr>
        <w:sectPr>
          <w:pgSz w:w="11880" w:h="15480" w:orient="portrait"/>
          <w:cols w:equalWidth="0" w:num="2">
            <w:col w:w="5380" w:space="180"/>
            <w:col w:w="4280"/>
          </w:cols>
          <w:pgMar w:left="940" w:top="769" w:right="1100" w:bottom="0" w:gutter="0" w:footer="0" w:header="0"/>
          <w:type w:val="continuous"/>
        </w:sect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840"/>
          </w:cols>
          <w:pgMar w:left="940" w:top="769" w:right="1100" w:bottom="0" w:gutter="0" w:footer="0" w:header="0"/>
          <w:type w:val="continuous"/>
        </w:sectPr>
      </w:pPr>
    </w:p>
    <w:bookmarkStart w:id="106" w:name="page107"/>
    <w:bookmarkEnd w:id="106"/>
    <w:p>
      <w:pPr>
        <w:spacing w:after="0"/>
        <w:tabs>
          <w:tab w:leader="none" w:pos="960" w:val="left"/>
          <w:tab w:leader="none" w:pos="5540" w:val="left"/>
        </w:tabs>
        <w:rPr>
          <w:sz w:val="20"/>
          <w:szCs w:val="20"/>
          <w:color w:val="auto"/>
        </w:rPr>
      </w:pPr>
      <w:r>
        <w:rPr>
          <w:rFonts w:ascii="Times New Roman" w:cs="Times New Roman" w:eastAsia="Times New Roman" w:hAnsi="Times New Roman"/>
          <w:sz w:val="16"/>
          <w:szCs w:val="16"/>
          <w:color w:val="231F20"/>
        </w:rPr>
        <w:t>Exhibit No.</w:t>
        <w:tab/>
        <w:t>Description of Exhibit</w:t>
      </w:r>
      <w:r>
        <w:rPr>
          <w:sz w:val="20"/>
          <w:szCs w:val="20"/>
          <w:color w:val="auto"/>
        </w:rPr>
        <w:tab/>
      </w:r>
      <w:r>
        <w:rPr>
          <w:rFonts w:ascii="Times New Roman" w:cs="Times New Roman" w:eastAsia="Times New Roman" w:hAnsi="Times New Roman"/>
          <w:sz w:val="15"/>
          <w:szCs w:val="15"/>
          <w:color w:val="231F20"/>
        </w:rPr>
        <w:t>Prior Filing or Sequential Page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23495</wp:posOffset>
                </wp:positionV>
                <wp:extent cx="638937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937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99pt,1.85pt" to="500.45pt,1.85pt" o:allowincell="f" strokecolor="#231F20" strokeweight="0.985pt"/>
            </w:pict>
          </mc:Fallback>
        </mc:AlternateContent>
      </w:r>
    </w:p>
    <w:p>
      <w:pPr>
        <w:sectPr>
          <w:pgSz w:w="11880" w:h="15480" w:orient="portrait"/>
          <w:cols w:equalWidth="0" w:num="1">
            <w:col w:w="9760"/>
          </w:cols>
          <w:pgMar w:left="940" w:top="769" w:right="1180" w:bottom="0" w:gutter="0" w:footer="0" w:header="0"/>
        </w:sectPr>
      </w:pPr>
    </w:p>
    <w:p>
      <w:pPr>
        <w:spacing w:after="0" w:line="29" w:lineRule="exact"/>
        <w:rPr>
          <w:sz w:val="20"/>
          <w:szCs w:val="20"/>
          <w:color w:val="auto"/>
        </w:rPr>
      </w:pPr>
    </w:p>
    <w:p>
      <w:pPr>
        <w:ind w:left="980" w:hanging="974"/>
        <w:spacing w:after="0" w:line="227" w:lineRule="auto"/>
        <w:tabs>
          <w:tab w:leader="none" w:pos="960" w:val="left"/>
        </w:tabs>
        <w:rPr>
          <w:sz w:val="20"/>
          <w:szCs w:val="20"/>
          <w:color w:val="auto"/>
        </w:rPr>
      </w:pPr>
      <w:r>
        <w:rPr>
          <w:rFonts w:ascii="Times New Roman" w:cs="Times New Roman" w:eastAsia="Times New Roman" w:hAnsi="Times New Roman"/>
          <w:sz w:val="20"/>
          <w:szCs w:val="20"/>
          <w:color w:val="231F20"/>
        </w:rPr>
        <w:t>10.56</w:t>
      </w:r>
      <w:r>
        <w:rPr>
          <w:sz w:val="20"/>
          <w:szCs w:val="20"/>
          <w:color w:val="auto"/>
        </w:rPr>
        <w:tab/>
      </w:r>
      <w:r>
        <w:rPr>
          <w:rFonts w:ascii="Times New Roman" w:cs="Times New Roman" w:eastAsia="Times New Roman" w:hAnsi="Times New Roman"/>
          <w:sz w:val="19"/>
          <w:szCs w:val="19"/>
          <w:color w:val="231F20"/>
        </w:rPr>
        <w:t>Ninth Amendment to Fifth Amended and Restated Receivables Purchase Agreement, dated as of February 28, 2025, by and among Wesco Distribution, Inc., WESCO Receivables Corp., the various purchasers and purchaser agents party thereto and PNC Bank, National Association, as administrator</w:t>
      </w:r>
    </w:p>
    <w:p>
      <w:pPr>
        <w:spacing w:after="0" w:line="75" w:lineRule="exact"/>
        <w:rPr>
          <w:sz w:val="20"/>
          <w:szCs w:val="20"/>
          <w:color w:val="auto"/>
        </w:rPr>
      </w:pPr>
    </w:p>
    <w:p>
      <w:pPr>
        <w:ind w:left="980" w:right="32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10.57</w:t>
      </w:r>
      <w:r>
        <w:rPr>
          <w:sz w:val="20"/>
          <w:szCs w:val="20"/>
          <w:color w:val="auto"/>
        </w:rPr>
        <w:tab/>
      </w:r>
      <w:r>
        <w:rPr>
          <w:rFonts w:ascii="Times New Roman" w:cs="Times New Roman" w:eastAsia="Times New Roman" w:hAnsi="Times New Roman"/>
          <w:sz w:val="20"/>
          <w:szCs w:val="20"/>
          <w:color w:val="231F20"/>
        </w:rPr>
        <w:t>Form of WESCO International, Inc. 2021 Omnibus Incentive Plan Performance Share Unit Award Agreement</w:t>
      </w:r>
    </w:p>
    <w:p>
      <w:pPr>
        <w:spacing w:after="0" w:line="74" w:lineRule="exact"/>
        <w:rPr>
          <w:sz w:val="20"/>
          <w:szCs w:val="20"/>
          <w:color w:val="auto"/>
        </w:rPr>
      </w:pPr>
    </w:p>
    <w:p>
      <w:pPr>
        <w:ind w:left="980" w:right="36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10.58</w:t>
      </w:r>
      <w:r>
        <w:rPr>
          <w:sz w:val="20"/>
          <w:szCs w:val="20"/>
          <w:color w:val="auto"/>
        </w:rPr>
        <w:tab/>
      </w:r>
      <w:r>
        <w:rPr>
          <w:rFonts w:ascii="Times New Roman" w:cs="Times New Roman" w:eastAsia="Times New Roman" w:hAnsi="Times New Roman"/>
          <w:sz w:val="20"/>
          <w:szCs w:val="20"/>
          <w:color w:val="231F20"/>
        </w:rPr>
        <w:t>Release Agreement, dated August 20, 2025 by and among WESCO International, Inc., WESCO Distribution, Inc., and Nelson Squires</w:t>
      </w:r>
    </w:p>
    <w:p>
      <w:pPr>
        <w:spacing w:after="0" w:line="74" w:lineRule="exact"/>
        <w:rPr>
          <w:sz w:val="20"/>
          <w:szCs w:val="20"/>
          <w:color w:val="auto"/>
        </w:rPr>
      </w:pPr>
    </w:p>
    <w:p>
      <w:pPr>
        <w:ind w:left="980" w:right="120" w:hanging="974"/>
        <w:spacing w:after="0" w:line="226" w:lineRule="auto"/>
        <w:tabs>
          <w:tab w:leader="none" w:pos="960" w:val="left"/>
        </w:tabs>
        <w:rPr>
          <w:sz w:val="20"/>
          <w:szCs w:val="20"/>
          <w:color w:val="auto"/>
        </w:rPr>
      </w:pPr>
      <w:r>
        <w:rPr>
          <w:rFonts w:ascii="Times New Roman" w:cs="Times New Roman" w:eastAsia="Times New Roman" w:hAnsi="Times New Roman"/>
          <w:sz w:val="20"/>
          <w:szCs w:val="20"/>
          <w:color w:val="231F20"/>
        </w:rPr>
        <w:t>10.59</w:t>
      </w:r>
      <w:r>
        <w:rPr>
          <w:sz w:val="20"/>
          <w:szCs w:val="20"/>
          <w:color w:val="auto"/>
        </w:rPr>
        <w:tab/>
      </w:r>
      <w:r>
        <w:rPr>
          <w:rFonts w:ascii="Times New Roman" w:cs="Times New Roman" w:eastAsia="Times New Roman" w:hAnsi="Times New Roman"/>
          <w:sz w:val="20"/>
          <w:szCs w:val="20"/>
          <w:color w:val="231F20"/>
        </w:rPr>
        <w:t>Agreement, dated December 17, 2025, memorializing terms of employment of Indraneel Dev by WESCO International, Inc.</w:t>
      </w:r>
    </w:p>
    <w:p>
      <w:pPr>
        <w:spacing w:after="0" w:line="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231F20"/>
        </w:rPr>
        <w:t>19.1</w:t>
      </w:r>
      <w:r>
        <w:rPr>
          <w:sz w:val="20"/>
          <w:szCs w:val="20"/>
          <w:color w:val="auto"/>
        </w:rPr>
        <w:tab/>
      </w:r>
      <w:r>
        <w:rPr>
          <w:rFonts w:ascii="Times New Roman" w:cs="Times New Roman" w:eastAsia="Times New Roman" w:hAnsi="Times New Roman"/>
          <w:sz w:val="19"/>
          <w:szCs w:val="19"/>
          <w:color w:val="231F20"/>
        </w:rPr>
        <w:t>Insider Trading Policy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Incorporated by reference to Exhibit 10.2 to Wesco’s Current Report on Form 8-K, dated 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March 31, 2025</w:t>
      </w:r>
    </w:p>
    <w:p>
      <w:pPr>
        <w:spacing w:after="0" w:line="7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10.1 to Wesco’s Quarterly Report on Form 10-Q for the quarter ended September 30,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Filed herewith</w:t>
      </w:r>
    </w:p>
    <w:p>
      <w:pPr>
        <w:spacing w:after="0" w:line="200" w:lineRule="exact"/>
        <w:rPr>
          <w:sz w:val="20"/>
          <w:szCs w:val="20"/>
          <w:color w:val="auto"/>
        </w:rPr>
      </w:pPr>
    </w:p>
    <w:p>
      <w:pPr>
        <w:spacing w:after="0" w:line="29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231F20"/>
        </w:rPr>
        <w:t>Incorporated by reference to Exhibit 19.1 to Wesco’s Annual Report on Form 10-K for the year ended December 31, 2024</w:t>
      </w:r>
    </w:p>
    <w:p>
      <w:pPr>
        <w:spacing w:after="0" w:line="200" w:lineRule="exact"/>
        <w:rPr>
          <w:sz w:val="20"/>
          <w:szCs w:val="20"/>
          <w:color w:val="auto"/>
        </w:rPr>
      </w:pPr>
    </w:p>
    <w:p>
      <w:pPr>
        <w:sectPr>
          <w:pgSz w:w="11880" w:h="15480" w:orient="portrait"/>
          <w:cols w:equalWidth="0" w:num="2">
            <w:col w:w="5340" w:space="220"/>
            <w:col w:w="4200"/>
          </w:cols>
          <w:pgMar w:left="940" w:top="769"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760"/>
          </w:cols>
          <w:pgMar w:left="940" w:top="769" w:right="1180" w:bottom="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12"/>
        </w:trPr>
        <w:tc>
          <w:tcPr>
            <w:tcW w:w="9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Exhibit No.</w:t>
            </w:r>
          </w:p>
        </w:tc>
        <w:tc>
          <w:tcPr>
            <w:tcW w:w="462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color w:val="231F20"/>
              </w:rPr>
              <w:t>Description of Exhibit</w:t>
            </w:r>
          </w:p>
        </w:tc>
        <w:tc>
          <w:tcPr>
            <w:tcW w:w="452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Prior Filing or Sequential Page Number</w:t>
            </w:r>
          </w:p>
        </w:tc>
      </w:tr>
      <w:tr>
        <w:trPr>
          <w:trHeight w:val="258"/>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21.1</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Subsidiaries of WESCO International, Inc.</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Filed herewith</w:t>
            </w:r>
          </w:p>
        </w:tc>
      </w:tr>
      <w:tr>
        <w:trPr>
          <w:trHeight w:val="276"/>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23.1</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Consent of Independent Registered Public Accounting</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Filed herewith</w:t>
            </w:r>
          </w:p>
        </w:tc>
      </w:tr>
      <w:tr>
        <w:trPr>
          <w:trHeight w:val="258"/>
        </w:trPr>
        <w:tc>
          <w:tcPr>
            <w:tcW w:w="96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Firm</w:t>
            </w:r>
          </w:p>
        </w:tc>
        <w:tc>
          <w:tcPr>
            <w:tcW w:w="4520" w:type="dxa"/>
            <w:vAlign w:val="bottom"/>
          </w:tcPr>
          <w:p>
            <w:pPr>
              <w:spacing w:after="0"/>
              <w:rPr>
                <w:sz w:val="22"/>
                <w:szCs w:val="22"/>
                <w:color w:val="auto"/>
              </w:rPr>
            </w:pPr>
          </w:p>
        </w:tc>
      </w:tr>
      <w:tr>
        <w:trPr>
          <w:trHeight w:val="274"/>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31.1</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Certification of Chief Executive Officer pursuant to</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Filed herewith</w:t>
            </w:r>
          </w:p>
        </w:tc>
      </w:tr>
      <w:tr>
        <w:trPr>
          <w:trHeight w:val="258"/>
        </w:trPr>
        <w:tc>
          <w:tcPr>
            <w:tcW w:w="96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Rule 13a-14(a) promulgated under the Exchange Act</w:t>
            </w:r>
          </w:p>
        </w:tc>
        <w:tc>
          <w:tcPr>
            <w:tcW w:w="4520" w:type="dxa"/>
            <w:vAlign w:val="bottom"/>
          </w:tcPr>
          <w:p>
            <w:pPr>
              <w:spacing w:after="0"/>
              <w:rPr>
                <w:sz w:val="22"/>
                <w:szCs w:val="22"/>
                <w:color w:val="auto"/>
              </w:rPr>
            </w:pPr>
          </w:p>
        </w:tc>
      </w:tr>
      <w:tr>
        <w:trPr>
          <w:trHeight w:val="274"/>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31.2</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Certification of Chief Financial Officer pursuant to</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Filed herewith</w:t>
            </w:r>
          </w:p>
        </w:tc>
      </w:tr>
      <w:tr>
        <w:trPr>
          <w:trHeight w:val="258"/>
        </w:trPr>
        <w:tc>
          <w:tcPr>
            <w:tcW w:w="96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Rule 13a-14(a) promulgated under the Exchange Act</w:t>
            </w:r>
          </w:p>
        </w:tc>
        <w:tc>
          <w:tcPr>
            <w:tcW w:w="4520" w:type="dxa"/>
            <w:vAlign w:val="bottom"/>
          </w:tcPr>
          <w:p>
            <w:pPr>
              <w:spacing w:after="0"/>
              <w:rPr>
                <w:sz w:val="22"/>
                <w:szCs w:val="22"/>
                <w:color w:val="auto"/>
              </w:rPr>
            </w:pPr>
          </w:p>
        </w:tc>
      </w:tr>
      <w:tr>
        <w:trPr>
          <w:trHeight w:val="274"/>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32.1</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Certification of Chief Executive Officer pursuant to</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Furnished herewith</w:t>
            </w:r>
          </w:p>
        </w:tc>
      </w:tr>
      <w:tr>
        <w:trPr>
          <w:trHeight w:val="258"/>
        </w:trPr>
        <w:tc>
          <w:tcPr>
            <w:tcW w:w="96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Section 906 of the Sarbanes-Oxley Act of 2002</w:t>
            </w:r>
          </w:p>
        </w:tc>
        <w:tc>
          <w:tcPr>
            <w:tcW w:w="4520" w:type="dxa"/>
            <w:vAlign w:val="bottom"/>
          </w:tcPr>
          <w:p>
            <w:pPr>
              <w:spacing w:after="0"/>
              <w:rPr>
                <w:sz w:val="22"/>
                <w:szCs w:val="22"/>
                <w:color w:val="auto"/>
              </w:rPr>
            </w:pPr>
          </w:p>
        </w:tc>
      </w:tr>
      <w:tr>
        <w:trPr>
          <w:trHeight w:val="274"/>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32.2</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Certification of Chief Financial Officer pursuant to</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Furnished herewith</w:t>
            </w:r>
          </w:p>
        </w:tc>
      </w:tr>
      <w:tr>
        <w:trPr>
          <w:trHeight w:val="258"/>
        </w:trPr>
        <w:tc>
          <w:tcPr>
            <w:tcW w:w="96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Section 906 of the Sarbanes-Oxley Act of 2002</w:t>
            </w:r>
          </w:p>
        </w:tc>
        <w:tc>
          <w:tcPr>
            <w:tcW w:w="4520" w:type="dxa"/>
            <w:vAlign w:val="bottom"/>
          </w:tcPr>
          <w:p>
            <w:pPr>
              <w:spacing w:after="0"/>
              <w:rPr>
                <w:sz w:val="22"/>
                <w:szCs w:val="22"/>
                <w:color w:val="auto"/>
              </w:rPr>
            </w:pPr>
          </w:p>
        </w:tc>
      </w:tr>
      <w:tr>
        <w:trPr>
          <w:trHeight w:val="274"/>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97</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WESCO International, Inc. Compensation Recovery</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Incorporated by reference to Exhibit 97 to Wesco’s</w:t>
            </w:r>
          </w:p>
        </w:tc>
      </w:tr>
      <w:tr>
        <w:trPr>
          <w:trHeight w:val="197"/>
        </w:trPr>
        <w:tc>
          <w:tcPr>
            <w:tcW w:w="960" w:type="dxa"/>
            <w:vAlign w:val="bottom"/>
          </w:tcPr>
          <w:p>
            <w:pPr>
              <w:spacing w:after="0"/>
              <w:rPr>
                <w:sz w:val="17"/>
                <w:szCs w:val="17"/>
                <w:color w:val="auto"/>
              </w:rPr>
            </w:pPr>
          </w:p>
        </w:tc>
        <w:tc>
          <w:tcPr>
            <w:tcW w:w="4620" w:type="dxa"/>
            <w:vAlign w:val="bottom"/>
          </w:tcPr>
          <w:p>
            <w:pPr>
              <w:ind w:left="160"/>
              <w:spacing w:after="0" w:line="197" w:lineRule="exact"/>
              <w:rPr>
                <w:sz w:val="20"/>
                <w:szCs w:val="20"/>
                <w:color w:val="auto"/>
              </w:rPr>
            </w:pPr>
            <w:r>
              <w:rPr>
                <w:rFonts w:ascii="Times New Roman" w:cs="Times New Roman" w:eastAsia="Times New Roman" w:hAnsi="Times New Roman"/>
                <w:sz w:val="20"/>
                <w:szCs w:val="20"/>
                <w:color w:val="231F20"/>
              </w:rPr>
              <w:t>Policy</w:t>
            </w:r>
          </w:p>
        </w:tc>
        <w:tc>
          <w:tcPr>
            <w:tcW w:w="4520" w:type="dxa"/>
            <w:vAlign w:val="bottom"/>
          </w:tcPr>
          <w:p>
            <w:pPr>
              <w:ind w:left="100"/>
              <w:spacing w:after="0" w:line="197" w:lineRule="exact"/>
              <w:rPr>
                <w:sz w:val="20"/>
                <w:szCs w:val="20"/>
                <w:color w:val="auto"/>
              </w:rPr>
            </w:pPr>
            <w:r>
              <w:rPr>
                <w:rFonts w:ascii="Times New Roman" w:cs="Times New Roman" w:eastAsia="Times New Roman" w:hAnsi="Times New Roman"/>
                <w:sz w:val="20"/>
                <w:szCs w:val="20"/>
                <w:color w:val="231F20"/>
              </w:rPr>
              <w:t>Annual Report on Form 10-K for the year ended</w:t>
            </w:r>
          </w:p>
        </w:tc>
      </w:tr>
      <w:tr>
        <w:trPr>
          <w:trHeight w:val="258"/>
        </w:trPr>
        <w:tc>
          <w:tcPr>
            <w:tcW w:w="96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December 31, 2023</w:t>
            </w:r>
          </w:p>
        </w:tc>
      </w:tr>
      <w:tr>
        <w:trPr>
          <w:trHeight w:val="344"/>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101</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Interactive Data File</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Filed herewith</w:t>
            </w:r>
          </w:p>
        </w:tc>
      </w:tr>
      <w:tr>
        <w:trPr>
          <w:trHeight w:val="29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104</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Cover Page Interactive Data File (embedded within the</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Filed herewith</w:t>
            </w:r>
          </w:p>
        </w:tc>
      </w:tr>
      <w:tr>
        <w:trPr>
          <w:trHeight w:val="258"/>
        </w:trPr>
        <w:tc>
          <w:tcPr>
            <w:tcW w:w="96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Inline XBRL document)</w:t>
            </w:r>
          </w:p>
        </w:tc>
        <w:tc>
          <w:tcPr>
            <w:tcW w:w="4520" w:type="dxa"/>
            <w:vAlign w:val="bottom"/>
          </w:tcPr>
          <w:p>
            <w:pPr>
              <w:spacing w:after="0"/>
              <w:rPr>
                <w:sz w:val="22"/>
                <w:szCs w:val="22"/>
                <w:color w:val="auto"/>
              </w:rPr>
            </w:pPr>
          </w:p>
        </w:tc>
      </w:tr>
    </w:tbl>
    <w:p>
      <w:pPr>
        <w:spacing w:after="0" w:line="16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color w:val="231F20"/>
        </w:rPr>
        <w:t>The registrant hereby agrees to furnish supplementally to the Commission, upon request, a copy of any omitted schedule to any of the agreements contained herein.</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i w:val="1"/>
          <w:iCs w:val="1"/>
          <w:color w:val="231F20"/>
        </w:rPr>
        <w:t>Copies of exhibits may be retrieved electronically at the U.S. Securities and Exchange Commission’s home page at www.sec.gov. Exhibits will also be furnished without charge by writing to David S. Schulz, Executive Vice President and Chief Financial Officer, 225 West Station Square Drive, Suite 700, Pittsburgh, Pennsylvania 15219. Requests may also be directed to (412) 454-2200.</w:t>
      </w:r>
    </w:p>
    <w:p>
      <w:pPr>
        <w:sectPr>
          <w:pgSz w:w="11880" w:h="15480" w:orient="portrait"/>
          <w:cols w:equalWidth="0" w:num="1">
            <w:col w:w="10120"/>
          </w:cols>
          <w:pgMar w:left="880" w:top="76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10120"/>
          </w:cols>
          <w:pgMar w:left="880" w:top="769" w:right="8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231F20"/>
        </w:rPr>
        <w:t>Schedule II—Valuation and Qualifying Accounts</w:t>
      </w:r>
    </w:p>
    <w:p>
      <w:pPr>
        <w:spacing w:after="0" w:line="35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9"/>
              </w:rPr>
              <w:t>Balance at</w:t>
            </w:r>
          </w:p>
        </w:tc>
        <w:tc>
          <w:tcPr>
            <w:tcW w:w="118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8"/>
                <w:szCs w:val="18"/>
                <w:b w:val="1"/>
                <w:bCs w:val="1"/>
                <w:color w:val="231F20"/>
              </w:rPr>
              <w:t>Charged to</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64"/>
              <w:spacing w:after="0"/>
              <w:rPr>
                <w:sz w:val="20"/>
                <w:szCs w:val="20"/>
                <w:color w:val="auto"/>
              </w:rPr>
            </w:pPr>
            <w:r>
              <w:rPr>
                <w:rFonts w:ascii="Times New Roman" w:cs="Times New Roman" w:eastAsia="Times New Roman" w:hAnsi="Times New Roman"/>
                <w:sz w:val="18"/>
                <w:szCs w:val="18"/>
                <w:b w:val="1"/>
                <w:bCs w:val="1"/>
                <w:color w:val="231F20"/>
                <w:w w:val="96"/>
              </w:rPr>
              <w:t>Balance at</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9"/>
              </w:rPr>
              <w:t>beginning</w:t>
            </w:r>
          </w:p>
        </w:tc>
        <w:tc>
          <w:tcPr>
            <w:tcW w:w="118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7"/>
              </w:rPr>
              <w:t>of period</w:t>
            </w:r>
          </w:p>
        </w:tc>
        <w:tc>
          <w:tcPr>
            <w:tcW w:w="24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8"/>
                <w:szCs w:val="18"/>
                <w:b w:val="1"/>
                <w:bCs w:val="1"/>
                <w:color w:val="231F20"/>
                <w:w w:val="99"/>
              </w:rPr>
              <w:t>earnings</w:t>
            </w:r>
          </w:p>
        </w:tc>
        <w:tc>
          <w:tcPr>
            <w:tcW w:w="1220" w:type="dxa"/>
            <w:vAlign w:val="bottom"/>
            <w:tcBorders>
              <w:bottom w:val="single" w:sz="8" w:color="231F20"/>
            </w:tcBorders>
            <w:gridSpan w:val="2"/>
          </w:tcPr>
          <w:p>
            <w:pPr>
              <w:ind w:left="100"/>
              <w:spacing w:after="0" w:line="237" w:lineRule="exact"/>
              <w:rPr>
                <w:sz w:val="20"/>
                <w:szCs w:val="20"/>
                <w:color w:val="auto"/>
              </w:rPr>
            </w:pPr>
            <w:r>
              <w:rPr>
                <w:rFonts w:ascii="Times New Roman" w:cs="Times New Roman" w:eastAsia="Times New Roman" w:hAnsi="Times New Roman"/>
                <w:sz w:val="18"/>
                <w:szCs w:val="18"/>
                <w:b w:val="1"/>
                <w:bCs w:val="1"/>
                <w:color w:val="231F20"/>
              </w:rPr>
              <w:t>Deductions</w:t>
            </w:r>
            <w:r>
              <w:rPr>
                <w:rFonts w:ascii="Times New Roman" w:cs="Times New Roman" w:eastAsia="Times New Roman" w:hAnsi="Times New Roman"/>
                <w:sz w:val="23"/>
                <w:szCs w:val="23"/>
                <w:b w:val="1"/>
                <w:bCs w:val="1"/>
                <w:color w:val="231F20"/>
                <w:vertAlign w:val="superscript"/>
              </w:rPr>
              <w:t>(1)</w:t>
            </w:r>
          </w:p>
        </w:tc>
        <w:tc>
          <w:tcPr>
            <w:tcW w:w="11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end of period</w:t>
            </w:r>
          </w:p>
        </w:tc>
        <w:tc>
          <w:tcPr>
            <w:tcW w:w="0" w:type="dxa"/>
            <w:vAlign w:val="bottom"/>
          </w:tcPr>
          <w:p>
            <w:pPr>
              <w:spacing w:after="0"/>
              <w:rPr>
                <w:sz w:val="1"/>
                <w:szCs w:val="1"/>
                <w:color w:val="auto"/>
              </w:rPr>
            </w:pPr>
          </w:p>
        </w:tc>
      </w:tr>
      <w:tr>
        <w:trPr>
          <w:trHeight w:val="279"/>
        </w:trPr>
        <w:tc>
          <w:tcPr>
            <w:tcW w:w="44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Allowance for expected credit losses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42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6"/>
              <w:spacing w:after="0"/>
              <w:rPr>
                <w:sz w:val="20"/>
                <w:szCs w:val="20"/>
                <w:color w:val="auto"/>
              </w:rPr>
            </w:pPr>
            <w:r>
              <w:rPr>
                <w:rFonts w:ascii="Times New Roman" w:cs="Times New Roman" w:eastAsia="Times New Roman" w:hAnsi="Times New Roman"/>
                <w:sz w:val="20"/>
                <w:szCs w:val="20"/>
                <w:color w:val="231F20"/>
              </w:rPr>
              <w:t>55.0</w:t>
            </w:r>
          </w:p>
        </w:tc>
        <w:tc>
          <w:tcPr>
            <w:tcW w:w="2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ind w:right="7"/>
              <w:spacing w:after="0"/>
              <w:rPr>
                <w:sz w:val="20"/>
                <w:szCs w:val="20"/>
                <w:color w:val="auto"/>
              </w:rPr>
            </w:pPr>
            <w:r>
              <w:rPr>
                <w:rFonts w:ascii="Times New Roman" w:cs="Times New Roman" w:eastAsia="Times New Roman" w:hAnsi="Times New Roman"/>
                <w:sz w:val="20"/>
                <w:szCs w:val="20"/>
                <w:color w:val="231F20"/>
              </w:rPr>
              <w:t>25.1</w:t>
            </w:r>
          </w:p>
        </w:tc>
        <w:tc>
          <w:tcPr>
            <w:tcW w:w="540" w:type="dxa"/>
            <w:vAlign w:val="bottom"/>
            <w:shd w:val="clear" w:color="auto" w:fill="CFEBF4"/>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(16.5)</w:t>
            </w:r>
          </w:p>
        </w:tc>
        <w:tc>
          <w:tcPr>
            <w:tcW w:w="1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63.6</w:t>
            </w:r>
          </w:p>
        </w:tc>
        <w:tc>
          <w:tcPr>
            <w:tcW w:w="0" w:type="dxa"/>
            <w:vAlign w:val="bottom"/>
          </w:tcPr>
          <w:p>
            <w:pPr>
              <w:spacing w:after="0"/>
              <w:rPr>
                <w:sz w:val="1"/>
                <w:szCs w:val="1"/>
                <w:color w:val="auto"/>
              </w:rPr>
            </w:pPr>
          </w:p>
        </w:tc>
      </w:tr>
      <w:tr>
        <w:trPr>
          <w:trHeight w:val="290"/>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6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55.9</w:t>
            </w:r>
          </w:p>
        </w:tc>
        <w:tc>
          <w:tcPr>
            <w:tcW w:w="24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18.7</w:t>
            </w: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0" w:type="dxa"/>
            <w:vAlign w:val="bottom"/>
          </w:tcPr>
          <w:p>
            <w:pPr>
              <w:spacing w:after="0"/>
              <w:rPr>
                <w:sz w:val="1"/>
                <w:szCs w:val="1"/>
                <w:color w:val="auto"/>
              </w:rPr>
            </w:pPr>
          </w:p>
        </w:tc>
      </w:tr>
      <w:tr>
        <w:trPr>
          <w:trHeight w:val="301"/>
        </w:trPr>
        <w:tc>
          <w:tcPr>
            <w:tcW w:w="442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Year Ended December 31, 2023</w:t>
            </w:r>
          </w:p>
        </w:tc>
        <w:tc>
          <w:tcPr>
            <w:tcW w:w="160" w:type="dxa"/>
            <w:vAlign w:val="bottom"/>
            <w:shd w:val="clear" w:color="auto" w:fill="CFEBF4"/>
          </w:tcPr>
          <w:p>
            <w:pPr>
              <w:spacing w:after="0"/>
              <w:rPr>
                <w:sz w:val="24"/>
                <w:szCs w:val="24"/>
                <w:color w:val="auto"/>
              </w:rPr>
            </w:pPr>
          </w:p>
        </w:tc>
        <w:tc>
          <w:tcPr>
            <w:tcW w:w="980" w:type="dxa"/>
            <w:vAlign w:val="bottom"/>
            <w:shd w:val="clear" w:color="auto" w:fill="CFEBF4"/>
          </w:tcPr>
          <w:p>
            <w:pPr>
              <w:jc w:val="right"/>
              <w:ind w:right="6"/>
              <w:spacing w:after="0"/>
              <w:rPr>
                <w:sz w:val="20"/>
                <w:szCs w:val="20"/>
                <w:color w:val="auto"/>
              </w:rPr>
            </w:pPr>
            <w:r>
              <w:rPr>
                <w:rFonts w:ascii="Times New Roman" w:cs="Times New Roman" w:eastAsia="Times New Roman" w:hAnsi="Times New Roman"/>
                <w:sz w:val="20"/>
                <w:szCs w:val="20"/>
                <w:color w:val="231F20"/>
              </w:rPr>
              <w:t>46.5</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7"/>
              <w:spacing w:after="0"/>
              <w:rPr>
                <w:sz w:val="20"/>
                <w:szCs w:val="20"/>
                <w:color w:val="auto"/>
              </w:rPr>
            </w:pPr>
            <w:r>
              <w:rPr>
                <w:rFonts w:ascii="Times New Roman" w:cs="Times New Roman" w:eastAsia="Times New Roman" w:hAnsi="Times New Roman"/>
                <w:sz w:val="20"/>
                <w:szCs w:val="20"/>
                <w:color w:val="231F20"/>
              </w:rPr>
              <w:t>18.6</w:t>
            </w:r>
          </w:p>
        </w:tc>
        <w:tc>
          <w:tcPr>
            <w:tcW w:w="540" w:type="dxa"/>
            <w:vAlign w:val="bottom"/>
            <w:shd w:val="clear" w:color="auto" w:fill="CFEBF4"/>
          </w:tcPr>
          <w:p>
            <w:pPr>
              <w:spacing w:after="0"/>
              <w:rPr>
                <w:sz w:val="24"/>
                <w:szCs w:val="24"/>
                <w:color w:val="auto"/>
              </w:rPr>
            </w:pPr>
          </w:p>
        </w:tc>
        <w:tc>
          <w:tcPr>
            <w:tcW w:w="6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16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55.9</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80" w:hanging="273"/>
        <w:spacing w:after="0"/>
        <w:tabs>
          <w:tab w:leader="none" w:pos="280" w:val="left"/>
        </w:tabs>
        <w:numPr>
          <w:ilvl w:val="0"/>
          <w:numId w:val="42"/>
        </w:numPr>
        <w:rPr>
          <w:rFonts w:ascii="Times New Roman" w:cs="Times New Roman" w:eastAsia="Times New Roman" w:hAnsi="Times New Roman"/>
          <w:sz w:val="26"/>
          <w:szCs w:val="26"/>
          <w:i w:val="1"/>
          <w:iCs w:val="1"/>
          <w:color w:val="231F20"/>
          <w:vertAlign w:val="superscript"/>
        </w:rPr>
      </w:pPr>
      <w:r>
        <w:rPr>
          <w:rFonts w:ascii="Times New Roman" w:cs="Times New Roman" w:eastAsia="Times New Roman" w:hAnsi="Times New Roman"/>
          <w:sz w:val="20"/>
          <w:szCs w:val="20"/>
          <w:i w:val="1"/>
          <w:iCs w:val="1"/>
          <w:color w:val="231F20"/>
        </w:rPr>
        <w:t>Includes a reduction in the allowance for expected credit losses due to the write-off of trade accounts receivable.</w:t>
      </w:r>
    </w:p>
    <w:p>
      <w:pPr>
        <w:spacing w:after="0" w:line="34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9"/>
              </w:rPr>
              <w:t>Balance at</w:t>
            </w:r>
          </w:p>
        </w:tc>
        <w:tc>
          <w:tcPr>
            <w:tcW w:w="118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8"/>
                <w:szCs w:val="18"/>
                <w:b w:val="1"/>
                <w:bCs w:val="1"/>
                <w:color w:val="231F20"/>
              </w:rPr>
              <w:t>Charged to</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64"/>
              <w:spacing w:after="0"/>
              <w:rPr>
                <w:sz w:val="20"/>
                <w:szCs w:val="20"/>
                <w:color w:val="auto"/>
              </w:rPr>
            </w:pPr>
            <w:r>
              <w:rPr>
                <w:rFonts w:ascii="Times New Roman" w:cs="Times New Roman" w:eastAsia="Times New Roman" w:hAnsi="Times New Roman"/>
                <w:sz w:val="18"/>
                <w:szCs w:val="18"/>
                <w:b w:val="1"/>
                <w:bCs w:val="1"/>
                <w:color w:val="231F20"/>
                <w:w w:val="96"/>
              </w:rPr>
              <w:t>Balance at</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9"/>
              </w:rPr>
              <w:t>beginning</w:t>
            </w:r>
          </w:p>
        </w:tc>
        <w:tc>
          <w:tcPr>
            <w:tcW w:w="118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86"/>
              <w:spacing w:after="0"/>
              <w:rPr>
                <w:sz w:val="20"/>
                <w:szCs w:val="20"/>
                <w:color w:val="auto"/>
              </w:rPr>
            </w:pPr>
            <w:r>
              <w:rPr>
                <w:rFonts w:ascii="Times New Roman" w:cs="Times New Roman" w:eastAsia="Times New Roman" w:hAnsi="Times New Roman"/>
                <w:sz w:val="18"/>
                <w:szCs w:val="18"/>
                <w:b w:val="1"/>
                <w:bCs w:val="1"/>
                <w:color w:val="231F20"/>
                <w:w w:val="97"/>
              </w:rPr>
              <w:t>of period</w:t>
            </w:r>
          </w:p>
        </w:tc>
        <w:tc>
          <w:tcPr>
            <w:tcW w:w="24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8"/>
                <w:szCs w:val="18"/>
                <w:b w:val="1"/>
                <w:bCs w:val="1"/>
                <w:color w:val="231F20"/>
                <w:w w:val="99"/>
              </w:rPr>
              <w:t>earnings</w:t>
            </w:r>
          </w:p>
        </w:tc>
        <w:tc>
          <w:tcPr>
            <w:tcW w:w="1220" w:type="dxa"/>
            <w:vAlign w:val="bottom"/>
            <w:tcBorders>
              <w:bottom w:val="single" w:sz="8" w:color="231F20"/>
            </w:tcBorders>
            <w:gridSpan w:val="2"/>
          </w:tcPr>
          <w:p>
            <w:pPr>
              <w:ind w:left="100"/>
              <w:spacing w:after="0" w:line="237" w:lineRule="exact"/>
              <w:rPr>
                <w:sz w:val="20"/>
                <w:szCs w:val="20"/>
                <w:color w:val="auto"/>
              </w:rPr>
            </w:pPr>
            <w:r>
              <w:rPr>
                <w:rFonts w:ascii="Times New Roman" w:cs="Times New Roman" w:eastAsia="Times New Roman" w:hAnsi="Times New Roman"/>
                <w:sz w:val="18"/>
                <w:szCs w:val="18"/>
                <w:b w:val="1"/>
                <w:bCs w:val="1"/>
                <w:color w:val="231F20"/>
              </w:rPr>
              <w:t>Deductions</w:t>
            </w:r>
            <w:r>
              <w:rPr>
                <w:rFonts w:ascii="Times New Roman" w:cs="Times New Roman" w:eastAsia="Times New Roman" w:hAnsi="Times New Roman"/>
                <w:sz w:val="23"/>
                <w:szCs w:val="23"/>
                <w:b w:val="1"/>
                <w:bCs w:val="1"/>
                <w:color w:val="231F20"/>
                <w:vertAlign w:val="superscript"/>
              </w:rPr>
              <w:t>(1)</w:t>
            </w:r>
          </w:p>
        </w:tc>
        <w:tc>
          <w:tcPr>
            <w:tcW w:w="11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end of period</w:t>
            </w:r>
          </w:p>
        </w:tc>
        <w:tc>
          <w:tcPr>
            <w:tcW w:w="0" w:type="dxa"/>
            <w:vAlign w:val="bottom"/>
          </w:tcPr>
          <w:p>
            <w:pPr>
              <w:spacing w:after="0"/>
              <w:rPr>
                <w:sz w:val="1"/>
                <w:szCs w:val="1"/>
                <w:color w:val="auto"/>
              </w:rPr>
            </w:pPr>
          </w:p>
        </w:tc>
      </w:tr>
      <w:tr>
        <w:trPr>
          <w:trHeight w:val="279"/>
        </w:trPr>
        <w:tc>
          <w:tcPr>
            <w:tcW w:w="44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Allowance for deferred tax 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42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CFEBF4"/>
          </w:tcPr>
          <w:p>
            <w:pPr>
              <w:jc w:val="right"/>
              <w:ind w:right="6"/>
              <w:spacing w:after="0"/>
              <w:rPr>
                <w:sz w:val="20"/>
                <w:szCs w:val="20"/>
                <w:color w:val="auto"/>
              </w:rPr>
            </w:pPr>
            <w:r>
              <w:rPr>
                <w:rFonts w:ascii="Times New Roman" w:cs="Times New Roman" w:eastAsia="Times New Roman" w:hAnsi="Times New Roman"/>
                <w:sz w:val="20"/>
                <w:szCs w:val="20"/>
                <w:color w:val="231F20"/>
              </w:rPr>
              <w:t>32.6</w:t>
            </w:r>
          </w:p>
        </w:tc>
        <w:tc>
          <w:tcPr>
            <w:tcW w:w="24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BF4"/>
          </w:tcPr>
          <w:p>
            <w:pPr>
              <w:jc w:val="right"/>
              <w:ind w:right="7"/>
              <w:spacing w:after="0"/>
              <w:rPr>
                <w:sz w:val="20"/>
                <w:szCs w:val="20"/>
                <w:color w:val="auto"/>
              </w:rPr>
            </w:pPr>
            <w:r>
              <w:rPr>
                <w:rFonts w:ascii="Times New Roman" w:cs="Times New Roman" w:eastAsia="Times New Roman" w:hAnsi="Times New Roman"/>
                <w:sz w:val="20"/>
                <w:szCs w:val="20"/>
                <w:color w:val="231F20"/>
              </w:rPr>
              <w:t>23.3</w:t>
            </w:r>
          </w:p>
        </w:tc>
        <w:tc>
          <w:tcPr>
            <w:tcW w:w="540" w:type="dxa"/>
            <w:vAlign w:val="bottom"/>
            <w:shd w:val="clear" w:color="auto" w:fill="CFEBF4"/>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160" w:type="dxa"/>
            <w:vAlign w:val="bottom"/>
            <w:shd w:val="clear" w:color="auto" w:fill="CFEBF4"/>
          </w:tcPr>
          <w:p>
            <w:pPr>
              <w:ind w:lef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47.9</w:t>
            </w:r>
          </w:p>
        </w:tc>
        <w:tc>
          <w:tcPr>
            <w:tcW w:w="0" w:type="dxa"/>
            <w:vAlign w:val="bottom"/>
          </w:tcPr>
          <w:p>
            <w:pPr>
              <w:spacing w:after="0"/>
              <w:rPr>
                <w:sz w:val="1"/>
                <w:szCs w:val="1"/>
                <w:color w:val="auto"/>
              </w:rPr>
            </w:pPr>
          </w:p>
        </w:tc>
      </w:tr>
      <w:tr>
        <w:trPr>
          <w:trHeight w:val="290"/>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6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23.5</w:t>
            </w:r>
          </w:p>
        </w:tc>
        <w:tc>
          <w:tcPr>
            <w:tcW w:w="24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10.3</w:t>
            </w: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301"/>
        </w:trPr>
        <w:tc>
          <w:tcPr>
            <w:tcW w:w="4420" w:type="dxa"/>
            <w:vAlign w:val="bottom"/>
            <w:shd w:val="clear" w:color="auto" w:fill="CFEBF4"/>
          </w:tcPr>
          <w:p>
            <w:pPr>
              <w:ind w:left="180"/>
              <w:spacing w:after="0"/>
              <w:rPr>
                <w:sz w:val="20"/>
                <w:szCs w:val="20"/>
                <w:color w:val="auto"/>
              </w:rPr>
            </w:pPr>
            <w:r>
              <w:rPr>
                <w:rFonts w:ascii="Times New Roman" w:cs="Times New Roman" w:eastAsia="Times New Roman" w:hAnsi="Times New Roman"/>
                <w:sz w:val="20"/>
                <w:szCs w:val="20"/>
                <w:color w:val="231F20"/>
              </w:rPr>
              <w:t>Year Ended December 31, 2023</w:t>
            </w:r>
          </w:p>
        </w:tc>
        <w:tc>
          <w:tcPr>
            <w:tcW w:w="160" w:type="dxa"/>
            <w:vAlign w:val="bottom"/>
            <w:shd w:val="clear" w:color="auto" w:fill="CFEBF4"/>
          </w:tcPr>
          <w:p>
            <w:pPr>
              <w:spacing w:after="0"/>
              <w:rPr>
                <w:sz w:val="24"/>
                <w:szCs w:val="24"/>
                <w:color w:val="auto"/>
              </w:rPr>
            </w:pPr>
          </w:p>
        </w:tc>
        <w:tc>
          <w:tcPr>
            <w:tcW w:w="980" w:type="dxa"/>
            <w:vAlign w:val="bottom"/>
            <w:shd w:val="clear" w:color="auto" w:fill="CFEBF4"/>
          </w:tcPr>
          <w:p>
            <w:pPr>
              <w:jc w:val="right"/>
              <w:ind w:right="6"/>
              <w:spacing w:after="0"/>
              <w:rPr>
                <w:sz w:val="20"/>
                <w:szCs w:val="20"/>
                <w:color w:val="auto"/>
              </w:rPr>
            </w:pPr>
            <w:r>
              <w:rPr>
                <w:rFonts w:ascii="Times New Roman" w:cs="Times New Roman" w:eastAsia="Times New Roman" w:hAnsi="Times New Roman"/>
                <w:sz w:val="20"/>
                <w:szCs w:val="20"/>
                <w:color w:val="231F20"/>
              </w:rPr>
              <w:t>33.7</w:t>
            </w:r>
          </w:p>
        </w:tc>
        <w:tc>
          <w:tcPr>
            <w:tcW w:w="240" w:type="dxa"/>
            <w:vAlign w:val="bottom"/>
            <w:shd w:val="clear" w:color="auto" w:fill="CFEBF4"/>
          </w:tcPr>
          <w:p>
            <w:pPr>
              <w:spacing w:after="0"/>
              <w:rPr>
                <w:sz w:val="24"/>
                <w:szCs w:val="24"/>
                <w:color w:val="auto"/>
              </w:rPr>
            </w:pPr>
          </w:p>
        </w:tc>
        <w:tc>
          <w:tcPr>
            <w:tcW w:w="940" w:type="dxa"/>
            <w:vAlign w:val="bottom"/>
            <w:shd w:val="clear" w:color="auto" w:fill="CFEBF4"/>
          </w:tcPr>
          <w:p>
            <w:pPr>
              <w:jc w:val="right"/>
              <w:ind w:right="7"/>
              <w:spacing w:after="0"/>
              <w:rPr>
                <w:sz w:val="20"/>
                <w:szCs w:val="20"/>
                <w:color w:val="auto"/>
              </w:rPr>
            </w:pPr>
            <w:r>
              <w:rPr>
                <w:rFonts w:ascii="Times New Roman" w:cs="Times New Roman" w:eastAsia="Times New Roman" w:hAnsi="Times New Roman"/>
                <w:sz w:val="20"/>
                <w:szCs w:val="20"/>
                <w:color w:val="231F20"/>
              </w:rPr>
              <w:t>7.7</w:t>
            </w:r>
          </w:p>
        </w:tc>
        <w:tc>
          <w:tcPr>
            <w:tcW w:w="540" w:type="dxa"/>
            <w:vAlign w:val="bottom"/>
            <w:shd w:val="clear" w:color="auto" w:fill="CFEBF4"/>
          </w:tcPr>
          <w:p>
            <w:pPr>
              <w:spacing w:after="0"/>
              <w:rPr>
                <w:sz w:val="24"/>
                <w:szCs w:val="24"/>
                <w:color w:val="auto"/>
              </w:rPr>
            </w:pPr>
          </w:p>
        </w:tc>
        <w:tc>
          <w:tcPr>
            <w:tcW w:w="68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160" w:type="dxa"/>
            <w:vAlign w:val="bottom"/>
            <w:shd w:val="clear" w:color="auto" w:fill="CFEBF4"/>
          </w:tcPr>
          <w:p>
            <w:pPr>
              <w:spacing w:after="0"/>
              <w:rPr>
                <w:sz w:val="24"/>
                <w:szCs w:val="24"/>
                <w:color w:val="auto"/>
              </w:rPr>
            </w:pPr>
          </w:p>
        </w:tc>
        <w:tc>
          <w:tcPr>
            <w:tcW w:w="960" w:type="dxa"/>
            <w:vAlign w:val="bottom"/>
            <w:shd w:val="clear" w:color="auto" w:fill="CFEBF4"/>
          </w:tcPr>
          <w:p>
            <w:pPr>
              <w:jc w:val="right"/>
              <w:spacing w:after="0"/>
              <w:rPr>
                <w:sz w:val="20"/>
                <w:szCs w:val="20"/>
                <w:color w:val="auto"/>
              </w:rPr>
            </w:pPr>
            <w:r>
              <w:rPr>
                <w:rFonts w:ascii="Times New Roman" w:cs="Times New Roman" w:eastAsia="Times New Roman" w:hAnsi="Times New Roman"/>
                <w:sz w:val="20"/>
                <w:szCs w:val="20"/>
                <w:color w:val="231F20"/>
              </w:rPr>
              <w:t>23.5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80" w:hanging="273"/>
        <w:spacing w:after="0" w:line="225" w:lineRule="auto"/>
        <w:tabs>
          <w:tab w:leader="none" w:pos="280" w:val="left"/>
        </w:tabs>
        <w:numPr>
          <w:ilvl w:val="0"/>
          <w:numId w:val="43"/>
        </w:numPr>
        <w:rPr>
          <w:rFonts w:ascii="Times New Roman" w:cs="Times New Roman" w:eastAsia="Times New Roman" w:hAnsi="Times New Roman"/>
          <w:sz w:val="26"/>
          <w:szCs w:val="26"/>
          <w:i w:val="1"/>
          <w:iCs w:val="1"/>
          <w:color w:val="231F20"/>
          <w:vertAlign w:val="superscript"/>
        </w:rPr>
      </w:pPr>
      <w:r>
        <w:rPr>
          <w:rFonts w:ascii="Times New Roman" w:cs="Times New Roman" w:eastAsia="Times New Roman" w:hAnsi="Times New Roman"/>
          <w:sz w:val="20"/>
          <w:szCs w:val="20"/>
          <w:i w:val="1"/>
          <w:iCs w:val="1"/>
          <w:color w:val="231F20"/>
        </w:rPr>
        <w:t>For the years ended December 31, 2025, December 31, 2024 and December 31, 2023, deductions primarily relate to a decrease in the valuation allowance recorded against deferred tax assets related to certain foreign jurisdictions.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120"/>
          </w:cols>
          <w:pgMar w:left="880" w:top="67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10120"/>
          </w:cols>
          <w:pgMar w:left="880" w:top="672" w:right="880" w:bottom="0" w:gutter="0" w:footer="0" w:header="0"/>
          <w:type w:val="continuous"/>
        </w:sectPr>
      </w:pPr>
    </w:p>
    <w:bookmarkStart w:id="109" w:name="page110"/>
    <w:bookmarkEnd w:id="109"/>
    <w:p>
      <w:pPr>
        <w:jc w:val="center"/>
        <w:ind w:right="-11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32" w:lineRule="exact"/>
        <w:rPr>
          <w:sz w:val="20"/>
          <w:szCs w:val="20"/>
          <w:color w:val="auto"/>
        </w:rPr>
      </w:pPr>
    </w:p>
    <w:p>
      <w:pPr>
        <w:ind w:firstLine="310"/>
        <w:spacing w:after="0" w:line="275"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3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231F20"/>
        </w:rPr>
        <w:t>WESCO INTERNATIONAL, INC.</w:t>
      </w:r>
    </w:p>
    <w:p>
      <w:pPr>
        <w:spacing w:after="0" w:line="36" w:lineRule="exact"/>
        <w:rPr>
          <w:sz w:val="20"/>
          <w:szCs w:val="20"/>
          <w:color w:val="auto"/>
        </w:rPr>
      </w:pPr>
    </w:p>
    <w:p>
      <w:pPr>
        <w:ind w:left="3900"/>
        <w:spacing w:after="0"/>
        <w:tabs>
          <w:tab w:leader="none" w:pos="4420" w:val="left"/>
        </w:tabs>
        <w:rPr>
          <w:sz w:val="20"/>
          <w:szCs w:val="20"/>
          <w:color w:val="auto"/>
        </w:rPr>
      </w:pPr>
      <w:r>
        <w:rPr>
          <w:rFonts w:ascii="Times New Roman" w:cs="Times New Roman" w:eastAsia="Times New Roman" w:hAnsi="Times New Roman"/>
          <w:sz w:val="39"/>
          <w:szCs w:val="39"/>
          <w:color w:val="231F20"/>
          <w:vertAlign w:val="superscript"/>
        </w:rPr>
        <w:t>By:</w:t>
      </w:r>
      <w:r>
        <w:rPr>
          <w:sz w:val="20"/>
          <w:szCs w:val="20"/>
          <w:color w:val="auto"/>
        </w:rPr>
        <w:tab/>
      </w:r>
      <w:r>
        <w:rPr>
          <w:rFonts w:ascii="Times New Roman" w:cs="Times New Roman" w:eastAsia="Times New Roman" w:hAnsi="Times New Roman"/>
          <w:sz w:val="20"/>
          <w:szCs w:val="20"/>
          <w:color w:val="231F20"/>
        </w:rPr>
        <w:t>/s/ JOHN J. ENGEL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2781300</wp:posOffset>
                </wp:positionH>
                <wp:positionV relativeFrom="paragraph">
                  <wp:posOffset>29845</wp:posOffset>
                </wp:positionV>
                <wp:extent cx="329311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311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pt,2.35pt" to="478.3pt,2.35pt" o:allowincell="f" strokecolor="#231F20" strokeweight="0.985pt"/>
            </w:pict>
          </mc:Fallback>
        </mc:AlternateContent>
      </w:r>
    </w:p>
    <w:p>
      <w:pPr>
        <w:ind w:left="4440"/>
        <w:spacing w:after="0" w:line="184" w:lineRule="auto"/>
        <w:tabs>
          <w:tab w:leader="none" w:pos="5160" w:val="left"/>
        </w:tabs>
        <w:rPr>
          <w:sz w:val="20"/>
          <w:szCs w:val="20"/>
          <w:color w:val="auto"/>
        </w:rPr>
      </w:pPr>
      <w:r>
        <w:rPr>
          <w:rFonts w:ascii="Times New Roman" w:cs="Times New Roman" w:eastAsia="Times New Roman" w:hAnsi="Times New Roman"/>
          <w:sz w:val="36"/>
          <w:szCs w:val="36"/>
          <w:color w:val="231F20"/>
          <w:vertAlign w:val="superscript"/>
        </w:rPr>
        <w:t>Name:</w:t>
      </w:r>
      <w:r>
        <w:rPr>
          <w:sz w:val="20"/>
          <w:szCs w:val="20"/>
          <w:color w:val="auto"/>
        </w:rPr>
        <w:tab/>
      </w:r>
      <w:r>
        <w:rPr>
          <w:rFonts w:ascii="Times New Roman" w:cs="Times New Roman" w:eastAsia="Times New Roman" w:hAnsi="Times New Roman"/>
          <w:sz w:val="19"/>
          <w:szCs w:val="19"/>
          <w:color w:val="231F20"/>
        </w:rPr>
        <w:t>John J. Engel</w:t>
      </w:r>
    </w:p>
    <w:p>
      <w:pPr>
        <w:spacing w:after="0" w:line="38" w:lineRule="exact"/>
        <w:rPr>
          <w:sz w:val="20"/>
          <w:szCs w:val="20"/>
          <w:color w:val="auto"/>
        </w:rPr>
      </w:pPr>
    </w:p>
    <w:p>
      <w:pPr>
        <w:ind w:left="4440"/>
        <w:spacing w:after="0"/>
        <w:tabs>
          <w:tab w:leader="none" w:pos="5160" w:val="left"/>
        </w:tabs>
        <w:rPr>
          <w:sz w:val="20"/>
          <w:szCs w:val="20"/>
          <w:color w:val="auto"/>
        </w:rPr>
      </w:pPr>
      <w:r>
        <w:rPr>
          <w:rFonts w:ascii="Times New Roman" w:cs="Times New Roman" w:eastAsia="Times New Roman" w:hAnsi="Times New Roman"/>
          <w:sz w:val="20"/>
          <w:szCs w:val="20"/>
          <w:color w:val="231F20"/>
        </w:rPr>
        <w:t>Title:</w:t>
      </w:r>
      <w:r>
        <w:rPr>
          <w:sz w:val="20"/>
          <w:szCs w:val="20"/>
          <w:color w:val="auto"/>
        </w:rPr>
        <w:tab/>
      </w:r>
      <w:r>
        <w:rPr>
          <w:rFonts w:ascii="Times New Roman" w:cs="Times New Roman" w:eastAsia="Times New Roman" w:hAnsi="Times New Roman"/>
          <w:sz w:val="20"/>
          <w:szCs w:val="20"/>
          <w:color w:val="231F20"/>
        </w:rPr>
        <w:t>Chairman, President and Chief Executive Officer</w:t>
      </w:r>
    </w:p>
    <w:p>
      <w:pPr>
        <w:ind w:left="4440"/>
        <w:spacing w:after="0" w:line="184" w:lineRule="auto"/>
        <w:tabs>
          <w:tab w:leader="none" w:pos="5160" w:val="left"/>
        </w:tabs>
        <w:rPr>
          <w:sz w:val="20"/>
          <w:szCs w:val="20"/>
          <w:color w:val="auto"/>
        </w:rPr>
      </w:pPr>
      <w:r>
        <w:rPr>
          <w:rFonts w:ascii="Times New Roman" w:cs="Times New Roman" w:eastAsia="Times New Roman" w:hAnsi="Times New Roman"/>
          <w:sz w:val="34"/>
          <w:szCs w:val="34"/>
          <w:color w:val="231F20"/>
          <w:vertAlign w:val="superscript"/>
        </w:rPr>
        <w:t>Date:</w:t>
      </w:r>
      <w:r>
        <w:rPr>
          <w:sz w:val="20"/>
          <w:szCs w:val="20"/>
          <w:color w:val="auto"/>
        </w:rPr>
        <w:tab/>
      </w:r>
      <w:r>
        <w:rPr>
          <w:rFonts w:ascii="Times New Roman" w:cs="Times New Roman" w:eastAsia="Times New Roman" w:hAnsi="Times New Roman"/>
          <w:sz w:val="18"/>
          <w:szCs w:val="18"/>
          <w:color w:val="231F20"/>
        </w:rPr>
        <w:t>February 13, 2026</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231F20"/>
        </w:rPr>
        <w:t>WESCO INTERNATIONAL, INC.</w:t>
      </w:r>
    </w:p>
    <w:p>
      <w:pPr>
        <w:spacing w:after="0" w:line="36" w:lineRule="exact"/>
        <w:rPr>
          <w:sz w:val="20"/>
          <w:szCs w:val="20"/>
          <w:color w:val="auto"/>
        </w:rPr>
      </w:pPr>
    </w:p>
    <w:p>
      <w:pPr>
        <w:ind w:left="3900"/>
        <w:spacing w:after="0"/>
        <w:tabs>
          <w:tab w:leader="none" w:pos="4420" w:val="left"/>
        </w:tabs>
        <w:rPr>
          <w:sz w:val="20"/>
          <w:szCs w:val="20"/>
          <w:color w:val="auto"/>
        </w:rPr>
      </w:pPr>
      <w:r>
        <w:rPr>
          <w:rFonts w:ascii="Times New Roman" w:cs="Times New Roman" w:eastAsia="Times New Roman" w:hAnsi="Times New Roman"/>
          <w:sz w:val="39"/>
          <w:szCs w:val="39"/>
          <w:color w:val="231F20"/>
          <w:vertAlign w:val="superscript"/>
        </w:rPr>
        <w:t>By:</w:t>
      </w:r>
      <w:r>
        <w:rPr>
          <w:sz w:val="20"/>
          <w:szCs w:val="20"/>
          <w:color w:val="auto"/>
        </w:rPr>
        <w:tab/>
      </w:r>
      <w:r>
        <w:rPr>
          <w:rFonts w:ascii="Times New Roman" w:cs="Times New Roman" w:eastAsia="Times New Roman" w:hAnsi="Times New Roman"/>
          <w:sz w:val="20"/>
          <w:szCs w:val="20"/>
          <w:color w:val="231F20"/>
        </w:rPr>
        <w:t>/s/ DAVID S. SCHULZ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2781300</wp:posOffset>
                </wp:positionH>
                <wp:positionV relativeFrom="paragraph">
                  <wp:posOffset>29845</wp:posOffset>
                </wp:positionV>
                <wp:extent cx="329311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311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pt,2.35pt" to="478.3pt,2.35pt" o:allowincell="f" strokecolor="#231F20" strokeweight="0.985pt"/>
            </w:pict>
          </mc:Fallback>
        </mc:AlternateContent>
      </w:r>
    </w:p>
    <w:p>
      <w:pPr>
        <w:ind w:left="4440"/>
        <w:spacing w:after="0" w:line="184" w:lineRule="auto"/>
        <w:tabs>
          <w:tab w:leader="none" w:pos="5160" w:val="left"/>
        </w:tabs>
        <w:rPr>
          <w:sz w:val="20"/>
          <w:szCs w:val="20"/>
          <w:color w:val="auto"/>
        </w:rPr>
      </w:pPr>
      <w:r>
        <w:rPr>
          <w:rFonts w:ascii="Times New Roman" w:cs="Times New Roman" w:eastAsia="Times New Roman" w:hAnsi="Times New Roman"/>
          <w:sz w:val="36"/>
          <w:szCs w:val="36"/>
          <w:color w:val="231F20"/>
          <w:vertAlign w:val="superscript"/>
        </w:rPr>
        <w:t>Name:</w:t>
      </w:r>
      <w:r>
        <w:rPr>
          <w:sz w:val="20"/>
          <w:szCs w:val="20"/>
          <w:color w:val="auto"/>
        </w:rPr>
        <w:tab/>
      </w:r>
      <w:r>
        <w:rPr>
          <w:rFonts w:ascii="Times New Roman" w:cs="Times New Roman" w:eastAsia="Times New Roman" w:hAnsi="Times New Roman"/>
          <w:sz w:val="19"/>
          <w:szCs w:val="19"/>
          <w:color w:val="231F20"/>
        </w:rPr>
        <w:t>David S. Schulz</w:t>
      </w:r>
    </w:p>
    <w:p>
      <w:pPr>
        <w:spacing w:after="0" w:line="38" w:lineRule="exact"/>
        <w:rPr>
          <w:sz w:val="20"/>
          <w:szCs w:val="20"/>
          <w:color w:val="auto"/>
        </w:rPr>
      </w:pPr>
    </w:p>
    <w:p>
      <w:pPr>
        <w:ind w:left="4440"/>
        <w:spacing w:after="0"/>
        <w:tabs>
          <w:tab w:leader="none" w:pos="5160" w:val="left"/>
        </w:tabs>
        <w:rPr>
          <w:sz w:val="20"/>
          <w:szCs w:val="20"/>
          <w:color w:val="auto"/>
        </w:rPr>
      </w:pPr>
      <w:r>
        <w:rPr>
          <w:rFonts w:ascii="Times New Roman" w:cs="Times New Roman" w:eastAsia="Times New Roman" w:hAnsi="Times New Roman"/>
          <w:sz w:val="20"/>
          <w:szCs w:val="20"/>
          <w:color w:val="231F20"/>
        </w:rPr>
        <w:t>Title:</w:t>
      </w:r>
      <w:r>
        <w:rPr>
          <w:sz w:val="20"/>
          <w:szCs w:val="20"/>
          <w:color w:val="auto"/>
        </w:rPr>
        <w:tab/>
      </w:r>
      <w:r>
        <w:rPr>
          <w:rFonts w:ascii="Times New Roman" w:cs="Times New Roman" w:eastAsia="Times New Roman" w:hAnsi="Times New Roman"/>
          <w:sz w:val="20"/>
          <w:szCs w:val="20"/>
          <w:color w:val="231F20"/>
        </w:rPr>
        <w:t>Executive Vice President and Chief Financial Officer</w:t>
      </w:r>
    </w:p>
    <w:p>
      <w:pPr>
        <w:ind w:left="4440"/>
        <w:spacing w:after="0" w:line="184" w:lineRule="auto"/>
        <w:tabs>
          <w:tab w:leader="none" w:pos="5160" w:val="left"/>
        </w:tabs>
        <w:rPr>
          <w:sz w:val="20"/>
          <w:szCs w:val="20"/>
          <w:color w:val="auto"/>
        </w:rPr>
      </w:pPr>
      <w:r>
        <w:rPr>
          <w:rFonts w:ascii="Times New Roman" w:cs="Times New Roman" w:eastAsia="Times New Roman" w:hAnsi="Times New Roman"/>
          <w:sz w:val="34"/>
          <w:szCs w:val="34"/>
          <w:color w:val="231F20"/>
          <w:vertAlign w:val="superscript"/>
        </w:rPr>
        <w:t>Date:</w:t>
      </w:r>
      <w:r>
        <w:rPr>
          <w:sz w:val="20"/>
          <w:szCs w:val="20"/>
          <w:color w:val="auto"/>
        </w:rPr>
        <w:tab/>
      </w:r>
      <w:r>
        <w:rPr>
          <w:rFonts w:ascii="Times New Roman" w:cs="Times New Roman" w:eastAsia="Times New Roman" w:hAnsi="Times New Roman"/>
          <w:sz w:val="18"/>
          <w:szCs w:val="18"/>
          <w:color w:val="231F20"/>
        </w:rPr>
        <w:t>February 13, 2026</w:t>
      </w:r>
    </w:p>
    <w:p>
      <w:pPr>
        <w:sectPr>
          <w:pgSz w:w="11880" w:h="15480" w:orient="portrait"/>
          <w:cols w:equalWidth="0" w:num="1">
            <w:col w:w="10000"/>
          </w:cols>
          <w:pgMar w:left="880" w:top="67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231F20"/>
        </w:rPr>
        <w:t>100</w:t>
      </w:r>
    </w:p>
    <w:p>
      <w:pPr>
        <w:sectPr>
          <w:pgSz w:w="11880" w:h="15480" w:orient="portrait"/>
          <w:cols w:equalWidth="0" w:num="1">
            <w:col w:w="10000"/>
          </w:cols>
          <w:pgMar w:left="880" w:top="672" w:right="1000" w:bottom="0" w:gutter="0" w:footer="0" w:header="0"/>
          <w:type w:val="continuous"/>
        </w:sectPr>
      </w:pPr>
    </w:p>
    <w:bookmarkStart w:id="110" w:name="page111"/>
    <w:bookmarkEnd w:id="110"/>
    <w:p>
      <w:pPr>
        <w:ind w:firstLine="310"/>
        <w:spacing w:after="0" w:line="27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and on the dates indicated.</w:t>
      </w:r>
    </w:p>
    <w:p>
      <w:pPr>
        <w:spacing w:after="0" w:line="34" w:lineRule="exact"/>
        <w:rPr>
          <w:sz w:val="20"/>
          <w:szCs w:val="20"/>
          <w:color w:val="auto"/>
        </w:rPr>
      </w:pPr>
    </w:p>
    <w:p>
      <w:pPr>
        <w:ind w:left="1640"/>
        <w:spacing w:after="0"/>
        <w:tabs>
          <w:tab w:leader="none" w:pos="4020" w:val="left"/>
          <w:tab w:leader="none" w:pos="8220" w:val="left"/>
        </w:tabs>
        <w:rPr>
          <w:sz w:val="20"/>
          <w:szCs w:val="20"/>
          <w:color w:val="auto"/>
        </w:rPr>
      </w:pPr>
      <w:r>
        <w:rPr>
          <w:rFonts w:ascii="Times New Roman" w:cs="Times New Roman" w:eastAsia="Times New Roman" w:hAnsi="Times New Roman"/>
          <w:sz w:val="16"/>
          <w:szCs w:val="16"/>
          <w:b w:val="1"/>
          <w:bCs w:val="1"/>
          <w:color w:val="231F20"/>
        </w:rPr>
        <w:t>Signature</w:t>
      </w:r>
      <w:r>
        <w:rPr>
          <w:sz w:val="20"/>
          <w:szCs w:val="20"/>
          <w:color w:val="auto"/>
        </w:rPr>
        <w:tab/>
      </w:r>
      <w:r>
        <w:rPr>
          <w:rFonts w:ascii="Times New Roman" w:cs="Times New Roman" w:eastAsia="Times New Roman" w:hAnsi="Times New Roman"/>
          <w:sz w:val="16"/>
          <w:szCs w:val="16"/>
          <w:b w:val="1"/>
          <w:bCs w:val="1"/>
          <w:color w:val="231F20"/>
        </w:rPr>
        <w:t>Title</w:t>
      </w:r>
      <w:r>
        <w:rPr>
          <w:sz w:val="20"/>
          <w:szCs w:val="20"/>
          <w:color w:val="auto"/>
        </w:rPr>
        <w:tab/>
      </w:r>
      <w:r>
        <w:rPr>
          <w:rFonts w:ascii="Times New Roman" w:cs="Times New Roman" w:eastAsia="Times New Roman" w:hAnsi="Times New Roman"/>
          <w:sz w:val="16"/>
          <w:szCs w:val="16"/>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621157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157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489.4pt,1.95pt" o:allowincell="f" strokecolor="#231F20" strokeweight="0.985pt"/>
            </w:pict>
          </mc:Fallback>
        </mc:AlternateContent>
      </w:r>
    </w:p>
    <w:p>
      <w:pPr>
        <w:sectPr>
          <w:pgSz w:w="11880" w:h="15480" w:orient="portrait"/>
          <w:cols w:equalWidth="0" w:num="1">
            <w:col w:w="9800"/>
          </w:cols>
          <w:pgMar w:left="880" w:top="679" w:right="1200" w:bottom="0" w:gutter="0" w:footer="0" w:header="0"/>
        </w:sectPr>
      </w:pPr>
    </w:p>
    <w:p>
      <w:pPr>
        <w:spacing w:after="0" w:line="2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231F20"/>
        </w:rPr>
        <w:t>/s/ JOHN J. ENGEL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231F20"/>
        </w:rPr>
        <w:t>John J. Engel</w:t>
      </w:r>
    </w:p>
    <w:p>
      <w:pPr>
        <w:spacing w:after="0" w:line="200" w:lineRule="exact"/>
        <w:rPr>
          <w:sz w:val="20"/>
          <w:szCs w:val="20"/>
          <w:color w:val="auto"/>
        </w:rPr>
      </w:pPr>
    </w:p>
    <w:p>
      <w:pPr>
        <w:spacing w:after="0" w:line="3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DAVID S. SCHULZ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David S. Schulz</w:t>
      </w:r>
    </w:p>
    <w:p>
      <w:pPr>
        <w:spacing w:after="0" w:line="200" w:lineRule="exact"/>
        <w:rPr>
          <w:sz w:val="20"/>
          <w:szCs w:val="20"/>
          <w:color w:val="auto"/>
        </w:rPr>
      </w:pPr>
    </w:p>
    <w:p>
      <w:pPr>
        <w:spacing w:after="0" w:line="3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MATTHEW S. KULASA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Matthew S. Kulasa</w:t>
      </w:r>
    </w:p>
    <w:p>
      <w:pPr>
        <w:spacing w:after="0" w:line="36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GLYNIS A. BRYAN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Glynis A. Bryan</w:t>
      </w:r>
    </w:p>
    <w:p>
      <w:pPr>
        <w:spacing w:after="0" w:line="3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MICHAEL L. CARTER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Michael L. Carter</w:t>
      </w:r>
    </w:p>
    <w:p>
      <w:pPr>
        <w:spacing w:after="0" w:line="3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ANNE M. COONEY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Anne M. Cooney</w:t>
      </w:r>
    </w:p>
    <w:p>
      <w:pPr>
        <w:spacing w:after="0" w:line="36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MATTHEW J. ESPE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Matthew J. Espe</w:t>
      </w:r>
    </w:p>
    <w:p>
      <w:pPr>
        <w:spacing w:after="0" w:line="3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BOBBY J. GRIFFIN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Bobby J. Griffin</w:t>
      </w:r>
    </w:p>
    <w:p>
      <w:pPr>
        <w:spacing w:after="0" w:line="3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9"/>
          <w:szCs w:val="19"/>
          <w:color w:val="231F20"/>
        </w:rPr>
        <w:t>/s/ SUNDARAM NAGARAJAN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32385</wp:posOffset>
                </wp:positionV>
                <wp:extent cx="248666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55pt" to="196.1pt,2.55pt" o:allowincell="f" strokecolor="#231F20" strokeweight="0.985pt"/>
            </w:pict>
          </mc:Fallback>
        </mc:AlternateContent>
      </w:r>
    </w:p>
    <w:p>
      <w:pPr>
        <w:spacing w:after="0" w:line="4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Sundaram Nagarajan</w:t>
      </w:r>
    </w:p>
    <w:p>
      <w:pPr>
        <w:spacing w:after="0" w:line="36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STEVEN A. RAYMUND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Steven A. Raymund</w:t>
      </w:r>
    </w:p>
    <w:p>
      <w:pPr>
        <w:spacing w:after="0" w:line="3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JAMES L. SINGLETON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James L. Singleton</w:t>
      </w:r>
    </w:p>
    <w:p>
      <w:pPr>
        <w:spacing w:after="0" w:line="3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EASWARAN SUNDARAM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Easwaran Sundaram</w:t>
      </w:r>
    </w:p>
    <w:p>
      <w:pPr>
        <w:spacing w:after="0" w:line="3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LAURA K. THOMPSON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Laura K. Thompson</w:t>
      </w:r>
    </w:p>
    <w:p>
      <w:pPr>
        <w:spacing w:after="0" w:line="3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/s/ DAVID C. WAJSGRAS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wp:posOffset>
                </wp:positionV>
                <wp:extent cx="248666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12509">
                          <a:solidFill>
                            <a:srgbClr val="231F2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196.1pt,1.95pt" o:allowincell="f" strokecolor="#231F20" strokeweight="0.985pt"/>
            </w:pict>
          </mc:Fallback>
        </mc:AlternateContent>
      </w:r>
    </w:p>
    <w:p>
      <w:pPr>
        <w:spacing w:after="0" w:line="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color w:val="231F20"/>
        </w:rPr>
        <w:t>David C. Wajsgras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Chairman, President and Chief Executive Officer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28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(Principal Executive Officer)</w:t>
            </w:r>
          </w:p>
        </w:tc>
        <w:tc>
          <w:tcPr>
            <w:tcW w:w="1620" w:type="dxa"/>
            <w:vAlign w:val="bottom"/>
          </w:tcPr>
          <w:p>
            <w:pPr>
              <w:spacing w:after="0"/>
              <w:rPr>
                <w:sz w:val="24"/>
                <w:szCs w:val="24"/>
                <w:color w:val="auto"/>
              </w:rPr>
            </w:pPr>
          </w:p>
        </w:tc>
      </w:tr>
      <w:tr>
        <w:trPr>
          <w:trHeight w:val="51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Executive Vice President and Chief Financial</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25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Officer</w:t>
            </w:r>
          </w:p>
        </w:tc>
        <w:tc>
          <w:tcPr>
            <w:tcW w:w="1620" w:type="dxa"/>
            <w:vAlign w:val="bottom"/>
          </w:tcPr>
          <w:p>
            <w:pPr>
              <w:spacing w:after="0"/>
              <w:rPr>
                <w:sz w:val="22"/>
                <w:szCs w:val="22"/>
                <w:color w:val="auto"/>
              </w:rPr>
            </w:pPr>
          </w:p>
        </w:tc>
      </w:tr>
      <w:tr>
        <w:trPr>
          <w:trHeight w:val="26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(Principal Financial Officer)</w:t>
            </w:r>
          </w:p>
        </w:tc>
        <w:tc>
          <w:tcPr>
            <w:tcW w:w="1620" w:type="dxa"/>
            <w:vAlign w:val="bottom"/>
          </w:tcPr>
          <w:p>
            <w:pPr>
              <w:spacing w:after="0"/>
              <w:rPr>
                <w:sz w:val="22"/>
                <w:szCs w:val="22"/>
                <w:color w:val="auto"/>
              </w:rPr>
            </w:pPr>
          </w:p>
        </w:tc>
      </w:tr>
      <w:tr>
        <w:trPr>
          <w:trHeight w:val="51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Senior Vice President, Corporate Controller, and</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25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Chief Accounting Officer</w:t>
            </w:r>
          </w:p>
        </w:tc>
        <w:tc>
          <w:tcPr>
            <w:tcW w:w="1620" w:type="dxa"/>
            <w:vAlign w:val="bottom"/>
          </w:tcPr>
          <w:p>
            <w:pPr>
              <w:spacing w:after="0"/>
              <w:rPr>
                <w:sz w:val="22"/>
                <w:szCs w:val="22"/>
                <w:color w:val="auto"/>
              </w:rPr>
            </w:pPr>
          </w:p>
        </w:tc>
      </w:tr>
      <w:tr>
        <w:trPr>
          <w:trHeight w:val="28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(Principal Accounting Officer)</w:t>
            </w:r>
          </w:p>
        </w:tc>
        <w:tc>
          <w:tcPr>
            <w:tcW w:w="1620" w:type="dxa"/>
            <w:vAlign w:val="bottom"/>
          </w:tcPr>
          <w:p>
            <w:pPr>
              <w:spacing w:after="0"/>
              <w:rPr>
                <w:sz w:val="24"/>
                <w:szCs w:val="24"/>
                <w:color w:val="auto"/>
              </w:rPr>
            </w:pPr>
          </w:p>
        </w:tc>
      </w:tr>
      <w:tr>
        <w:trPr>
          <w:trHeight w:val="57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4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4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7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5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5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7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5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5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5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r>
        <w:trPr>
          <w:trHeight w:val="84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7"/>
              </w:rPr>
              <w:t>February 13, 2026</w:t>
            </w:r>
          </w:p>
        </w:tc>
      </w:tr>
    </w:tbl>
    <w:p>
      <w:pPr>
        <w:spacing w:after="0" w:line="473" w:lineRule="exact"/>
        <w:rPr>
          <w:sz w:val="20"/>
          <w:szCs w:val="20"/>
          <w:color w:val="auto"/>
        </w:rPr>
      </w:pPr>
    </w:p>
    <w:p>
      <w:pPr>
        <w:sectPr>
          <w:pgSz w:w="11880" w:h="15480" w:orient="portrait"/>
          <w:cols w:equalWidth="0" w:num="2">
            <w:col w:w="3320" w:space="720"/>
            <w:col w:w="5760"/>
          </w:cols>
          <w:pgMar w:left="880" w:top="679"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231F20"/>
        </w:rPr>
        <w:t>101</w:t>
      </w:r>
    </w:p>
    <w:p>
      <w:pPr>
        <w:sectPr>
          <w:pgSz w:w="11880" w:h="15480" w:orient="portrait"/>
          <w:cols w:equalWidth="0" w:num="1">
            <w:col w:w="9800"/>
          </w:cols>
          <w:pgMar w:left="880" w:top="679" w:right="1200"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231F20"/>
        </w:rPr>
        <w:t>[THIS PAGE INTENTIONALLY LEFT BLANK]</w:t>
      </w:r>
    </w:p>
    <w:p>
      <w:pPr>
        <w:sectPr>
          <w:pgSz w:w="11880" w:h="15480" w:orient="portrait"/>
          <w:cols w:equalWidth="0" w:num="1">
            <w:col w:w="9000"/>
          </w:cols>
          <w:pgMar w:left="1440" w:top="1440"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231F20"/>
        </w:rPr>
        <w:t>[THIS PAGE INTENTIONALLY LEFT BLANK]</w:t>
      </w:r>
    </w:p>
    <w:p>
      <w:pPr>
        <w:sectPr>
          <w:pgSz w:w="11880" w:h="15480" w:orient="portrait"/>
          <w:cols w:equalWidth="0" w:num="1">
            <w:col w:w="9000"/>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14" w:name="page115"/>
    <w:bookmarkEnd w:id="114"/>
    <w:p>
      <w:pPr>
        <w:spacing w:after="0"/>
        <w:rPr>
          <w:sz w:val="20"/>
          <w:szCs w:val="20"/>
          <w:color w:val="auto"/>
        </w:rPr>
      </w:pPr>
      <w:r>
        <w:rPr>
          <w:rFonts w:ascii="Arial" w:cs="Arial" w:eastAsia="Arial" w:hAnsi="Arial"/>
          <w:sz w:val="32"/>
          <w:szCs w:val="32"/>
          <w:b w:val="1"/>
          <w:bCs w:val="1"/>
          <w:color w:val="000E1E"/>
        </w:rPr>
        <w:t xml:space="preserve">Non-GAAP Reconciliations </w:t>
      </w:r>
      <w:r>
        <w:rPr>
          <w:rFonts w:ascii="Arial" w:cs="Arial" w:eastAsia="Arial" w:hAnsi="Arial"/>
          <w:sz w:val="18"/>
          <w:szCs w:val="18"/>
          <w:b w:val="1"/>
          <w:bCs w:val="1"/>
          <w:color w:val="4C7998"/>
        </w:rPr>
        <w:t>(In millions, except for per share data and ratios)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Pr>
          <w:p>
            <w:pPr>
              <w:spacing w:after="0"/>
              <w:rPr>
                <w:sz w:val="20"/>
                <w:szCs w:val="20"/>
                <w:color w:val="auto"/>
              </w:rPr>
            </w:pPr>
            <w:r>
              <w:rPr>
                <w:rFonts w:ascii="Arial" w:cs="Arial" w:eastAsia="Arial" w:hAnsi="Arial"/>
                <w:sz w:val="20"/>
                <w:szCs w:val="20"/>
                <w:b w:val="1"/>
                <w:bCs w:val="1"/>
                <w:color w:val="4E758C"/>
              </w:rPr>
              <w:t>ADJUSTED EBITDA:</w:t>
            </w:r>
          </w:p>
        </w:tc>
        <w:tc>
          <w:tcPr>
            <w:tcW w:w="1000" w:type="dxa"/>
            <w:vAlign w:val="bottom"/>
          </w:tcPr>
          <w:p>
            <w:pPr>
              <w:jc w:val="right"/>
              <w:ind w:right="145"/>
              <w:spacing w:after="0"/>
              <w:rPr>
                <w:sz w:val="20"/>
                <w:szCs w:val="20"/>
                <w:color w:val="auto"/>
              </w:rPr>
            </w:pPr>
            <w:r>
              <w:rPr>
                <w:rFonts w:ascii="Arial" w:cs="Arial" w:eastAsia="Arial" w:hAnsi="Arial"/>
                <w:sz w:val="20"/>
                <w:szCs w:val="20"/>
                <w:b w:val="1"/>
                <w:bCs w:val="1"/>
                <w:color w:val="4C7998"/>
              </w:rPr>
              <w:t>2021</w:t>
            </w:r>
          </w:p>
        </w:tc>
        <w:tc>
          <w:tcPr>
            <w:tcW w:w="1040" w:type="dxa"/>
            <w:vAlign w:val="bottom"/>
          </w:tcPr>
          <w:p>
            <w:pPr>
              <w:jc w:val="right"/>
              <w:ind w:right="145"/>
              <w:spacing w:after="0"/>
              <w:rPr>
                <w:sz w:val="20"/>
                <w:szCs w:val="20"/>
                <w:color w:val="auto"/>
              </w:rPr>
            </w:pPr>
            <w:r>
              <w:rPr>
                <w:rFonts w:ascii="Arial" w:cs="Arial" w:eastAsia="Arial" w:hAnsi="Arial"/>
                <w:sz w:val="20"/>
                <w:szCs w:val="20"/>
                <w:b w:val="1"/>
                <w:bCs w:val="1"/>
                <w:color w:val="4C7998"/>
              </w:rPr>
              <w:t>2022</w:t>
            </w:r>
          </w:p>
        </w:tc>
        <w:tc>
          <w:tcPr>
            <w:tcW w:w="1060" w:type="dxa"/>
            <w:vAlign w:val="bottom"/>
          </w:tcPr>
          <w:p>
            <w:pPr>
              <w:jc w:val="right"/>
              <w:ind w:right="145"/>
              <w:spacing w:after="0"/>
              <w:rPr>
                <w:sz w:val="20"/>
                <w:szCs w:val="20"/>
                <w:color w:val="auto"/>
              </w:rPr>
            </w:pPr>
            <w:r>
              <w:rPr>
                <w:rFonts w:ascii="Arial" w:cs="Arial" w:eastAsia="Arial" w:hAnsi="Arial"/>
                <w:sz w:val="20"/>
                <w:szCs w:val="20"/>
                <w:b w:val="1"/>
                <w:bCs w:val="1"/>
                <w:color w:val="4C7998"/>
              </w:rPr>
              <w:t>2023</w:t>
            </w:r>
          </w:p>
        </w:tc>
        <w:tc>
          <w:tcPr>
            <w:tcW w:w="980" w:type="dxa"/>
            <w:vAlign w:val="bottom"/>
          </w:tcPr>
          <w:p>
            <w:pPr>
              <w:jc w:val="right"/>
              <w:ind w:right="105"/>
              <w:spacing w:after="0"/>
              <w:rPr>
                <w:sz w:val="20"/>
                <w:szCs w:val="20"/>
                <w:color w:val="auto"/>
              </w:rPr>
            </w:pPr>
            <w:r>
              <w:rPr>
                <w:rFonts w:ascii="Arial" w:cs="Arial" w:eastAsia="Arial" w:hAnsi="Arial"/>
                <w:sz w:val="20"/>
                <w:szCs w:val="20"/>
                <w:b w:val="1"/>
                <w:bCs w:val="1"/>
                <w:color w:val="4C7998"/>
              </w:rPr>
              <w:t>2024</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4C7998"/>
              </w:rPr>
              <w:t>2025</w:t>
            </w:r>
          </w:p>
        </w:tc>
        <w:tc>
          <w:tcPr>
            <w:tcW w:w="20" w:type="dxa"/>
            <w:vAlign w:val="bottom"/>
          </w:tcPr>
          <w:p>
            <w:pPr>
              <w:spacing w:after="0"/>
              <w:rPr>
                <w:sz w:val="21"/>
                <w:szCs w:val="21"/>
                <w:color w:val="auto"/>
              </w:rPr>
            </w:pPr>
          </w:p>
        </w:tc>
      </w:tr>
      <w:tr>
        <w:trPr>
          <w:trHeight w:val="258"/>
        </w:trPr>
        <w:tc>
          <w:tcPr>
            <w:tcW w:w="4920" w:type="dxa"/>
            <w:vAlign w:val="bottom"/>
          </w:tcPr>
          <w:p>
            <w:pPr>
              <w:spacing w:after="0"/>
              <w:rPr>
                <w:sz w:val="20"/>
                <w:szCs w:val="20"/>
                <w:color w:val="auto"/>
              </w:rPr>
            </w:pPr>
            <w:r>
              <w:rPr>
                <w:rFonts w:ascii="Arial" w:cs="Arial" w:eastAsia="Arial" w:hAnsi="Arial"/>
                <w:sz w:val="19"/>
                <w:szCs w:val="19"/>
                <w:b w:val="1"/>
                <w:bCs w:val="1"/>
                <w:color w:val="231F20"/>
              </w:rPr>
              <w:t>Income from operations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$802</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$1,438</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231F20"/>
              </w:rPr>
              <w:t>$1,406</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$1,223</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$1,233</w:t>
            </w:r>
          </w:p>
        </w:tc>
        <w:tc>
          <w:tcPr>
            <w:tcW w:w="2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Arial" w:cs="Arial" w:eastAsia="Arial" w:hAnsi="Arial"/>
                <w:sz w:val="19"/>
                <w:szCs w:val="19"/>
                <w:b w:val="1"/>
                <w:bCs w:val="1"/>
                <w:color w:val="231F20"/>
              </w:rPr>
              <w:t>Digital transformation costs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36</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25</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35</w:t>
            </w:r>
          </w:p>
        </w:tc>
        <w:tc>
          <w:tcPr>
            <w:tcW w:w="20" w:type="dxa"/>
            <w:vAlign w:val="bottom"/>
          </w:tcPr>
          <w:p>
            <w:pPr>
              <w:spacing w:after="0"/>
              <w:rPr>
                <w:sz w:val="22"/>
                <w:szCs w:val="22"/>
                <w:color w:val="auto"/>
              </w:rPr>
            </w:pPr>
          </w:p>
        </w:tc>
      </w:tr>
      <w:tr>
        <w:trPr>
          <w:trHeight w:val="260"/>
        </w:trPr>
        <w:tc>
          <w:tcPr>
            <w:tcW w:w="4920" w:type="dxa"/>
            <w:vAlign w:val="bottom"/>
          </w:tcPr>
          <w:p>
            <w:pPr>
              <w:spacing w:after="0"/>
              <w:rPr>
                <w:sz w:val="20"/>
                <w:szCs w:val="20"/>
                <w:color w:val="auto"/>
              </w:rPr>
            </w:pPr>
            <w:r>
              <w:rPr>
                <w:rFonts w:ascii="Arial" w:cs="Arial" w:eastAsia="Arial" w:hAnsi="Arial"/>
                <w:sz w:val="19"/>
                <w:szCs w:val="19"/>
                <w:b w:val="1"/>
                <w:bCs w:val="1"/>
                <w:color w:val="231F20"/>
              </w:rPr>
              <w:t>Restructuring costs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17</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12</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r>
      <w:tr>
        <w:trPr>
          <w:trHeight w:val="260"/>
        </w:trPr>
        <w:tc>
          <w:tcPr>
            <w:tcW w:w="4920" w:type="dxa"/>
            <w:vAlign w:val="bottom"/>
          </w:tcPr>
          <w:p>
            <w:pPr>
              <w:spacing w:after="0"/>
              <w:rPr>
                <w:sz w:val="20"/>
                <w:szCs w:val="20"/>
                <w:color w:val="auto"/>
              </w:rPr>
            </w:pPr>
            <w:r>
              <w:rPr>
                <w:rFonts w:ascii="Arial" w:cs="Arial" w:eastAsia="Arial" w:hAnsi="Arial"/>
                <w:sz w:val="19"/>
                <w:szCs w:val="19"/>
                <w:b w:val="1"/>
                <w:bCs w:val="1"/>
                <w:color w:val="231F20"/>
              </w:rPr>
              <w:t>Loss on abandonment of assets</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25"/>
              <w:spacing w:after="0"/>
              <w:rPr>
                <w:sz w:val="20"/>
                <w:szCs w:val="20"/>
                <w:color w:val="auto"/>
              </w:rPr>
            </w:pPr>
            <w:r>
              <w:rPr>
                <w:rFonts w:ascii="Arial" w:cs="Arial" w:eastAsia="Arial" w:hAnsi="Arial"/>
                <w:sz w:val="19"/>
                <w:szCs w:val="19"/>
                <w:b w:val="1"/>
                <w:bCs w:val="1"/>
                <w:color w:val="231F20"/>
              </w:rPr>
              <w:t>18</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r>
      <w:tr>
        <w:trPr>
          <w:trHeight w:val="260"/>
        </w:trPr>
        <w:tc>
          <w:tcPr>
            <w:tcW w:w="4920" w:type="dxa"/>
            <w:vAlign w:val="bottom"/>
          </w:tcPr>
          <w:p>
            <w:pPr>
              <w:spacing w:after="0"/>
              <w:rPr>
                <w:sz w:val="20"/>
                <w:szCs w:val="20"/>
                <w:color w:val="auto"/>
              </w:rPr>
            </w:pPr>
            <w:r>
              <w:rPr>
                <w:rFonts w:ascii="Arial" w:cs="Arial" w:eastAsia="Arial" w:hAnsi="Arial"/>
                <w:sz w:val="19"/>
                <w:szCs w:val="19"/>
                <w:b w:val="1"/>
                <w:bCs w:val="1"/>
                <w:color w:val="231F20"/>
              </w:rPr>
              <w:t>Excise taxes on excess pension plan assets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45"/>
              <w:spacing w:after="0"/>
              <w:rPr>
                <w:sz w:val="20"/>
                <w:szCs w:val="20"/>
                <w:color w:val="auto"/>
              </w:rPr>
            </w:pPr>
            <w:r>
              <w:rPr>
                <w:rFonts w:ascii="Arial" w:cs="Arial" w:eastAsia="Arial" w:hAnsi="Arial"/>
                <w:sz w:val="19"/>
                <w:szCs w:val="19"/>
                <w:b w:val="1"/>
                <w:bCs w:val="1"/>
                <w:color w:val="231F20"/>
              </w:rPr>
              <w:t>5</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r>
      <w:tr>
        <w:trPr>
          <w:trHeight w:val="260"/>
        </w:trPr>
        <w:tc>
          <w:tcPr>
            <w:tcW w:w="4920" w:type="dxa"/>
            <w:vAlign w:val="bottom"/>
          </w:tcPr>
          <w:p>
            <w:pPr>
              <w:spacing w:after="0"/>
              <w:rPr>
                <w:sz w:val="20"/>
                <w:szCs w:val="20"/>
                <w:color w:val="auto"/>
              </w:rPr>
            </w:pPr>
            <w:r>
              <w:rPr>
                <w:rFonts w:ascii="Arial" w:cs="Arial" w:eastAsia="Arial" w:hAnsi="Arial"/>
                <w:sz w:val="19"/>
                <w:szCs w:val="19"/>
                <w:b w:val="1"/>
                <w:bCs w:val="1"/>
                <w:color w:val="231F20"/>
              </w:rPr>
              <w:t>Merger-related and integration costs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158</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67</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231F20"/>
              </w:rPr>
              <w:t>19</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r>
      <w:tr>
        <w:trPr>
          <w:trHeight w:val="261"/>
        </w:trPr>
        <w:tc>
          <w:tcPr>
            <w:tcW w:w="4920" w:type="dxa"/>
            <w:vAlign w:val="bottom"/>
          </w:tcPr>
          <w:p>
            <w:pPr>
              <w:spacing w:after="0"/>
              <w:rPr>
                <w:sz w:val="20"/>
                <w:szCs w:val="20"/>
                <w:color w:val="auto"/>
              </w:rPr>
            </w:pPr>
            <w:r>
              <w:rPr>
                <w:rFonts w:ascii="Arial" w:cs="Arial" w:eastAsia="Arial" w:hAnsi="Arial"/>
                <w:sz w:val="19"/>
                <w:szCs w:val="19"/>
                <w:b w:val="1"/>
                <w:bCs w:val="1"/>
                <w:color w:val="231F20"/>
              </w:rPr>
              <w:t>Accelerated trademark amortization</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32</w:t>
            </w:r>
          </w:p>
        </w:tc>
        <w:tc>
          <w:tcPr>
            <w:tcW w:w="1040" w:type="dxa"/>
            <w:vAlign w:val="bottom"/>
          </w:tcPr>
          <w:p>
            <w:pPr>
              <w:jc w:val="right"/>
              <w:ind w:right="165"/>
              <w:spacing w:after="0"/>
              <w:rPr>
                <w:sz w:val="20"/>
                <w:szCs w:val="20"/>
                <w:color w:val="auto"/>
              </w:rPr>
            </w:pPr>
            <w:r>
              <w:rPr>
                <w:rFonts w:ascii="Arial" w:cs="Arial" w:eastAsia="Arial" w:hAnsi="Arial"/>
                <w:sz w:val="19"/>
                <w:szCs w:val="19"/>
                <w:b w:val="1"/>
                <w:bCs w:val="1"/>
                <w:color w:val="231F20"/>
              </w:rPr>
              <w:t>10</w:t>
            </w:r>
          </w:p>
        </w:tc>
        <w:tc>
          <w:tcPr>
            <w:tcW w:w="1060" w:type="dxa"/>
            <w:vAlign w:val="bottom"/>
          </w:tcPr>
          <w:p>
            <w:pPr>
              <w:jc w:val="right"/>
              <w:ind w:right="185"/>
              <w:spacing w:after="0"/>
              <w:rPr>
                <w:sz w:val="20"/>
                <w:szCs w:val="20"/>
                <w:color w:val="auto"/>
              </w:rPr>
            </w:pPr>
            <w:r>
              <w:rPr>
                <w:rFonts w:ascii="Arial" w:cs="Arial" w:eastAsia="Arial" w:hAnsi="Arial"/>
                <w:sz w:val="19"/>
                <w:szCs w:val="19"/>
                <w:b w:val="1"/>
                <w:bCs w:val="1"/>
                <w:color w:val="231F20"/>
              </w:rPr>
              <w:t>2</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r>
      <w:tr>
        <w:trPr>
          <w:trHeight w:val="259"/>
        </w:trPr>
        <w:tc>
          <w:tcPr>
            <w:tcW w:w="4920" w:type="dxa"/>
            <w:vAlign w:val="bottom"/>
          </w:tcPr>
          <w:p>
            <w:pPr>
              <w:spacing w:after="0"/>
              <w:rPr>
                <w:sz w:val="20"/>
                <w:szCs w:val="20"/>
                <w:color w:val="auto"/>
              </w:rPr>
            </w:pPr>
            <w:r>
              <w:rPr>
                <w:rFonts w:ascii="Arial" w:cs="Arial" w:eastAsia="Arial" w:hAnsi="Arial"/>
                <w:sz w:val="19"/>
                <w:szCs w:val="19"/>
                <w:b w:val="1"/>
                <w:bCs w:val="1"/>
                <w:color w:val="231F20"/>
              </w:rPr>
              <w:t>Net gain on divestitures</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(9)</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r>
      <w:tr>
        <w:trPr>
          <w:trHeight w:val="39"/>
        </w:trPr>
        <w:tc>
          <w:tcPr>
            <w:tcW w:w="4920" w:type="dxa"/>
            <w:vAlign w:val="bottom"/>
            <w:tcBorders>
              <w:bottom w:val="single" w:sz="8" w:color="4C7998"/>
            </w:tcBorders>
          </w:tcPr>
          <w:p>
            <w:pPr>
              <w:spacing w:after="0"/>
              <w:rPr>
                <w:sz w:val="3"/>
                <w:szCs w:val="3"/>
                <w:color w:val="auto"/>
              </w:rPr>
            </w:pPr>
          </w:p>
        </w:tc>
        <w:tc>
          <w:tcPr>
            <w:tcW w:w="1000" w:type="dxa"/>
            <w:vAlign w:val="bottom"/>
            <w:tcBorders>
              <w:bottom w:val="single" w:sz="8" w:color="4C7998"/>
            </w:tcBorders>
          </w:tcPr>
          <w:p>
            <w:pPr>
              <w:spacing w:after="0"/>
              <w:rPr>
                <w:sz w:val="3"/>
                <w:szCs w:val="3"/>
                <w:color w:val="auto"/>
              </w:rPr>
            </w:pPr>
          </w:p>
        </w:tc>
        <w:tc>
          <w:tcPr>
            <w:tcW w:w="1040" w:type="dxa"/>
            <w:vAlign w:val="bottom"/>
            <w:tcBorders>
              <w:bottom w:val="single" w:sz="8" w:color="4C7998"/>
            </w:tcBorders>
          </w:tcPr>
          <w:p>
            <w:pPr>
              <w:spacing w:after="0"/>
              <w:rPr>
                <w:sz w:val="3"/>
                <w:szCs w:val="3"/>
                <w:color w:val="auto"/>
              </w:rPr>
            </w:pPr>
          </w:p>
        </w:tc>
        <w:tc>
          <w:tcPr>
            <w:tcW w:w="1060" w:type="dxa"/>
            <w:vAlign w:val="bottom"/>
            <w:tcBorders>
              <w:bottom w:val="single" w:sz="8" w:color="4C7998"/>
            </w:tcBorders>
          </w:tcPr>
          <w:p>
            <w:pPr>
              <w:spacing w:after="0"/>
              <w:rPr>
                <w:sz w:val="3"/>
                <w:szCs w:val="3"/>
                <w:color w:val="auto"/>
              </w:rPr>
            </w:pPr>
          </w:p>
        </w:tc>
        <w:tc>
          <w:tcPr>
            <w:tcW w:w="980" w:type="dxa"/>
            <w:vAlign w:val="bottom"/>
            <w:tcBorders>
              <w:bottom w:val="single" w:sz="8" w:color="4C7998"/>
            </w:tcBorders>
          </w:tcPr>
          <w:p>
            <w:pPr>
              <w:spacing w:after="0"/>
              <w:rPr>
                <w:sz w:val="3"/>
                <w:szCs w:val="3"/>
                <w:color w:val="auto"/>
              </w:rPr>
            </w:pPr>
          </w:p>
        </w:tc>
        <w:tc>
          <w:tcPr>
            <w:tcW w:w="720" w:type="dxa"/>
            <w:vAlign w:val="bottom"/>
            <w:tcBorders>
              <w:bottom w:val="single" w:sz="8" w:color="4C7998"/>
            </w:tcBorders>
          </w:tcPr>
          <w:p>
            <w:pPr>
              <w:spacing w:after="0"/>
              <w:rPr>
                <w:sz w:val="3"/>
                <w:szCs w:val="3"/>
                <w:color w:val="auto"/>
              </w:rPr>
            </w:pPr>
          </w:p>
        </w:tc>
        <w:tc>
          <w:tcPr>
            <w:tcW w:w="20" w:type="dxa"/>
            <w:vAlign w:val="bottom"/>
          </w:tcPr>
          <w:p>
            <w:pPr>
              <w:spacing w:after="0"/>
              <w:rPr>
                <w:sz w:val="3"/>
                <w:szCs w:val="3"/>
                <w:color w:val="auto"/>
              </w:rPr>
            </w:pPr>
          </w:p>
        </w:tc>
      </w:tr>
      <w:tr>
        <w:trPr>
          <w:trHeight w:val="215"/>
        </w:trPr>
        <w:tc>
          <w:tcPr>
            <w:tcW w:w="4920" w:type="dxa"/>
            <w:vAlign w:val="bottom"/>
          </w:tcPr>
          <w:p>
            <w:pPr>
              <w:spacing w:after="0" w:line="202" w:lineRule="exact"/>
              <w:rPr>
                <w:sz w:val="20"/>
                <w:szCs w:val="20"/>
                <w:color w:val="auto"/>
              </w:rPr>
            </w:pPr>
            <w:r>
              <w:rPr>
                <w:rFonts w:ascii="Arial" w:cs="Arial" w:eastAsia="Arial" w:hAnsi="Arial"/>
                <w:sz w:val="19"/>
                <w:szCs w:val="19"/>
                <w:b w:val="1"/>
                <w:bCs w:val="1"/>
                <w:color w:val="231F20"/>
              </w:rPr>
              <w:t>Adjusted income from operations</w:t>
            </w:r>
          </w:p>
        </w:tc>
        <w:tc>
          <w:tcPr>
            <w:tcW w:w="1000" w:type="dxa"/>
            <w:vAlign w:val="bottom"/>
          </w:tcPr>
          <w:p>
            <w:pPr>
              <w:jc w:val="right"/>
              <w:ind w:right="145"/>
              <w:spacing w:after="0" w:line="214" w:lineRule="exact"/>
              <w:rPr>
                <w:sz w:val="20"/>
                <w:szCs w:val="20"/>
                <w:color w:val="auto"/>
              </w:rPr>
            </w:pPr>
            <w:r>
              <w:rPr>
                <w:rFonts w:ascii="Arial" w:cs="Arial" w:eastAsia="Arial" w:hAnsi="Arial"/>
                <w:sz w:val="19"/>
                <w:szCs w:val="19"/>
                <w:b w:val="1"/>
                <w:bCs w:val="1"/>
                <w:color w:val="231F20"/>
              </w:rPr>
              <w:t>983</w:t>
            </w:r>
          </w:p>
        </w:tc>
        <w:tc>
          <w:tcPr>
            <w:tcW w:w="1040" w:type="dxa"/>
            <w:vAlign w:val="bottom"/>
          </w:tcPr>
          <w:p>
            <w:pPr>
              <w:jc w:val="right"/>
              <w:ind w:right="145"/>
              <w:spacing w:after="0" w:line="214" w:lineRule="exact"/>
              <w:rPr>
                <w:sz w:val="20"/>
                <w:szCs w:val="20"/>
                <w:color w:val="auto"/>
              </w:rPr>
            </w:pPr>
            <w:r>
              <w:rPr>
                <w:rFonts w:ascii="Arial" w:cs="Arial" w:eastAsia="Arial" w:hAnsi="Arial"/>
                <w:sz w:val="19"/>
                <w:szCs w:val="19"/>
                <w:b w:val="1"/>
                <w:bCs w:val="1"/>
                <w:color w:val="231F20"/>
              </w:rPr>
              <w:t>1,515</w:t>
            </w:r>
          </w:p>
        </w:tc>
        <w:tc>
          <w:tcPr>
            <w:tcW w:w="1060" w:type="dxa"/>
            <w:vAlign w:val="bottom"/>
          </w:tcPr>
          <w:p>
            <w:pPr>
              <w:jc w:val="right"/>
              <w:ind w:right="165"/>
              <w:spacing w:after="0" w:line="214" w:lineRule="exact"/>
              <w:rPr>
                <w:sz w:val="20"/>
                <w:szCs w:val="20"/>
                <w:color w:val="auto"/>
              </w:rPr>
            </w:pPr>
            <w:r>
              <w:rPr>
                <w:rFonts w:ascii="Arial" w:cs="Arial" w:eastAsia="Arial" w:hAnsi="Arial"/>
                <w:sz w:val="19"/>
                <w:szCs w:val="19"/>
                <w:b w:val="1"/>
                <w:bCs w:val="1"/>
                <w:color w:val="231F20"/>
              </w:rPr>
              <w:t>1,480</w:t>
            </w:r>
          </w:p>
        </w:tc>
        <w:tc>
          <w:tcPr>
            <w:tcW w:w="980" w:type="dxa"/>
            <w:vAlign w:val="bottom"/>
          </w:tcPr>
          <w:p>
            <w:pPr>
              <w:jc w:val="right"/>
              <w:ind w:right="105"/>
              <w:spacing w:after="0" w:line="214" w:lineRule="exact"/>
              <w:rPr>
                <w:sz w:val="20"/>
                <w:szCs w:val="20"/>
                <w:color w:val="auto"/>
              </w:rPr>
            </w:pPr>
            <w:r>
              <w:rPr>
                <w:rFonts w:ascii="Arial" w:cs="Arial" w:eastAsia="Arial" w:hAnsi="Arial"/>
                <w:sz w:val="19"/>
                <w:szCs w:val="19"/>
                <w:b w:val="1"/>
                <w:bCs w:val="1"/>
                <w:color w:val="231F20"/>
              </w:rPr>
              <w:t>1,283</w:t>
            </w:r>
          </w:p>
        </w:tc>
        <w:tc>
          <w:tcPr>
            <w:tcW w:w="740" w:type="dxa"/>
            <w:vAlign w:val="bottom"/>
            <w:gridSpan w:val="2"/>
          </w:tcPr>
          <w:p>
            <w:pPr>
              <w:jc w:val="right"/>
              <w:spacing w:after="0" w:line="214" w:lineRule="exact"/>
              <w:rPr>
                <w:sz w:val="20"/>
                <w:szCs w:val="20"/>
                <w:color w:val="auto"/>
              </w:rPr>
            </w:pPr>
            <w:r>
              <w:rPr>
                <w:rFonts w:ascii="Arial" w:cs="Arial" w:eastAsia="Arial" w:hAnsi="Arial"/>
                <w:sz w:val="19"/>
                <w:szCs w:val="19"/>
                <w:b w:val="1"/>
                <w:bCs w:val="1"/>
                <w:color w:val="231F20"/>
              </w:rPr>
              <w:t>$1,268</w:t>
            </w:r>
          </w:p>
        </w:tc>
      </w:tr>
      <w:tr>
        <w:trPr>
          <w:trHeight w:val="232"/>
        </w:trPr>
        <w:tc>
          <w:tcPr>
            <w:tcW w:w="4920" w:type="dxa"/>
            <w:vAlign w:val="bottom"/>
            <w:tcBorders>
              <w:top w:val="single" w:sz="8" w:color="4C7998"/>
            </w:tcBorders>
          </w:tcPr>
          <w:p>
            <w:pPr>
              <w:spacing w:after="0"/>
              <w:rPr>
                <w:sz w:val="20"/>
                <w:szCs w:val="20"/>
                <w:color w:val="auto"/>
              </w:rPr>
            </w:pPr>
            <w:r>
              <w:rPr>
                <w:rFonts w:ascii="Arial" w:cs="Arial" w:eastAsia="Arial" w:hAnsi="Arial"/>
                <w:sz w:val="19"/>
                <w:szCs w:val="19"/>
                <w:b w:val="1"/>
                <w:bCs w:val="1"/>
                <w:color w:val="231F20"/>
              </w:rPr>
              <w:t>Stock-based compensation expense</w:t>
            </w:r>
          </w:p>
        </w:tc>
        <w:tc>
          <w:tcPr>
            <w:tcW w:w="1000" w:type="dxa"/>
            <w:vAlign w:val="bottom"/>
            <w:tcBorders>
              <w:top w:val="single" w:sz="8" w:color="4C7998"/>
            </w:tcBorders>
          </w:tcPr>
          <w:p>
            <w:pPr>
              <w:jc w:val="right"/>
              <w:ind w:right="165"/>
              <w:spacing w:after="0"/>
              <w:rPr>
                <w:sz w:val="20"/>
                <w:szCs w:val="20"/>
                <w:color w:val="auto"/>
              </w:rPr>
            </w:pPr>
            <w:r>
              <w:rPr>
                <w:rFonts w:ascii="Arial" w:cs="Arial" w:eastAsia="Arial" w:hAnsi="Arial"/>
                <w:sz w:val="19"/>
                <w:szCs w:val="19"/>
                <w:b w:val="1"/>
                <w:bCs w:val="1"/>
                <w:color w:val="231F20"/>
              </w:rPr>
              <w:t>26</w:t>
            </w:r>
          </w:p>
        </w:tc>
        <w:tc>
          <w:tcPr>
            <w:tcW w:w="1040" w:type="dxa"/>
            <w:vAlign w:val="bottom"/>
            <w:tcBorders>
              <w:top w:val="single" w:sz="8" w:color="4C7998"/>
            </w:tcBorders>
          </w:tcPr>
          <w:p>
            <w:pPr>
              <w:jc w:val="right"/>
              <w:ind w:right="165"/>
              <w:spacing w:after="0"/>
              <w:rPr>
                <w:sz w:val="20"/>
                <w:szCs w:val="20"/>
                <w:color w:val="auto"/>
              </w:rPr>
            </w:pPr>
            <w:r>
              <w:rPr>
                <w:rFonts w:ascii="Arial" w:cs="Arial" w:eastAsia="Arial" w:hAnsi="Arial"/>
                <w:sz w:val="19"/>
                <w:szCs w:val="19"/>
                <w:b w:val="1"/>
                <w:bCs w:val="1"/>
                <w:color w:val="231F20"/>
              </w:rPr>
              <w:t>41</w:t>
            </w:r>
          </w:p>
        </w:tc>
        <w:tc>
          <w:tcPr>
            <w:tcW w:w="1060" w:type="dxa"/>
            <w:vAlign w:val="bottom"/>
            <w:tcBorders>
              <w:top w:val="single" w:sz="8" w:color="4C7998"/>
            </w:tcBorders>
          </w:tcPr>
          <w:p>
            <w:pPr>
              <w:jc w:val="right"/>
              <w:ind w:right="165"/>
              <w:spacing w:after="0"/>
              <w:rPr>
                <w:sz w:val="20"/>
                <w:szCs w:val="20"/>
                <w:color w:val="auto"/>
              </w:rPr>
            </w:pPr>
            <w:r>
              <w:rPr>
                <w:rFonts w:ascii="Arial" w:cs="Arial" w:eastAsia="Arial" w:hAnsi="Arial"/>
                <w:sz w:val="19"/>
                <w:szCs w:val="19"/>
                <w:b w:val="1"/>
                <w:bCs w:val="1"/>
                <w:color w:val="231F20"/>
              </w:rPr>
              <w:t>46</w:t>
            </w:r>
          </w:p>
        </w:tc>
        <w:tc>
          <w:tcPr>
            <w:tcW w:w="980" w:type="dxa"/>
            <w:vAlign w:val="bottom"/>
            <w:tcBorders>
              <w:top w:val="single" w:sz="8" w:color="4C7998"/>
            </w:tcBorders>
          </w:tcPr>
          <w:p>
            <w:pPr>
              <w:jc w:val="right"/>
              <w:ind w:right="105"/>
              <w:spacing w:after="0"/>
              <w:rPr>
                <w:sz w:val="20"/>
                <w:szCs w:val="20"/>
                <w:color w:val="auto"/>
              </w:rPr>
            </w:pPr>
            <w:r>
              <w:rPr>
                <w:rFonts w:ascii="Arial" w:cs="Arial" w:eastAsia="Arial" w:hAnsi="Arial"/>
                <w:sz w:val="19"/>
                <w:szCs w:val="19"/>
                <w:b w:val="1"/>
                <w:bCs w:val="1"/>
                <w:color w:val="231F20"/>
              </w:rPr>
              <w:t>29</w:t>
            </w:r>
          </w:p>
        </w:tc>
        <w:tc>
          <w:tcPr>
            <w:tcW w:w="720" w:type="dxa"/>
            <w:vAlign w:val="bottom"/>
            <w:tcBorders>
              <w:top w:val="single" w:sz="8" w:color="4C7998"/>
            </w:tcBorders>
          </w:tcPr>
          <w:p>
            <w:pPr>
              <w:jc w:val="right"/>
              <w:spacing w:after="0"/>
              <w:rPr>
                <w:sz w:val="20"/>
                <w:szCs w:val="20"/>
                <w:color w:val="auto"/>
              </w:rPr>
            </w:pPr>
            <w:r>
              <w:rPr>
                <w:rFonts w:ascii="Arial" w:cs="Arial" w:eastAsia="Arial" w:hAnsi="Arial"/>
                <w:sz w:val="20"/>
                <w:szCs w:val="20"/>
                <w:b w:val="1"/>
                <w:bCs w:val="1"/>
                <w:color w:val="231F20"/>
              </w:rPr>
              <w:t>41</w:t>
            </w:r>
          </w:p>
        </w:tc>
        <w:tc>
          <w:tcPr>
            <w:tcW w:w="20" w:type="dxa"/>
            <w:vAlign w:val="bottom"/>
          </w:tcPr>
          <w:p>
            <w:pPr>
              <w:spacing w:after="0"/>
              <w:rPr>
                <w:sz w:val="20"/>
                <w:szCs w:val="20"/>
                <w:color w:val="auto"/>
              </w:rPr>
            </w:pPr>
          </w:p>
        </w:tc>
      </w:tr>
      <w:tr>
        <w:trPr>
          <w:trHeight w:val="279"/>
        </w:trPr>
        <w:tc>
          <w:tcPr>
            <w:tcW w:w="4920" w:type="dxa"/>
            <w:vAlign w:val="bottom"/>
          </w:tcPr>
          <w:p>
            <w:pPr>
              <w:spacing w:after="0"/>
              <w:rPr>
                <w:sz w:val="20"/>
                <w:szCs w:val="20"/>
                <w:color w:val="auto"/>
              </w:rPr>
            </w:pPr>
            <w:r>
              <w:rPr>
                <w:rFonts w:ascii="Arial" w:cs="Arial" w:eastAsia="Arial" w:hAnsi="Arial"/>
                <w:sz w:val="19"/>
                <w:szCs w:val="19"/>
                <w:b w:val="1"/>
                <w:bCs w:val="1"/>
                <w:color w:val="231F20"/>
              </w:rPr>
              <w:t>Depreciation and amortization</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199</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179</w:t>
            </w:r>
          </w:p>
        </w:tc>
        <w:tc>
          <w:tcPr>
            <w:tcW w:w="1060" w:type="dxa"/>
            <w:vAlign w:val="bottom"/>
          </w:tcPr>
          <w:p>
            <w:pPr>
              <w:jc w:val="right"/>
              <w:ind w:right="125"/>
              <w:spacing w:after="0"/>
              <w:rPr>
                <w:sz w:val="20"/>
                <w:szCs w:val="20"/>
                <w:color w:val="auto"/>
              </w:rPr>
            </w:pPr>
            <w:r>
              <w:rPr>
                <w:rFonts w:ascii="Arial" w:cs="Arial" w:eastAsia="Arial" w:hAnsi="Arial"/>
                <w:sz w:val="19"/>
                <w:szCs w:val="19"/>
                <w:b w:val="1"/>
                <w:bCs w:val="1"/>
                <w:color w:val="231F20"/>
              </w:rPr>
              <w:t>181</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183</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231F20"/>
              </w:rPr>
              <w:t>198</w:t>
            </w:r>
          </w:p>
        </w:tc>
      </w:tr>
      <w:tr>
        <w:trPr>
          <w:trHeight w:val="247"/>
        </w:trPr>
        <w:tc>
          <w:tcPr>
            <w:tcW w:w="4920" w:type="dxa"/>
            <w:vAlign w:val="bottom"/>
          </w:tcPr>
          <w:p>
            <w:pPr>
              <w:spacing w:after="0"/>
              <w:rPr>
                <w:sz w:val="20"/>
                <w:szCs w:val="20"/>
                <w:color w:val="auto"/>
              </w:rPr>
            </w:pPr>
            <w:r>
              <w:rPr>
                <w:rFonts w:ascii="Arial" w:cs="Arial" w:eastAsia="Arial" w:hAnsi="Arial"/>
                <w:sz w:val="19"/>
                <w:szCs w:val="19"/>
                <w:b w:val="1"/>
                <w:bCs w:val="1"/>
                <w:color w:val="231F20"/>
              </w:rPr>
              <w:t>Cloud computing arrangement amortization</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14</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231F20"/>
              </w:rPr>
              <w:t>30</w:t>
            </w:r>
          </w:p>
        </w:tc>
      </w:tr>
      <w:tr>
        <w:trPr>
          <w:trHeight w:val="247"/>
        </w:trPr>
        <w:tc>
          <w:tcPr>
            <w:tcW w:w="4920" w:type="dxa"/>
            <w:vAlign w:val="bottom"/>
          </w:tcPr>
          <w:p>
            <w:pPr>
              <w:spacing w:after="0"/>
              <w:rPr>
                <w:sz w:val="20"/>
                <w:szCs w:val="20"/>
                <w:color w:val="auto"/>
              </w:rPr>
            </w:pPr>
            <w:r>
              <w:rPr>
                <w:rFonts w:ascii="Arial" w:cs="Arial" w:eastAsia="Arial" w:hAnsi="Arial"/>
                <w:sz w:val="19"/>
                <w:szCs w:val="19"/>
                <w:b w:val="1"/>
                <w:bCs w:val="1"/>
                <w:color w:val="231F20"/>
              </w:rPr>
              <w:t>Less: accelerated trademark amortization</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(32)</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(10)</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(2)</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231F20"/>
              </w:rPr>
              <w:t>–</w:t>
            </w:r>
          </w:p>
        </w:tc>
      </w:tr>
      <w:tr>
        <w:trPr>
          <w:trHeight w:val="42"/>
        </w:trPr>
        <w:tc>
          <w:tcPr>
            <w:tcW w:w="4920" w:type="dxa"/>
            <w:vAlign w:val="bottom"/>
            <w:tcBorders>
              <w:bottom w:val="single" w:sz="8" w:color="4C7998"/>
            </w:tcBorders>
          </w:tcPr>
          <w:p>
            <w:pPr>
              <w:spacing w:after="0"/>
              <w:rPr>
                <w:sz w:val="3"/>
                <w:szCs w:val="3"/>
                <w:color w:val="auto"/>
              </w:rPr>
            </w:pPr>
          </w:p>
        </w:tc>
        <w:tc>
          <w:tcPr>
            <w:tcW w:w="1000" w:type="dxa"/>
            <w:vAlign w:val="bottom"/>
            <w:tcBorders>
              <w:bottom w:val="single" w:sz="8" w:color="4C7998"/>
            </w:tcBorders>
          </w:tcPr>
          <w:p>
            <w:pPr>
              <w:spacing w:after="0"/>
              <w:rPr>
                <w:sz w:val="3"/>
                <w:szCs w:val="3"/>
                <w:color w:val="auto"/>
              </w:rPr>
            </w:pPr>
          </w:p>
        </w:tc>
        <w:tc>
          <w:tcPr>
            <w:tcW w:w="1040" w:type="dxa"/>
            <w:vAlign w:val="bottom"/>
            <w:tcBorders>
              <w:bottom w:val="single" w:sz="8" w:color="4C7998"/>
            </w:tcBorders>
          </w:tcPr>
          <w:p>
            <w:pPr>
              <w:spacing w:after="0"/>
              <w:rPr>
                <w:sz w:val="3"/>
                <w:szCs w:val="3"/>
                <w:color w:val="auto"/>
              </w:rPr>
            </w:pPr>
          </w:p>
        </w:tc>
        <w:tc>
          <w:tcPr>
            <w:tcW w:w="1060" w:type="dxa"/>
            <w:vAlign w:val="bottom"/>
            <w:tcBorders>
              <w:bottom w:val="single" w:sz="8" w:color="4C7998"/>
            </w:tcBorders>
          </w:tcPr>
          <w:p>
            <w:pPr>
              <w:spacing w:after="0"/>
              <w:rPr>
                <w:sz w:val="3"/>
                <w:szCs w:val="3"/>
                <w:color w:val="auto"/>
              </w:rPr>
            </w:pPr>
          </w:p>
        </w:tc>
        <w:tc>
          <w:tcPr>
            <w:tcW w:w="980" w:type="dxa"/>
            <w:vAlign w:val="bottom"/>
            <w:tcBorders>
              <w:bottom w:val="single" w:sz="8" w:color="4C7998"/>
            </w:tcBorders>
          </w:tcPr>
          <w:p>
            <w:pPr>
              <w:spacing w:after="0"/>
              <w:rPr>
                <w:sz w:val="3"/>
                <w:szCs w:val="3"/>
                <w:color w:val="auto"/>
              </w:rPr>
            </w:pPr>
          </w:p>
        </w:tc>
        <w:tc>
          <w:tcPr>
            <w:tcW w:w="720" w:type="dxa"/>
            <w:vAlign w:val="bottom"/>
            <w:tcBorders>
              <w:bottom w:val="single" w:sz="8" w:color="4C7998"/>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4920" w:type="dxa"/>
            <w:vAlign w:val="bottom"/>
            <w:tcBorders>
              <w:bottom w:val="single" w:sz="8" w:color="4C7998"/>
            </w:tcBorders>
          </w:tcPr>
          <w:p>
            <w:pPr>
              <w:spacing w:after="0" w:line="198" w:lineRule="exact"/>
              <w:rPr>
                <w:sz w:val="20"/>
                <w:szCs w:val="20"/>
                <w:color w:val="auto"/>
              </w:rPr>
            </w:pPr>
            <w:r>
              <w:rPr>
                <w:rFonts w:ascii="Arial" w:cs="Arial" w:eastAsia="Arial" w:hAnsi="Arial"/>
                <w:sz w:val="19"/>
                <w:szCs w:val="19"/>
                <w:b w:val="1"/>
                <w:bCs w:val="1"/>
                <w:color w:val="231F20"/>
              </w:rPr>
              <w:t>Adjusted EBITDA</w:t>
            </w:r>
          </w:p>
        </w:tc>
        <w:tc>
          <w:tcPr>
            <w:tcW w:w="1000" w:type="dxa"/>
            <w:vAlign w:val="bottom"/>
            <w:tcBorders>
              <w:bottom w:val="single" w:sz="8" w:color="4C7998"/>
            </w:tcBorders>
          </w:tcPr>
          <w:p>
            <w:pPr>
              <w:jc w:val="right"/>
              <w:ind w:right="165"/>
              <w:spacing w:after="0" w:line="214" w:lineRule="exact"/>
              <w:rPr>
                <w:sz w:val="20"/>
                <w:szCs w:val="20"/>
                <w:color w:val="auto"/>
              </w:rPr>
            </w:pPr>
            <w:r>
              <w:rPr>
                <w:rFonts w:ascii="Arial" w:cs="Arial" w:eastAsia="Arial" w:hAnsi="Arial"/>
                <w:sz w:val="19"/>
                <w:szCs w:val="19"/>
                <w:b w:val="1"/>
                <w:bCs w:val="1"/>
                <w:color w:val="231F20"/>
              </w:rPr>
              <w:t>$1,176</w:t>
            </w:r>
          </w:p>
        </w:tc>
        <w:tc>
          <w:tcPr>
            <w:tcW w:w="1040" w:type="dxa"/>
            <w:vAlign w:val="bottom"/>
            <w:tcBorders>
              <w:bottom w:val="single" w:sz="8" w:color="4C7998"/>
            </w:tcBorders>
          </w:tcPr>
          <w:p>
            <w:pPr>
              <w:jc w:val="right"/>
              <w:ind w:right="145"/>
              <w:spacing w:after="0" w:line="214" w:lineRule="exact"/>
              <w:rPr>
                <w:sz w:val="20"/>
                <w:szCs w:val="20"/>
                <w:color w:val="auto"/>
              </w:rPr>
            </w:pPr>
            <w:r>
              <w:rPr>
                <w:rFonts w:ascii="Arial" w:cs="Arial" w:eastAsia="Arial" w:hAnsi="Arial"/>
                <w:sz w:val="19"/>
                <w:szCs w:val="19"/>
                <w:b w:val="1"/>
                <w:bCs w:val="1"/>
                <w:color w:val="231F20"/>
              </w:rPr>
              <w:t>$1,726</w:t>
            </w:r>
          </w:p>
        </w:tc>
        <w:tc>
          <w:tcPr>
            <w:tcW w:w="1060" w:type="dxa"/>
            <w:vAlign w:val="bottom"/>
            <w:tcBorders>
              <w:bottom w:val="single" w:sz="8" w:color="4C7998"/>
            </w:tcBorders>
          </w:tcPr>
          <w:p>
            <w:pPr>
              <w:jc w:val="right"/>
              <w:ind w:right="145"/>
              <w:spacing w:after="0" w:line="214" w:lineRule="exact"/>
              <w:rPr>
                <w:sz w:val="20"/>
                <w:szCs w:val="20"/>
                <w:color w:val="auto"/>
              </w:rPr>
            </w:pPr>
            <w:r>
              <w:rPr>
                <w:rFonts w:ascii="Arial" w:cs="Arial" w:eastAsia="Arial" w:hAnsi="Arial"/>
                <w:sz w:val="19"/>
                <w:szCs w:val="19"/>
                <w:b w:val="1"/>
                <w:bCs w:val="1"/>
                <w:color w:val="231F20"/>
              </w:rPr>
              <w:t>$1,705</w:t>
            </w:r>
          </w:p>
        </w:tc>
        <w:tc>
          <w:tcPr>
            <w:tcW w:w="980" w:type="dxa"/>
            <w:vAlign w:val="bottom"/>
            <w:tcBorders>
              <w:bottom w:val="single" w:sz="8" w:color="4C7998"/>
            </w:tcBorders>
          </w:tcPr>
          <w:p>
            <w:pPr>
              <w:jc w:val="right"/>
              <w:ind w:right="105"/>
              <w:spacing w:after="0" w:line="214" w:lineRule="exact"/>
              <w:rPr>
                <w:sz w:val="20"/>
                <w:szCs w:val="20"/>
                <w:color w:val="auto"/>
              </w:rPr>
            </w:pPr>
            <w:r>
              <w:rPr>
                <w:rFonts w:ascii="Arial" w:cs="Arial" w:eastAsia="Arial" w:hAnsi="Arial"/>
                <w:sz w:val="19"/>
                <w:szCs w:val="19"/>
                <w:b w:val="1"/>
                <w:bCs w:val="1"/>
                <w:color w:val="231F20"/>
              </w:rPr>
              <w:t>$1,509</w:t>
            </w:r>
          </w:p>
        </w:tc>
        <w:tc>
          <w:tcPr>
            <w:tcW w:w="720" w:type="dxa"/>
            <w:vAlign w:val="bottom"/>
            <w:tcBorders>
              <w:bottom w:val="single" w:sz="8" w:color="4C7998"/>
            </w:tcBorders>
          </w:tcPr>
          <w:p>
            <w:pPr>
              <w:jc w:val="right"/>
              <w:spacing w:after="0" w:line="214" w:lineRule="exact"/>
              <w:rPr>
                <w:sz w:val="20"/>
                <w:szCs w:val="20"/>
                <w:color w:val="auto"/>
              </w:rPr>
            </w:pPr>
            <w:r>
              <w:rPr>
                <w:rFonts w:ascii="Arial" w:cs="Arial" w:eastAsia="Arial" w:hAnsi="Arial"/>
                <w:sz w:val="19"/>
                <w:szCs w:val="19"/>
                <w:b w:val="1"/>
                <w:bCs w:val="1"/>
                <w:color w:val="231F20"/>
              </w:rPr>
              <w:t>$1,537</w:t>
            </w:r>
          </w:p>
        </w:tc>
        <w:tc>
          <w:tcPr>
            <w:tcW w:w="20" w:type="dxa"/>
            <w:vAlign w:val="bottom"/>
          </w:tcPr>
          <w:p>
            <w:pPr>
              <w:spacing w:after="0"/>
              <w:rPr>
                <w:sz w:val="18"/>
                <w:szCs w:val="18"/>
                <w:color w:val="auto"/>
              </w:rPr>
            </w:pPr>
          </w:p>
        </w:tc>
      </w:tr>
      <w:tr>
        <w:trPr>
          <w:trHeight w:val="567"/>
        </w:trPr>
        <w:tc>
          <w:tcPr>
            <w:tcW w:w="6960" w:type="dxa"/>
            <w:vAlign w:val="bottom"/>
            <w:gridSpan w:val="3"/>
          </w:tcPr>
          <w:p>
            <w:pPr>
              <w:spacing w:after="0"/>
              <w:rPr>
                <w:sz w:val="20"/>
                <w:szCs w:val="20"/>
                <w:color w:val="auto"/>
              </w:rPr>
            </w:pPr>
            <w:r>
              <w:rPr>
                <w:rFonts w:ascii="Arial" w:cs="Arial" w:eastAsia="Arial" w:hAnsi="Arial"/>
                <w:sz w:val="20"/>
                <w:szCs w:val="20"/>
                <w:b w:val="1"/>
                <w:bCs w:val="1"/>
                <w:color w:val="4E758C"/>
                <w:w w:val="97"/>
              </w:rPr>
              <w:t>ADJUSTED NET INCOME ATTRIBUTABLE TO COMMON STOCKHOLDERS:</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920" w:type="dxa"/>
            <w:vAlign w:val="bottom"/>
          </w:tcPr>
          <w:p>
            <w:pPr>
              <w:spacing w:after="0"/>
              <w:rPr>
                <w:sz w:val="20"/>
                <w:szCs w:val="20"/>
                <w:color w:val="auto"/>
              </w:rPr>
            </w:pPr>
            <w:r>
              <w:rPr>
                <w:rFonts w:ascii="Arial" w:cs="Arial" w:eastAsia="Arial" w:hAnsi="Arial"/>
                <w:sz w:val="19"/>
                <w:szCs w:val="19"/>
                <w:b w:val="1"/>
                <w:bCs w:val="1"/>
                <w:color w:val="231F20"/>
              </w:rPr>
              <w:t>Net income attributable to common stockholders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$408</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$803</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$708</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$660</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$646</w:t>
            </w:r>
          </w:p>
        </w:tc>
        <w:tc>
          <w:tcPr>
            <w:tcW w:w="20" w:type="dxa"/>
            <w:vAlign w:val="bottom"/>
          </w:tcPr>
          <w:p>
            <w:pPr>
              <w:spacing w:after="0"/>
              <w:rPr>
                <w:sz w:val="22"/>
                <w:szCs w:val="22"/>
                <w:color w:val="auto"/>
              </w:rPr>
            </w:pPr>
          </w:p>
        </w:tc>
      </w:tr>
      <w:tr>
        <w:trPr>
          <w:trHeight w:val="270"/>
        </w:trPr>
        <w:tc>
          <w:tcPr>
            <w:tcW w:w="4920" w:type="dxa"/>
            <w:vAlign w:val="bottom"/>
          </w:tcPr>
          <w:p>
            <w:pPr>
              <w:spacing w:after="0"/>
              <w:rPr>
                <w:sz w:val="20"/>
                <w:szCs w:val="20"/>
                <w:color w:val="auto"/>
              </w:rPr>
            </w:pPr>
            <w:r>
              <w:rPr>
                <w:rFonts w:ascii="Arial" w:cs="Arial" w:eastAsia="Arial" w:hAnsi="Arial"/>
                <w:sz w:val="19"/>
                <w:szCs w:val="19"/>
                <w:b w:val="1"/>
                <w:bCs w:val="1"/>
                <w:color w:val="231F20"/>
              </w:rPr>
              <w:t>Adjustments to income from operations, net of tax</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139</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57</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54</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44</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26</w:t>
            </w:r>
          </w:p>
        </w:tc>
        <w:tc>
          <w:tcPr>
            <w:tcW w:w="20" w:type="dxa"/>
            <w:vAlign w:val="bottom"/>
          </w:tcPr>
          <w:p>
            <w:pPr>
              <w:spacing w:after="0"/>
              <w:rPr>
                <w:sz w:val="23"/>
                <w:szCs w:val="23"/>
                <w:color w:val="auto"/>
              </w:rPr>
            </w:pPr>
          </w:p>
        </w:tc>
      </w:tr>
      <w:tr>
        <w:trPr>
          <w:trHeight w:val="244"/>
        </w:trPr>
        <w:tc>
          <w:tcPr>
            <w:tcW w:w="4920" w:type="dxa"/>
            <w:vAlign w:val="bottom"/>
          </w:tcPr>
          <w:p>
            <w:pPr>
              <w:spacing w:after="0"/>
              <w:rPr>
                <w:sz w:val="20"/>
                <w:szCs w:val="20"/>
                <w:color w:val="auto"/>
              </w:rPr>
            </w:pPr>
            <w:r>
              <w:rPr>
                <w:rFonts w:ascii="Arial" w:cs="Arial" w:eastAsia="Arial" w:hAnsi="Arial"/>
                <w:sz w:val="19"/>
                <w:szCs w:val="19"/>
                <w:b w:val="1"/>
                <w:bCs w:val="1"/>
                <w:color w:val="231F20"/>
              </w:rPr>
              <w:t>Gain on divestiture, net of tax</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(90)</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w:t>
            </w:r>
          </w:p>
        </w:tc>
      </w:tr>
      <w:tr>
        <w:trPr>
          <w:trHeight w:val="266"/>
        </w:trPr>
        <w:tc>
          <w:tcPr>
            <w:tcW w:w="4920" w:type="dxa"/>
            <w:vAlign w:val="bottom"/>
          </w:tcPr>
          <w:p>
            <w:pPr>
              <w:spacing w:after="0"/>
              <w:rPr>
                <w:sz w:val="20"/>
                <w:szCs w:val="20"/>
                <w:color w:val="auto"/>
              </w:rPr>
            </w:pPr>
            <w:r>
              <w:rPr>
                <w:rFonts w:ascii="Arial" w:cs="Arial" w:eastAsia="Arial" w:hAnsi="Arial"/>
                <w:sz w:val="19"/>
                <w:szCs w:val="19"/>
                <w:b w:val="1"/>
                <w:bCs w:val="1"/>
                <w:color w:val="231F20"/>
                <w:w w:val="96"/>
              </w:rPr>
              <w:t>Loss on termination of business arrangement, net of tax</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3</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w:t>
            </w:r>
          </w:p>
        </w:tc>
      </w:tr>
      <w:tr>
        <w:trPr>
          <w:trHeight w:val="265"/>
        </w:trPr>
        <w:tc>
          <w:tcPr>
            <w:tcW w:w="4920" w:type="dxa"/>
            <w:vAlign w:val="bottom"/>
          </w:tcPr>
          <w:p>
            <w:pPr>
              <w:spacing w:after="0"/>
              <w:rPr>
                <w:sz w:val="20"/>
                <w:szCs w:val="20"/>
                <w:color w:val="auto"/>
              </w:rPr>
            </w:pPr>
            <w:r>
              <w:rPr>
                <w:rFonts w:ascii="Arial" w:cs="Arial" w:eastAsia="Arial" w:hAnsi="Arial"/>
                <w:sz w:val="19"/>
                <w:szCs w:val="19"/>
                <w:b w:val="1"/>
                <w:bCs w:val="1"/>
                <w:color w:val="231F20"/>
              </w:rPr>
              <w:t>Pension settlement cost, net of tax</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6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85"/>
              <w:spacing w:after="0"/>
              <w:rPr>
                <w:sz w:val="20"/>
                <w:szCs w:val="20"/>
                <w:color w:val="auto"/>
              </w:rPr>
            </w:pPr>
            <w:r>
              <w:rPr>
                <w:rFonts w:ascii="Arial" w:cs="Arial" w:eastAsia="Arial" w:hAnsi="Arial"/>
                <w:sz w:val="19"/>
                <w:szCs w:val="19"/>
                <w:b w:val="1"/>
                <w:bCs w:val="1"/>
                <w:color w:val="231F20"/>
              </w:rPr>
              <w:t>2</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2</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31F20"/>
              </w:rPr>
              <w:t>–</w:t>
            </w:r>
          </w:p>
        </w:tc>
      </w:tr>
      <w:tr>
        <w:trPr>
          <w:trHeight w:val="259"/>
        </w:trPr>
        <w:tc>
          <w:tcPr>
            <w:tcW w:w="5920" w:type="dxa"/>
            <w:vAlign w:val="bottom"/>
            <w:gridSpan w:val="2"/>
          </w:tcPr>
          <w:p>
            <w:pPr>
              <w:spacing w:after="0"/>
              <w:rPr>
                <w:sz w:val="20"/>
                <w:szCs w:val="20"/>
                <w:color w:val="auto"/>
              </w:rPr>
            </w:pPr>
            <w:r>
              <w:rPr>
                <w:rFonts w:ascii="Arial" w:cs="Arial" w:eastAsia="Arial" w:hAnsi="Arial"/>
                <w:sz w:val="19"/>
                <w:szCs w:val="19"/>
                <w:b w:val="1"/>
                <w:bCs w:val="1"/>
                <w:color w:val="231F20"/>
                <w:w w:val="95"/>
              </w:rPr>
              <w:t>Gain on curtailment of defined benefit pension plans, net of tax   (28)</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r>
      <w:tr>
        <w:trPr>
          <w:trHeight w:val="254"/>
        </w:trPr>
        <w:tc>
          <w:tcPr>
            <w:tcW w:w="4920" w:type="dxa"/>
            <w:vAlign w:val="bottom"/>
          </w:tcPr>
          <w:p>
            <w:pPr>
              <w:spacing w:after="0"/>
              <w:rPr>
                <w:sz w:val="20"/>
                <w:szCs w:val="20"/>
                <w:color w:val="auto"/>
              </w:rPr>
            </w:pPr>
            <w:r>
              <w:rPr>
                <w:rFonts w:ascii="Arial" w:cs="Arial" w:eastAsia="Arial" w:hAnsi="Arial"/>
                <w:sz w:val="19"/>
                <w:szCs w:val="19"/>
                <w:b w:val="1"/>
                <w:bCs w:val="1"/>
                <w:color w:val="231F20"/>
              </w:rPr>
              <w:t>Gain on redemption of Series A Preferred Stock</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(33)</w:t>
            </w:r>
          </w:p>
        </w:tc>
        <w:tc>
          <w:tcPr>
            <w:tcW w:w="20" w:type="dxa"/>
            <w:vAlign w:val="bottom"/>
          </w:tcPr>
          <w:p>
            <w:pPr>
              <w:spacing w:after="0"/>
              <w:rPr>
                <w:sz w:val="22"/>
                <w:szCs w:val="22"/>
                <w:color w:val="auto"/>
              </w:rPr>
            </w:pPr>
          </w:p>
        </w:tc>
      </w:tr>
      <w:tr>
        <w:trPr>
          <w:trHeight w:val="23"/>
        </w:trPr>
        <w:tc>
          <w:tcPr>
            <w:tcW w:w="4920" w:type="dxa"/>
            <w:vAlign w:val="bottom"/>
            <w:tcBorders>
              <w:bottom w:val="single" w:sz="8" w:color="4C7998"/>
            </w:tcBorders>
          </w:tcPr>
          <w:p>
            <w:pPr>
              <w:spacing w:after="0" w:line="20" w:lineRule="exact"/>
              <w:rPr>
                <w:sz w:val="1"/>
                <w:szCs w:val="1"/>
                <w:color w:val="auto"/>
              </w:rPr>
            </w:pPr>
          </w:p>
        </w:tc>
        <w:tc>
          <w:tcPr>
            <w:tcW w:w="1000" w:type="dxa"/>
            <w:vAlign w:val="bottom"/>
            <w:tcBorders>
              <w:bottom w:val="single" w:sz="8" w:color="4C7998"/>
            </w:tcBorders>
          </w:tcPr>
          <w:p>
            <w:pPr>
              <w:spacing w:after="0" w:line="20" w:lineRule="exact"/>
              <w:rPr>
                <w:sz w:val="1"/>
                <w:szCs w:val="1"/>
                <w:color w:val="auto"/>
              </w:rPr>
            </w:pPr>
          </w:p>
        </w:tc>
        <w:tc>
          <w:tcPr>
            <w:tcW w:w="1040" w:type="dxa"/>
            <w:vAlign w:val="bottom"/>
            <w:tcBorders>
              <w:bottom w:val="single" w:sz="8" w:color="4C7998"/>
            </w:tcBorders>
          </w:tcPr>
          <w:p>
            <w:pPr>
              <w:spacing w:after="0" w:line="20" w:lineRule="exact"/>
              <w:rPr>
                <w:sz w:val="1"/>
                <w:szCs w:val="1"/>
                <w:color w:val="auto"/>
              </w:rPr>
            </w:pPr>
          </w:p>
        </w:tc>
        <w:tc>
          <w:tcPr>
            <w:tcW w:w="1060" w:type="dxa"/>
            <w:vAlign w:val="bottom"/>
            <w:tcBorders>
              <w:bottom w:val="single" w:sz="8" w:color="4C7998"/>
            </w:tcBorders>
          </w:tcPr>
          <w:p>
            <w:pPr>
              <w:spacing w:after="0" w:line="20" w:lineRule="exact"/>
              <w:rPr>
                <w:sz w:val="1"/>
                <w:szCs w:val="1"/>
                <w:color w:val="auto"/>
              </w:rPr>
            </w:pPr>
          </w:p>
        </w:tc>
        <w:tc>
          <w:tcPr>
            <w:tcW w:w="980" w:type="dxa"/>
            <w:vAlign w:val="bottom"/>
            <w:tcBorders>
              <w:bottom w:val="single" w:sz="8" w:color="4C7998"/>
            </w:tcBorders>
          </w:tcPr>
          <w:p>
            <w:pPr>
              <w:spacing w:after="0" w:line="20" w:lineRule="exact"/>
              <w:rPr>
                <w:sz w:val="1"/>
                <w:szCs w:val="1"/>
                <w:color w:val="auto"/>
              </w:rPr>
            </w:pPr>
          </w:p>
        </w:tc>
        <w:tc>
          <w:tcPr>
            <w:tcW w:w="720" w:type="dxa"/>
            <w:vAlign w:val="bottom"/>
            <w:tcBorders>
              <w:bottom w:val="single" w:sz="8" w:color="4C79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920" w:type="dxa"/>
            <w:vAlign w:val="bottom"/>
          </w:tcPr>
          <w:p>
            <w:pPr>
              <w:spacing w:after="0" w:line="214" w:lineRule="exact"/>
              <w:rPr>
                <w:sz w:val="20"/>
                <w:szCs w:val="20"/>
                <w:color w:val="auto"/>
              </w:rPr>
            </w:pPr>
            <w:r>
              <w:rPr>
                <w:rFonts w:ascii="Arial" w:cs="Arial" w:eastAsia="Arial" w:hAnsi="Arial"/>
                <w:sz w:val="19"/>
                <w:szCs w:val="19"/>
                <w:b w:val="1"/>
                <w:bCs w:val="1"/>
                <w:color w:val="231F20"/>
                <w:w w:val="93"/>
              </w:rPr>
              <w:t>Adjusted net income attributable to common stockholders</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$519</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$860</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$764</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$619</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$639</w:t>
            </w:r>
          </w:p>
        </w:tc>
      </w:tr>
      <w:tr>
        <w:trPr>
          <w:trHeight w:val="823"/>
        </w:trPr>
        <w:tc>
          <w:tcPr>
            <w:tcW w:w="4920" w:type="dxa"/>
            <w:vAlign w:val="bottom"/>
            <w:tcBorders>
              <w:top w:val="single" w:sz="8" w:color="4C7998"/>
            </w:tcBorders>
          </w:tcPr>
          <w:p>
            <w:pPr>
              <w:spacing w:after="0"/>
              <w:rPr>
                <w:sz w:val="20"/>
                <w:szCs w:val="20"/>
                <w:color w:val="auto"/>
              </w:rPr>
            </w:pPr>
            <w:r>
              <w:rPr>
                <w:rFonts w:ascii="Arial" w:cs="Arial" w:eastAsia="Arial" w:hAnsi="Arial"/>
                <w:sz w:val="20"/>
                <w:szCs w:val="20"/>
                <w:b w:val="1"/>
                <w:bCs w:val="1"/>
                <w:color w:val="4E758C"/>
              </w:rPr>
              <w:t>ADJUSTED EARNINGS PER DILUTED SHARE:</w:t>
            </w:r>
          </w:p>
        </w:tc>
        <w:tc>
          <w:tcPr>
            <w:tcW w:w="1000" w:type="dxa"/>
            <w:vAlign w:val="bottom"/>
            <w:tcBorders>
              <w:top w:val="single" w:sz="8" w:color="4C7998"/>
            </w:tcBorders>
          </w:tcPr>
          <w:p>
            <w:pPr>
              <w:spacing w:after="0"/>
              <w:rPr>
                <w:sz w:val="24"/>
                <w:szCs w:val="24"/>
                <w:color w:val="auto"/>
              </w:rPr>
            </w:pPr>
          </w:p>
        </w:tc>
        <w:tc>
          <w:tcPr>
            <w:tcW w:w="1040" w:type="dxa"/>
            <w:vAlign w:val="bottom"/>
            <w:tcBorders>
              <w:top w:val="single" w:sz="8" w:color="4C7998"/>
            </w:tcBorders>
          </w:tcPr>
          <w:p>
            <w:pPr>
              <w:spacing w:after="0"/>
              <w:rPr>
                <w:sz w:val="24"/>
                <w:szCs w:val="24"/>
                <w:color w:val="auto"/>
              </w:rPr>
            </w:pPr>
          </w:p>
        </w:tc>
        <w:tc>
          <w:tcPr>
            <w:tcW w:w="1060" w:type="dxa"/>
            <w:vAlign w:val="bottom"/>
            <w:tcBorders>
              <w:top w:val="single" w:sz="8" w:color="4C7998"/>
            </w:tcBorders>
          </w:tcPr>
          <w:p>
            <w:pPr>
              <w:spacing w:after="0"/>
              <w:rPr>
                <w:sz w:val="24"/>
                <w:szCs w:val="24"/>
                <w:color w:val="auto"/>
              </w:rPr>
            </w:pPr>
          </w:p>
        </w:tc>
        <w:tc>
          <w:tcPr>
            <w:tcW w:w="980" w:type="dxa"/>
            <w:vAlign w:val="bottom"/>
            <w:tcBorders>
              <w:top w:val="single" w:sz="8" w:color="4C7998"/>
            </w:tcBorders>
          </w:tcPr>
          <w:p>
            <w:pPr>
              <w:spacing w:after="0"/>
              <w:rPr>
                <w:sz w:val="24"/>
                <w:szCs w:val="24"/>
                <w:color w:val="auto"/>
              </w:rPr>
            </w:pPr>
          </w:p>
        </w:tc>
        <w:tc>
          <w:tcPr>
            <w:tcW w:w="720" w:type="dxa"/>
            <w:vAlign w:val="bottom"/>
            <w:tcBorders>
              <w:top w:val="single" w:sz="8" w:color="4C7998"/>
            </w:tcBorders>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920" w:type="dxa"/>
            <w:vAlign w:val="bottom"/>
          </w:tcPr>
          <w:p>
            <w:pPr>
              <w:spacing w:after="0"/>
              <w:rPr>
                <w:sz w:val="20"/>
                <w:szCs w:val="20"/>
                <w:color w:val="auto"/>
              </w:rPr>
            </w:pPr>
            <w:r>
              <w:rPr>
                <w:rFonts w:ascii="Arial" w:cs="Arial" w:eastAsia="Arial" w:hAnsi="Arial"/>
                <w:sz w:val="19"/>
                <w:szCs w:val="19"/>
                <w:b w:val="1"/>
                <w:bCs w:val="1"/>
                <w:color w:val="231F20"/>
              </w:rPr>
              <w:t>Diluted shares</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52.0</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52.4</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231F20"/>
              </w:rPr>
              <w:t>52.3</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50.6</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49.5</w:t>
            </w:r>
          </w:p>
        </w:tc>
        <w:tc>
          <w:tcPr>
            <w:tcW w:w="20" w:type="dxa"/>
            <w:vAlign w:val="bottom"/>
          </w:tcPr>
          <w:p>
            <w:pPr>
              <w:spacing w:after="0"/>
              <w:rPr>
                <w:sz w:val="22"/>
                <w:szCs w:val="22"/>
                <w:color w:val="auto"/>
              </w:rPr>
            </w:pPr>
          </w:p>
        </w:tc>
      </w:tr>
      <w:tr>
        <w:trPr>
          <w:trHeight w:val="43"/>
        </w:trPr>
        <w:tc>
          <w:tcPr>
            <w:tcW w:w="4920" w:type="dxa"/>
            <w:vAlign w:val="bottom"/>
            <w:tcBorders>
              <w:bottom w:val="single" w:sz="8" w:color="4C7998"/>
            </w:tcBorders>
          </w:tcPr>
          <w:p>
            <w:pPr>
              <w:spacing w:after="0"/>
              <w:rPr>
                <w:sz w:val="3"/>
                <w:szCs w:val="3"/>
                <w:color w:val="auto"/>
              </w:rPr>
            </w:pPr>
          </w:p>
        </w:tc>
        <w:tc>
          <w:tcPr>
            <w:tcW w:w="1000" w:type="dxa"/>
            <w:vAlign w:val="bottom"/>
            <w:tcBorders>
              <w:bottom w:val="single" w:sz="8" w:color="4C7998"/>
            </w:tcBorders>
          </w:tcPr>
          <w:p>
            <w:pPr>
              <w:spacing w:after="0"/>
              <w:rPr>
                <w:sz w:val="3"/>
                <w:szCs w:val="3"/>
                <w:color w:val="auto"/>
              </w:rPr>
            </w:pPr>
          </w:p>
        </w:tc>
        <w:tc>
          <w:tcPr>
            <w:tcW w:w="1040" w:type="dxa"/>
            <w:vAlign w:val="bottom"/>
            <w:tcBorders>
              <w:bottom w:val="single" w:sz="8" w:color="4C7998"/>
            </w:tcBorders>
          </w:tcPr>
          <w:p>
            <w:pPr>
              <w:spacing w:after="0"/>
              <w:rPr>
                <w:sz w:val="3"/>
                <w:szCs w:val="3"/>
                <w:color w:val="auto"/>
              </w:rPr>
            </w:pPr>
          </w:p>
        </w:tc>
        <w:tc>
          <w:tcPr>
            <w:tcW w:w="1060" w:type="dxa"/>
            <w:vAlign w:val="bottom"/>
            <w:tcBorders>
              <w:bottom w:val="single" w:sz="8" w:color="4C7998"/>
            </w:tcBorders>
          </w:tcPr>
          <w:p>
            <w:pPr>
              <w:spacing w:after="0"/>
              <w:rPr>
                <w:sz w:val="3"/>
                <w:szCs w:val="3"/>
                <w:color w:val="auto"/>
              </w:rPr>
            </w:pPr>
          </w:p>
        </w:tc>
        <w:tc>
          <w:tcPr>
            <w:tcW w:w="980" w:type="dxa"/>
            <w:vAlign w:val="bottom"/>
            <w:tcBorders>
              <w:bottom w:val="single" w:sz="8" w:color="4C7998"/>
            </w:tcBorders>
          </w:tcPr>
          <w:p>
            <w:pPr>
              <w:spacing w:after="0"/>
              <w:rPr>
                <w:sz w:val="3"/>
                <w:szCs w:val="3"/>
                <w:color w:val="auto"/>
              </w:rPr>
            </w:pPr>
          </w:p>
        </w:tc>
        <w:tc>
          <w:tcPr>
            <w:tcW w:w="720" w:type="dxa"/>
            <w:vAlign w:val="bottom"/>
            <w:tcBorders>
              <w:bottom w:val="single" w:sz="8" w:color="4C7998"/>
            </w:tcBorders>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4920" w:type="dxa"/>
            <w:vAlign w:val="bottom"/>
            <w:tcBorders>
              <w:bottom w:val="single" w:sz="8" w:color="4C7998"/>
            </w:tcBorders>
          </w:tcPr>
          <w:p>
            <w:pPr>
              <w:spacing w:after="0" w:line="191" w:lineRule="exact"/>
              <w:rPr>
                <w:sz w:val="20"/>
                <w:szCs w:val="20"/>
                <w:color w:val="auto"/>
              </w:rPr>
            </w:pPr>
            <w:r>
              <w:rPr>
                <w:rFonts w:ascii="Arial" w:cs="Arial" w:eastAsia="Arial" w:hAnsi="Arial"/>
                <w:sz w:val="19"/>
                <w:szCs w:val="19"/>
                <w:b w:val="1"/>
                <w:bCs w:val="1"/>
                <w:color w:val="231F20"/>
              </w:rPr>
              <w:t>Adjusted earnings per diluted share</w:t>
            </w:r>
          </w:p>
        </w:tc>
        <w:tc>
          <w:tcPr>
            <w:tcW w:w="1000" w:type="dxa"/>
            <w:vAlign w:val="bottom"/>
            <w:tcBorders>
              <w:bottom w:val="single" w:sz="8" w:color="4C7998"/>
            </w:tcBorders>
          </w:tcPr>
          <w:p>
            <w:pPr>
              <w:jc w:val="right"/>
              <w:ind w:right="145"/>
              <w:spacing w:after="0" w:line="192" w:lineRule="exact"/>
              <w:rPr>
                <w:sz w:val="20"/>
                <w:szCs w:val="20"/>
                <w:color w:val="auto"/>
              </w:rPr>
            </w:pPr>
            <w:r>
              <w:rPr>
                <w:rFonts w:ascii="Arial" w:cs="Arial" w:eastAsia="Arial" w:hAnsi="Arial"/>
                <w:sz w:val="19"/>
                <w:szCs w:val="19"/>
                <w:b w:val="1"/>
                <w:bCs w:val="1"/>
                <w:color w:val="231F20"/>
              </w:rPr>
              <w:t>$9.98</w:t>
            </w:r>
          </w:p>
        </w:tc>
        <w:tc>
          <w:tcPr>
            <w:tcW w:w="1040" w:type="dxa"/>
            <w:vAlign w:val="bottom"/>
            <w:tcBorders>
              <w:bottom w:val="single" w:sz="8" w:color="4C7998"/>
            </w:tcBorders>
          </w:tcPr>
          <w:p>
            <w:pPr>
              <w:jc w:val="right"/>
              <w:ind w:right="165"/>
              <w:spacing w:after="0" w:line="192" w:lineRule="exact"/>
              <w:rPr>
                <w:sz w:val="20"/>
                <w:szCs w:val="20"/>
                <w:color w:val="auto"/>
              </w:rPr>
            </w:pPr>
            <w:r>
              <w:rPr>
                <w:rFonts w:ascii="Arial" w:cs="Arial" w:eastAsia="Arial" w:hAnsi="Arial"/>
                <w:sz w:val="19"/>
                <w:szCs w:val="19"/>
                <w:b w:val="1"/>
                <w:bCs w:val="1"/>
                <w:color w:val="231F20"/>
              </w:rPr>
              <w:t>$16.42</w:t>
            </w:r>
          </w:p>
        </w:tc>
        <w:tc>
          <w:tcPr>
            <w:tcW w:w="1060" w:type="dxa"/>
            <w:vAlign w:val="bottom"/>
            <w:tcBorders>
              <w:bottom w:val="single" w:sz="8" w:color="4C7998"/>
            </w:tcBorders>
          </w:tcPr>
          <w:p>
            <w:pPr>
              <w:jc w:val="right"/>
              <w:ind w:right="145"/>
              <w:spacing w:after="0" w:line="192" w:lineRule="exact"/>
              <w:rPr>
                <w:sz w:val="20"/>
                <w:szCs w:val="20"/>
                <w:color w:val="auto"/>
              </w:rPr>
            </w:pPr>
            <w:r>
              <w:rPr>
                <w:rFonts w:ascii="Arial" w:cs="Arial" w:eastAsia="Arial" w:hAnsi="Arial"/>
                <w:sz w:val="19"/>
                <w:szCs w:val="19"/>
                <w:b w:val="1"/>
                <w:bCs w:val="1"/>
                <w:color w:val="231F20"/>
              </w:rPr>
              <w:t>$14.60</w:t>
            </w:r>
          </w:p>
        </w:tc>
        <w:tc>
          <w:tcPr>
            <w:tcW w:w="980" w:type="dxa"/>
            <w:vAlign w:val="bottom"/>
            <w:tcBorders>
              <w:bottom w:val="single" w:sz="8" w:color="4C7998"/>
            </w:tcBorders>
          </w:tcPr>
          <w:p>
            <w:pPr>
              <w:jc w:val="right"/>
              <w:ind w:right="105"/>
              <w:spacing w:after="0" w:line="192" w:lineRule="exact"/>
              <w:rPr>
                <w:sz w:val="20"/>
                <w:szCs w:val="20"/>
                <w:color w:val="auto"/>
              </w:rPr>
            </w:pPr>
            <w:r>
              <w:rPr>
                <w:rFonts w:ascii="Arial" w:cs="Arial" w:eastAsia="Arial" w:hAnsi="Arial"/>
                <w:sz w:val="19"/>
                <w:szCs w:val="19"/>
                <w:b w:val="1"/>
                <w:bCs w:val="1"/>
                <w:color w:val="231F20"/>
              </w:rPr>
              <w:t>$12.23</w:t>
            </w:r>
          </w:p>
        </w:tc>
        <w:tc>
          <w:tcPr>
            <w:tcW w:w="720" w:type="dxa"/>
            <w:vAlign w:val="bottom"/>
            <w:tcBorders>
              <w:bottom w:val="single" w:sz="8" w:color="4C7998"/>
            </w:tcBorders>
          </w:tcPr>
          <w:p>
            <w:pPr>
              <w:jc w:val="right"/>
              <w:spacing w:after="0" w:line="192" w:lineRule="exact"/>
              <w:rPr>
                <w:sz w:val="20"/>
                <w:szCs w:val="20"/>
                <w:color w:val="auto"/>
              </w:rPr>
            </w:pPr>
            <w:r>
              <w:rPr>
                <w:rFonts w:ascii="Arial" w:cs="Arial" w:eastAsia="Arial" w:hAnsi="Arial"/>
                <w:sz w:val="19"/>
                <w:szCs w:val="19"/>
                <w:b w:val="1"/>
                <w:bCs w:val="1"/>
                <w:color w:val="231F20"/>
              </w:rPr>
              <w:t>$12.91</w:t>
            </w:r>
          </w:p>
        </w:tc>
        <w:tc>
          <w:tcPr>
            <w:tcW w:w="20" w:type="dxa"/>
            <w:vAlign w:val="bottom"/>
          </w:tcPr>
          <w:p>
            <w:pPr>
              <w:spacing w:after="0"/>
              <w:rPr>
                <w:sz w:val="16"/>
                <w:szCs w:val="16"/>
                <w:color w:val="auto"/>
              </w:rPr>
            </w:pPr>
          </w:p>
        </w:tc>
      </w:tr>
      <w:tr>
        <w:trPr>
          <w:trHeight w:val="581"/>
        </w:trPr>
        <w:tc>
          <w:tcPr>
            <w:tcW w:w="4920" w:type="dxa"/>
            <w:vAlign w:val="bottom"/>
          </w:tcPr>
          <w:p>
            <w:pPr>
              <w:spacing w:after="0"/>
              <w:rPr>
                <w:sz w:val="20"/>
                <w:szCs w:val="20"/>
                <w:color w:val="auto"/>
              </w:rPr>
            </w:pPr>
            <w:r>
              <w:rPr>
                <w:rFonts w:ascii="Arial" w:cs="Arial" w:eastAsia="Arial" w:hAnsi="Arial"/>
                <w:sz w:val="20"/>
                <w:szCs w:val="20"/>
                <w:b w:val="1"/>
                <w:bCs w:val="1"/>
                <w:color w:val="4E758C"/>
              </w:rPr>
              <w:t>FINANCIAL LEVERAGE RATIO:</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920" w:type="dxa"/>
            <w:vAlign w:val="bottom"/>
          </w:tcPr>
          <w:p>
            <w:pPr>
              <w:spacing w:after="0"/>
              <w:rPr>
                <w:sz w:val="20"/>
                <w:szCs w:val="20"/>
                <w:color w:val="auto"/>
              </w:rPr>
            </w:pPr>
            <w:r>
              <w:rPr>
                <w:rFonts w:ascii="Arial" w:cs="Arial" w:eastAsia="Arial" w:hAnsi="Arial"/>
                <w:sz w:val="19"/>
                <w:szCs w:val="19"/>
                <w:b w:val="1"/>
                <w:bCs w:val="1"/>
                <w:color w:val="231F20"/>
              </w:rPr>
              <w:t>Adjusted EBITDA</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$1,176</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$1,726</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231F20"/>
              </w:rPr>
              <w:t>$1,705</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$1,509</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$1,537</w:t>
            </w:r>
          </w:p>
        </w:tc>
      </w:tr>
      <w:tr>
        <w:trPr>
          <w:trHeight w:val="264"/>
        </w:trPr>
        <w:tc>
          <w:tcPr>
            <w:tcW w:w="4920" w:type="dxa"/>
            <w:vAlign w:val="bottom"/>
          </w:tcPr>
          <w:p>
            <w:pPr>
              <w:spacing w:after="0"/>
              <w:rPr>
                <w:sz w:val="20"/>
                <w:szCs w:val="20"/>
                <w:color w:val="auto"/>
              </w:rPr>
            </w:pPr>
            <w:r>
              <w:rPr>
                <w:rFonts w:ascii="Arial" w:cs="Arial" w:eastAsia="Arial" w:hAnsi="Arial"/>
                <w:sz w:val="19"/>
                <w:szCs w:val="19"/>
                <w:b w:val="1"/>
                <w:bCs w:val="1"/>
                <w:color w:val="231F20"/>
              </w:rPr>
              <w:t>Total debt, net of cash</w:t>
            </w:r>
          </w:p>
        </w:tc>
        <w:tc>
          <w:tcPr>
            <w:tcW w:w="1000" w:type="dxa"/>
            <w:vAlign w:val="bottom"/>
          </w:tcPr>
          <w:p>
            <w:pPr>
              <w:jc w:val="right"/>
              <w:ind w:right="145"/>
              <w:spacing w:after="0"/>
              <w:rPr>
                <w:sz w:val="20"/>
                <w:szCs w:val="20"/>
                <w:color w:val="auto"/>
              </w:rPr>
            </w:pPr>
            <w:r>
              <w:rPr>
                <w:rFonts w:ascii="Arial" w:cs="Arial" w:eastAsia="Arial" w:hAnsi="Arial"/>
                <w:sz w:val="19"/>
                <w:szCs w:val="19"/>
                <w:b w:val="1"/>
                <w:bCs w:val="1"/>
                <w:color w:val="231F20"/>
              </w:rPr>
              <w:t>4,568</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4,947</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231F20"/>
              </w:rPr>
              <w:t>4,841</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231F20"/>
              </w:rPr>
              <w:t>4,410</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5,225</w:t>
            </w:r>
          </w:p>
        </w:tc>
      </w:tr>
      <w:tr>
        <w:trPr>
          <w:trHeight w:val="29"/>
        </w:trPr>
        <w:tc>
          <w:tcPr>
            <w:tcW w:w="4920" w:type="dxa"/>
            <w:vAlign w:val="bottom"/>
            <w:tcBorders>
              <w:bottom w:val="single" w:sz="8" w:color="4C7998"/>
            </w:tcBorders>
          </w:tcPr>
          <w:p>
            <w:pPr>
              <w:spacing w:after="0"/>
              <w:rPr>
                <w:sz w:val="2"/>
                <w:szCs w:val="2"/>
                <w:color w:val="auto"/>
              </w:rPr>
            </w:pPr>
          </w:p>
        </w:tc>
        <w:tc>
          <w:tcPr>
            <w:tcW w:w="1000" w:type="dxa"/>
            <w:vAlign w:val="bottom"/>
            <w:tcBorders>
              <w:bottom w:val="single" w:sz="8" w:color="4C7998"/>
            </w:tcBorders>
          </w:tcPr>
          <w:p>
            <w:pPr>
              <w:spacing w:after="0"/>
              <w:rPr>
                <w:sz w:val="2"/>
                <w:szCs w:val="2"/>
                <w:color w:val="auto"/>
              </w:rPr>
            </w:pPr>
          </w:p>
        </w:tc>
        <w:tc>
          <w:tcPr>
            <w:tcW w:w="1040" w:type="dxa"/>
            <w:vAlign w:val="bottom"/>
            <w:tcBorders>
              <w:bottom w:val="single" w:sz="8" w:color="4C7998"/>
            </w:tcBorders>
          </w:tcPr>
          <w:p>
            <w:pPr>
              <w:spacing w:after="0"/>
              <w:rPr>
                <w:sz w:val="2"/>
                <w:szCs w:val="2"/>
                <w:color w:val="auto"/>
              </w:rPr>
            </w:pPr>
          </w:p>
        </w:tc>
        <w:tc>
          <w:tcPr>
            <w:tcW w:w="1060" w:type="dxa"/>
            <w:vAlign w:val="bottom"/>
            <w:tcBorders>
              <w:bottom w:val="single" w:sz="8" w:color="4C7998"/>
            </w:tcBorders>
          </w:tcPr>
          <w:p>
            <w:pPr>
              <w:spacing w:after="0"/>
              <w:rPr>
                <w:sz w:val="2"/>
                <w:szCs w:val="2"/>
                <w:color w:val="auto"/>
              </w:rPr>
            </w:pPr>
          </w:p>
        </w:tc>
        <w:tc>
          <w:tcPr>
            <w:tcW w:w="980" w:type="dxa"/>
            <w:vAlign w:val="bottom"/>
            <w:tcBorders>
              <w:bottom w:val="single" w:sz="8" w:color="4C7998"/>
            </w:tcBorders>
          </w:tcPr>
          <w:p>
            <w:pPr>
              <w:spacing w:after="0"/>
              <w:rPr>
                <w:sz w:val="2"/>
                <w:szCs w:val="2"/>
                <w:color w:val="auto"/>
              </w:rPr>
            </w:pPr>
          </w:p>
        </w:tc>
        <w:tc>
          <w:tcPr>
            <w:tcW w:w="720" w:type="dxa"/>
            <w:vAlign w:val="bottom"/>
            <w:tcBorders>
              <w:bottom w:val="single" w:sz="8" w:color="4C7998"/>
            </w:tcBorders>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4920" w:type="dxa"/>
            <w:vAlign w:val="bottom"/>
            <w:tcBorders>
              <w:bottom w:val="single" w:sz="8" w:color="4C7998"/>
            </w:tcBorders>
          </w:tcPr>
          <w:p>
            <w:pPr>
              <w:spacing w:after="0" w:line="203" w:lineRule="exact"/>
              <w:rPr>
                <w:sz w:val="20"/>
                <w:szCs w:val="20"/>
                <w:color w:val="auto"/>
              </w:rPr>
            </w:pPr>
            <w:r>
              <w:rPr>
                <w:rFonts w:ascii="Arial" w:cs="Arial" w:eastAsia="Arial" w:hAnsi="Arial"/>
                <w:sz w:val="19"/>
                <w:szCs w:val="19"/>
                <w:b w:val="1"/>
                <w:bCs w:val="1"/>
                <w:color w:val="231F20"/>
              </w:rPr>
              <w:t>Financial leverage ratio</w:t>
            </w:r>
          </w:p>
        </w:tc>
        <w:tc>
          <w:tcPr>
            <w:tcW w:w="1000" w:type="dxa"/>
            <w:vAlign w:val="bottom"/>
            <w:tcBorders>
              <w:bottom w:val="single" w:sz="8" w:color="4C7998"/>
            </w:tcBorders>
          </w:tcPr>
          <w:p>
            <w:pPr>
              <w:jc w:val="right"/>
              <w:ind w:right="165"/>
              <w:spacing w:after="0" w:line="202" w:lineRule="exact"/>
              <w:rPr>
                <w:sz w:val="20"/>
                <w:szCs w:val="20"/>
                <w:color w:val="auto"/>
              </w:rPr>
            </w:pPr>
            <w:r>
              <w:rPr>
                <w:rFonts w:ascii="Arial" w:cs="Arial" w:eastAsia="Arial" w:hAnsi="Arial"/>
                <w:sz w:val="19"/>
                <w:szCs w:val="19"/>
                <w:b w:val="1"/>
                <w:bCs w:val="1"/>
                <w:color w:val="231F20"/>
              </w:rPr>
              <w:t>3.9</w:t>
            </w:r>
          </w:p>
        </w:tc>
        <w:tc>
          <w:tcPr>
            <w:tcW w:w="1040" w:type="dxa"/>
            <w:vAlign w:val="bottom"/>
            <w:tcBorders>
              <w:bottom w:val="single" w:sz="8" w:color="4C7998"/>
            </w:tcBorders>
          </w:tcPr>
          <w:p>
            <w:pPr>
              <w:jc w:val="right"/>
              <w:ind w:right="145"/>
              <w:spacing w:after="0" w:line="202" w:lineRule="exact"/>
              <w:rPr>
                <w:sz w:val="20"/>
                <w:szCs w:val="20"/>
                <w:color w:val="auto"/>
              </w:rPr>
            </w:pPr>
            <w:r>
              <w:rPr>
                <w:rFonts w:ascii="Arial" w:cs="Arial" w:eastAsia="Arial" w:hAnsi="Arial"/>
                <w:sz w:val="19"/>
                <w:szCs w:val="19"/>
                <w:b w:val="1"/>
                <w:bCs w:val="1"/>
                <w:color w:val="231F20"/>
              </w:rPr>
              <w:t>2.9</w:t>
            </w:r>
          </w:p>
        </w:tc>
        <w:tc>
          <w:tcPr>
            <w:tcW w:w="1060" w:type="dxa"/>
            <w:vAlign w:val="bottom"/>
            <w:tcBorders>
              <w:bottom w:val="single" w:sz="8" w:color="4C7998"/>
            </w:tcBorders>
          </w:tcPr>
          <w:p>
            <w:pPr>
              <w:jc w:val="right"/>
              <w:ind w:right="145"/>
              <w:spacing w:after="0" w:line="202" w:lineRule="exact"/>
              <w:rPr>
                <w:sz w:val="20"/>
                <w:szCs w:val="20"/>
                <w:color w:val="auto"/>
              </w:rPr>
            </w:pPr>
            <w:r>
              <w:rPr>
                <w:rFonts w:ascii="Arial" w:cs="Arial" w:eastAsia="Arial" w:hAnsi="Arial"/>
                <w:sz w:val="19"/>
                <w:szCs w:val="19"/>
                <w:b w:val="1"/>
                <w:bCs w:val="1"/>
                <w:color w:val="231F20"/>
              </w:rPr>
              <w:t>2.8</w:t>
            </w:r>
          </w:p>
        </w:tc>
        <w:tc>
          <w:tcPr>
            <w:tcW w:w="980" w:type="dxa"/>
            <w:vAlign w:val="bottom"/>
            <w:tcBorders>
              <w:bottom w:val="single" w:sz="8" w:color="4C7998"/>
            </w:tcBorders>
          </w:tcPr>
          <w:p>
            <w:pPr>
              <w:jc w:val="right"/>
              <w:ind w:right="105"/>
              <w:spacing w:after="0" w:line="202" w:lineRule="exact"/>
              <w:rPr>
                <w:sz w:val="20"/>
                <w:szCs w:val="20"/>
                <w:color w:val="auto"/>
              </w:rPr>
            </w:pPr>
            <w:r>
              <w:rPr>
                <w:rFonts w:ascii="Arial" w:cs="Arial" w:eastAsia="Arial" w:hAnsi="Arial"/>
                <w:sz w:val="19"/>
                <w:szCs w:val="19"/>
                <w:b w:val="1"/>
                <w:bCs w:val="1"/>
                <w:color w:val="231F20"/>
              </w:rPr>
              <w:t>2.9</w:t>
            </w:r>
          </w:p>
        </w:tc>
        <w:tc>
          <w:tcPr>
            <w:tcW w:w="720" w:type="dxa"/>
            <w:vAlign w:val="bottom"/>
            <w:tcBorders>
              <w:bottom w:val="single" w:sz="8" w:color="4C7998"/>
            </w:tcBorders>
          </w:tcPr>
          <w:p>
            <w:pPr>
              <w:jc w:val="right"/>
              <w:spacing w:after="0" w:line="202" w:lineRule="exact"/>
              <w:rPr>
                <w:sz w:val="20"/>
                <w:szCs w:val="20"/>
                <w:color w:val="auto"/>
              </w:rPr>
            </w:pPr>
            <w:r>
              <w:rPr>
                <w:rFonts w:ascii="Arial" w:cs="Arial" w:eastAsia="Arial" w:hAnsi="Arial"/>
                <w:sz w:val="19"/>
                <w:szCs w:val="19"/>
                <w:b w:val="1"/>
                <w:bCs w:val="1"/>
                <w:color w:val="231F20"/>
              </w:rPr>
              <w:t>3.4</w:t>
            </w:r>
          </w:p>
        </w:tc>
        <w:tc>
          <w:tcPr>
            <w:tcW w:w="20" w:type="dxa"/>
            <w:vAlign w:val="bottom"/>
          </w:tcPr>
          <w:p>
            <w:pPr>
              <w:spacing w:after="0"/>
              <w:rPr>
                <w:sz w:val="18"/>
                <w:szCs w:val="18"/>
                <w:color w:val="auto"/>
              </w:rPr>
            </w:pPr>
          </w:p>
        </w:tc>
      </w:tr>
      <w:tr>
        <w:trPr>
          <w:trHeight w:val="573"/>
        </w:trPr>
        <w:tc>
          <w:tcPr>
            <w:tcW w:w="4920" w:type="dxa"/>
            <w:vAlign w:val="bottom"/>
          </w:tcPr>
          <w:p>
            <w:pPr>
              <w:spacing w:after="0"/>
              <w:rPr>
                <w:sz w:val="20"/>
                <w:szCs w:val="20"/>
                <w:color w:val="auto"/>
              </w:rPr>
            </w:pPr>
            <w:r>
              <w:rPr>
                <w:rFonts w:ascii="Arial" w:cs="Arial" w:eastAsia="Arial" w:hAnsi="Arial"/>
                <w:sz w:val="20"/>
                <w:szCs w:val="20"/>
                <w:b w:val="1"/>
                <w:bCs w:val="1"/>
                <w:color w:val="4E758C"/>
              </w:rPr>
              <w:t>FREE CASH FLOW:</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920" w:type="dxa"/>
            <w:vAlign w:val="bottom"/>
          </w:tcPr>
          <w:p>
            <w:pPr>
              <w:spacing w:after="0"/>
              <w:rPr>
                <w:sz w:val="20"/>
                <w:szCs w:val="20"/>
                <w:color w:val="auto"/>
              </w:rPr>
            </w:pPr>
            <w:r>
              <w:rPr>
                <w:rFonts w:ascii="Arial" w:cs="Arial" w:eastAsia="Arial" w:hAnsi="Arial"/>
                <w:sz w:val="19"/>
                <w:szCs w:val="19"/>
                <w:b w:val="1"/>
                <w:bCs w:val="1"/>
                <w:color w:val="231F20"/>
              </w:rPr>
              <w:t>Cash flow provided by operations</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$67</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$11</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$493</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$1,101</w:t>
            </w:r>
          </w:p>
        </w:tc>
        <w:tc>
          <w:tcPr>
            <w:tcW w:w="7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$125</w:t>
            </w:r>
          </w:p>
        </w:tc>
      </w:tr>
      <w:tr>
        <w:trPr>
          <w:trHeight w:val="264"/>
        </w:trPr>
        <w:tc>
          <w:tcPr>
            <w:tcW w:w="4920" w:type="dxa"/>
            <w:vAlign w:val="bottom"/>
          </w:tcPr>
          <w:p>
            <w:pPr>
              <w:spacing w:after="0"/>
              <w:rPr>
                <w:sz w:val="20"/>
                <w:szCs w:val="20"/>
                <w:color w:val="auto"/>
              </w:rPr>
            </w:pPr>
            <w:r>
              <w:rPr>
                <w:rFonts w:ascii="Arial" w:cs="Arial" w:eastAsia="Arial" w:hAnsi="Arial"/>
                <w:sz w:val="19"/>
                <w:szCs w:val="19"/>
                <w:b w:val="1"/>
                <w:bCs w:val="1"/>
                <w:color w:val="231F20"/>
              </w:rPr>
              <w:t>Less: capital expenditures</w:t>
            </w:r>
          </w:p>
        </w:tc>
        <w:tc>
          <w:tcPr>
            <w:tcW w:w="1000" w:type="dxa"/>
            <w:vAlign w:val="bottom"/>
          </w:tcPr>
          <w:p>
            <w:pPr>
              <w:jc w:val="right"/>
              <w:ind w:right="165"/>
              <w:spacing w:after="0"/>
              <w:rPr>
                <w:sz w:val="20"/>
                <w:szCs w:val="20"/>
                <w:color w:val="auto"/>
              </w:rPr>
            </w:pPr>
            <w:r>
              <w:rPr>
                <w:rFonts w:ascii="Arial" w:cs="Arial" w:eastAsia="Arial" w:hAnsi="Arial"/>
                <w:sz w:val="19"/>
                <w:szCs w:val="19"/>
                <w:b w:val="1"/>
                <w:bCs w:val="1"/>
                <w:color w:val="231F20"/>
              </w:rPr>
              <w:t>(55)</w:t>
            </w:r>
          </w:p>
        </w:tc>
        <w:tc>
          <w:tcPr>
            <w:tcW w:w="1040" w:type="dxa"/>
            <w:vAlign w:val="bottom"/>
          </w:tcPr>
          <w:p>
            <w:pPr>
              <w:jc w:val="right"/>
              <w:ind w:right="145"/>
              <w:spacing w:after="0"/>
              <w:rPr>
                <w:sz w:val="20"/>
                <w:szCs w:val="20"/>
                <w:color w:val="auto"/>
              </w:rPr>
            </w:pPr>
            <w:r>
              <w:rPr>
                <w:rFonts w:ascii="Arial" w:cs="Arial" w:eastAsia="Arial" w:hAnsi="Arial"/>
                <w:sz w:val="19"/>
                <w:szCs w:val="19"/>
                <w:b w:val="1"/>
                <w:bCs w:val="1"/>
                <w:color w:val="231F20"/>
              </w:rPr>
              <w:t>(99)</w:t>
            </w:r>
          </w:p>
        </w:tc>
        <w:tc>
          <w:tcPr>
            <w:tcW w:w="1060" w:type="dxa"/>
            <w:vAlign w:val="bottom"/>
          </w:tcPr>
          <w:p>
            <w:pPr>
              <w:jc w:val="right"/>
              <w:ind w:right="145"/>
              <w:spacing w:after="0"/>
              <w:rPr>
                <w:sz w:val="20"/>
                <w:szCs w:val="20"/>
                <w:color w:val="auto"/>
              </w:rPr>
            </w:pPr>
            <w:r>
              <w:rPr>
                <w:rFonts w:ascii="Arial" w:cs="Arial" w:eastAsia="Arial" w:hAnsi="Arial"/>
                <w:sz w:val="19"/>
                <w:szCs w:val="19"/>
                <w:b w:val="1"/>
                <w:bCs w:val="1"/>
                <w:color w:val="231F20"/>
              </w:rPr>
              <w:t>(92)</w:t>
            </w:r>
          </w:p>
        </w:tc>
        <w:tc>
          <w:tcPr>
            <w:tcW w:w="980" w:type="dxa"/>
            <w:vAlign w:val="bottom"/>
          </w:tcPr>
          <w:p>
            <w:pPr>
              <w:jc w:val="right"/>
              <w:ind w:right="85"/>
              <w:spacing w:after="0"/>
              <w:rPr>
                <w:sz w:val="20"/>
                <w:szCs w:val="20"/>
                <w:color w:val="auto"/>
              </w:rPr>
            </w:pPr>
            <w:r>
              <w:rPr>
                <w:rFonts w:ascii="Arial" w:cs="Arial" w:eastAsia="Arial" w:hAnsi="Arial"/>
                <w:sz w:val="19"/>
                <w:szCs w:val="19"/>
                <w:b w:val="1"/>
                <w:bCs w:val="1"/>
                <w:color w:val="231F20"/>
              </w:rPr>
              <w:t>(95)</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c>
          <w:tcPr>
            <w:tcW w:w="20" w:type="dxa"/>
            <w:vAlign w:val="bottom"/>
          </w:tcPr>
          <w:p>
            <w:pPr>
              <w:spacing w:after="0"/>
              <w:rPr>
                <w:sz w:val="22"/>
                <w:szCs w:val="22"/>
                <w:color w:val="auto"/>
              </w:rPr>
            </w:pPr>
          </w:p>
        </w:tc>
      </w:tr>
      <w:tr>
        <w:trPr>
          <w:trHeight w:val="260"/>
        </w:trPr>
        <w:tc>
          <w:tcPr>
            <w:tcW w:w="4920" w:type="dxa"/>
            <w:vAlign w:val="bottom"/>
            <w:tcBorders>
              <w:bottom w:val="single" w:sz="8" w:color="4C7998"/>
            </w:tcBorders>
          </w:tcPr>
          <w:p>
            <w:pPr>
              <w:spacing w:after="0"/>
              <w:rPr>
                <w:sz w:val="20"/>
                <w:szCs w:val="20"/>
                <w:color w:val="auto"/>
              </w:rPr>
            </w:pPr>
            <w:r>
              <w:rPr>
                <w:rFonts w:ascii="Arial" w:cs="Arial" w:eastAsia="Arial" w:hAnsi="Arial"/>
                <w:sz w:val="19"/>
                <w:szCs w:val="19"/>
                <w:b w:val="1"/>
                <w:bCs w:val="1"/>
                <w:color w:val="231F20"/>
              </w:rPr>
              <w:t>Add: other adjustments</w:t>
            </w:r>
            <w:r>
              <w:rPr>
                <w:rFonts w:ascii="Arial" w:cs="Arial" w:eastAsia="Arial" w:hAnsi="Arial"/>
                <w:sz w:val="22"/>
                <w:szCs w:val="22"/>
                <w:b w:val="1"/>
                <w:bCs w:val="1"/>
                <w:color w:val="231F20"/>
                <w:vertAlign w:val="superscript"/>
              </w:rPr>
              <w:t>1</w:t>
            </w:r>
          </w:p>
        </w:tc>
        <w:tc>
          <w:tcPr>
            <w:tcW w:w="1000" w:type="dxa"/>
            <w:vAlign w:val="bottom"/>
            <w:tcBorders>
              <w:bottom w:val="single" w:sz="8" w:color="4C7998"/>
            </w:tcBorders>
          </w:tcPr>
          <w:p>
            <w:pPr>
              <w:jc w:val="right"/>
              <w:ind w:right="165"/>
              <w:spacing w:after="0"/>
              <w:rPr>
                <w:sz w:val="20"/>
                <w:szCs w:val="20"/>
                <w:color w:val="auto"/>
              </w:rPr>
            </w:pPr>
            <w:r>
              <w:rPr>
                <w:rFonts w:ascii="Arial" w:cs="Arial" w:eastAsia="Arial" w:hAnsi="Arial"/>
                <w:sz w:val="19"/>
                <w:szCs w:val="19"/>
                <w:b w:val="1"/>
                <w:bCs w:val="1"/>
                <w:color w:val="231F20"/>
              </w:rPr>
              <w:t>81</w:t>
            </w:r>
          </w:p>
        </w:tc>
        <w:tc>
          <w:tcPr>
            <w:tcW w:w="1040" w:type="dxa"/>
            <w:vAlign w:val="bottom"/>
            <w:tcBorders>
              <w:bottom w:val="single" w:sz="8" w:color="4C7998"/>
            </w:tcBorders>
          </w:tcPr>
          <w:p>
            <w:pPr>
              <w:jc w:val="right"/>
              <w:ind w:right="145"/>
              <w:spacing w:after="0"/>
              <w:rPr>
                <w:sz w:val="20"/>
                <w:szCs w:val="20"/>
                <w:color w:val="auto"/>
              </w:rPr>
            </w:pPr>
            <w:r>
              <w:rPr>
                <w:rFonts w:ascii="Arial" w:cs="Arial" w:eastAsia="Arial" w:hAnsi="Arial"/>
                <w:sz w:val="19"/>
                <w:szCs w:val="19"/>
                <w:b w:val="1"/>
                <w:bCs w:val="1"/>
                <w:color w:val="231F20"/>
              </w:rPr>
              <w:t>67</w:t>
            </w:r>
          </w:p>
        </w:tc>
        <w:tc>
          <w:tcPr>
            <w:tcW w:w="1060" w:type="dxa"/>
            <w:vAlign w:val="bottom"/>
            <w:tcBorders>
              <w:bottom w:val="single" w:sz="8" w:color="4C7998"/>
            </w:tcBorders>
          </w:tcPr>
          <w:p>
            <w:pPr>
              <w:jc w:val="right"/>
              <w:ind w:right="145"/>
              <w:spacing w:after="0"/>
              <w:rPr>
                <w:sz w:val="20"/>
                <w:szCs w:val="20"/>
                <w:color w:val="auto"/>
              </w:rPr>
            </w:pPr>
            <w:r>
              <w:rPr>
                <w:rFonts w:ascii="Arial" w:cs="Arial" w:eastAsia="Arial" w:hAnsi="Arial"/>
                <w:sz w:val="19"/>
                <w:szCs w:val="19"/>
                <w:b w:val="1"/>
                <w:bCs w:val="1"/>
                <w:color w:val="231F20"/>
              </w:rPr>
              <w:t>43</w:t>
            </w:r>
          </w:p>
        </w:tc>
        <w:tc>
          <w:tcPr>
            <w:tcW w:w="980" w:type="dxa"/>
            <w:vAlign w:val="bottom"/>
            <w:tcBorders>
              <w:bottom w:val="single" w:sz="8" w:color="4C7998"/>
            </w:tcBorders>
          </w:tcPr>
          <w:p>
            <w:pPr>
              <w:jc w:val="right"/>
              <w:ind w:right="85"/>
              <w:spacing w:after="0"/>
              <w:rPr>
                <w:sz w:val="20"/>
                <w:szCs w:val="20"/>
                <w:color w:val="auto"/>
              </w:rPr>
            </w:pPr>
            <w:r>
              <w:rPr>
                <w:rFonts w:ascii="Arial" w:cs="Arial" w:eastAsia="Arial" w:hAnsi="Arial"/>
                <w:sz w:val="19"/>
                <w:szCs w:val="19"/>
                <w:b w:val="1"/>
                <w:bCs w:val="1"/>
                <w:color w:val="231F20"/>
              </w:rPr>
              <w:t>39</w:t>
            </w:r>
          </w:p>
        </w:tc>
        <w:tc>
          <w:tcPr>
            <w:tcW w:w="720" w:type="dxa"/>
            <w:vAlign w:val="bottom"/>
            <w:tcBorders>
              <w:bottom w:val="single" w:sz="8" w:color="4C7998"/>
            </w:tcBorders>
          </w:tcPr>
          <w:p>
            <w:pPr>
              <w:jc w:val="right"/>
              <w:spacing w:after="0"/>
              <w:rPr>
                <w:sz w:val="20"/>
                <w:szCs w:val="20"/>
                <w:color w:val="auto"/>
              </w:rPr>
            </w:pPr>
            <w:r>
              <w:rPr>
                <w:rFonts w:ascii="Arial" w:cs="Arial" w:eastAsia="Arial" w:hAnsi="Arial"/>
                <w:sz w:val="19"/>
                <w:szCs w:val="19"/>
                <w:b w:val="1"/>
                <w:bCs w:val="1"/>
                <w:color w:val="231F20"/>
              </w:rPr>
              <w:t>29</w:t>
            </w:r>
          </w:p>
        </w:tc>
        <w:tc>
          <w:tcPr>
            <w:tcW w:w="20" w:type="dxa"/>
            <w:vAlign w:val="bottom"/>
          </w:tcPr>
          <w:p>
            <w:pPr>
              <w:spacing w:after="0"/>
              <w:rPr>
                <w:sz w:val="22"/>
                <w:szCs w:val="22"/>
                <w:color w:val="auto"/>
              </w:rPr>
            </w:pPr>
          </w:p>
        </w:tc>
      </w:tr>
      <w:tr>
        <w:trPr>
          <w:trHeight w:val="236"/>
        </w:trPr>
        <w:tc>
          <w:tcPr>
            <w:tcW w:w="4920" w:type="dxa"/>
            <w:vAlign w:val="bottom"/>
            <w:tcBorders>
              <w:bottom w:val="single" w:sz="8" w:color="4C7998"/>
            </w:tcBorders>
          </w:tcPr>
          <w:p>
            <w:pPr>
              <w:spacing w:after="0"/>
              <w:rPr>
                <w:sz w:val="20"/>
                <w:szCs w:val="20"/>
                <w:color w:val="auto"/>
              </w:rPr>
            </w:pPr>
            <w:r>
              <w:rPr>
                <w:rFonts w:ascii="Arial" w:cs="Arial" w:eastAsia="Arial" w:hAnsi="Arial"/>
                <w:sz w:val="19"/>
                <w:szCs w:val="19"/>
                <w:b w:val="1"/>
                <w:bCs w:val="1"/>
                <w:color w:val="231F20"/>
              </w:rPr>
              <w:t>Free cash flow</w:t>
            </w:r>
          </w:p>
        </w:tc>
        <w:tc>
          <w:tcPr>
            <w:tcW w:w="1000" w:type="dxa"/>
            <w:vAlign w:val="bottom"/>
            <w:tcBorders>
              <w:bottom w:val="single" w:sz="8" w:color="4C7998"/>
            </w:tcBorders>
          </w:tcPr>
          <w:p>
            <w:pPr>
              <w:jc w:val="right"/>
              <w:ind w:right="165"/>
              <w:spacing w:after="0"/>
              <w:rPr>
                <w:sz w:val="20"/>
                <w:szCs w:val="20"/>
                <w:color w:val="auto"/>
              </w:rPr>
            </w:pPr>
            <w:r>
              <w:rPr>
                <w:rFonts w:ascii="Arial" w:cs="Arial" w:eastAsia="Arial" w:hAnsi="Arial"/>
                <w:sz w:val="19"/>
                <w:szCs w:val="19"/>
                <w:b w:val="1"/>
                <w:bCs w:val="1"/>
                <w:color w:val="231F20"/>
              </w:rPr>
              <w:t>$94</w:t>
            </w:r>
          </w:p>
        </w:tc>
        <w:tc>
          <w:tcPr>
            <w:tcW w:w="1040" w:type="dxa"/>
            <w:vAlign w:val="bottom"/>
            <w:tcBorders>
              <w:bottom w:val="single" w:sz="8" w:color="4C7998"/>
            </w:tcBorders>
          </w:tcPr>
          <w:p>
            <w:pPr>
              <w:jc w:val="right"/>
              <w:ind w:right="145"/>
              <w:spacing w:after="0"/>
              <w:rPr>
                <w:sz w:val="20"/>
                <w:szCs w:val="20"/>
                <w:color w:val="auto"/>
              </w:rPr>
            </w:pPr>
            <w:r>
              <w:rPr>
                <w:rFonts w:ascii="Arial" w:cs="Arial" w:eastAsia="Arial" w:hAnsi="Arial"/>
                <w:sz w:val="19"/>
                <w:szCs w:val="19"/>
                <w:b w:val="1"/>
                <w:bCs w:val="1"/>
                <w:color w:val="231F20"/>
              </w:rPr>
              <w:t>$(22)</w:t>
            </w:r>
          </w:p>
        </w:tc>
        <w:tc>
          <w:tcPr>
            <w:tcW w:w="1060" w:type="dxa"/>
            <w:vAlign w:val="bottom"/>
            <w:tcBorders>
              <w:bottom w:val="single" w:sz="8" w:color="4C7998"/>
            </w:tcBorders>
          </w:tcPr>
          <w:p>
            <w:pPr>
              <w:jc w:val="right"/>
              <w:ind w:right="145"/>
              <w:spacing w:after="0"/>
              <w:rPr>
                <w:sz w:val="20"/>
                <w:szCs w:val="20"/>
                <w:color w:val="auto"/>
              </w:rPr>
            </w:pPr>
            <w:r>
              <w:rPr>
                <w:rFonts w:ascii="Arial" w:cs="Arial" w:eastAsia="Arial" w:hAnsi="Arial"/>
                <w:sz w:val="19"/>
                <w:szCs w:val="19"/>
                <w:b w:val="1"/>
                <w:bCs w:val="1"/>
                <w:color w:val="231F20"/>
              </w:rPr>
              <w:t>$444</w:t>
            </w:r>
          </w:p>
        </w:tc>
        <w:tc>
          <w:tcPr>
            <w:tcW w:w="980" w:type="dxa"/>
            <w:vAlign w:val="bottom"/>
            <w:tcBorders>
              <w:bottom w:val="single" w:sz="8" w:color="4C7998"/>
            </w:tcBorders>
          </w:tcPr>
          <w:p>
            <w:pPr>
              <w:jc w:val="right"/>
              <w:ind w:right="85"/>
              <w:spacing w:after="0"/>
              <w:rPr>
                <w:sz w:val="20"/>
                <w:szCs w:val="20"/>
                <w:color w:val="auto"/>
              </w:rPr>
            </w:pPr>
            <w:r>
              <w:rPr>
                <w:rFonts w:ascii="Arial" w:cs="Arial" w:eastAsia="Arial" w:hAnsi="Arial"/>
                <w:sz w:val="19"/>
                <w:szCs w:val="19"/>
                <w:b w:val="1"/>
                <w:bCs w:val="1"/>
                <w:color w:val="231F20"/>
              </w:rPr>
              <w:t>$1,045</w:t>
            </w:r>
          </w:p>
        </w:tc>
        <w:tc>
          <w:tcPr>
            <w:tcW w:w="720" w:type="dxa"/>
            <w:vAlign w:val="bottom"/>
            <w:tcBorders>
              <w:bottom w:val="single" w:sz="8" w:color="4C7998"/>
            </w:tcBorders>
          </w:tcPr>
          <w:p>
            <w:pPr>
              <w:jc w:val="right"/>
              <w:spacing w:after="0"/>
              <w:rPr>
                <w:sz w:val="20"/>
                <w:szCs w:val="20"/>
                <w:color w:val="auto"/>
              </w:rPr>
            </w:pPr>
            <w:r>
              <w:rPr>
                <w:rFonts w:ascii="Arial" w:cs="Arial" w:eastAsia="Arial" w:hAnsi="Arial"/>
                <w:sz w:val="19"/>
                <w:szCs w:val="19"/>
                <w:b w:val="1"/>
                <w:bCs w:val="1"/>
                <w:color w:val="231F20"/>
              </w:rPr>
              <w:t>$54</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231F20"/>
          <w:vertAlign w:val="superscript"/>
        </w:rPr>
        <w:t>1</w:t>
      </w:r>
      <w:r>
        <w:rPr>
          <w:rFonts w:ascii="Arial" w:cs="Arial" w:eastAsia="Arial" w:hAnsi="Arial"/>
          <w:sz w:val="14"/>
          <w:szCs w:val="14"/>
          <w:color w:val="231F20"/>
        </w:rPr>
        <w:t>For the year ended December 31, 2021, the Company paid for certain costs to integrate the acquired Anixter business. For the year ended December 31, 2022, the Company paid for certain costs to integrate the acquired Anixter business as well as certain restructuring costs. For the year ended December 31, 2023, the Company paid for certain costs to integrate the acquired Anixter business and related to digital transformation as well as certain restructuring costs. For the years ended December 31, 2024 and 2025, the Company paid for certain costs related to digital transformation and restructuring. Such expenditures have been added back to operating cash flow to determine free cash flow for such periods.</w:t>
      </w:r>
    </w:p>
    <w:p>
      <w:pPr>
        <w:sectPr>
          <w:pgSz w:w="11880" w:h="15480" w:orient="portrait"/>
          <w:cols w:equalWidth="0" w:num="1">
            <w:col w:w="9740"/>
          </w:cols>
          <w:pgMar w:left="1080" w:top="945" w:right="1060" w:bottom="737"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000E1E"/>
        </w:rPr>
        <w:t>Corporate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CORPORATE HEADQUARTERS: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000E1E"/>
        </w:rPr>
        <w:t>Wesco International,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Suite 700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225 West Station Square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Pittsburgh, PA 15219-1122</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Phone: 412.454.2200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www.Wesco.com</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000E1E"/>
        </w:rPr>
        <w:t>For questions regarding Wesco,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000E1E"/>
        </w:rPr>
        <w:t>investor relations at InvestorRelations@Wesco.com.</w:t>
      </w:r>
    </w:p>
    <w:p>
      <w:pPr>
        <w:spacing w:after="0" w:line="45" w:lineRule="exact"/>
        <w:rPr>
          <w:sz w:val="20"/>
          <w:szCs w:val="20"/>
          <w:color w:val="auto"/>
        </w:rPr>
      </w:pPr>
    </w:p>
    <w:p>
      <w:pPr>
        <w:ind w:right="520"/>
        <w:spacing w:after="0" w:line="273" w:lineRule="auto"/>
        <w:rPr>
          <w:sz w:val="20"/>
          <w:szCs w:val="20"/>
          <w:color w:val="auto"/>
        </w:rPr>
      </w:pPr>
      <w:r>
        <w:rPr>
          <w:rFonts w:ascii="Arial" w:cs="Arial" w:eastAsia="Arial" w:hAnsi="Arial"/>
          <w:sz w:val="18"/>
          <w:szCs w:val="18"/>
          <w:color w:val="000E1E"/>
        </w:rPr>
        <w:t>A copy of the Company’s Annual Report on Form 10-K or other financial information may be requested through our website (www.Wesco.com) or by contacting investor relations.</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COMMON STOCK:</w:t>
      </w:r>
    </w:p>
    <w:p>
      <w:pPr>
        <w:spacing w:after="0" w:line="41" w:lineRule="exact"/>
        <w:rPr>
          <w:sz w:val="20"/>
          <w:szCs w:val="20"/>
          <w:color w:val="auto"/>
        </w:rPr>
      </w:pPr>
    </w:p>
    <w:p>
      <w:pPr>
        <w:ind w:right="720"/>
        <w:spacing w:after="0" w:line="227" w:lineRule="auto"/>
        <w:rPr>
          <w:sz w:val="20"/>
          <w:szCs w:val="20"/>
          <w:color w:val="auto"/>
        </w:rPr>
      </w:pPr>
      <w:r>
        <w:rPr>
          <w:rFonts w:ascii="Arial" w:cs="Arial" w:eastAsia="Arial" w:hAnsi="Arial"/>
          <w:sz w:val="20"/>
          <w:szCs w:val="20"/>
          <w:color w:val="000E1E"/>
        </w:rPr>
        <w:t>Wesco is listed on the New York Stock Exchange under the ticker symbol WCC.</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ANNUAL MEETING:</w:t>
      </w:r>
    </w:p>
    <w:p>
      <w:pPr>
        <w:spacing w:after="0" w:line="4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000E1E"/>
        </w:rPr>
        <w:t>Annual Meeting of Stockholders will be held on May 28, 2026 at 2 p.m. EDT, hosted virtually at www.virtualshareholdermeeting.com/WCC2026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TRANSFER AGENCY: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000E1E"/>
        </w:rPr>
        <w:t>Computershare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Toll: +1.201.680.6578</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Toll Free: 877.264.3927</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TDD for Hearing Impaired: 800.952.9245</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000E1E"/>
        </w:rPr>
        <w:t>Website address: www.computershare.com/investor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0E1E"/>
        </w:rPr>
        <w:t>By Regular Mail: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PO Box 43006</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Providence, RI 02940-3006</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United States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0E1E"/>
        </w:rPr>
        <w:t>Overnight Delivery: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150 Royall Street, Suite 101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Canton, MA 02021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United States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INDEPENDENT REGISTERED</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4E758C"/>
        </w:rPr>
        <w:t>PUBLIC ACCOUNTING FIRM:</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000E1E"/>
        </w:rPr>
        <w:t>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E1E"/>
        </w:rPr>
        <w:t>Pittsburgh,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2675890</wp:posOffset>
            </wp:positionV>
            <wp:extent cx="1080135" cy="2286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16">
                      <a:extLst>
                        <a:ext uri="{28A0092B-C50C-407E-A947-70E740481C1C}"/>
                      </a:extLst>
                    </a:blip>
                    <a:srcRect/>
                    <a:stretch>
                      <a:fillRect/>
                    </a:stretch>
                  </pic:blipFill>
                  <pic:spPr bwMode="auto">
                    <a:xfrm>
                      <a:off x="0" y="0"/>
                      <a:ext cx="1080135" cy="228600"/>
                    </a:xfrm>
                    <a:prstGeom prst="rect">
                      <a:avLst/>
                    </a:prstGeom>
                    <a:noFill/>
                  </pic:spPr>
                </pic:pic>
              </a:graphicData>
            </a:graphic>
          </wp:anchor>
        </w:drawing>
      </w:r>
    </w:p>
    <w:p>
      <w:pPr>
        <w:sectPr>
          <w:pgSz w:w="11880" w:h="15480" w:orient="portrait"/>
          <w:cols w:equalWidth="0" w:num="2">
            <w:col w:w="4660" w:space="720"/>
            <w:col w:w="4360"/>
          </w:cols>
          <w:pgMar w:left="900" w:top="1440" w:right="1240" w:bottom="1440" w:gutter="0" w:footer="0" w:header="0"/>
        </w:sectPr>
      </w:pPr>
    </w:p>
    <w:bookmarkStart w:id="116" w:name="page117"/>
    <w:bookmarkEnd w:id="116"/>
    <w:p>
      <w:pPr>
        <w:ind w:left="20"/>
        <w:spacing w:after="0"/>
        <w:rPr>
          <w:sz w:val="20"/>
          <w:szCs w:val="20"/>
          <w:color w:val="auto"/>
        </w:rPr>
      </w:pPr>
      <w:r>
        <w:rPr>
          <w:rFonts w:ascii="Arial" w:cs="Arial" w:eastAsia="Arial" w:hAnsi="Arial"/>
          <w:sz w:val="32"/>
          <w:szCs w:val="32"/>
          <w:b w:val="1"/>
          <w:bCs w:val="1"/>
          <w:color w:val="000E1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7">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Corporate Governance – Board of Directors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000E1E"/>
        </w:rPr>
        <w:t>*Board of Directors as of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300" w:type="dxa"/>
            <w:vAlign w:val="bottom"/>
          </w:tcPr>
          <w:p>
            <w:pPr>
              <w:spacing w:after="0"/>
              <w:rPr>
                <w:sz w:val="20"/>
                <w:szCs w:val="20"/>
                <w:color w:val="auto"/>
              </w:rPr>
            </w:pPr>
            <w:r>
              <w:rPr>
                <w:rFonts w:ascii="Arial" w:cs="Arial" w:eastAsia="Arial" w:hAnsi="Arial"/>
                <w:sz w:val="18"/>
                <w:szCs w:val="18"/>
                <w:b w:val="1"/>
                <w:bCs w:val="1"/>
                <w:color w:val="000E1E"/>
              </w:rPr>
              <w:t>John J. Engel</w:t>
            </w:r>
          </w:p>
        </w:tc>
        <w:tc>
          <w:tcPr>
            <w:tcW w:w="2700" w:type="dxa"/>
            <w:vAlign w:val="bottom"/>
          </w:tcPr>
          <w:p>
            <w:pPr>
              <w:ind w:left="320"/>
              <w:spacing w:after="0"/>
              <w:rPr>
                <w:sz w:val="20"/>
                <w:szCs w:val="20"/>
                <w:color w:val="auto"/>
              </w:rPr>
            </w:pPr>
            <w:r>
              <w:rPr>
                <w:rFonts w:ascii="Arial" w:cs="Arial" w:eastAsia="Arial" w:hAnsi="Arial"/>
                <w:sz w:val="18"/>
                <w:szCs w:val="18"/>
                <w:b w:val="1"/>
                <w:bCs w:val="1"/>
                <w:color w:val="000E1E"/>
              </w:rPr>
              <w:t>Anne M. Cooney</w:t>
            </w:r>
          </w:p>
        </w:tc>
        <w:tc>
          <w:tcPr>
            <w:tcW w:w="2100" w:type="dxa"/>
            <w:vAlign w:val="bottom"/>
          </w:tcPr>
          <w:p>
            <w:pPr>
              <w:ind w:left="180"/>
              <w:spacing w:after="0"/>
              <w:rPr>
                <w:sz w:val="20"/>
                <w:szCs w:val="20"/>
                <w:color w:val="auto"/>
              </w:rPr>
            </w:pPr>
            <w:r>
              <w:rPr>
                <w:rFonts w:ascii="Arial" w:cs="Arial" w:eastAsia="Arial" w:hAnsi="Arial"/>
                <w:sz w:val="18"/>
                <w:szCs w:val="18"/>
                <w:b w:val="1"/>
                <w:bCs w:val="1"/>
                <w:color w:val="000E1E"/>
              </w:rPr>
              <w:t>Sundaram Nagarajan</w:t>
            </w:r>
          </w:p>
        </w:tc>
        <w:tc>
          <w:tcPr>
            <w:tcW w:w="1860" w:type="dxa"/>
            <w:vAlign w:val="bottom"/>
          </w:tcPr>
          <w:p>
            <w:pPr>
              <w:ind w:left="240"/>
              <w:spacing w:after="0"/>
              <w:rPr>
                <w:sz w:val="20"/>
                <w:szCs w:val="20"/>
                <w:color w:val="auto"/>
              </w:rPr>
            </w:pPr>
            <w:r>
              <w:rPr>
                <w:rFonts w:ascii="Arial" w:cs="Arial" w:eastAsia="Arial" w:hAnsi="Arial"/>
                <w:sz w:val="18"/>
                <w:szCs w:val="18"/>
                <w:b w:val="1"/>
                <w:bCs w:val="1"/>
                <w:color w:val="000E1E"/>
                <w:w w:val="90"/>
              </w:rPr>
              <w:t>Easwaran Sundaram</w:t>
            </w:r>
          </w:p>
        </w:tc>
      </w:tr>
      <w:tr>
        <w:trPr>
          <w:trHeight w:val="218"/>
        </w:trPr>
        <w:tc>
          <w:tcPr>
            <w:tcW w:w="2300" w:type="dxa"/>
            <w:vAlign w:val="bottom"/>
          </w:tcPr>
          <w:p>
            <w:pPr>
              <w:spacing w:after="0"/>
              <w:rPr>
                <w:sz w:val="20"/>
                <w:szCs w:val="20"/>
                <w:color w:val="auto"/>
              </w:rPr>
            </w:pPr>
            <w:r>
              <w:rPr>
                <w:rFonts w:ascii="Arial" w:cs="Arial" w:eastAsia="Arial" w:hAnsi="Arial"/>
                <w:sz w:val="18"/>
                <w:szCs w:val="18"/>
                <w:color w:val="000E1E"/>
              </w:rPr>
              <w:t>Chairman, President</w:t>
            </w:r>
          </w:p>
        </w:tc>
        <w:tc>
          <w:tcPr>
            <w:tcW w:w="2700" w:type="dxa"/>
            <w:vAlign w:val="bottom"/>
          </w:tcPr>
          <w:p>
            <w:pPr>
              <w:ind w:left="320"/>
              <w:spacing w:after="0"/>
              <w:rPr>
                <w:sz w:val="20"/>
                <w:szCs w:val="20"/>
                <w:color w:val="auto"/>
              </w:rPr>
            </w:pPr>
            <w:r>
              <w:rPr>
                <w:rFonts w:ascii="Arial" w:cs="Arial" w:eastAsia="Arial" w:hAnsi="Arial"/>
                <w:sz w:val="18"/>
                <w:szCs w:val="18"/>
                <w:color w:val="000E1E"/>
              </w:rPr>
              <w:t>Former President, Process</w:t>
            </w:r>
          </w:p>
        </w:tc>
        <w:tc>
          <w:tcPr>
            <w:tcW w:w="2100" w:type="dxa"/>
            <w:vAlign w:val="bottom"/>
          </w:tcPr>
          <w:p>
            <w:pPr>
              <w:ind w:left="180"/>
              <w:spacing w:after="0"/>
              <w:rPr>
                <w:sz w:val="20"/>
                <w:szCs w:val="20"/>
                <w:color w:val="auto"/>
              </w:rPr>
            </w:pPr>
            <w:r>
              <w:rPr>
                <w:rFonts w:ascii="Arial" w:cs="Arial" w:eastAsia="Arial" w:hAnsi="Arial"/>
                <w:sz w:val="18"/>
                <w:szCs w:val="18"/>
                <w:color w:val="000E1E"/>
              </w:rPr>
              <w:t>President and</w:t>
            </w:r>
          </w:p>
        </w:tc>
        <w:tc>
          <w:tcPr>
            <w:tcW w:w="1860" w:type="dxa"/>
            <w:vAlign w:val="bottom"/>
          </w:tcPr>
          <w:p>
            <w:pPr>
              <w:ind w:left="240"/>
              <w:spacing w:after="0"/>
              <w:rPr>
                <w:sz w:val="20"/>
                <w:szCs w:val="20"/>
                <w:color w:val="auto"/>
              </w:rPr>
            </w:pPr>
            <w:r>
              <w:rPr>
                <w:rFonts w:ascii="Arial" w:cs="Arial" w:eastAsia="Arial" w:hAnsi="Arial"/>
                <w:sz w:val="18"/>
                <w:szCs w:val="18"/>
                <w:color w:val="000E1E"/>
                <w:w w:val="98"/>
              </w:rPr>
              <w:t>Operating Executive</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000E1E"/>
              </w:rPr>
              <w:t>and Chief Executive Officer</w:t>
            </w:r>
          </w:p>
        </w:tc>
        <w:tc>
          <w:tcPr>
            <w:tcW w:w="2700" w:type="dxa"/>
            <w:vAlign w:val="bottom"/>
          </w:tcPr>
          <w:p>
            <w:pPr>
              <w:ind w:left="320"/>
              <w:spacing w:after="0"/>
              <w:rPr>
                <w:sz w:val="20"/>
                <w:szCs w:val="20"/>
                <w:color w:val="auto"/>
              </w:rPr>
            </w:pPr>
            <w:r>
              <w:rPr>
                <w:rFonts w:ascii="Arial" w:cs="Arial" w:eastAsia="Arial" w:hAnsi="Arial"/>
                <w:sz w:val="18"/>
                <w:szCs w:val="18"/>
                <w:color w:val="000E1E"/>
                <w:w w:val="99"/>
              </w:rPr>
              <w:t>Industries and Drives Division</w:t>
            </w:r>
          </w:p>
        </w:tc>
        <w:tc>
          <w:tcPr>
            <w:tcW w:w="2100" w:type="dxa"/>
            <w:vAlign w:val="bottom"/>
          </w:tcPr>
          <w:p>
            <w:pPr>
              <w:ind w:left="180"/>
              <w:spacing w:after="0" w:line="206" w:lineRule="exact"/>
              <w:rPr>
                <w:sz w:val="20"/>
                <w:szCs w:val="20"/>
                <w:color w:val="auto"/>
              </w:rPr>
            </w:pPr>
            <w:r>
              <w:rPr>
                <w:rFonts w:ascii="Arial" w:cs="Arial" w:eastAsia="Arial" w:hAnsi="Arial"/>
                <w:sz w:val="18"/>
                <w:szCs w:val="18"/>
                <w:color w:val="000E1E"/>
              </w:rPr>
              <w:t>Chief Executive Officer</w:t>
            </w:r>
          </w:p>
        </w:tc>
        <w:tc>
          <w:tcPr>
            <w:tcW w:w="1860" w:type="dxa"/>
            <w:vAlign w:val="bottom"/>
          </w:tcPr>
          <w:p>
            <w:pPr>
              <w:ind w:left="240"/>
              <w:spacing w:after="0"/>
              <w:rPr>
                <w:sz w:val="20"/>
                <w:szCs w:val="20"/>
                <w:color w:val="auto"/>
              </w:rPr>
            </w:pPr>
            <w:r>
              <w:rPr>
                <w:rFonts w:ascii="Arial" w:cs="Arial" w:eastAsia="Arial" w:hAnsi="Arial"/>
                <w:sz w:val="18"/>
                <w:szCs w:val="18"/>
                <w:color w:val="000E1E"/>
              </w:rPr>
              <w:t>Tailwind Capital</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000E1E"/>
              </w:rPr>
              <w:t>Wesco International</w:t>
            </w:r>
          </w:p>
        </w:tc>
        <w:tc>
          <w:tcPr>
            <w:tcW w:w="2700" w:type="dxa"/>
            <w:vAlign w:val="bottom"/>
          </w:tcPr>
          <w:p>
            <w:pPr>
              <w:ind w:left="320"/>
              <w:spacing w:after="0"/>
              <w:rPr>
                <w:sz w:val="20"/>
                <w:szCs w:val="20"/>
                <w:color w:val="auto"/>
              </w:rPr>
            </w:pPr>
            <w:r>
              <w:rPr>
                <w:rFonts w:ascii="Arial" w:cs="Arial" w:eastAsia="Arial" w:hAnsi="Arial"/>
                <w:sz w:val="18"/>
                <w:szCs w:val="18"/>
                <w:color w:val="000E1E"/>
              </w:rPr>
              <w:t>Siemens Industry, Inc.</w:t>
            </w:r>
          </w:p>
        </w:tc>
        <w:tc>
          <w:tcPr>
            <w:tcW w:w="2100" w:type="dxa"/>
            <w:vAlign w:val="bottom"/>
          </w:tcPr>
          <w:p>
            <w:pPr>
              <w:ind w:left="180"/>
              <w:spacing w:after="0" w:line="206" w:lineRule="exact"/>
              <w:rPr>
                <w:sz w:val="20"/>
                <w:szCs w:val="20"/>
                <w:color w:val="auto"/>
              </w:rPr>
            </w:pPr>
            <w:r>
              <w:rPr>
                <w:rFonts w:ascii="Arial" w:cs="Arial" w:eastAsia="Arial" w:hAnsi="Arial"/>
                <w:sz w:val="18"/>
                <w:szCs w:val="18"/>
                <w:color w:val="000E1E"/>
              </w:rPr>
              <w:t>Nordson Corporation</w:t>
            </w:r>
          </w:p>
        </w:tc>
        <w:tc>
          <w:tcPr>
            <w:tcW w:w="186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400" w:type="dxa"/>
            <w:vAlign w:val="bottom"/>
          </w:tcPr>
          <w:p>
            <w:pPr>
              <w:spacing w:after="0"/>
              <w:rPr>
                <w:sz w:val="20"/>
                <w:szCs w:val="20"/>
                <w:color w:val="auto"/>
              </w:rPr>
            </w:pPr>
            <w:r>
              <w:rPr>
                <w:rFonts w:ascii="Arial" w:cs="Arial" w:eastAsia="Arial" w:hAnsi="Arial"/>
                <w:sz w:val="18"/>
                <w:szCs w:val="18"/>
                <w:b w:val="1"/>
                <w:bCs w:val="1"/>
                <w:color w:val="000E1E"/>
              </w:rPr>
              <w:t>Glynis A. Bryan</w:t>
            </w:r>
          </w:p>
        </w:tc>
        <w:tc>
          <w:tcPr>
            <w:tcW w:w="2120" w:type="dxa"/>
            <w:vAlign w:val="bottom"/>
          </w:tcPr>
          <w:p>
            <w:pPr>
              <w:ind w:left="200"/>
              <w:spacing w:after="0"/>
              <w:rPr>
                <w:sz w:val="20"/>
                <w:szCs w:val="20"/>
                <w:color w:val="auto"/>
              </w:rPr>
            </w:pPr>
            <w:r>
              <w:rPr>
                <w:rFonts w:ascii="Arial" w:cs="Arial" w:eastAsia="Arial" w:hAnsi="Arial"/>
                <w:sz w:val="18"/>
                <w:szCs w:val="18"/>
                <w:b w:val="1"/>
                <w:bCs w:val="1"/>
                <w:color w:val="000E1E"/>
              </w:rPr>
              <w:t>Matthew J. Espe</w:t>
            </w:r>
          </w:p>
        </w:tc>
        <w:tc>
          <w:tcPr>
            <w:tcW w:w="2580" w:type="dxa"/>
            <w:vAlign w:val="bottom"/>
          </w:tcPr>
          <w:p>
            <w:pPr>
              <w:ind w:left="660"/>
              <w:spacing w:after="0"/>
              <w:rPr>
                <w:sz w:val="20"/>
                <w:szCs w:val="20"/>
                <w:color w:val="auto"/>
              </w:rPr>
            </w:pPr>
            <w:r>
              <w:rPr>
                <w:rFonts w:ascii="Arial" w:cs="Arial" w:eastAsia="Arial" w:hAnsi="Arial"/>
                <w:sz w:val="18"/>
                <w:szCs w:val="18"/>
                <w:b w:val="1"/>
                <w:bCs w:val="1"/>
                <w:color w:val="000E1E"/>
              </w:rPr>
              <w:t>Steven A. Raymund</w:t>
            </w:r>
          </w:p>
        </w:tc>
        <w:tc>
          <w:tcPr>
            <w:tcW w:w="2640" w:type="dxa"/>
            <w:vAlign w:val="bottom"/>
          </w:tcPr>
          <w:p>
            <w:pPr>
              <w:ind w:left="240"/>
              <w:spacing w:after="0"/>
              <w:rPr>
                <w:sz w:val="20"/>
                <w:szCs w:val="20"/>
                <w:color w:val="auto"/>
              </w:rPr>
            </w:pPr>
            <w:r>
              <w:rPr>
                <w:rFonts w:ascii="Arial" w:cs="Arial" w:eastAsia="Arial" w:hAnsi="Arial"/>
                <w:sz w:val="18"/>
                <w:szCs w:val="18"/>
                <w:b w:val="1"/>
                <w:bCs w:val="1"/>
                <w:color w:val="000E1E"/>
              </w:rPr>
              <w:t>Laura K. Thompson</w:t>
            </w:r>
          </w:p>
        </w:tc>
      </w:tr>
      <w:tr>
        <w:trPr>
          <w:trHeight w:val="218"/>
        </w:trPr>
        <w:tc>
          <w:tcPr>
            <w:tcW w:w="2400" w:type="dxa"/>
            <w:vAlign w:val="bottom"/>
          </w:tcPr>
          <w:p>
            <w:pPr>
              <w:spacing w:after="0"/>
              <w:rPr>
                <w:sz w:val="20"/>
                <w:szCs w:val="20"/>
                <w:color w:val="auto"/>
              </w:rPr>
            </w:pPr>
            <w:r>
              <w:rPr>
                <w:rFonts w:ascii="Arial" w:cs="Arial" w:eastAsia="Arial" w:hAnsi="Arial"/>
                <w:sz w:val="18"/>
                <w:szCs w:val="18"/>
                <w:color w:val="000E1E"/>
                <w:w w:val="99"/>
              </w:rPr>
              <w:t>Former Chief Financial Officer</w:t>
            </w:r>
          </w:p>
        </w:tc>
        <w:tc>
          <w:tcPr>
            <w:tcW w:w="2120" w:type="dxa"/>
            <w:vAlign w:val="bottom"/>
          </w:tcPr>
          <w:p>
            <w:pPr>
              <w:ind w:left="200"/>
              <w:spacing w:after="0"/>
              <w:rPr>
                <w:sz w:val="20"/>
                <w:szCs w:val="20"/>
                <w:color w:val="auto"/>
              </w:rPr>
            </w:pPr>
            <w:r>
              <w:rPr>
                <w:rFonts w:ascii="Arial" w:cs="Arial" w:eastAsia="Arial" w:hAnsi="Arial"/>
                <w:sz w:val="18"/>
                <w:szCs w:val="18"/>
                <w:color w:val="000E1E"/>
              </w:rPr>
              <w:t>Director, Advisor</w:t>
            </w:r>
          </w:p>
        </w:tc>
        <w:tc>
          <w:tcPr>
            <w:tcW w:w="2580" w:type="dxa"/>
            <w:vAlign w:val="bottom"/>
          </w:tcPr>
          <w:p>
            <w:pPr>
              <w:ind w:left="660"/>
              <w:spacing w:after="0"/>
              <w:rPr>
                <w:sz w:val="20"/>
                <w:szCs w:val="20"/>
                <w:color w:val="auto"/>
              </w:rPr>
            </w:pPr>
            <w:r>
              <w:rPr>
                <w:rFonts w:ascii="Arial" w:cs="Arial" w:eastAsia="Arial" w:hAnsi="Arial"/>
                <w:sz w:val="18"/>
                <w:szCs w:val="18"/>
                <w:color w:val="000E1E"/>
              </w:rPr>
              <w:t>Former Chairman and</w:t>
            </w:r>
          </w:p>
        </w:tc>
        <w:tc>
          <w:tcPr>
            <w:tcW w:w="2640" w:type="dxa"/>
            <w:vAlign w:val="bottom"/>
          </w:tcPr>
          <w:p>
            <w:pPr>
              <w:ind w:left="240"/>
              <w:spacing w:after="0"/>
              <w:rPr>
                <w:sz w:val="20"/>
                <w:szCs w:val="20"/>
                <w:color w:val="auto"/>
              </w:rPr>
            </w:pPr>
            <w:r>
              <w:rPr>
                <w:rFonts w:ascii="Arial" w:cs="Arial" w:eastAsia="Arial" w:hAnsi="Arial"/>
                <w:sz w:val="18"/>
                <w:szCs w:val="18"/>
                <w:color w:val="000E1E"/>
                <w:w w:val="90"/>
              </w:rPr>
              <w:t>Former Executive Vice President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000E1E"/>
              </w:rPr>
              <w:t>Insight Enterprises, Inc.</w:t>
            </w:r>
          </w:p>
        </w:tc>
        <w:tc>
          <w:tcPr>
            <w:tcW w:w="2120" w:type="dxa"/>
            <w:vAlign w:val="bottom"/>
          </w:tcPr>
          <w:p>
            <w:pPr>
              <w:ind w:left="200"/>
              <w:spacing w:after="0"/>
              <w:rPr>
                <w:sz w:val="20"/>
                <w:szCs w:val="20"/>
                <w:color w:val="auto"/>
              </w:rPr>
            </w:pPr>
            <w:r>
              <w:rPr>
                <w:rFonts w:ascii="Arial" w:cs="Arial" w:eastAsia="Arial" w:hAnsi="Arial"/>
                <w:sz w:val="18"/>
                <w:szCs w:val="18"/>
                <w:color w:val="000E1E"/>
              </w:rPr>
              <w:t>and Investor</w:t>
            </w:r>
          </w:p>
        </w:tc>
        <w:tc>
          <w:tcPr>
            <w:tcW w:w="2580" w:type="dxa"/>
            <w:vAlign w:val="bottom"/>
          </w:tcPr>
          <w:p>
            <w:pPr>
              <w:ind w:left="660"/>
              <w:spacing w:after="0"/>
              <w:rPr>
                <w:sz w:val="20"/>
                <w:szCs w:val="20"/>
                <w:color w:val="auto"/>
              </w:rPr>
            </w:pPr>
            <w:r>
              <w:rPr>
                <w:rFonts w:ascii="Arial" w:cs="Arial" w:eastAsia="Arial" w:hAnsi="Arial"/>
                <w:sz w:val="18"/>
                <w:szCs w:val="18"/>
                <w:color w:val="000E1E"/>
              </w:rPr>
              <w:t>Chief Executive Officer</w:t>
            </w:r>
          </w:p>
        </w:tc>
        <w:tc>
          <w:tcPr>
            <w:tcW w:w="2640" w:type="dxa"/>
            <w:vAlign w:val="bottom"/>
          </w:tcPr>
          <w:p>
            <w:pPr>
              <w:ind w:left="240"/>
              <w:spacing w:after="0"/>
              <w:rPr>
                <w:sz w:val="20"/>
                <w:szCs w:val="20"/>
                <w:color w:val="auto"/>
              </w:rPr>
            </w:pPr>
            <w:r>
              <w:rPr>
                <w:rFonts w:ascii="Arial" w:cs="Arial" w:eastAsia="Arial" w:hAnsi="Arial"/>
                <w:sz w:val="18"/>
                <w:szCs w:val="18"/>
                <w:color w:val="000E1E"/>
              </w:rPr>
              <w:t>and Chief Financial Officer</w:t>
            </w:r>
          </w:p>
        </w:tc>
      </w:tr>
      <w:tr>
        <w:trPr>
          <w:trHeight w:val="214"/>
        </w:trPr>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80" w:type="dxa"/>
            <w:vAlign w:val="bottom"/>
          </w:tcPr>
          <w:p>
            <w:pPr>
              <w:ind w:left="660"/>
              <w:spacing w:after="0"/>
              <w:rPr>
                <w:sz w:val="20"/>
                <w:szCs w:val="20"/>
                <w:color w:val="auto"/>
              </w:rPr>
            </w:pPr>
            <w:r>
              <w:rPr>
                <w:rFonts w:ascii="Arial" w:cs="Arial" w:eastAsia="Arial" w:hAnsi="Arial"/>
                <w:sz w:val="18"/>
                <w:szCs w:val="18"/>
                <w:color w:val="000E1E"/>
              </w:rPr>
              <w:t>Tech Data Corporation</w:t>
            </w:r>
          </w:p>
        </w:tc>
        <w:tc>
          <w:tcPr>
            <w:tcW w:w="2640" w:type="dxa"/>
            <w:vAlign w:val="bottom"/>
          </w:tcPr>
          <w:p>
            <w:pPr>
              <w:ind w:left="240"/>
              <w:spacing w:after="0"/>
              <w:rPr>
                <w:sz w:val="20"/>
                <w:szCs w:val="20"/>
                <w:color w:val="auto"/>
              </w:rPr>
            </w:pPr>
            <w:r>
              <w:rPr>
                <w:rFonts w:ascii="Arial" w:cs="Arial" w:eastAsia="Arial" w:hAnsi="Arial"/>
                <w:sz w:val="18"/>
                <w:szCs w:val="18"/>
                <w:color w:val="000E1E"/>
              </w:rPr>
              <w:t>The Goodyear Tire and</w:t>
            </w:r>
          </w:p>
        </w:tc>
      </w:tr>
      <w:tr>
        <w:trPr>
          <w:trHeight w:val="216"/>
        </w:trPr>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000E1E"/>
              </w:rPr>
              <w:t>Rubber Company</w:t>
            </w:r>
          </w:p>
        </w:tc>
      </w:tr>
    </w:tbl>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340" w:type="dxa"/>
            <w:vAlign w:val="bottom"/>
          </w:tcPr>
          <w:p>
            <w:pPr>
              <w:spacing w:after="0"/>
              <w:rPr>
                <w:sz w:val="20"/>
                <w:szCs w:val="20"/>
                <w:color w:val="auto"/>
              </w:rPr>
            </w:pPr>
            <w:r>
              <w:rPr>
                <w:rFonts w:ascii="Arial" w:cs="Arial" w:eastAsia="Arial" w:hAnsi="Arial"/>
                <w:sz w:val="18"/>
                <w:szCs w:val="18"/>
                <w:b w:val="1"/>
                <w:bCs w:val="1"/>
                <w:color w:val="000E1E"/>
              </w:rPr>
              <w:t>Michael L. Carter</w:t>
            </w:r>
          </w:p>
        </w:tc>
        <w:tc>
          <w:tcPr>
            <w:tcW w:w="2480" w:type="dxa"/>
            <w:vAlign w:val="bottom"/>
          </w:tcPr>
          <w:p>
            <w:pPr>
              <w:ind w:left="260"/>
              <w:spacing w:after="0"/>
              <w:rPr>
                <w:sz w:val="20"/>
                <w:szCs w:val="20"/>
                <w:color w:val="auto"/>
              </w:rPr>
            </w:pPr>
            <w:r>
              <w:rPr>
                <w:rFonts w:ascii="Arial" w:cs="Arial" w:eastAsia="Arial" w:hAnsi="Arial"/>
                <w:sz w:val="18"/>
                <w:szCs w:val="18"/>
                <w:b w:val="1"/>
                <w:bCs w:val="1"/>
                <w:color w:val="000E1E"/>
              </w:rPr>
              <w:t>Bobby J. Griffin</w:t>
            </w:r>
          </w:p>
        </w:tc>
        <w:tc>
          <w:tcPr>
            <w:tcW w:w="2200" w:type="dxa"/>
            <w:vAlign w:val="bottom"/>
          </w:tcPr>
          <w:p>
            <w:pPr>
              <w:ind w:left="360"/>
              <w:spacing w:after="0"/>
              <w:rPr>
                <w:sz w:val="20"/>
                <w:szCs w:val="20"/>
                <w:color w:val="auto"/>
              </w:rPr>
            </w:pPr>
            <w:r>
              <w:rPr>
                <w:rFonts w:ascii="Arial" w:cs="Arial" w:eastAsia="Arial" w:hAnsi="Arial"/>
                <w:sz w:val="18"/>
                <w:szCs w:val="18"/>
                <w:b w:val="1"/>
                <w:bCs w:val="1"/>
                <w:color w:val="000E1E"/>
              </w:rPr>
              <w:t>James L. Singleton</w:t>
            </w:r>
          </w:p>
        </w:tc>
        <w:tc>
          <w:tcPr>
            <w:tcW w:w="1800" w:type="dxa"/>
            <w:vAlign w:val="bottom"/>
          </w:tcPr>
          <w:p>
            <w:pPr>
              <w:ind w:left="320"/>
              <w:spacing w:after="0"/>
              <w:rPr>
                <w:sz w:val="20"/>
                <w:szCs w:val="20"/>
                <w:color w:val="auto"/>
              </w:rPr>
            </w:pPr>
            <w:r>
              <w:rPr>
                <w:rFonts w:ascii="Arial" w:cs="Arial" w:eastAsia="Arial" w:hAnsi="Arial"/>
                <w:sz w:val="18"/>
                <w:szCs w:val="18"/>
                <w:b w:val="1"/>
                <w:bCs w:val="1"/>
                <w:color w:val="000E1E"/>
                <w:w w:val="92"/>
              </w:rPr>
              <w:t>David C. Wajsgras</w:t>
            </w:r>
          </w:p>
        </w:tc>
      </w:tr>
      <w:tr>
        <w:trPr>
          <w:trHeight w:val="218"/>
        </w:trPr>
        <w:tc>
          <w:tcPr>
            <w:tcW w:w="2340" w:type="dxa"/>
            <w:vAlign w:val="bottom"/>
          </w:tcPr>
          <w:p>
            <w:pPr>
              <w:spacing w:after="0"/>
              <w:rPr>
                <w:sz w:val="20"/>
                <w:szCs w:val="20"/>
                <w:color w:val="auto"/>
              </w:rPr>
            </w:pPr>
            <w:r>
              <w:rPr>
                <w:rFonts w:ascii="Arial" w:cs="Arial" w:eastAsia="Arial" w:hAnsi="Arial"/>
                <w:sz w:val="18"/>
                <w:szCs w:val="18"/>
                <w:color w:val="000E1E"/>
              </w:rPr>
              <w:t>Executive Vice President</w:t>
            </w:r>
          </w:p>
        </w:tc>
        <w:tc>
          <w:tcPr>
            <w:tcW w:w="2480" w:type="dxa"/>
            <w:vAlign w:val="bottom"/>
          </w:tcPr>
          <w:p>
            <w:pPr>
              <w:ind w:left="260"/>
              <w:spacing w:after="0"/>
              <w:rPr>
                <w:sz w:val="20"/>
                <w:szCs w:val="20"/>
                <w:color w:val="auto"/>
              </w:rPr>
            </w:pPr>
            <w:r>
              <w:rPr>
                <w:rFonts w:ascii="Arial" w:cs="Arial" w:eastAsia="Arial" w:hAnsi="Arial"/>
                <w:sz w:val="18"/>
                <w:szCs w:val="18"/>
                <w:color w:val="000E1E"/>
              </w:rPr>
              <w:t>Former President,</w:t>
            </w:r>
          </w:p>
        </w:tc>
        <w:tc>
          <w:tcPr>
            <w:tcW w:w="2200" w:type="dxa"/>
            <w:vAlign w:val="bottom"/>
          </w:tcPr>
          <w:p>
            <w:pPr>
              <w:ind w:left="360"/>
              <w:spacing w:after="0"/>
              <w:rPr>
                <w:sz w:val="20"/>
                <w:szCs w:val="20"/>
                <w:color w:val="auto"/>
              </w:rPr>
            </w:pPr>
            <w:r>
              <w:rPr>
                <w:rFonts w:ascii="Arial" w:cs="Arial" w:eastAsia="Arial" w:hAnsi="Arial"/>
                <w:sz w:val="18"/>
                <w:szCs w:val="18"/>
                <w:color w:val="000E1E"/>
              </w:rPr>
              <w:t>Chairman</w:t>
            </w:r>
          </w:p>
        </w:tc>
        <w:tc>
          <w:tcPr>
            <w:tcW w:w="1800" w:type="dxa"/>
            <w:vAlign w:val="bottom"/>
          </w:tcPr>
          <w:p>
            <w:pPr>
              <w:ind w:left="320"/>
              <w:spacing w:after="0"/>
              <w:rPr>
                <w:sz w:val="20"/>
                <w:szCs w:val="20"/>
                <w:color w:val="auto"/>
              </w:rPr>
            </w:pPr>
            <w:r>
              <w:rPr>
                <w:rFonts w:ascii="Arial" w:cs="Arial" w:eastAsia="Arial" w:hAnsi="Arial"/>
                <w:sz w:val="18"/>
                <w:szCs w:val="18"/>
                <w:color w:val="000E1E"/>
                <w:w w:val="91"/>
              </w:rPr>
              <w:t>Chairman and Chief</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000E1E"/>
              </w:rPr>
              <w:t>and Chief Partner Officer</w:t>
            </w:r>
          </w:p>
        </w:tc>
        <w:tc>
          <w:tcPr>
            <w:tcW w:w="2480" w:type="dxa"/>
            <w:vAlign w:val="bottom"/>
          </w:tcPr>
          <w:p>
            <w:pPr>
              <w:ind w:left="260"/>
              <w:spacing w:after="0"/>
              <w:rPr>
                <w:sz w:val="20"/>
                <w:szCs w:val="20"/>
                <w:color w:val="auto"/>
              </w:rPr>
            </w:pPr>
            <w:r>
              <w:rPr>
                <w:rFonts w:ascii="Arial" w:cs="Arial" w:eastAsia="Arial" w:hAnsi="Arial"/>
                <w:sz w:val="18"/>
                <w:szCs w:val="18"/>
                <w:color w:val="000E1E"/>
              </w:rPr>
              <w:t>International Operations</w:t>
            </w:r>
          </w:p>
        </w:tc>
        <w:tc>
          <w:tcPr>
            <w:tcW w:w="2200" w:type="dxa"/>
            <w:vAlign w:val="bottom"/>
          </w:tcPr>
          <w:p>
            <w:pPr>
              <w:ind w:left="360"/>
              <w:spacing w:after="0"/>
              <w:rPr>
                <w:sz w:val="20"/>
                <w:szCs w:val="20"/>
                <w:color w:val="auto"/>
              </w:rPr>
            </w:pPr>
            <w:r>
              <w:rPr>
                <w:rFonts w:ascii="Arial" w:cs="Arial" w:eastAsia="Arial" w:hAnsi="Arial"/>
                <w:sz w:val="18"/>
                <w:szCs w:val="18"/>
                <w:color w:val="000E1E"/>
              </w:rPr>
              <w:t>CGH, LLC</w:t>
            </w:r>
          </w:p>
        </w:tc>
        <w:tc>
          <w:tcPr>
            <w:tcW w:w="1800" w:type="dxa"/>
            <w:vAlign w:val="bottom"/>
          </w:tcPr>
          <w:p>
            <w:pPr>
              <w:ind w:left="320"/>
              <w:spacing w:after="0"/>
              <w:rPr>
                <w:sz w:val="20"/>
                <w:szCs w:val="20"/>
                <w:color w:val="auto"/>
              </w:rPr>
            </w:pPr>
            <w:r>
              <w:rPr>
                <w:rFonts w:ascii="Arial" w:cs="Arial" w:eastAsia="Arial" w:hAnsi="Arial"/>
                <w:sz w:val="18"/>
                <w:szCs w:val="18"/>
                <w:color w:val="000E1E"/>
              </w:rPr>
              <w:t>Executive Officer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000E1E"/>
              </w:rPr>
              <w:t>Truist Financial Corporation</w:t>
            </w:r>
          </w:p>
        </w:tc>
        <w:tc>
          <w:tcPr>
            <w:tcW w:w="2480" w:type="dxa"/>
            <w:vAlign w:val="bottom"/>
          </w:tcPr>
          <w:p>
            <w:pPr>
              <w:ind w:left="260"/>
              <w:spacing w:after="0"/>
              <w:rPr>
                <w:sz w:val="20"/>
                <w:szCs w:val="20"/>
                <w:color w:val="auto"/>
              </w:rPr>
            </w:pPr>
            <w:r>
              <w:rPr>
                <w:rFonts w:ascii="Arial" w:cs="Arial" w:eastAsia="Arial" w:hAnsi="Arial"/>
                <w:sz w:val="18"/>
                <w:szCs w:val="18"/>
                <w:color w:val="000E1E"/>
              </w:rPr>
              <w:t>Ryder System, Inc.</w:t>
            </w:r>
          </w:p>
        </w:tc>
        <w:tc>
          <w:tcPr>
            <w:tcW w:w="2200" w:type="dxa"/>
            <w:vAlign w:val="bottom"/>
          </w:tcPr>
          <w:p>
            <w:pPr>
              <w:spacing w:after="0"/>
              <w:rPr>
                <w:sz w:val="18"/>
                <w:szCs w:val="18"/>
                <w:color w:val="auto"/>
              </w:rPr>
            </w:pPr>
          </w:p>
        </w:tc>
        <w:tc>
          <w:tcPr>
            <w:tcW w:w="1800" w:type="dxa"/>
            <w:vAlign w:val="bottom"/>
          </w:tcPr>
          <w:p>
            <w:pPr>
              <w:ind w:left="320"/>
              <w:spacing w:after="0"/>
              <w:rPr>
                <w:sz w:val="20"/>
                <w:szCs w:val="20"/>
                <w:color w:val="auto"/>
              </w:rPr>
            </w:pPr>
            <w:r>
              <w:rPr>
                <w:rFonts w:ascii="Arial" w:cs="Arial" w:eastAsia="Arial" w:hAnsi="Arial"/>
                <w:sz w:val="18"/>
                <w:szCs w:val="18"/>
                <w:color w:val="000E1E"/>
              </w:rPr>
              <w:t>Everfox</w:t>
            </w:r>
          </w:p>
        </w:tc>
      </w:tr>
    </w:tbl>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4C7998"/>
        </w:rPr>
        <w:t>EXECUTIVE OFFICERS</w:t>
      </w:r>
    </w:p>
    <w:p>
      <w:pPr>
        <w:sectPr>
          <w:pgSz w:w="11880" w:h="15480" w:orient="portrait"/>
          <w:cols w:equalWidth="0" w:num="1">
            <w:col w:w="9760"/>
          </w:cols>
          <w:pgMar w:left="1240" w:top="928" w:right="880" w:bottom="135"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i w:val="1"/>
          <w:iCs w:val="1"/>
          <w:color w:val="000E1E"/>
        </w:rPr>
        <w:t>*Executive Officers as of March 30, 2026</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0E1E"/>
        </w:rPr>
        <w:t>John J. Engel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000E1E"/>
        </w:rPr>
        <w:t>Chairman,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E1E"/>
        </w:rPr>
        <w:t>Chief Executive Officer</w:t>
      </w:r>
    </w:p>
    <w:p>
      <w:pPr>
        <w:spacing w:after="0" w:line="200" w:lineRule="exact"/>
        <w:rPr>
          <w:sz w:val="20"/>
          <w:szCs w:val="20"/>
          <w:color w:val="auto"/>
        </w:rPr>
      </w:pPr>
    </w:p>
    <w:p>
      <w:pPr>
        <w:sectPr>
          <w:pgSz w:w="11880" w:h="15480" w:orient="portrait"/>
          <w:cols w:equalWidth="0" w:num="2">
            <w:col w:w="3200" w:space="720"/>
            <w:col w:w="5840"/>
          </w:cols>
          <w:pgMar w:left="1240" w:top="928" w:right="880" w:bottom="135" w:gutter="0" w:footer="0" w:header="0"/>
          <w:type w:val="continuous"/>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20"/>
                <w:szCs w:val="20"/>
                <w:color w:val="auto"/>
              </w:rPr>
            </w:pPr>
            <w:r>
              <w:rPr>
                <w:rFonts w:ascii="Arial" w:cs="Arial" w:eastAsia="Arial" w:hAnsi="Arial"/>
                <w:sz w:val="18"/>
                <w:szCs w:val="18"/>
                <w:b w:val="1"/>
                <w:bCs w:val="1"/>
                <w:color w:val="000E1E"/>
              </w:rPr>
              <w:t>James F. Cameron</w:t>
            </w:r>
          </w:p>
        </w:tc>
        <w:tc>
          <w:tcPr>
            <w:tcW w:w="3960" w:type="dxa"/>
            <w:vAlign w:val="bottom"/>
          </w:tcPr>
          <w:p>
            <w:pPr>
              <w:ind w:left="880"/>
              <w:spacing w:after="0"/>
              <w:rPr>
                <w:sz w:val="20"/>
                <w:szCs w:val="20"/>
                <w:color w:val="auto"/>
              </w:rPr>
            </w:pPr>
            <w:r>
              <w:rPr>
                <w:rFonts w:ascii="Arial" w:cs="Arial" w:eastAsia="Arial" w:hAnsi="Arial"/>
                <w:sz w:val="18"/>
                <w:szCs w:val="18"/>
                <w:b w:val="1"/>
                <w:bCs w:val="1"/>
                <w:color w:val="000E1E"/>
              </w:rPr>
              <w:t>Akash Khurana</w:t>
            </w:r>
          </w:p>
        </w:tc>
        <w:tc>
          <w:tcPr>
            <w:tcW w:w="2680" w:type="dxa"/>
            <w:vAlign w:val="bottom"/>
          </w:tcPr>
          <w:p>
            <w:pPr>
              <w:ind w:left="360"/>
              <w:spacing w:after="0"/>
              <w:rPr>
                <w:sz w:val="20"/>
                <w:szCs w:val="20"/>
                <w:color w:val="auto"/>
              </w:rPr>
            </w:pPr>
            <w:r>
              <w:rPr>
                <w:rFonts w:ascii="Arial" w:cs="Arial" w:eastAsia="Arial" w:hAnsi="Arial"/>
                <w:sz w:val="18"/>
                <w:szCs w:val="18"/>
                <w:b w:val="1"/>
                <w:bCs w:val="1"/>
                <w:color w:val="000E1E"/>
              </w:rPr>
              <w:t>Hemant Porwal</w:t>
            </w:r>
          </w:p>
        </w:tc>
      </w:tr>
      <w:tr>
        <w:trPr>
          <w:trHeight w:val="218"/>
        </w:trPr>
        <w:tc>
          <w:tcPr>
            <w:tcW w:w="3020" w:type="dxa"/>
            <w:vAlign w:val="bottom"/>
          </w:tcPr>
          <w:p>
            <w:pPr>
              <w:spacing w:after="0"/>
              <w:rPr>
                <w:sz w:val="20"/>
                <w:szCs w:val="20"/>
                <w:color w:val="auto"/>
              </w:rPr>
            </w:pPr>
            <w:r>
              <w:rPr>
                <w:rFonts w:ascii="Arial" w:cs="Arial" w:eastAsia="Arial" w:hAnsi="Arial"/>
                <w:sz w:val="18"/>
                <w:szCs w:val="18"/>
                <w:color w:val="000E1E"/>
              </w:rPr>
              <w:t>Executive Vice President and</w:t>
            </w:r>
          </w:p>
        </w:tc>
        <w:tc>
          <w:tcPr>
            <w:tcW w:w="3960" w:type="dxa"/>
            <w:vAlign w:val="bottom"/>
          </w:tcPr>
          <w:p>
            <w:pPr>
              <w:ind w:left="880"/>
              <w:spacing w:after="0"/>
              <w:rPr>
                <w:sz w:val="20"/>
                <w:szCs w:val="20"/>
                <w:color w:val="auto"/>
              </w:rPr>
            </w:pPr>
            <w:r>
              <w:rPr>
                <w:rFonts w:ascii="Arial" w:cs="Arial" w:eastAsia="Arial" w:hAnsi="Arial"/>
                <w:sz w:val="18"/>
                <w:szCs w:val="18"/>
                <w:color w:val="000E1E"/>
              </w:rPr>
              <w:t>Executive Vice President and</w:t>
            </w:r>
          </w:p>
        </w:tc>
        <w:tc>
          <w:tcPr>
            <w:tcW w:w="2680" w:type="dxa"/>
            <w:vAlign w:val="bottom"/>
          </w:tcPr>
          <w:p>
            <w:pPr>
              <w:ind w:left="360"/>
              <w:spacing w:after="0"/>
              <w:rPr>
                <w:sz w:val="20"/>
                <w:szCs w:val="20"/>
                <w:color w:val="auto"/>
              </w:rPr>
            </w:pPr>
            <w:r>
              <w:rPr>
                <w:rFonts w:ascii="Arial" w:cs="Arial" w:eastAsia="Arial" w:hAnsi="Arial"/>
                <w:sz w:val="18"/>
                <w:szCs w:val="18"/>
                <w:color w:val="000E1E"/>
              </w:rPr>
              <w:t>Executive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000E1E"/>
              </w:rPr>
              <w:t>General Manager, Utility and</w:t>
            </w:r>
          </w:p>
        </w:tc>
        <w:tc>
          <w:tcPr>
            <w:tcW w:w="3960" w:type="dxa"/>
            <w:vAlign w:val="bottom"/>
          </w:tcPr>
          <w:p>
            <w:pPr>
              <w:ind w:left="880"/>
              <w:spacing w:after="0"/>
              <w:rPr>
                <w:sz w:val="20"/>
                <w:szCs w:val="20"/>
                <w:color w:val="auto"/>
              </w:rPr>
            </w:pPr>
            <w:r>
              <w:rPr>
                <w:rFonts w:ascii="Arial" w:cs="Arial" w:eastAsia="Arial" w:hAnsi="Arial"/>
                <w:sz w:val="18"/>
                <w:szCs w:val="18"/>
                <w:color w:val="000E1E"/>
              </w:rPr>
              <w:t>Chief Information and Digital Officer</w:t>
            </w:r>
          </w:p>
        </w:tc>
        <w:tc>
          <w:tcPr>
            <w:tcW w:w="2680" w:type="dxa"/>
            <w:vAlign w:val="bottom"/>
          </w:tcPr>
          <w:p>
            <w:pPr>
              <w:ind w:left="360"/>
              <w:spacing w:after="0"/>
              <w:rPr>
                <w:sz w:val="20"/>
                <w:szCs w:val="20"/>
                <w:color w:val="auto"/>
              </w:rPr>
            </w:pPr>
            <w:r>
              <w:rPr>
                <w:rFonts w:ascii="Arial" w:cs="Arial" w:eastAsia="Arial" w:hAnsi="Arial"/>
                <w:sz w:val="18"/>
                <w:szCs w:val="18"/>
                <w:color w:val="000E1E"/>
                <w:w w:val="97"/>
              </w:rPr>
              <w:t>Supply Chain and Operations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000E1E"/>
              </w:rPr>
              <w:t>Broadband Solutions</w:t>
            </w:r>
          </w:p>
        </w:tc>
        <w:tc>
          <w:tcPr>
            <w:tcW w:w="39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433"/>
        </w:trPr>
        <w:tc>
          <w:tcPr>
            <w:tcW w:w="3020" w:type="dxa"/>
            <w:vAlign w:val="bottom"/>
          </w:tcPr>
          <w:p>
            <w:pPr>
              <w:spacing w:after="0"/>
              <w:rPr>
                <w:sz w:val="20"/>
                <w:szCs w:val="20"/>
                <w:color w:val="auto"/>
              </w:rPr>
            </w:pPr>
            <w:r>
              <w:rPr>
                <w:rFonts w:ascii="Arial" w:cs="Arial" w:eastAsia="Arial" w:hAnsi="Arial"/>
                <w:sz w:val="18"/>
                <w:szCs w:val="18"/>
                <w:b w:val="1"/>
                <w:bCs w:val="1"/>
                <w:color w:val="000E1E"/>
              </w:rPr>
              <w:t>Daniel J. Castillo</w:t>
            </w:r>
          </w:p>
        </w:tc>
        <w:tc>
          <w:tcPr>
            <w:tcW w:w="3960" w:type="dxa"/>
            <w:vAlign w:val="bottom"/>
          </w:tcPr>
          <w:p>
            <w:pPr>
              <w:ind w:left="880"/>
              <w:spacing w:after="0"/>
              <w:rPr>
                <w:sz w:val="20"/>
                <w:szCs w:val="20"/>
                <w:color w:val="auto"/>
              </w:rPr>
            </w:pPr>
            <w:r>
              <w:rPr>
                <w:rFonts w:ascii="Arial" w:cs="Arial" w:eastAsia="Arial" w:hAnsi="Arial"/>
                <w:sz w:val="18"/>
                <w:szCs w:val="18"/>
                <w:b w:val="1"/>
                <w:bCs w:val="1"/>
                <w:color w:val="000E1E"/>
              </w:rPr>
              <w:t>Diane E. Lazzaris</w:t>
            </w:r>
          </w:p>
        </w:tc>
        <w:tc>
          <w:tcPr>
            <w:tcW w:w="2680" w:type="dxa"/>
            <w:vAlign w:val="bottom"/>
          </w:tcPr>
          <w:p>
            <w:pPr>
              <w:ind w:left="360"/>
              <w:spacing w:after="0"/>
              <w:rPr>
                <w:sz w:val="20"/>
                <w:szCs w:val="20"/>
                <w:color w:val="auto"/>
              </w:rPr>
            </w:pPr>
            <w:r>
              <w:rPr>
                <w:rFonts w:ascii="Arial" w:cs="Arial" w:eastAsia="Arial" w:hAnsi="Arial"/>
                <w:sz w:val="18"/>
                <w:szCs w:val="18"/>
                <w:b w:val="1"/>
                <w:bCs w:val="1"/>
                <w:color w:val="000E1E"/>
              </w:rPr>
              <w:t>David S. Schulz</w:t>
            </w:r>
          </w:p>
        </w:tc>
      </w:tr>
      <w:tr>
        <w:trPr>
          <w:trHeight w:val="218"/>
        </w:trPr>
        <w:tc>
          <w:tcPr>
            <w:tcW w:w="3020" w:type="dxa"/>
            <w:vAlign w:val="bottom"/>
          </w:tcPr>
          <w:p>
            <w:pPr>
              <w:spacing w:after="0"/>
              <w:rPr>
                <w:sz w:val="20"/>
                <w:szCs w:val="20"/>
                <w:color w:val="auto"/>
              </w:rPr>
            </w:pPr>
            <w:r>
              <w:rPr>
                <w:rFonts w:ascii="Arial" w:cs="Arial" w:eastAsia="Arial" w:hAnsi="Arial"/>
                <w:sz w:val="18"/>
                <w:szCs w:val="18"/>
                <w:color w:val="000E1E"/>
              </w:rPr>
              <w:t>Executive Vice President and</w:t>
            </w:r>
          </w:p>
        </w:tc>
        <w:tc>
          <w:tcPr>
            <w:tcW w:w="3960" w:type="dxa"/>
            <w:vAlign w:val="bottom"/>
          </w:tcPr>
          <w:p>
            <w:pPr>
              <w:ind w:left="880"/>
              <w:spacing w:after="0"/>
              <w:rPr>
                <w:sz w:val="20"/>
                <w:szCs w:val="20"/>
                <w:color w:val="auto"/>
              </w:rPr>
            </w:pPr>
            <w:r>
              <w:rPr>
                <w:rFonts w:ascii="Arial" w:cs="Arial" w:eastAsia="Arial" w:hAnsi="Arial"/>
                <w:sz w:val="18"/>
                <w:szCs w:val="18"/>
                <w:color w:val="000E1E"/>
              </w:rPr>
              <w:t>Executive Vice President and</w:t>
            </w:r>
          </w:p>
        </w:tc>
        <w:tc>
          <w:tcPr>
            <w:tcW w:w="2680" w:type="dxa"/>
            <w:vAlign w:val="bottom"/>
          </w:tcPr>
          <w:p>
            <w:pPr>
              <w:ind w:left="360"/>
              <w:spacing w:after="0"/>
              <w:rPr>
                <w:sz w:val="20"/>
                <w:szCs w:val="20"/>
                <w:color w:val="auto"/>
              </w:rPr>
            </w:pPr>
            <w:r>
              <w:rPr>
                <w:rFonts w:ascii="Arial" w:cs="Arial" w:eastAsia="Arial" w:hAnsi="Arial"/>
                <w:sz w:val="18"/>
                <w:szCs w:val="18"/>
                <w:color w:val="000E1E"/>
              </w:rPr>
              <w:t>Executive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000E1E"/>
              </w:rPr>
              <w:t>General Manager, Electrical</w:t>
            </w:r>
          </w:p>
        </w:tc>
        <w:tc>
          <w:tcPr>
            <w:tcW w:w="3960" w:type="dxa"/>
            <w:vAlign w:val="bottom"/>
          </w:tcPr>
          <w:p>
            <w:pPr>
              <w:ind w:left="880"/>
              <w:spacing w:after="0"/>
              <w:rPr>
                <w:sz w:val="20"/>
                <w:szCs w:val="20"/>
                <w:color w:val="auto"/>
              </w:rPr>
            </w:pPr>
            <w:r>
              <w:rPr>
                <w:rFonts w:ascii="Arial" w:cs="Arial" w:eastAsia="Arial" w:hAnsi="Arial"/>
                <w:sz w:val="18"/>
                <w:szCs w:val="18"/>
                <w:color w:val="000E1E"/>
              </w:rPr>
              <w:t>General Counsel</w:t>
            </w:r>
          </w:p>
        </w:tc>
        <w:tc>
          <w:tcPr>
            <w:tcW w:w="2680" w:type="dxa"/>
            <w:vAlign w:val="bottom"/>
          </w:tcPr>
          <w:p>
            <w:pPr>
              <w:ind w:left="360"/>
              <w:spacing w:after="0"/>
              <w:rPr>
                <w:sz w:val="20"/>
                <w:szCs w:val="20"/>
                <w:color w:val="auto"/>
              </w:rPr>
            </w:pPr>
            <w:r>
              <w:rPr>
                <w:rFonts w:ascii="Arial" w:cs="Arial" w:eastAsia="Arial" w:hAnsi="Arial"/>
                <w:sz w:val="18"/>
                <w:szCs w:val="18"/>
                <w:color w:val="000E1E"/>
                <w:w w:val="93"/>
              </w:rPr>
              <w:t>(former Chief Financial Officer)</w:t>
            </w: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000E1E"/>
              </w:rPr>
              <w:t>and Electronic Solutions</w:t>
            </w:r>
          </w:p>
        </w:tc>
        <w:tc>
          <w:tcPr>
            <w:tcW w:w="39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461"/>
        </w:trPr>
        <w:tc>
          <w:tcPr>
            <w:tcW w:w="3020" w:type="dxa"/>
            <w:vAlign w:val="bottom"/>
          </w:tcPr>
          <w:p>
            <w:pPr>
              <w:spacing w:after="0"/>
              <w:rPr>
                <w:sz w:val="20"/>
                <w:szCs w:val="20"/>
                <w:color w:val="auto"/>
              </w:rPr>
            </w:pPr>
            <w:r>
              <w:rPr>
                <w:rFonts w:ascii="Arial" w:cs="Arial" w:eastAsia="Arial" w:hAnsi="Arial"/>
                <w:sz w:val="18"/>
                <w:szCs w:val="18"/>
                <w:b w:val="1"/>
                <w:bCs w:val="1"/>
                <w:color w:val="000E1E"/>
              </w:rPr>
              <w:t>Indraneel Dev</w:t>
            </w:r>
          </w:p>
        </w:tc>
        <w:tc>
          <w:tcPr>
            <w:tcW w:w="3960" w:type="dxa"/>
            <w:vAlign w:val="bottom"/>
          </w:tcPr>
          <w:p>
            <w:pPr>
              <w:ind w:left="880"/>
              <w:spacing w:after="0"/>
              <w:rPr>
                <w:sz w:val="20"/>
                <w:szCs w:val="20"/>
                <w:color w:val="auto"/>
              </w:rPr>
            </w:pPr>
            <w:r>
              <w:rPr>
                <w:rFonts w:ascii="Arial" w:cs="Arial" w:eastAsia="Arial" w:hAnsi="Arial"/>
                <w:sz w:val="18"/>
                <w:szCs w:val="18"/>
                <w:b w:val="1"/>
                <w:bCs w:val="1"/>
                <w:color w:val="000E1E"/>
              </w:rPr>
              <w:t>Dirk W. Naylor</w:t>
            </w:r>
          </w:p>
        </w:tc>
        <w:tc>
          <w:tcPr>
            <w:tcW w:w="2680" w:type="dxa"/>
            <w:vAlign w:val="bottom"/>
          </w:tcPr>
          <w:p>
            <w:pPr>
              <w:ind w:left="360"/>
              <w:spacing w:after="0"/>
              <w:rPr>
                <w:sz w:val="20"/>
                <w:szCs w:val="20"/>
                <w:color w:val="auto"/>
              </w:rPr>
            </w:pPr>
            <w:r>
              <w:rPr>
                <w:rFonts w:ascii="Arial" w:cs="Arial" w:eastAsia="Arial" w:hAnsi="Arial"/>
                <w:sz w:val="18"/>
                <w:szCs w:val="18"/>
                <w:b w:val="1"/>
                <w:bCs w:val="1"/>
                <w:color w:val="000E1E"/>
              </w:rPr>
              <w:t>Christine A. Wolf</w:t>
            </w:r>
          </w:p>
        </w:tc>
      </w:tr>
      <w:tr>
        <w:trPr>
          <w:trHeight w:val="218"/>
        </w:trPr>
        <w:tc>
          <w:tcPr>
            <w:tcW w:w="3020" w:type="dxa"/>
            <w:vAlign w:val="bottom"/>
          </w:tcPr>
          <w:p>
            <w:pPr>
              <w:spacing w:after="0"/>
              <w:rPr>
                <w:sz w:val="20"/>
                <w:szCs w:val="20"/>
                <w:color w:val="auto"/>
              </w:rPr>
            </w:pPr>
            <w:r>
              <w:rPr>
                <w:rFonts w:ascii="Arial" w:cs="Arial" w:eastAsia="Arial" w:hAnsi="Arial"/>
                <w:sz w:val="18"/>
                <w:szCs w:val="18"/>
                <w:color w:val="000E1E"/>
              </w:rPr>
              <w:t>Executive Vice President and</w:t>
            </w:r>
          </w:p>
        </w:tc>
        <w:tc>
          <w:tcPr>
            <w:tcW w:w="3960" w:type="dxa"/>
            <w:vAlign w:val="bottom"/>
          </w:tcPr>
          <w:p>
            <w:pPr>
              <w:ind w:left="880"/>
              <w:spacing w:after="0"/>
              <w:rPr>
                <w:sz w:val="20"/>
                <w:szCs w:val="20"/>
                <w:color w:val="auto"/>
              </w:rPr>
            </w:pPr>
            <w:r>
              <w:rPr>
                <w:rFonts w:ascii="Arial" w:cs="Arial" w:eastAsia="Arial" w:hAnsi="Arial"/>
                <w:sz w:val="18"/>
                <w:szCs w:val="18"/>
                <w:color w:val="000E1E"/>
              </w:rPr>
              <w:t>Executive Vice President and</w:t>
            </w:r>
          </w:p>
        </w:tc>
        <w:tc>
          <w:tcPr>
            <w:tcW w:w="2680" w:type="dxa"/>
            <w:vAlign w:val="bottom"/>
          </w:tcPr>
          <w:p>
            <w:pPr>
              <w:ind w:left="360"/>
              <w:spacing w:after="0" w:line="195" w:lineRule="exact"/>
              <w:rPr>
                <w:sz w:val="20"/>
                <w:szCs w:val="20"/>
                <w:color w:val="auto"/>
              </w:rPr>
            </w:pPr>
            <w:r>
              <w:rPr>
                <w:rFonts w:ascii="Arial" w:cs="Arial" w:eastAsia="Arial" w:hAnsi="Arial"/>
                <w:sz w:val="18"/>
                <w:szCs w:val="18"/>
                <w:color w:val="000E1E"/>
                <w:w w:val="98"/>
              </w:rPr>
              <w:t>Executive Vice President and</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000E1E"/>
              </w:rPr>
              <w:t>Chief Financial Officer</w:t>
            </w:r>
          </w:p>
        </w:tc>
        <w:tc>
          <w:tcPr>
            <w:tcW w:w="3960" w:type="dxa"/>
            <w:vAlign w:val="bottom"/>
          </w:tcPr>
          <w:p>
            <w:pPr>
              <w:ind w:left="880"/>
              <w:spacing w:after="0"/>
              <w:rPr>
                <w:sz w:val="20"/>
                <w:szCs w:val="20"/>
                <w:color w:val="auto"/>
              </w:rPr>
            </w:pPr>
            <w:r>
              <w:rPr>
                <w:rFonts w:ascii="Arial" w:cs="Arial" w:eastAsia="Arial" w:hAnsi="Arial"/>
                <w:sz w:val="18"/>
                <w:szCs w:val="18"/>
                <w:color w:val="000E1E"/>
              </w:rPr>
              <w:t>General Manager, Communications</w:t>
            </w:r>
          </w:p>
        </w:tc>
        <w:tc>
          <w:tcPr>
            <w:tcW w:w="2680" w:type="dxa"/>
            <w:vAlign w:val="bottom"/>
          </w:tcPr>
          <w:p>
            <w:pPr>
              <w:ind w:left="360"/>
              <w:spacing w:after="0" w:line="193" w:lineRule="exact"/>
              <w:rPr>
                <w:sz w:val="20"/>
                <w:szCs w:val="20"/>
                <w:color w:val="auto"/>
              </w:rPr>
            </w:pPr>
            <w:r>
              <w:rPr>
                <w:rFonts w:ascii="Arial" w:cs="Arial" w:eastAsia="Arial" w:hAnsi="Arial"/>
                <w:sz w:val="18"/>
                <w:szCs w:val="18"/>
                <w:color w:val="000E1E"/>
                <w:w w:val="90"/>
              </w:rPr>
              <w:t>Chief Human Resources Officer</w:t>
            </w:r>
          </w:p>
        </w:tc>
      </w:tr>
      <w:tr>
        <w:trPr>
          <w:trHeight w:val="216"/>
        </w:trPr>
        <w:tc>
          <w:tcPr>
            <w:tcW w:w="3020" w:type="dxa"/>
            <w:vAlign w:val="bottom"/>
          </w:tcPr>
          <w:p>
            <w:pPr>
              <w:spacing w:after="0"/>
              <w:rPr>
                <w:sz w:val="18"/>
                <w:szCs w:val="18"/>
                <w:color w:val="auto"/>
              </w:rPr>
            </w:pPr>
          </w:p>
        </w:tc>
        <w:tc>
          <w:tcPr>
            <w:tcW w:w="3960" w:type="dxa"/>
            <w:vAlign w:val="bottom"/>
          </w:tcPr>
          <w:p>
            <w:pPr>
              <w:ind w:left="880"/>
              <w:spacing w:after="0"/>
              <w:rPr>
                <w:sz w:val="20"/>
                <w:szCs w:val="20"/>
                <w:color w:val="auto"/>
              </w:rPr>
            </w:pPr>
            <w:r>
              <w:rPr>
                <w:rFonts w:ascii="Arial" w:cs="Arial" w:eastAsia="Arial" w:hAnsi="Arial"/>
                <w:sz w:val="18"/>
                <w:szCs w:val="18"/>
                <w:color w:val="000E1E"/>
              </w:rPr>
              <w:t>and Security Solutions</w:t>
            </w:r>
          </w:p>
        </w:tc>
        <w:tc>
          <w:tcPr>
            <w:tcW w:w="2680" w:type="dxa"/>
            <w:vAlign w:val="bottom"/>
          </w:tcPr>
          <w:p>
            <w:pPr>
              <w:spacing w:after="0"/>
              <w:rPr>
                <w:sz w:val="18"/>
                <w:szCs w:val="18"/>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31"/>
          <w:szCs w:val="31"/>
          <w:b w:val="1"/>
          <w:bCs w:val="1"/>
          <w:color w:val="000E1E"/>
        </w:rPr>
        <w:t>Ingenuity delivered.</w:t>
      </w:r>
    </w:p>
    <w:p>
      <w:pPr>
        <w:sectPr>
          <w:pgSz w:w="11880" w:h="15480" w:orient="portrait"/>
          <w:cols w:equalWidth="0" w:num="1">
            <w:col w:w="9760"/>
          </w:cols>
          <w:pgMar w:left="1240" w:top="928" w:right="880" w:bottom="135"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59"/>
          <w:szCs w:val="59"/>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Ingenuity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Wesco International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FFFFFF"/>
        </w:rPr>
        <w:t>Suite 700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225 West Station Square Drive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FFFFFF"/>
        </w:rPr>
        <w:t>Pittsburgh, PA 15219-1122</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FFFFFF"/>
        </w:rPr>
        <w:t xml:space="preserve">412.454.2200 </w:t>
      </w:r>
      <w:r>
        <w:rPr>
          <w:rFonts w:ascii="Arial" w:cs="Arial" w:eastAsia="Arial" w:hAnsi="Arial"/>
          <w:sz w:val="19"/>
          <w:szCs w:val="19"/>
          <w:b w:val="1"/>
          <w:bCs w:val="1"/>
          <w:color w:val="02A94B"/>
        </w:rPr>
        <w:t>I</w:t>
      </w:r>
      <w:r>
        <w:rPr>
          <w:rFonts w:ascii="Arial" w:cs="Arial" w:eastAsia="Arial" w:hAnsi="Arial"/>
          <w:sz w:val="19"/>
          <w:szCs w:val="19"/>
          <w:color w:val="FFFFFF"/>
        </w:rPr>
        <w:t xml:space="preserve"> Wesco.com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180"/>
        <w:spacing w:after="0" w:line="250" w:lineRule="auto"/>
        <w:rPr>
          <w:sz w:val="20"/>
          <w:szCs w:val="20"/>
          <w:color w:val="auto"/>
        </w:rPr>
      </w:pPr>
      <w:r>
        <w:rPr>
          <w:rFonts w:ascii="Arial" w:cs="Arial" w:eastAsia="Arial" w:hAnsi="Arial"/>
          <w:sz w:val="15"/>
          <w:szCs w:val="15"/>
          <w:color w:val="FFFFFF"/>
        </w:rPr>
        <w:t>The printer and paper used for this report have been certified by the Forest Stewardship Council® (FSC®), which promotes environmentally appropriate, socially beneficial and economically viable management of the world’s forests. This report is printed on paper made from well-managed, FSC®-certified forests and other controlled sources.</w:t>
      </w:r>
    </w:p>
    <w:sectPr>
      <w:pgSz w:w="11880" w:h="15480" w:orient="portrait"/>
      <w:cols w:equalWidth="0" w:num="1">
        <w:col w:w="9740"/>
      </w:cols>
      <w:pgMar w:left="1160" w:top="828" w:right="980" w:bottom="31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bullet"/>
      <w:start w:val="1"/>
    </w:lvl>
  </w:abstractNum>
  <w:abstractNum w:abstractNumId="1">
    <w:nsid w:val="2443A858"/>
    <w:multiLevelType w:val="hybridMultilevel"/>
    <w:lvl w:ilvl="0">
      <w:lvlJc w:val="left"/>
      <w:lvlText w:val="2"/>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emdash "/>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3"/>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3"/>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2"/>
    </w:lvl>
  </w:abstractNum>
  <w:abstractNum w:abstractNumId="40">
    <w:nsid w:val="70A64E2A"/>
    <w:multiLevelType w:val="hybridMultilevel"/>
    <w:lvl w:ilvl="0">
      <w:lvlJc w:val="left"/>
      <w:lvlText w:val="(%1)"/>
      <w:numFmt w:val="lowerLetter"/>
      <w:start w:val="2"/>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2026-04-17T05:16:27Z</dcterms:created>
  <dcterms:modified xsi:type="dcterms:W3CDTF">2026-04-17T05:16:27Z</dcterms:modified>
</cp:coreProperties>
</file>