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NAGARAJAN SUNDARAM</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WESCO INTERNATIONAL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20" w:type="dxa"/>
            <w:vAlign w:val="bottom"/>
            <w:tcBorders>
              <w:top w:val="single" w:sz="8" w:color="0000EE"/>
            </w:tcBorders>
          </w:tcPr>
          <w:p>
            <w:pPr>
              <w:spacing w:after="0"/>
              <w:rPr>
                <w:sz w:val="5"/>
                <w:szCs w:val="5"/>
                <w:color w:val="auto"/>
              </w:rPr>
            </w:pPr>
          </w:p>
        </w:tc>
        <w:tc>
          <w:tcPr>
            <w:tcW w:w="8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30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03/31/2026</w:t>
            </w:r>
          </w:p>
        </w:tc>
        <w:tc>
          <w:tcPr>
            <w:tcW w:w="8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225 WEST STATION SQUARE DRIVE</w:t>
            </w:r>
          </w:p>
        </w:tc>
        <w:tc>
          <w:tcPr>
            <w:tcW w:w="3080" w:type="dxa"/>
            <w:vAlign w:val="bottom"/>
            <w:gridSpan w:val="3"/>
            <w:vMerge w:val="continue"/>
          </w:tcPr>
          <w:p>
            <w:pPr>
              <w:spacing w:after="0"/>
              <w:rPr>
                <w:sz w:val="11"/>
                <w:szCs w:val="11"/>
                <w:color w:val="auto"/>
              </w:rPr>
            </w:pPr>
          </w:p>
        </w:tc>
        <w:tc>
          <w:tcPr>
            <w:tcW w:w="8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700</w:t>
            </w: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9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15219-1122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03/31/2026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13.1427</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7,205.4087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03/31/2026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28.552</w:t>
            </w:r>
            <w:r>
              <w:rPr>
                <w:rFonts w:ascii="Times New Roman" w:cs="Times New Roman" w:eastAsia="Times New Roman" w:hAnsi="Times New Roman"/>
                <w:sz w:val="22"/>
                <w:szCs w:val="22"/>
                <w:color w:val="008000"/>
                <w:vertAlign w:val="superscript"/>
              </w:rPr>
              <w:t>(2)</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273.62</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7,233.9607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p>
      <w:pPr>
        <w:spacing w:after="0" w:line="7"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share units ("DSUs") credited to the Reporting Person's deferred compensation account pursuant to the Issuer's Deferred Compensation Plan for Non-Employee Directors (the "Plan"). Each DSU is the economic equivalent of one share of Issuer's common stock and is eligible for distribution in the form of Issuer's common stock based on the schedule elected by the Reporting Person in accordance with the Plan.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Michele Nelson,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8509" TargetMode="External"/><Relationship Id="rId14" Type="http://schemas.openxmlformats.org/officeDocument/2006/relationships/hyperlink" Target="http://www.sec.gov/cgi-bin/browse-edgar?action=getcompany&amp;CIK=0000929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2026-04-02T16:33:07Z</dcterms:created>
  <dcterms:modified xsi:type="dcterms:W3CDTF">2026-04-02T16:33:07Z</dcterms:modified>
</cp:coreProperties>
</file>